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E54872">
      <w:pPr>
        <w:spacing w:before="120" w:beforeLines="50" w:after="120" w:afterLines="50"/>
        <w:rPr>
          <w:bCs/>
          <w:color w:val="000000" w:themeColor="text1"/>
          <w14:textFill>
            <w14:solidFill>
              <w14:schemeClr w14:val="tx1"/>
            </w14:solidFill>
          </w14:textFill>
        </w:rPr>
      </w:pPr>
      <w:sdt>
        <w:sdtPr>
          <w:tag w:val="_PLD_e2023e93e9d5454698c56f4b7265ca56"/>
          <w:id w:val="744683983"/>
        </w:sdtPr>
        <w:sdtContent>
          <w:r>
            <w:rPr>
              <w:rFonts w:hint="eastAsia"/>
              <w:color w:val="000000" w:themeColor="text1"/>
              <w14:textFill>
                <w14:solidFill>
                  <w14:schemeClr w14:val="tx1"/>
                </w14:solidFill>
              </w14:textFill>
            </w:rPr>
            <w:t>公司代码：</w:t>
          </w:r>
        </w:sdtContent>
      </w:sdt>
      <w:sdt>
        <w:sdtPr>
          <w:rPr>
            <w:rFonts w:hint="eastAsia"/>
            <w:bCs/>
          </w:rPr>
          <w:alias w:val="公司代码"/>
          <w:tag w:val="_GBC_704b7b03ea3f4a93b8d4655a09b2ff61"/>
          <w:id w:val="-158162161"/>
          <w:placeholder>
            <w:docPart w:val="GBC22222222222222222222222222222"/>
          </w:placeholder>
        </w:sdtPr>
        <w:sdtEndPr>
          <w:rPr>
            <w:rFonts w:hint="eastAsia"/>
            <w:bCs/>
          </w:rPr>
        </w:sdtEndPr>
        <w:sdtContent>
          <w:r>
            <w:rPr>
              <w:rFonts w:hint="eastAsia"/>
            </w:rPr>
            <w:t>601777</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w:t>
      </w:r>
      <w:sdt>
        <w:sdtPr>
          <w:tag w:val="_PLD_9cd7c9dfc1e1482cb001b3fad058a63c"/>
          <w:id w:val="-929883433"/>
        </w:sdtPr>
        <w:sdtContent>
          <w:r>
            <w:rPr>
              <w:rFonts w:hint="eastAsia"/>
              <w:color w:val="000000" w:themeColor="text1"/>
              <w14:textFill>
                <w14:solidFill>
                  <w14:schemeClr w14:val="tx1"/>
                </w14:solidFill>
              </w14:textFill>
            </w:rPr>
            <w:t>公司简称：</w:t>
          </w:r>
        </w:sdtContent>
      </w:sdt>
      <w:sdt>
        <w:sdtPr>
          <w:rPr>
            <w:rFonts w:hint="eastAsia"/>
            <w:bCs/>
          </w:rPr>
          <w:alias w:val="公司简称"/>
          <w:tag w:val="_GBC_0384ae715a1e4b4894a29e4d27f5bef4"/>
          <w:id w:val="133145375"/>
          <w:placeholder>
            <w:docPart w:val="GBC22222222222222222222222222222"/>
          </w:placeholder>
        </w:sdtPr>
        <w:sdtEndPr>
          <w:rPr>
            <w:rFonts w:hint="eastAsia"/>
            <w:bCs/>
          </w:rPr>
        </w:sdtEndPr>
        <w:sdtContent>
          <w:r>
            <w:rPr>
              <w:rFonts w:hint="eastAsia"/>
            </w:rPr>
            <w:t>千里科技</w:t>
          </w:r>
        </w:sdtContent>
      </w:sdt>
    </w:p>
    <w:p w14:paraId="18A02F04">
      <w:pPr>
        <w:rPr>
          <w:color w:val="000000" w:themeColor="text1"/>
          <w14:textFill>
            <w14:solidFill>
              <w14:schemeClr w14:val="tx1"/>
            </w14:solidFill>
          </w14:textFill>
        </w:rPr>
      </w:pPr>
    </w:p>
    <w:p w14:paraId="526962A1">
      <w:pPr>
        <w:rPr>
          <w:color w:val="000000" w:themeColor="text1"/>
          <w14:textFill>
            <w14:solidFill>
              <w14:schemeClr w14:val="tx1"/>
            </w14:solidFill>
          </w14:textFill>
        </w:rPr>
      </w:pPr>
    </w:p>
    <w:p w14:paraId="05FF317E">
      <w:pPr>
        <w:rPr>
          <w:color w:val="000000" w:themeColor="text1"/>
          <w14:textFill>
            <w14:solidFill>
              <w14:schemeClr w14:val="tx1"/>
            </w14:solidFill>
          </w14:textFill>
        </w:rPr>
      </w:pPr>
    </w:p>
    <w:p w14:paraId="0DF6CB41">
      <w:pPr>
        <w:rPr>
          <w:color w:val="000000" w:themeColor="text1"/>
          <w14:textFill>
            <w14:solidFill>
              <w14:schemeClr w14:val="tx1"/>
            </w14:solidFill>
          </w14:textFill>
        </w:rPr>
      </w:pPr>
    </w:p>
    <w:p w14:paraId="0C5E7847">
      <w:pPr>
        <w:rPr>
          <w:color w:val="000000" w:themeColor="text1"/>
          <w14:textFill>
            <w14:solidFill>
              <w14:schemeClr w14:val="tx1"/>
            </w14:solidFill>
          </w14:textFill>
        </w:rPr>
      </w:pPr>
    </w:p>
    <w:p w14:paraId="19ED5996">
      <w:pPr>
        <w:rPr>
          <w:color w:val="FF0000"/>
        </w:rPr>
      </w:pPr>
    </w:p>
    <w:p w14:paraId="2DA6679A">
      <w:pPr>
        <w:rPr>
          <w:color w:val="FF0000"/>
        </w:rPr>
      </w:pPr>
    </w:p>
    <w:p w14:paraId="45D9FF13">
      <w:pPr>
        <w:spacing w:line="360" w:lineRule="auto"/>
        <w:jc w:val="center"/>
        <w:rPr>
          <w:rFonts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ef279e32efc14c6bb521c62ff1f265ba"/>
          <w:id w:val="1002935642"/>
          <w:placeholder>
            <w:docPart w:val="GBC22222222222222222222222222222"/>
          </w:placeholder>
          <w:dataBinding w:prefixMappings="xmlns:clcid-cgi='clcid-cgi'" w:xpath="/*/clcid-cgi:GongSiFaDingZhongWenMingCheng[not(@periodRef)]" w:storeItemID="{89EBAB94-44A0-46A2-B712-30D997D04A6D}"/>
          <w:text/>
        </w:sdtPr>
        <w:sdtEndPr>
          <w:rPr>
            <w:rFonts w:hint="eastAsia" w:ascii="黑体" w:hAnsi="黑体" w:eastAsia="黑体"/>
            <w:b/>
            <w:bCs/>
            <w:color w:val="FF0000"/>
            <w:sz w:val="44"/>
            <w:szCs w:val="44"/>
          </w:rPr>
        </w:sdtEndPr>
        <w:sdtContent>
          <w:r>
            <w:rPr>
              <w:rFonts w:hint="eastAsia" w:ascii="黑体" w:hAnsi="黑体" w:eastAsia="黑体"/>
              <w:b/>
              <w:color w:val="FF0000"/>
              <w:sz w:val="44"/>
              <w:szCs w:val="44"/>
            </w:rPr>
            <w:t>重庆千里科技股份有限公司</w:t>
          </w:r>
        </w:sdtContent>
      </w:sdt>
    </w:p>
    <w:p w14:paraId="0E30C454">
      <w:pPr>
        <w:spacing w:line="360" w:lineRule="auto"/>
        <w:jc w:val="center"/>
        <w:rPr>
          <w:rFonts w:ascii="黑体" w:hAnsi="黑体" w:eastAsia="黑体"/>
          <w:b/>
          <w:bCs/>
          <w:color w:val="FF0000"/>
          <w:sz w:val="44"/>
          <w:szCs w:val="44"/>
        </w:rPr>
      </w:pPr>
      <w:r>
        <w:rPr>
          <w:rFonts w:ascii="黑体" w:hAnsi="黑体" w:eastAsia="黑体"/>
          <w:b/>
          <w:color w:val="FF0000"/>
          <w:sz w:val="44"/>
          <w:szCs w:val="44"/>
        </w:rPr>
        <w:t>2025年</w:t>
      </w:r>
      <w:r>
        <w:rPr>
          <w:rFonts w:hint="eastAsia" w:ascii="黑体" w:hAnsi="黑体" w:eastAsia="黑体"/>
          <w:b/>
          <w:color w:val="FF0000"/>
          <w:sz w:val="44"/>
          <w:szCs w:val="44"/>
        </w:rPr>
        <w:t>半年度报告</w:t>
      </w:r>
    </w:p>
    <w:p w14:paraId="22FA8E96">
      <w:pPr>
        <w:rPr>
          <w:color w:val="FF0000"/>
        </w:rPr>
      </w:pPr>
    </w:p>
    <w:p w14:paraId="77B569DD">
      <w:pPr>
        <w:rPr>
          <w:color w:val="FF0000"/>
        </w:rPr>
      </w:pPr>
    </w:p>
    <w:p w14:paraId="6E02E9AB">
      <w:pPr>
        <w:rPr>
          <w:color w:val="000000" w:themeColor="text1"/>
          <w14:textFill>
            <w14:solidFill>
              <w14:schemeClr w14:val="tx1"/>
            </w14:solidFill>
          </w14:textFill>
        </w:rPr>
      </w:pPr>
    </w:p>
    <w:p w14:paraId="2A4ECC2F">
      <w:pPr>
        <w:rPr>
          <w:color w:val="000000" w:themeColor="text1"/>
          <w14:textFill>
            <w14:solidFill>
              <w14:schemeClr w14:val="tx1"/>
            </w14:solidFill>
          </w14:textFill>
        </w:rPr>
      </w:pPr>
    </w:p>
    <w:p w14:paraId="697D161F">
      <w:pPr>
        <w:rPr>
          <w:color w:val="000000" w:themeColor="text1"/>
          <w14:textFill>
            <w14:solidFill>
              <w14:schemeClr w14:val="tx1"/>
            </w14:solidFill>
          </w14:textFill>
        </w:rPr>
      </w:pPr>
    </w:p>
    <w:p w14:paraId="572D9FFA">
      <w:pPr>
        <w:rPr>
          <w:color w:val="000000" w:themeColor="text1"/>
          <w14:textFill>
            <w14:solidFill>
              <w14:schemeClr w14:val="tx1"/>
            </w14:solidFill>
          </w14:textFill>
        </w:rPr>
      </w:pPr>
    </w:p>
    <w:p w14:paraId="4F4B16DF">
      <w:pPr>
        <w:rPr>
          <w:color w:val="000000" w:themeColor="text1"/>
          <w14:textFill>
            <w14:solidFill>
              <w14:schemeClr w14:val="tx1"/>
            </w14:solidFill>
          </w14:textFill>
        </w:rPr>
      </w:pPr>
    </w:p>
    <w:p w14:paraId="438F5F1C">
      <w:pPr>
        <w:rPr>
          <w:color w:val="000000" w:themeColor="text1"/>
          <w14:textFill>
            <w14:solidFill>
              <w14:schemeClr w14:val="tx1"/>
            </w14:solidFill>
          </w14:textFill>
        </w:rPr>
      </w:pPr>
      <w:r>
        <w:rPr>
          <w:color w:val="000000" w:themeColor="text1"/>
          <w14:textFill>
            <w14:solidFill>
              <w14:schemeClr w14:val="tx1"/>
            </w14:solidFill>
          </w14:textFill>
        </w:rPr>
        <w:br w:type="page"/>
      </w:r>
    </w:p>
    <w:sdt>
      <w:sdtPr>
        <w:tag w:val="_PLD_845fa8b330524542a31e33dd31c44bb8"/>
        <w:id w:val="143634496"/>
      </w:sdtPr>
      <w:sdtContent>
        <w:p w14:paraId="1BF8BC2F">
          <w:pPr>
            <w:pStyle w:val="33"/>
            <w:spacing w:after="280" w:afterAutospacing="0"/>
            <w:jc w:val="center"/>
            <w:rPr>
              <w:b/>
              <w:bCs/>
              <w:color w:val="000000" w:themeColor="text1"/>
              <w:sz w:val="28"/>
              <w:szCs w:val="28"/>
              <w14:textFill>
                <w14:solidFill>
                  <w14:schemeClr w14:val="tx1"/>
                </w14:solidFill>
              </w14:textFill>
            </w:rPr>
          </w:pPr>
          <w:bookmarkStart w:id="0" w:name="_Toc387656034"/>
          <w:r>
            <w:rPr>
              <w:rFonts w:hint="eastAsia"/>
              <w:b/>
              <w:color w:val="000000" w:themeColor="text1"/>
              <w:sz w:val="28"/>
              <w:szCs w:val="28"/>
              <w14:textFill>
                <w14:solidFill>
                  <w14:schemeClr w14:val="tx1"/>
                </w14:solidFill>
              </w14:textFill>
            </w:rPr>
            <w:t>重要提示</w:t>
          </w:r>
        </w:p>
      </w:sdtContent>
    </w:sdt>
    <w:bookmarkEnd w:id="0"/>
    <w:sdt>
      <w:sdtPr>
        <w:rPr>
          <w:rFonts w:hint="eastAsia" w:ascii="宋体" w:hAnsi="宋体"/>
          <w:color w:val="000000" w:themeColor="text1"/>
          <w14:textFill>
            <w14:solidFill>
              <w14:schemeClr w14:val="tx1"/>
            </w14:solidFill>
          </w14:textFill>
        </w:rPr>
        <w:alias w:val="董事会及董事声明"/>
        <w:tag w:val="_GBC_6c6da163383e4e4c92758ff24076a138"/>
        <w:id w:val="-102499713"/>
        <w:placeholder>
          <w:docPart w:val="GBC22222222222222222222222222222"/>
        </w:placeholder>
      </w:sdtPr>
      <w:sdtEndPr>
        <w:rPr>
          <w:rFonts w:hint="eastAsia" w:ascii="宋体" w:hAnsi="宋体"/>
          <w:color w:val="000000" w:themeColor="text1"/>
          <w14:textFill>
            <w14:solidFill>
              <w14:schemeClr w14:val="tx1"/>
            </w14:solidFill>
          </w14:textFill>
        </w:rPr>
      </w:sdtEndPr>
      <w:sdtContent>
        <w:p w14:paraId="742FA100">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本公司董事会及董事、高级管理人员保证</w:t>
          </w:r>
          <w:r>
            <w:rPr>
              <w:rFonts w:hint="eastAsia" w:ascii="宋体" w:hAnsi="宋体" w:cs="宋体"/>
              <w:color w:val="000000" w:themeColor="text1"/>
              <w14:textFill>
                <w14:solidFill>
                  <w14:schemeClr w14:val="tx1"/>
                </w14:solidFill>
              </w14:textFill>
            </w:rPr>
            <w:t>半</w:t>
          </w:r>
          <w:r>
            <w:rPr>
              <w:rFonts w:ascii="宋体" w:hAnsi="宋体" w:cs="宋体"/>
              <w:color w:val="000000" w:themeColor="text1"/>
              <w14:textFill>
                <w14:solidFill>
                  <w14:schemeClr w14:val="tx1"/>
                </w14:solidFill>
              </w14:textFill>
            </w:rPr>
            <w:t>年度报告内容的真实</w:t>
          </w:r>
          <w:r>
            <w:rPr>
              <w:rFonts w:hint="eastAsia" w:ascii="宋体" w:hAnsi="宋体" w:cs="宋体"/>
              <w:color w:val="000000" w:themeColor="text1"/>
              <w14:textFill>
                <w14:solidFill>
                  <w14:schemeClr w14:val="tx1"/>
                </w14:solidFill>
              </w14:textFill>
            </w:rPr>
            <w:t>性</w:t>
          </w:r>
          <w:r>
            <w:rPr>
              <w:rFonts w:ascii="宋体" w:hAnsi="宋体" w:cs="宋体"/>
              <w:color w:val="000000" w:themeColor="text1"/>
              <w14:textFill>
                <w14:solidFill>
                  <w14:schemeClr w14:val="tx1"/>
                </w14:solidFill>
              </w14:textFill>
            </w:rPr>
            <w:t>、准确</w:t>
          </w:r>
          <w:r>
            <w:rPr>
              <w:rFonts w:hint="eastAsia" w:ascii="宋体" w:hAnsi="宋体" w:cs="宋体"/>
              <w:color w:val="000000" w:themeColor="text1"/>
              <w14:textFill>
                <w14:solidFill>
                  <w14:schemeClr w14:val="tx1"/>
                </w14:solidFill>
              </w14:textFill>
            </w:rPr>
            <w:t>性</w:t>
          </w:r>
          <w:r>
            <w:rPr>
              <w:rFonts w:ascii="宋体" w:hAnsi="宋体" w:cs="宋体"/>
              <w:color w:val="000000" w:themeColor="text1"/>
              <w14:textFill>
                <w14:solidFill>
                  <w14:schemeClr w14:val="tx1"/>
                </w14:solidFill>
              </w14:textFill>
            </w:rPr>
            <w:t>、完整</w:t>
          </w:r>
          <w:r>
            <w:rPr>
              <w:rFonts w:hint="eastAsia" w:ascii="宋体" w:hAnsi="宋体" w:cs="宋体"/>
              <w:color w:val="000000" w:themeColor="text1"/>
              <w14:textFill>
                <w14:solidFill>
                  <w14:schemeClr w14:val="tx1"/>
                </w14:solidFill>
              </w14:textFill>
            </w:rPr>
            <w:t>性</w:t>
          </w:r>
          <w:r>
            <w:rPr>
              <w:rFonts w:ascii="宋体" w:hAnsi="宋体" w:cs="宋体"/>
              <w:color w:val="000000" w:themeColor="text1"/>
              <w14:textFill>
                <w14:solidFill>
                  <w14:schemeClr w14:val="tx1"/>
                </w14:solidFill>
              </w14:textFill>
            </w:rPr>
            <w:t>，不存在虚假记载、误导性陈述或重大遗漏，并承担个别和连带的法律责任。</w:t>
          </w:r>
        </w:p>
      </w:sdtContent>
    </w:sdt>
    <w:p w14:paraId="61011979"/>
    <w:p w14:paraId="6EE58D8B">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bookmarkStart w:id="1" w:name="_Hlk106871957"/>
      <w:bookmarkEnd w:id="1"/>
      <w:r>
        <w:rPr>
          <w:rFonts w:ascii="宋体" w:hAnsi="宋体" w:cs="宋体"/>
          <w:color w:val="000000" w:themeColor="text1"/>
          <w14:textFill>
            <w14:solidFill>
              <w14:schemeClr w14:val="tx1"/>
            </w14:solidFill>
          </w14:textFill>
        </w:rPr>
        <w:t>公司</w:t>
      </w:r>
      <w:sdt>
        <w:sdtPr>
          <w:tag w:val="_GBC_2e0ee33ebae04a83b92e8b1aa6754169"/>
          <w:id w:val="1305361042"/>
        </w:sdtPr>
        <w:sdtContent>
          <w:r>
            <w:rPr>
              <w:rFonts w:ascii="宋体" w:hAnsi="宋体" w:cs="宋体"/>
              <w:color w:val="000000" w:themeColor="text1"/>
              <w14:textFill>
                <w14:solidFill>
                  <w14:schemeClr w14:val="tx1"/>
                </w14:solidFill>
              </w14:textFill>
            </w:rPr>
            <w:t>全体董事出席</w:t>
          </w:r>
        </w:sdtContent>
      </w:sdt>
      <w:r>
        <w:rPr>
          <w:rFonts w:ascii="宋体" w:hAnsi="宋体" w:cs="宋体"/>
          <w:color w:val="000000" w:themeColor="text1"/>
          <w14:textFill>
            <w14:solidFill>
              <w14:schemeClr w14:val="tx1"/>
            </w14:solidFill>
          </w14:textFill>
        </w:rPr>
        <w:t>董事会会议。</w:t>
      </w:r>
    </w:p>
    <w:p w14:paraId="703A3B0C">
      <w:pPr>
        <w:rPr>
          <w:color w:val="000000" w:themeColor="text1"/>
          <w14:textFill>
            <w14:solidFill>
              <w14:schemeClr w14:val="tx1"/>
            </w14:solidFill>
          </w14:textFill>
        </w:rPr>
      </w:pPr>
    </w:p>
    <w:p w14:paraId="6F216970">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本半年度报告</w:t>
      </w:r>
      <w:sdt>
        <w:sdtPr>
          <w:tag w:val="_GBC_be15b7a71d95430e82193d4cab461623"/>
          <w:id w:val="1208988936"/>
        </w:sdtPr>
        <w:sdtContent>
          <w:r>
            <w:rPr>
              <w:rFonts w:ascii="宋体" w:hAnsi="宋体" w:cs="宋体"/>
              <w:color w:val="000000" w:themeColor="text1"/>
              <w14:textFill>
                <w14:solidFill>
                  <w14:schemeClr w14:val="tx1"/>
                </w14:solidFill>
              </w14:textFill>
            </w:rPr>
            <w:t>未经审计</w:t>
          </w:r>
        </w:sdtContent>
      </w:sdt>
      <w:r>
        <w:rPr>
          <w:rFonts w:ascii="宋体" w:hAnsi="宋体" w:cs="宋体"/>
          <w:color w:val="000000" w:themeColor="text1"/>
          <w14:textFill>
            <w14:solidFill>
              <w14:schemeClr w14:val="tx1"/>
            </w14:solidFill>
          </w14:textFill>
        </w:rPr>
        <w:t>。</w:t>
      </w:r>
    </w:p>
    <w:p w14:paraId="42BE01F6">
      <w:pPr>
        <w:rPr>
          <w:color w:val="000000" w:themeColor="text1"/>
          <w14:textFill>
            <w14:solidFill>
              <w14:schemeClr w14:val="tx1"/>
            </w14:solidFill>
          </w14:textFill>
        </w:rPr>
      </w:pPr>
    </w:p>
    <w:p w14:paraId="3B33E488">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公司负责人</w:t>
      </w:r>
      <w:sdt>
        <w:sdtPr>
          <w:rPr>
            <w:rFonts w:hint="eastAsia" w:ascii="宋体" w:hAnsi="宋体"/>
            <w:color w:val="000000" w:themeColor="text1"/>
            <w14:textFill>
              <w14:solidFill>
                <w14:schemeClr w14:val="tx1"/>
              </w14:solidFill>
            </w14:textFill>
          </w:rPr>
          <w:alias w:val="公司负责人姓名"/>
          <w:tag w:val="_GBC_ee6b72f666bb497bbe8fc037096654d2"/>
          <w:id w:val="1455370355"/>
          <w:placeholder>
            <w:docPart w:val="GBC22222222222222222222222222222"/>
          </w:placeholder>
          <w:dataBinding w:prefixMappings="xmlns:clcid-mr='clcid-mr'" w:xpath="/*/clcid-mr:GongSiFuZeRenXingMing[not(@periodRef)]" w:storeItemID="{89EBAB94-44A0-46A2-B712-30D997D04A6D}"/>
          <w:text/>
        </w:sdtPr>
        <w:sdtEndPr>
          <w:rPr>
            <w:rFonts w:hint="eastAsia" w:ascii="宋体" w:hAnsi="宋体"/>
            <w:color w:val="000000" w:themeColor="text1"/>
            <w14:textFill>
              <w14:solidFill>
                <w14:schemeClr w14:val="tx1"/>
              </w14:solidFill>
            </w14:textFill>
          </w:rPr>
        </w:sdtEndPr>
        <w:sdtContent>
          <w:r>
            <w:rPr>
              <w:rFonts w:ascii="宋体" w:hAnsi="宋体" w:cs="宋体"/>
              <w:color w:val="000000" w:themeColor="text1"/>
              <w14:textFill>
                <w14:solidFill>
                  <w14:schemeClr w14:val="tx1"/>
                </w14:solidFill>
              </w14:textFill>
            </w:rPr>
            <w:t>印奇</w:t>
          </w:r>
        </w:sdtContent>
      </w:sdt>
      <w:r>
        <w:rPr>
          <w:rFonts w:ascii="宋体" w:hAnsi="宋体" w:cs="宋体"/>
          <w:color w:val="000000" w:themeColor="text1"/>
          <w14:textFill>
            <w14:solidFill>
              <w14:schemeClr w14:val="tx1"/>
            </w14:solidFill>
          </w14:textFill>
        </w:rPr>
        <w:t>、主管会计工作负责人</w:t>
      </w:r>
      <w:sdt>
        <w:sdtPr>
          <w:rPr>
            <w:rFonts w:hint="eastAsia" w:ascii="宋体" w:hAnsi="宋体"/>
            <w:color w:val="000000" w:themeColor="text1"/>
            <w14:textFill>
              <w14:solidFill>
                <w14:schemeClr w14:val="tx1"/>
              </w14:solidFill>
            </w14:textFill>
          </w:rPr>
          <w:alias w:val="主管会计工作负责人姓名"/>
          <w:tag w:val="_GBC_51ed55c6ff134dadaa6756998c964cdf"/>
          <w:id w:val="40642623"/>
          <w:placeholder>
            <w:docPart w:val="GBC22222222222222222222222222222"/>
          </w:placeholder>
          <w:dataBinding w:prefixMappings="xmlns:clcid-mr='clcid-mr'" w:xpath="/*/clcid-mr:ZhuGuanKuaiJiGongZuoFuZeRenXingMing[not(@periodRef)]" w:storeItemID="{89EBAB94-44A0-46A2-B712-30D997D04A6D}"/>
          <w:text/>
        </w:sdtPr>
        <w:sdtEndPr>
          <w:rPr>
            <w:rFonts w:hint="eastAsia" w:ascii="宋体" w:hAnsi="宋体"/>
            <w:color w:val="000000" w:themeColor="text1"/>
            <w14:textFill>
              <w14:solidFill>
                <w14:schemeClr w14:val="tx1"/>
              </w14:solidFill>
            </w14:textFill>
          </w:rPr>
        </w:sdtEndPr>
        <w:sdtContent>
          <w:r>
            <w:rPr>
              <w:rFonts w:ascii="宋体" w:hAnsi="宋体" w:cs="宋体"/>
              <w:color w:val="000000" w:themeColor="text1"/>
              <w14:textFill>
                <w14:solidFill>
                  <w14:schemeClr w14:val="tx1"/>
                </w14:solidFill>
              </w14:textFill>
            </w:rPr>
            <w:t>黄强</w:t>
          </w:r>
        </w:sdtContent>
      </w:sdt>
      <w:r>
        <w:rPr>
          <w:rFonts w:ascii="宋体" w:hAnsi="宋体" w:cs="宋体"/>
          <w:color w:val="000000" w:themeColor="text1"/>
          <w14:textFill>
            <w14:solidFill>
              <w14:schemeClr w14:val="tx1"/>
            </w14:solidFill>
          </w14:textFill>
        </w:rPr>
        <w:t>及会计机构负责人（会计主管人员）</w:t>
      </w:r>
      <w:sdt>
        <w:sdtPr>
          <w:rPr>
            <w:rFonts w:hint="eastAsia" w:ascii="宋体" w:hAnsi="宋体"/>
            <w:color w:val="000000" w:themeColor="text1"/>
            <w14:textFill>
              <w14:solidFill>
                <w14:schemeClr w14:val="tx1"/>
              </w14:solidFill>
            </w14:textFill>
          </w:rPr>
          <w:alias w:val="会计机构负责人姓名"/>
          <w:tag w:val="_GBC_aa7d9e44d6e64b9abdcdefb4a3968427"/>
          <w:id w:val="1308275409"/>
          <w:placeholder>
            <w:docPart w:val="GBC22222222222222222222222222222"/>
          </w:placeholder>
          <w:dataBinding w:prefixMappings="xmlns:clcid-mr='clcid-mr'" w:xpath="/*/clcid-mr:KuaiJiJiGouFuZeRenXingMing[not(@periodRef)]" w:storeItemID="{89EBAB94-44A0-46A2-B712-30D997D04A6D}"/>
          <w:text/>
        </w:sdtPr>
        <w:sdtEndPr>
          <w:rPr>
            <w:rFonts w:hint="eastAsia" w:ascii="宋体" w:hAnsi="宋体"/>
            <w:color w:val="000000" w:themeColor="text1"/>
            <w14:textFill>
              <w14:solidFill>
                <w14:schemeClr w14:val="tx1"/>
              </w14:solidFill>
            </w14:textFill>
          </w:rPr>
        </w:sdtEndPr>
        <w:sdtContent>
          <w:r>
            <w:rPr>
              <w:rFonts w:ascii="宋体" w:hAnsi="宋体" w:cs="宋体"/>
              <w:color w:val="000000" w:themeColor="text1"/>
              <w14:textFill>
                <w14:solidFill>
                  <w14:schemeClr w14:val="tx1"/>
                </w14:solidFill>
              </w14:textFill>
            </w:rPr>
            <w:t>徐衬</w:t>
          </w:r>
        </w:sdtContent>
      </w:sdt>
      <w:r>
        <w:rPr>
          <w:rFonts w:ascii="宋体" w:hAnsi="宋体" w:cs="宋体"/>
          <w:color w:val="000000" w:themeColor="text1"/>
          <w14:textFill>
            <w14:solidFill>
              <w14:schemeClr w14:val="tx1"/>
            </w14:solidFill>
          </w14:textFill>
        </w:rPr>
        <w:t>声明：保证半年度报告中财务报告的真实、准确、完整。</w:t>
      </w:r>
    </w:p>
    <w:p w14:paraId="46E21F6C">
      <w:pPr>
        <w:rPr>
          <w:color w:val="000000" w:themeColor="text1"/>
          <w14:textFill>
            <w14:solidFill>
              <w14:schemeClr w14:val="tx1"/>
            </w14:solidFill>
          </w14:textFill>
        </w:rPr>
      </w:pPr>
    </w:p>
    <w:p w14:paraId="54C39312">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董事会决议通过的本报告期利润分配预案或公积金转增股本预案</w:t>
      </w:r>
    </w:p>
    <w:sdt>
      <w:sdtPr>
        <w:rPr>
          <w:rFonts w:hint="eastAsia"/>
          <w:color w:val="000000" w:themeColor="text1"/>
          <w14:textFill>
            <w14:solidFill>
              <w14:schemeClr w14:val="tx1"/>
            </w14:solidFill>
          </w14:textFill>
        </w:rPr>
        <w:alias w:val="经董事会审议的报告期利润分配预案或公积金转增股本预案"/>
        <w:tag w:val="_GBC_7676626d447143468bebcc8d267ec746"/>
        <w:id w:val="1588739021"/>
        <w:placeholder>
          <w:docPart w:val="GBC22222222222222222222222222222"/>
        </w:placeholder>
      </w:sdtPr>
      <w:sdtEndPr>
        <w:rPr>
          <w:rFonts w:hint="eastAsia"/>
          <w:color w:val="000000" w:themeColor="text1"/>
          <w14:textFill>
            <w14:solidFill>
              <w14:schemeClr w14:val="tx1"/>
            </w14:solidFill>
          </w14:textFill>
        </w:rPr>
      </w:sdtEndPr>
      <w:sdtContent>
        <w:p w14:paraId="39619C0F">
          <w:pPr>
            <w:kinsoku w:val="0"/>
            <w:overflowPunct w:val="0"/>
            <w:autoSpaceDE w:val="0"/>
            <w:autoSpaceDN w:val="0"/>
            <w:adjustRightInd w:val="0"/>
            <w:snapToGrid w:val="0"/>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A0B1D0A">
      <w:pPr>
        <w:kinsoku w:val="0"/>
        <w:overflowPunct w:val="0"/>
        <w:autoSpaceDE w:val="0"/>
        <w:autoSpaceDN w:val="0"/>
        <w:adjustRightInd w:val="0"/>
        <w:snapToGrid w:val="0"/>
        <w:spacing w:line="360" w:lineRule="exact"/>
        <w:rPr>
          <w:color w:val="000000" w:themeColor="text1"/>
          <w14:textFill>
            <w14:solidFill>
              <w14:schemeClr w14:val="tx1"/>
            </w14:solidFill>
          </w14:textFill>
        </w:rPr>
      </w:pPr>
    </w:p>
    <w:p w14:paraId="20AAF636">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前瞻性陈述的风险声明</w:t>
      </w:r>
    </w:p>
    <w:sdt>
      <w:sdtPr>
        <w:rPr>
          <w:color w:val="000000" w:themeColor="text1"/>
          <w14:textFill>
            <w14:solidFill>
              <w14:schemeClr w14:val="tx1"/>
            </w14:solidFill>
          </w14:textFill>
        </w:rPr>
        <w:alias w:val="是否适用：前瞻性陈述的风险声明[双击切换]"/>
        <w:tag w:val="_GBC_6a28949332914149bda7cc0225d614b7"/>
        <w:id w:val="1922453594"/>
        <w:placeholder>
          <w:docPart w:val="GBC22222222222222222222222222222"/>
        </w:placeholder>
      </w:sdtPr>
      <w:sdtEndPr>
        <w:rPr>
          <w:color w:val="000000" w:themeColor="text1"/>
          <w14:textFill>
            <w14:solidFill>
              <w14:schemeClr w14:val="tx1"/>
            </w14:solidFill>
          </w14:textFill>
        </w:rPr>
      </w:sdtEndPr>
      <w:sdtContent>
        <w:p w14:paraId="12101F8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7B46F0F">
      <w:pPr>
        <w:kinsoku w:val="0"/>
        <w:overflowPunct w:val="0"/>
        <w:autoSpaceDE w:val="0"/>
        <w:autoSpaceDN w:val="0"/>
        <w:adjustRightInd w:val="0"/>
        <w:snapToGrid w:val="0"/>
        <w:spacing w:line="360" w:lineRule="exact"/>
        <w:rPr>
          <w:color w:val="000000" w:themeColor="text1"/>
          <w14:textFill>
            <w14:solidFill>
              <w14:schemeClr w14:val="tx1"/>
            </w14:solidFill>
          </w14:textFill>
        </w:rPr>
      </w:pPr>
    </w:p>
    <w:p w14:paraId="1E999280">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是否存在被控股股东及其他关联方非经营性占用资金情况</w:t>
      </w:r>
    </w:p>
    <w:sdt>
      <w:sdtPr>
        <w:rPr>
          <w:rFonts w:hint="eastAsia"/>
          <w:bCs/>
          <w:color w:val="000000" w:themeColor="text1"/>
          <w14:textFill>
            <w14:solidFill>
              <w14:schemeClr w14:val="tx1"/>
            </w14:solidFill>
          </w14:textFill>
        </w:rPr>
        <w:alias w:val="本公司是否存在大股东占用资金情况"/>
        <w:tag w:val="_GBC_a32400ff33ee44d89632e0d79a7f2c42"/>
        <w:id w:val="1388685667"/>
        <w:placeholder>
          <w:docPart w:val="GBC22222222222222222222222222222"/>
        </w:placeholder>
        <w:comboBox>
          <w:listItem w:displayText="是" w:value="true"/>
          <w:listItem w:displayText="否" w:value="false"/>
        </w:comboBox>
      </w:sdtPr>
      <w:sdtEndPr>
        <w:rPr>
          <w:rFonts w:hint="eastAsia"/>
          <w:bCs/>
          <w:color w:val="000000" w:themeColor="text1"/>
          <w14:textFill>
            <w14:solidFill>
              <w14:schemeClr w14:val="tx1"/>
            </w14:solidFill>
          </w14:textFill>
        </w:rPr>
      </w:sdtEndPr>
      <w:sdtContent>
        <w:p w14:paraId="4577B931">
          <w:pPr>
            <w:kinsoku w:val="0"/>
            <w:overflowPunct w:val="0"/>
            <w:autoSpaceDE w:val="0"/>
            <w:autoSpaceDN w:val="0"/>
            <w:adjustRightInd w:val="0"/>
            <w:snapToGrid w:val="0"/>
            <w:spacing w:line="360" w:lineRule="exac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否</w:t>
          </w:r>
        </w:p>
      </w:sdtContent>
    </w:sdt>
    <w:p w14:paraId="6EAF1924">
      <w:pPr>
        <w:kinsoku w:val="0"/>
        <w:overflowPunct w:val="0"/>
        <w:autoSpaceDE w:val="0"/>
        <w:autoSpaceDN w:val="0"/>
        <w:adjustRightInd w:val="0"/>
        <w:snapToGrid w:val="0"/>
        <w:spacing w:line="360" w:lineRule="exact"/>
        <w:rPr>
          <w:color w:val="000000" w:themeColor="text1"/>
          <w:shd w:val="pct15" w:color="auto" w:fill="FFFFFF"/>
          <w14:textFill>
            <w14:solidFill>
              <w14:schemeClr w14:val="tx1"/>
            </w14:solidFill>
          </w14:textFill>
        </w:rPr>
      </w:pPr>
    </w:p>
    <w:p w14:paraId="0995AD1C">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是否存在违反规定决策程序对外提供担保的情况</w:t>
      </w:r>
    </w:p>
    <w:sdt>
      <w:sdtPr>
        <w:rPr>
          <w:rFonts w:hint="eastAsia"/>
          <w:color w:val="000000" w:themeColor="text1"/>
          <w14:textFill>
            <w14:solidFill>
              <w14:schemeClr w14:val="tx1"/>
            </w14:solidFill>
          </w14:textFill>
        </w:rPr>
        <w:alias w:val="本公司是否存在违反规定决策程序对外提供担保的情况"/>
        <w:tag w:val="_GBC_3bc3f02bd342494aa2858bb9a39d8458"/>
        <w:id w:val="-1814548058"/>
        <w:placeholder>
          <w:docPart w:val="GBC22222222222222222222222222222"/>
        </w:placeholder>
        <w:comboBox>
          <w:listItem w:displayText="是" w:value="true"/>
          <w:listItem w:displayText="否" w:value="false"/>
        </w:comboBox>
      </w:sdtPr>
      <w:sdtEndPr>
        <w:rPr>
          <w:rFonts w:hint="eastAsia"/>
          <w:color w:val="000000" w:themeColor="text1"/>
          <w14:textFill>
            <w14:solidFill>
              <w14:schemeClr w14:val="tx1"/>
            </w14:solidFill>
          </w14:textFill>
        </w:rPr>
      </w:sdtEndPr>
      <w:sdtContent>
        <w:p w14:paraId="734675A3">
          <w:pPr>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sdtContent>
    </w:sdt>
    <w:p w14:paraId="62FF1F02">
      <w:pPr>
        <w:rPr>
          <w:color w:val="000000" w:themeColor="text1"/>
          <w14:textFill>
            <w14:solidFill>
              <w14:schemeClr w14:val="tx1"/>
            </w14:solidFill>
          </w14:textFill>
        </w:rPr>
      </w:pPr>
    </w:p>
    <w:p w14:paraId="2D970354">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bookmarkStart w:id="2" w:name="_Hlk61881950"/>
      <w:bookmarkStart w:id="3" w:name="_Hlk72769553"/>
      <w:r>
        <w:rPr>
          <w:rFonts w:ascii="宋体" w:hAnsi="宋体" w:cs="宋体"/>
          <w:color w:val="000000" w:themeColor="text1"/>
          <w14:textFill>
            <w14:solidFill>
              <w14:schemeClr w14:val="tx1"/>
            </w14:solidFill>
          </w14:textFill>
        </w:rPr>
        <w:t>是否存在半数以上董事无法保证公司所披露半年度报告的真实性、准确性和完整性</w:t>
      </w:r>
      <w:bookmarkEnd w:id="2"/>
    </w:p>
    <w:sdt>
      <w:sdtPr>
        <w:rPr>
          <w:rFonts w:hint="eastAsia"/>
          <w:color w:val="000000" w:themeColor="text1"/>
          <w14:textFill>
            <w14:solidFill>
              <w14:schemeClr w14:val="tx1"/>
            </w14:solidFill>
          </w14:textFill>
        </w:rPr>
        <w:alias w:val="是否存在半数以上董事无法保证公司所披露年度报告的真实性、准确性和完整性"/>
        <w:tag w:val="_GBC_016ca2a0d8c2429a89679ee7fdc015c2"/>
        <w:id w:val="7038207"/>
        <w:placeholder>
          <w:docPart w:val="GBC22222222222222222222222222222"/>
        </w:placeholder>
        <w:comboBox>
          <w:listItem w:displayText="是" w:value="true"/>
          <w:listItem w:displayText="否" w:value="false"/>
        </w:comboBox>
      </w:sdtPr>
      <w:sdtEndPr>
        <w:rPr>
          <w:rFonts w:hint="eastAsia"/>
          <w:color w:val="000000" w:themeColor="text1"/>
          <w14:textFill>
            <w14:solidFill>
              <w14:schemeClr w14:val="tx1"/>
            </w14:solidFill>
          </w14:textFill>
        </w:rPr>
      </w:sdtEndPr>
      <w:sdtContent>
        <w:p w14:paraId="1B755FB3">
          <w:pPr>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sdtContent>
    </w:sdt>
    <w:p w14:paraId="560C6EF4">
      <w:pPr>
        <w:rPr>
          <w:color w:val="000000" w:themeColor="text1"/>
          <w14:textFill>
            <w14:solidFill>
              <w14:schemeClr w14:val="tx1"/>
            </w14:solidFill>
          </w14:textFill>
        </w:rPr>
      </w:pPr>
    </w:p>
    <w:bookmarkEnd w:id="3"/>
    <w:p w14:paraId="1A56784F">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重大风险提示</w:t>
      </w:r>
    </w:p>
    <w:sdt>
      <w:sdtPr>
        <w:rPr>
          <w:rFonts w:hint="eastAsia"/>
          <w:color w:val="000000" w:themeColor="text1"/>
          <w14:textFill>
            <w14:solidFill>
              <w14:schemeClr w14:val="tx1"/>
            </w14:solidFill>
          </w14:textFill>
        </w:rPr>
        <w:alias w:val="重大风险提示"/>
        <w:tag w:val="_GBC_d0220f8592e64dd1b898937e183da1e3"/>
        <w:id w:val="-1483921738"/>
        <w:placeholder>
          <w:docPart w:val="GBC22222222222222222222222222222"/>
        </w:placeholder>
      </w:sdtPr>
      <w:sdtEndPr>
        <w:rPr>
          <w:rFonts w:hint="eastAsia"/>
          <w:color w:val="000000" w:themeColor="text1"/>
          <w14:textFill>
            <w14:solidFill>
              <w14:schemeClr w14:val="tx1"/>
            </w14:solidFill>
          </w14:textFill>
        </w:rPr>
      </w:sdtEndPr>
      <w:sdtContent>
        <w:p w14:paraId="7D1D33E8">
          <w:pPr>
            <w:spacing w:line="360" w:lineRule="auto"/>
            <w:ind w:firstLine="420" w:firstLineChars="200"/>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重大风险提示"/>
              <w:tag w:val="_GBC_d0220f8592e64dd1b898937e183da1e3"/>
              <w:id w:val="-708872347"/>
              <w:lock w:val="sdtLocked"/>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公司已在本报告中详细描述可能存在的相关风险，敬请查阅本报告中第三节“管理层讨论与分析”中“可能面对的风险”相关描述。</w:t>
              </w:r>
            </w:sdtContent>
          </w:sdt>
        </w:p>
      </w:sdtContent>
    </w:sdt>
    <w:p w14:paraId="72998752">
      <w:pPr>
        <w:rPr>
          <w:color w:val="000000" w:themeColor="text1"/>
          <w14:textFill>
            <w14:solidFill>
              <w14:schemeClr w14:val="tx1"/>
            </w14:solidFill>
          </w14:textFill>
        </w:rPr>
      </w:pPr>
    </w:p>
    <w:p w14:paraId="00F44551">
      <w:pPr>
        <w:pStyle w:val="3"/>
        <w:numPr>
          <w:ilvl w:val="0"/>
          <w:numId w:val="2"/>
        </w:numPr>
        <w:tabs>
          <w:tab w:val="left" w:pos="434"/>
        </w:tabs>
        <w:spacing w:before="0" w:after="0" w:line="360" w:lineRule="auto"/>
        <w:ind w:left="0" w:firstLine="0"/>
        <w:rPr>
          <w:rFonts w:ascii="宋体" w:hAnsi="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其他重要提示[双击切换]"/>
        <w:tag w:val="_GBC_3a91363d913942688077b069148debc5"/>
        <w:id w:val="1569765427"/>
        <w:placeholder>
          <w:docPart w:val="GBC22222222222222222222222222222"/>
        </w:placeholder>
      </w:sdtPr>
      <w:sdtEndPr>
        <w:rPr>
          <w:color w:val="000000" w:themeColor="text1"/>
          <w14:textFill>
            <w14:solidFill>
              <w14:schemeClr w14:val="tx1"/>
            </w14:solidFill>
          </w14:textFill>
        </w:rPr>
      </w:sdtEndPr>
      <w:sdtContent>
        <w:p w14:paraId="43051FD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87B874">
      <w:pPr>
        <w:rPr>
          <w:color w:val="000000" w:themeColor="text1"/>
          <w14:textFill>
            <w14:solidFill>
              <w14:schemeClr w14:val="tx1"/>
            </w14:solidFill>
          </w14:textFill>
        </w:rPr>
      </w:pPr>
    </w:p>
    <w:p w14:paraId="6BAE2D0B">
      <w:pPr>
        <w:rPr>
          <w:color w:val="000000" w:themeColor="text1"/>
          <w14:textFill>
            <w14:solidFill>
              <w14:schemeClr w14:val="tx1"/>
            </w14:solidFill>
          </w14:textFill>
        </w:rPr>
      </w:pPr>
    </w:p>
    <w:p w14:paraId="0BBF1633">
      <w:pPr>
        <w:rPr>
          <w:color w:val="000000" w:themeColor="text1"/>
          <w14:textFill>
            <w14:solidFill>
              <w14:schemeClr w14:val="tx1"/>
            </w14:solidFill>
          </w14:textFill>
        </w:rPr>
        <w:sectPr>
          <w:headerReference r:id="rId3" w:type="default"/>
          <w:footerReference r:id="rId4" w:type="default"/>
          <w:pgSz w:w="11906" w:h="16838"/>
          <w:pgMar w:top="1525" w:right="1276" w:bottom="1440" w:left="1797" w:header="855" w:footer="992" w:gutter="0"/>
          <w:cols w:space="425" w:num="1"/>
          <w:docGrid w:linePitch="312" w:charSpace="0"/>
        </w:sectPr>
      </w:pPr>
    </w:p>
    <w:p w14:paraId="5D3BE5DA">
      <w:pPr>
        <w:rPr>
          <w:color w:val="000000" w:themeColor="text1"/>
          <w14:textFill>
            <w14:solidFill>
              <w14:schemeClr w14:val="tx1"/>
            </w14:solidFill>
          </w14:textFill>
        </w:rPr>
      </w:pPr>
    </w:p>
    <w:p w14:paraId="425CA71E">
      <w:pPr>
        <w:kinsoku w:val="0"/>
        <w:overflowPunct w:val="0"/>
        <w:autoSpaceDE w:val="0"/>
        <w:autoSpaceDN w:val="0"/>
        <w:adjustRightInd w:val="0"/>
        <w:snapToGrid w:val="0"/>
        <w:spacing w:line="360" w:lineRule="auto"/>
        <w:jc w:val="center"/>
      </w:pPr>
      <w:r>
        <w:rPr>
          <w:rFonts w:hint="eastAsia"/>
          <w:b/>
          <w:color w:val="000000" w:themeColor="text1"/>
          <w:sz w:val="32"/>
          <w:szCs w:val="32"/>
          <w14:textFill>
            <w14:solidFill>
              <w14:schemeClr w14:val="tx1"/>
            </w14:solidFill>
          </w14:textFill>
        </w:rPr>
        <w:t>目录</w:t>
      </w:r>
      <w:r>
        <w:rPr>
          <w:color w:val="000000" w:themeColor="text1"/>
          <w:shd w:val="pct15" w:color="auto" w:fill="FFFFFF"/>
          <w14:textFill>
            <w14:solidFill>
              <w14:schemeClr w14:val="tx1"/>
            </w14:solidFill>
          </w14:textFill>
        </w:rPr>
        <w:fldChar w:fldCharType="begin"/>
      </w:r>
      <w:r>
        <w:rPr>
          <w:color w:val="000000" w:themeColor="text1"/>
          <w:shd w:val="pct15" w:color="auto" w:fill="FFFFFF"/>
          <w14:textFill>
            <w14:solidFill>
              <w14:schemeClr w14:val="tx1"/>
            </w14:solidFill>
          </w14:textFill>
        </w:rPr>
        <w:instrText xml:space="preserve"> TOC \o "1-1" \h \z \u </w:instrText>
      </w:r>
      <w:r>
        <w:rPr>
          <w:color w:val="000000" w:themeColor="text1"/>
          <w:shd w:val="pct15" w:color="auto" w:fill="FFFFFF"/>
          <w14:textFill>
            <w14:solidFill>
              <w14:schemeClr w14:val="tx1"/>
            </w14:solidFill>
          </w14:textFill>
        </w:rPr>
        <w:fldChar w:fldCharType="separate"/>
      </w:r>
    </w:p>
    <w:p w14:paraId="02F9044D">
      <w:pPr>
        <w:pStyle w:val="27"/>
        <w:tabs>
          <w:tab w:val="left" w:pos="1050"/>
          <w:tab w:val="right" w:leader="dot" w:pos="8823"/>
        </w:tabs>
        <w:ind w:left="422" w:hanging="422"/>
        <w:rPr>
          <w:rFonts w:asciiTheme="minorHAnsi" w:hAnsiTheme="minorHAnsi" w:eastAsiaTheme="minorEastAsia" w:cstheme="minorBidi"/>
          <w:b w:val="0"/>
          <w:bCs/>
          <w:caps w:val="0"/>
          <w:kern w:val="2"/>
          <w:sz w:val="22"/>
          <w:szCs w:val="24"/>
          <w14:ligatures w14:val="standardContextual"/>
        </w:rPr>
      </w:pPr>
      <w:r>
        <w:fldChar w:fldCharType="begin"/>
      </w:r>
      <w:r>
        <w:instrText xml:space="preserve"> HYPERLINK \l "_Toc200030539" </w:instrText>
      </w:r>
      <w:r>
        <w:fldChar w:fldCharType="separate"/>
      </w:r>
      <w:r>
        <w:rPr>
          <w:rFonts w:hint="eastAsia" w:ascii="黑体" w:hAnsi="黑体"/>
        </w:rPr>
        <w:t>第一节</w:t>
      </w:r>
      <w:r>
        <w:rPr>
          <w:rFonts w:hint="eastAsia" w:asciiTheme="minorHAnsi" w:hAnsiTheme="minorHAnsi" w:eastAsiaTheme="minorEastAsia" w:cstheme="minorBidi"/>
          <w:b w:val="0"/>
          <w:caps w:val="0"/>
          <w:kern w:val="2"/>
          <w:sz w:val="22"/>
          <w:szCs w:val="24"/>
          <w14:ligatures w14:val="standardContextual"/>
        </w:rPr>
        <w:tab/>
      </w:r>
      <w:r>
        <w:rPr>
          <w:rFonts w:hint="eastAsia" w:ascii="黑体" w:hAnsi="黑体"/>
        </w:rPr>
        <w:t>释义</w:t>
      </w:r>
      <w:r>
        <w:rPr>
          <w:rFonts w:hint="eastAsia"/>
        </w:rPr>
        <w:tab/>
      </w:r>
      <w:r>
        <w:rPr>
          <w:rFonts w:hint="eastAsia"/>
        </w:rPr>
        <w:fldChar w:fldCharType="begin"/>
      </w:r>
      <w:r>
        <w:rPr>
          <w:rFonts w:hint="eastAsia"/>
        </w:rPr>
        <w:instrText xml:space="preserve"> </w:instrText>
      </w:r>
      <w:r>
        <w:instrText xml:space="preserve">PAGEREF _Toc200030539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439FE94">
      <w:pPr>
        <w:pStyle w:val="27"/>
        <w:tabs>
          <w:tab w:val="left" w:pos="1050"/>
          <w:tab w:val="right" w:leader="dot" w:pos="8823"/>
        </w:tabs>
        <w:ind w:left="422" w:hanging="422"/>
        <w:rPr>
          <w:rFonts w:asciiTheme="minorHAnsi" w:hAnsiTheme="minorHAnsi" w:eastAsiaTheme="minorEastAsia" w:cstheme="minorBidi"/>
          <w:b w:val="0"/>
          <w:bCs/>
          <w:caps w:val="0"/>
          <w:kern w:val="2"/>
          <w:sz w:val="22"/>
          <w:szCs w:val="24"/>
          <w14:ligatures w14:val="standardContextual"/>
        </w:rPr>
      </w:pPr>
      <w:r>
        <w:fldChar w:fldCharType="begin"/>
      </w:r>
      <w:r>
        <w:instrText xml:space="preserve"> HYPERLINK \l "_Toc200030540" </w:instrText>
      </w:r>
      <w:r>
        <w:fldChar w:fldCharType="separate"/>
      </w:r>
      <w:r>
        <w:rPr>
          <w:rFonts w:hint="eastAsia" w:ascii="黑体" w:hAnsi="黑体"/>
        </w:rPr>
        <w:t>第二节</w:t>
      </w:r>
      <w:r>
        <w:rPr>
          <w:rFonts w:hint="eastAsia" w:asciiTheme="minorHAnsi" w:hAnsiTheme="minorHAnsi" w:eastAsiaTheme="minorEastAsia" w:cstheme="minorBidi"/>
          <w:b w:val="0"/>
          <w:caps w:val="0"/>
          <w:kern w:val="2"/>
          <w:sz w:val="22"/>
          <w:szCs w:val="24"/>
          <w14:ligatures w14:val="standardContextual"/>
        </w:rPr>
        <w:tab/>
      </w:r>
      <w:r>
        <w:rPr>
          <w:rFonts w:hint="eastAsia" w:ascii="黑体" w:hAnsi="黑体"/>
        </w:rPr>
        <w:t>公司简介和主要财务指标</w:t>
      </w:r>
      <w:r>
        <w:rPr>
          <w:rFonts w:hint="eastAsia"/>
        </w:rPr>
        <w:tab/>
      </w:r>
      <w:r>
        <w:rPr>
          <w:rFonts w:hint="eastAsia"/>
        </w:rPr>
        <w:fldChar w:fldCharType="begin"/>
      </w:r>
      <w:r>
        <w:rPr>
          <w:rFonts w:hint="eastAsia"/>
        </w:rPr>
        <w:instrText xml:space="preserve"> </w:instrText>
      </w:r>
      <w:r>
        <w:instrText xml:space="preserve">PAGEREF _Toc200030540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5918E541">
      <w:pPr>
        <w:pStyle w:val="27"/>
        <w:tabs>
          <w:tab w:val="left" w:pos="1050"/>
          <w:tab w:val="right" w:leader="dot" w:pos="8823"/>
        </w:tabs>
        <w:ind w:left="422" w:hanging="422"/>
        <w:rPr>
          <w:rFonts w:asciiTheme="minorHAnsi" w:hAnsiTheme="minorHAnsi" w:eastAsiaTheme="minorEastAsia" w:cstheme="minorBidi"/>
          <w:b w:val="0"/>
          <w:bCs/>
          <w:caps w:val="0"/>
          <w:kern w:val="2"/>
          <w:sz w:val="22"/>
          <w:szCs w:val="24"/>
          <w14:ligatures w14:val="standardContextual"/>
        </w:rPr>
      </w:pPr>
      <w:r>
        <w:fldChar w:fldCharType="begin"/>
      </w:r>
      <w:r>
        <w:instrText xml:space="preserve"> HYPERLINK \l "_Toc200030541" </w:instrText>
      </w:r>
      <w:r>
        <w:fldChar w:fldCharType="separate"/>
      </w:r>
      <w:r>
        <w:rPr>
          <w:rFonts w:hint="eastAsia" w:ascii="黑体" w:hAnsi="黑体"/>
        </w:rPr>
        <w:t>第三节</w:t>
      </w:r>
      <w:r>
        <w:rPr>
          <w:rFonts w:hint="eastAsia" w:asciiTheme="minorHAnsi" w:hAnsiTheme="minorHAnsi" w:eastAsiaTheme="minorEastAsia" w:cstheme="minorBidi"/>
          <w:b w:val="0"/>
          <w:caps w:val="0"/>
          <w:kern w:val="2"/>
          <w:sz w:val="22"/>
          <w:szCs w:val="24"/>
          <w14:ligatures w14:val="standardContextual"/>
        </w:rPr>
        <w:tab/>
      </w:r>
      <w:r>
        <w:rPr>
          <w:rFonts w:hint="eastAsia" w:ascii="黑体" w:hAnsi="黑体"/>
        </w:rPr>
        <w:t>管理层讨论与分析</w:t>
      </w:r>
      <w:r>
        <w:rPr>
          <w:rFonts w:hint="eastAsia"/>
        </w:rPr>
        <w:tab/>
      </w:r>
      <w:r>
        <w:rPr>
          <w:rFonts w:hint="eastAsia"/>
        </w:rPr>
        <w:fldChar w:fldCharType="begin"/>
      </w:r>
      <w:r>
        <w:rPr>
          <w:rFonts w:hint="eastAsia"/>
        </w:rPr>
        <w:instrText xml:space="preserve"> </w:instrText>
      </w:r>
      <w:r>
        <w:instrText xml:space="preserve">PAGEREF _Toc200030541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6AF3825">
      <w:pPr>
        <w:pStyle w:val="27"/>
        <w:tabs>
          <w:tab w:val="left" w:pos="1050"/>
          <w:tab w:val="right" w:leader="dot" w:pos="8823"/>
        </w:tabs>
        <w:ind w:left="422" w:hanging="422"/>
        <w:rPr>
          <w:rFonts w:asciiTheme="minorHAnsi" w:hAnsiTheme="minorHAnsi" w:eastAsiaTheme="minorEastAsia" w:cstheme="minorBidi"/>
          <w:b w:val="0"/>
          <w:bCs/>
          <w:caps w:val="0"/>
          <w:kern w:val="2"/>
          <w:sz w:val="22"/>
          <w:szCs w:val="24"/>
          <w14:ligatures w14:val="standardContextual"/>
        </w:rPr>
      </w:pPr>
      <w:r>
        <w:fldChar w:fldCharType="begin"/>
      </w:r>
      <w:r>
        <w:instrText xml:space="preserve"> HYPERLINK \l "_Toc200030542" </w:instrText>
      </w:r>
      <w:r>
        <w:fldChar w:fldCharType="separate"/>
      </w:r>
      <w:r>
        <w:rPr>
          <w:rFonts w:hint="eastAsia" w:ascii="黑体" w:hAnsi="黑体"/>
        </w:rPr>
        <w:t>第四节</w:t>
      </w:r>
      <w:r>
        <w:rPr>
          <w:rFonts w:hint="eastAsia" w:asciiTheme="minorHAnsi" w:hAnsiTheme="minorHAnsi" w:eastAsiaTheme="minorEastAsia" w:cstheme="minorBidi"/>
          <w:b w:val="0"/>
          <w:caps w:val="0"/>
          <w:kern w:val="2"/>
          <w:sz w:val="22"/>
          <w:szCs w:val="24"/>
          <w14:ligatures w14:val="standardContextual"/>
        </w:rPr>
        <w:tab/>
      </w:r>
      <w:r>
        <w:rPr>
          <w:rFonts w:hint="eastAsia" w:ascii="黑体" w:hAnsi="黑体"/>
        </w:rPr>
        <w:t>公司治理、环境和社会</w:t>
      </w:r>
      <w:r>
        <w:rPr>
          <w:rFonts w:hint="eastAsia"/>
        </w:rPr>
        <w:tab/>
      </w:r>
      <w:r>
        <w:rPr>
          <w:rFonts w:hint="eastAsia"/>
        </w:rPr>
        <w:fldChar w:fldCharType="begin"/>
      </w:r>
      <w:r>
        <w:rPr>
          <w:rFonts w:hint="eastAsia"/>
        </w:rPr>
        <w:instrText xml:space="preserve"> </w:instrText>
      </w:r>
      <w:r>
        <w:instrText xml:space="preserve">PAGEREF _Toc200030542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299162DF">
      <w:pPr>
        <w:pStyle w:val="27"/>
        <w:tabs>
          <w:tab w:val="left" w:pos="1050"/>
          <w:tab w:val="right" w:leader="dot" w:pos="8823"/>
        </w:tabs>
        <w:ind w:left="422" w:hanging="422"/>
        <w:rPr>
          <w:rFonts w:asciiTheme="minorHAnsi" w:hAnsiTheme="minorHAnsi" w:eastAsiaTheme="minorEastAsia" w:cstheme="minorBidi"/>
          <w:b w:val="0"/>
          <w:bCs/>
          <w:caps w:val="0"/>
          <w:kern w:val="2"/>
          <w:sz w:val="22"/>
          <w:szCs w:val="24"/>
          <w14:ligatures w14:val="standardContextual"/>
        </w:rPr>
      </w:pPr>
      <w:r>
        <w:fldChar w:fldCharType="begin"/>
      </w:r>
      <w:r>
        <w:instrText xml:space="preserve"> HYPERLINK \l "_Toc200030543" </w:instrText>
      </w:r>
      <w:r>
        <w:fldChar w:fldCharType="separate"/>
      </w:r>
      <w:r>
        <w:rPr>
          <w:rFonts w:hint="eastAsia" w:ascii="黑体" w:hAnsi="黑体"/>
        </w:rPr>
        <w:t>第五节</w:t>
      </w:r>
      <w:r>
        <w:rPr>
          <w:rFonts w:hint="eastAsia" w:asciiTheme="minorHAnsi" w:hAnsiTheme="minorHAnsi" w:eastAsiaTheme="minorEastAsia" w:cstheme="minorBidi"/>
          <w:b w:val="0"/>
          <w:caps w:val="0"/>
          <w:kern w:val="2"/>
          <w:sz w:val="22"/>
          <w:szCs w:val="24"/>
          <w14:ligatures w14:val="standardContextual"/>
        </w:rPr>
        <w:tab/>
      </w:r>
      <w:r>
        <w:rPr>
          <w:rFonts w:hint="eastAsia" w:ascii="黑体" w:hAnsi="黑体"/>
        </w:rPr>
        <w:t>重要事项</w:t>
      </w:r>
      <w:r>
        <w:rPr>
          <w:rFonts w:hint="eastAsia"/>
        </w:rPr>
        <w:tab/>
      </w:r>
      <w:r>
        <w:rPr>
          <w:rFonts w:hint="eastAsia"/>
        </w:rPr>
        <w:fldChar w:fldCharType="begin"/>
      </w:r>
      <w:r>
        <w:rPr>
          <w:rFonts w:hint="eastAsia"/>
        </w:rPr>
        <w:instrText xml:space="preserve"> </w:instrText>
      </w:r>
      <w:r>
        <w:instrText xml:space="preserve">PAGEREF _Toc200030543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3C7786F3">
      <w:pPr>
        <w:pStyle w:val="27"/>
        <w:tabs>
          <w:tab w:val="left" w:pos="1050"/>
          <w:tab w:val="right" w:leader="dot" w:pos="8823"/>
        </w:tabs>
        <w:ind w:left="422" w:hanging="422"/>
        <w:rPr>
          <w:rFonts w:asciiTheme="minorHAnsi" w:hAnsiTheme="minorHAnsi" w:eastAsiaTheme="minorEastAsia" w:cstheme="minorBidi"/>
          <w:b w:val="0"/>
          <w:bCs/>
          <w:caps w:val="0"/>
          <w:kern w:val="2"/>
          <w:sz w:val="22"/>
          <w:szCs w:val="24"/>
          <w14:ligatures w14:val="standardContextual"/>
        </w:rPr>
      </w:pPr>
      <w:r>
        <w:fldChar w:fldCharType="begin"/>
      </w:r>
      <w:r>
        <w:instrText xml:space="preserve"> HYPERLINK \l "_Toc200030544" </w:instrText>
      </w:r>
      <w:r>
        <w:fldChar w:fldCharType="separate"/>
      </w:r>
      <w:r>
        <w:rPr>
          <w:rFonts w:hint="eastAsia" w:ascii="黑体" w:hAnsi="黑体"/>
        </w:rPr>
        <w:t>第六节</w:t>
      </w:r>
      <w:r>
        <w:rPr>
          <w:rFonts w:hint="eastAsia" w:asciiTheme="minorHAnsi" w:hAnsiTheme="minorHAnsi" w:eastAsiaTheme="minorEastAsia" w:cstheme="minorBidi"/>
          <w:b w:val="0"/>
          <w:caps w:val="0"/>
          <w:kern w:val="2"/>
          <w:sz w:val="22"/>
          <w:szCs w:val="24"/>
          <w14:ligatures w14:val="standardContextual"/>
        </w:rPr>
        <w:tab/>
      </w:r>
      <w:r>
        <w:rPr>
          <w:rFonts w:hint="eastAsia" w:ascii="黑体" w:hAnsi="黑体"/>
        </w:rPr>
        <w:t>股份变动及股东情况</w:t>
      </w:r>
      <w:r>
        <w:rPr>
          <w:rFonts w:hint="eastAsia"/>
        </w:rPr>
        <w:tab/>
      </w:r>
      <w:r>
        <w:rPr>
          <w:rFonts w:hint="eastAsia"/>
        </w:rPr>
        <w:fldChar w:fldCharType="begin"/>
      </w:r>
      <w:r>
        <w:rPr>
          <w:rFonts w:hint="eastAsia"/>
        </w:rPr>
        <w:instrText xml:space="preserve"> </w:instrText>
      </w:r>
      <w:r>
        <w:instrText xml:space="preserve">PAGEREF _Toc200030544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70392EBA">
      <w:pPr>
        <w:pStyle w:val="27"/>
        <w:tabs>
          <w:tab w:val="left" w:pos="1050"/>
          <w:tab w:val="right" w:leader="dot" w:pos="8823"/>
        </w:tabs>
        <w:ind w:left="422" w:hanging="422"/>
        <w:rPr>
          <w:rFonts w:asciiTheme="minorHAnsi" w:hAnsiTheme="minorHAnsi" w:eastAsiaTheme="minorEastAsia" w:cstheme="minorBidi"/>
          <w:b w:val="0"/>
          <w:bCs/>
          <w:caps w:val="0"/>
          <w:kern w:val="2"/>
          <w:sz w:val="22"/>
          <w:szCs w:val="24"/>
          <w14:ligatures w14:val="standardContextual"/>
        </w:rPr>
      </w:pPr>
      <w:r>
        <w:fldChar w:fldCharType="begin"/>
      </w:r>
      <w:r>
        <w:instrText xml:space="preserve"> HYPERLINK \l "_Toc200030545" </w:instrText>
      </w:r>
      <w:r>
        <w:fldChar w:fldCharType="separate"/>
      </w:r>
      <w:r>
        <w:rPr>
          <w:rFonts w:hint="eastAsia" w:ascii="黑体" w:hAnsi="黑体"/>
        </w:rPr>
        <w:t>第七节</w:t>
      </w:r>
      <w:r>
        <w:rPr>
          <w:rFonts w:hint="eastAsia" w:asciiTheme="minorHAnsi" w:hAnsiTheme="minorHAnsi" w:eastAsiaTheme="minorEastAsia" w:cstheme="minorBidi"/>
          <w:b w:val="0"/>
          <w:caps w:val="0"/>
          <w:kern w:val="2"/>
          <w:sz w:val="22"/>
          <w:szCs w:val="24"/>
          <w14:ligatures w14:val="standardContextual"/>
        </w:rPr>
        <w:tab/>
      </w:r>
      <w:r>
        <w:rPr>
          <w:rFonts w:hint="eastAsia" w:ascii="黑体" w:hAnsi="黑体"/>
        </w:rPr>
        <w:t>债券相关情况</w:t>
      </w:r>
      <w:r>
        <w:rPr>
          <w:rFonts w:hint="eastAsia"/>
        </w:rPr>
        <w:tab/>
      </w:r>
      <w:r>
        <w:rPr>
          <w:rFonts w:hint="eastAsia"/>
        </w:rPr>
        <w:fldChar w:fldCharType="begin"/>
      </w:r>
      <w:r>
        <w:rPr>
          <w:rFonts w:hint="eastAsia"/>
        </w:rPr>
        <w:instrText xml:space="preserve"> </w:instrText>
      </w:r>
      <w:r>
        <w:instrText xml:space="preserve">PAGEREF _Toc200030545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5CCFFE4A">
      <w:pPr>
        <w:pStyle w:val="27"/>
        <w:tabs>
          <w:tab w:val="left" w:pos="1050"/>
          <w:tab w:val="right" w:leader="dot" w:pos="8823"/>
        </w:tabs>
        <w:ind w:left="422" w:hanging="422"/>
        <w:rPr>
          <w:rFonts w:asciiTheme="minorHAnsi" w:hAnsiTheme="minorHAnsi" w:eastAsiaTheme="minorEastAsia" w:cstheme="minorBidi"/>
          <w:b w:val="0"/>
          <w:bCs/>
          <w:caps w:val="0"/>
          <w:kern w:val="2"/>
          <w:sz w:val="22"/>
          <w:szCs w:val="24"/>
          <w14:ligatures w14:val="standardContextual"/>
        </w:rPr>
      </w:pPr>
      <w:r>
        <w:fldChar w:fldCharType="begin"/>
      </w:r>
      <w:r>
        <w:instrText xml:space="preserve"> HYPERLINK \l "_Toc200030546" </w:instrText>
      </w:r>
      <w:r>
        <w:fldChar w:fldCharType="separate"/>
      </w:r>
      <w:r>
        <w:rPr>
          <w:rFonts w:hint="eastAsia" w:ascii="黑体" w:hAnsi="黑体"/>
        </w:rPr>
        <w:t>第八节</w:t>
      </w:r>
      <w:r>
        <w:rPr>
          <w:rFonts w:hint="eastAsia" w:asciiTheme="minorHAnsi" w:hAnsiTheme="minorHAnsi" w:eastAsiaTheme="minorEastAsia" w:cstheme="minorBidi"/>
          <w:b w:val="0"/>
          <w:caps w:val="0"/>
          <w:kern w:val="2"/>
          <w:sz w:val="22"/>
          <w:szCs w:val="24"/>
          <w14:ligatures w14:val="standardContextual"/>
        </w:rPr>
        <w:tab/>
      </w:r>
      <w:r>
        <w:rPr>
          <w:rFonts w:hint="eastAsia" w:ascii="黑体" w:hAnsi="黑体"/>
        </w:rPr>
        <w:t>财务报告</w:t>
      </w:r>
      <w:r>
        <w:rPr>
          <w:rFonts w:hint="eastAsia"/>
        </w:rPr>
        <w:tab/>
      </w:r>
      <w:r>
        <w:rPr>
          <w:rFonts w:hint="eastAsia"/>
        </w:rPr>
        <w:fldChar w:fldCharType="begin"/>
      </w:r>
      <w:r>
        <w:rPr>
          <w:rFonts w:hint="eastAsia"/>
        </w:rPr>
        <w:instrText xml:space="preserve"> </w:instrText>
      </w:r>
      <w:r>
        <w:instrText xml:space="preserve">PAGEREF _Toc200030546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430FE07B">
      <w:pPr>
        <w:kinsoku w:val="0"/>
        <w:overflowPunct w:val="0"/>
        <w:autoSpaceDE w:val="0"/>
        <w:autoSpaceDN w:val="0"/>
        <w:adjustRightInd w:val="0"/>
        <w:snapToGrid w:val="0"/>
        <w:spacing w:line="360" w:lineRule="auto"/>
        <w:jc w:val="center"/>
        <w:rPr>
          <w:color w:val="000000" w:themeColor="text1"/>
          <w:shd w:val="pct15" w:color="auto" w:fill="FFFFFF"/>
          <w14:textFill>
            <w14:solidFill>
              <w14:schemeClr w14:val="tx1"/>
            </w14:solidFill>
          </w14:textFill>
        </w:rPr>
      </w:pPr>
      <w:r>
        <w:rPr>
          <w:color w:val="000000" w:themeColor="text1"/>
          <w:shd w:val="pct15" w:color="auto" w:fill="FFFFFF"/>
          <w14:textFill>
            <w14:solidFill>
              <w14:schemeClr w14:val="tx1"/>
            </w14:solidFill>
          </w14:textFill>
        </w:rPr>
        <w:fldChar w:fldCharType="end"/>
      </w:r>
    </w:p>
    <w:p w14:paraId="6C365813">
      <w:pPr>
        <w:spacing w:line="360" w:lineRule="exact"/>
        <w:ind w:right="5"/>
        <w:rPr>
          <w:b/>
          <w:bCs/>
          <w:color w:val="000000" w:themeColor="text1"/>
          <w:sz w:val="24"/>
          <w14:textFill>
            <w14:solidFill>
              <w14:schemeClr w14:val="tx1"/>
            </w14:solidFill>
          </w14:textFill>
        </w:rPr>
      </w:pPr>
      <w:bookmarkStart w:id="4" w:name="_Hlk76111741"/>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294"/>
        <w:gridCol w:w="6599"/>
      </w:tblGrid>
      <w:sdt>
        <w:sdtPr>
          <w:rPr>
            <w:color w:val="000000" w:themeColor="text1"/>
            <w14:textFill>
              <w14:solidFill>
                <w14:schemeClr w14:val="tx1"/>
              </w14:solidFill>
            </w14:textFill>
          </w:rPr>
          <w:alias w:val="备查文件情况"/>
          <w:tag w:val="_TUP_d1defbbd2758417a8ea21948dd35feef"/>
          <w:id w:val="-935287178"/>
          <w:placeholder>
            <w:docPart w:val="GBC11111111111111111111111111111"/>
          </w:placeholder>
        </w:sdtPr>
        <w:sdtEndPr>
          <w:rPr>
            <w:color w:val="000000" w:themeColor="text1"/>
            <w14:textFill>
              <w14:solidFill>
                <w14:schemeClr w14:val="tx1"/>
              </w14:solidFill>
            </w14:textFill>
          </w:rPr>
        </w:sdtEndPr>
        <w:sdtContent>
          <w:tr w14:paraId="5341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restart"/>
                <w:tcBorders>
                  <w:top w:val="single" w:color="auto" w:sz="4" w:space="0"/>
                  <w:left w:val="single" w:color="auto" w:sz="4" w:space="0"/>
                  <w:bottom w:val="single" w:color="auto" w:sz="4" w:space="0"/>
                  <w:right w:val="single" w:color="auto" w:sz="4" w:space="0"/>
                </w:tcBorders>
                <w:vAlign w:val="center"/>
              </w:tcPr>
              <w:sdt>
                <w:sdtPr>
                  <w:tag w:val="_PLD_4dedc5664132424db8ffece735208815"/>
                  <w:id w:val="-691986534"/>
                </w:sdtPr>
                <w:sdtContent>
                  <w:p w14:paraId="42F23A59">
                    <w:pPr>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备查文件目录</w:t>
                    </w:r>
                  </w:p>
                </w:sdtContent>
              </w:sdt>
            </w:tc>
            <w:sdt>
              <w:sdtPr>
                <w:rPr>
                  <w:color w:val="000000" w:themeColor="text1"/>
                  <w14:textFill>
                    <w14:solidFill>
                      <w14:schemeClr w14:val="tx1"/>
                    </w14:solidFill>
                  </w14:textFill>
                </w:rPr>
                <w:alias w:val="备查文件目录"/>
                <w:tag w:val="_GBC_b75b724a20654c669c9ce009a20dc247"/>
                <w:id w:val="-1690984173"/>
              </w:sdtPr>
              <w:sdtEndPr>
                <w:rPr>
                  <w:color w:val="000000" w:themeColor="text1"/>
                  <w14:textFill>
                    <w14:solidFill>
                      <w14:schemeClr w14:val="tx1"/>
                    </w14:solidFill>
                  </w14:textFill>
                </w:rPr>
              </w:sdtEndPr>
              <w:sdtContent>
                <w:tc>
                  <w:tcPr>
                    <w:tcW w:w="3710" w:type="pct"/>
                    <w:tcBorders>
                      <w:top w:val="single" w:color="auto" w:sz="4" w:space="0"/>
                      <w:left w:val="single" w:color="auto" w:sz="4" w:space="0"/>
                      <w:bottom w:val="single" w:color="auto" w:sz="4" w:space="0"/>
                      <w:right w:val="single" w:color="auto" w:sz="4" w:space="0"/>
                    </w:tcBorders>
                  </w:tcPr>
                  <w:p w14:paraId="52DF6455">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（一）经公司法定代表人签名和公司盖章的半年度报告文本</w:t>
                    </w:r>
                  </w:p>
                </w:tc>
              </w:sdtContent>
            </w:sdt>
          </w:tr>
        </w:sdtContent>
      </w:sdt>
      <w:tr w14:paraId="0EFF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14:paraId="7E673BC9"/>
        </w:tc>
        <w:tc>
          <w:tcPr>
            <w:tcW w:w="3710" w:type="pct"/>
            <w:tcBorders>
              <w:top w:val="single" w:color="auto" w:sz="4" w:space="0"/>
              <w:left w:val="single" w:color="auto" w:sz="4" w:space="0"/>
              <w:bottom w:val="single" w:color="auto" w:sz="4" w:space="0"/>
              <w:right w:val="single" w:color="auto" w:sz="4" w:space="0"/>
            </w:tcBorders>
          </w:tcPr>
          <w:p w14:paraId="3C7D4AF9">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（二）载有公司负责人、主管会计工作负责人、会计机构负责人（会计主管人员）签名并盖章的财务报表。</w:t>
            </w:r>
          </w:p>
        </w:tc>
      </w:tr>
      <w:tr w14:paraId="602F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14:paraId="16CB4F9A"/>
        </w:tc>
        <w:tc>
          <w:tcPr>
            <w:tcW w:w="3710" w:type="pct"/>
            <w:tcBorders>
              <w:top w:val="single" w:color="auto" w:sz="4" w:space="0"/>
              <w:left w:val="single" w:color="auto" w:sz="4" w:space="0"/>
              <w:bottom w:val="single" w:color="auto" w:sz="4" w:space="0"/>
              <w:right w:val="single" w:color="auto" w:sz="4" w:space="0"/>
            </w:tcBorders>
          </w:tcPr>
          <w:p w14:paraId="776F7998">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（三）报告期内在上海证券交易所网站和《上海证券报》《中国证券报》《证券时报》《证券日报》上公开披露过的所有公司文件的正本及公告的原稿。</w:t>
            </w:r>
          </w:p>
        </w:tc>
      </w:tr>
    </w:tbl>
    <w:p w14:paraId="6F926A96">
      <w:pPr>
        <w:spacing w:line="360" w:lineRule="exact"/>
        <w:jc w:val="right"/>
        <w:rPr>
          <w:color w:val="000000" w:themeColor="text1"/>
          <w14:textFill>
            <w14:solidFill>
              <w14:schemeClr w14:val="tx1"/>
            </w14:solidFill>
          </w14:textFill>
        </w:rPr>
      </w:pPr>
    </w:p>
    <w:bookmarkEnd w:id="4"/>
    <w:p w14:paraId="4F2A5FCB">
      <w:pPr>
        <w:kinsoku w:val="0"/>
        <w:overflowPunct w:val="0"/>
        <w:autoSpaceDE w:val="0"/>
        <w:autoSpaceDN w:val="0"/>
        <w:adjustRightInd w:val="0"/>
        <w:snapToGrid w:val="0"/>
        <w:spacing w:line="360" w:lineRule="exact"/>
        <w:rPr>
          <w:color w:val="000000" w:themeColor="text1"/>
          <w:shd w:val="pct15" w:color="auto" w:fill="FFFFFF"/>
          <w14:textFill>
            <w14:solidFill>
              <w14:schemeClr w14:val="tx1"/>
            </w14:solidFill>
          </w14:textFill>
        </w:rPr>
      </w:pPr>
    </w:p>
    <w:p w14:paraId="48E8D4F8">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6812830E">
      <w:pPr>
        <w:pStyle w:val="2"/>
        <w:numPr>
          <w:ilvl w:val="0"/>
          <w:numId w:val="3"/>
        </w:numPr>
        <w:rPr>
          <w:rFonts w:ascii="黑体" w:hAnsi="黑体"/>
          <w:color w:val="000000" w:themeColor="text1"/>
          <w14:textFill>
            <w14:solidFill>
              <w14:schemeClr w14:val="tx1"/>
            </w14:solidFill>
          </w14:textFill>
        </w:rPr>
      </w:pPr>
      <w:bookmarkStart w:id="5" w:name="_Toc200030539"/>
      <w:bookmarkStart w:id="6" w:name="_Toc76114272"/>
      <w:bookmarkStart w:id="7" w:name="_Toc342565880"/>
      <w:r>
        <w:rPr>
          <w:rFonts w:hint="eastAsia" w:ascii="黑体" w:hAnsi="黑体"/>
          <w:color w:val="000000" w:themeColor="text1"/>
          <w14:textFill>
            <w14:solidFill>
              <w14:schemeClr w14:val="tx1"/>
            </w14:solidFill>
          </w14:textFill>
        </w:rPr>
        <w:t>释义</w:t>
      </w:r>
    </w:p>
    <w:bookmarkEnd w:id="5"/>
    <w:bookmarkEnd w:id="6"/>
    <w:p w14:paraId="06877441">
      <w:pPr>
        <w:rPr>
          <w:color w:val="000000" w:themeColor="text1"/>
          <w14:textFill>
            <w14:solidFill>
              <w14:schemeClr w14:val="tx1"/>
            </w14:solidFill>
          </w14:textFill>
        </w:rPr>
      </w:pPr>
      <w:r>
        <w:rPr>
          <w:color w:val="000000" w:themeColor="text1"/>
          <w14:textFill>
            <w14:solidFill>
              <w14:schemeClr w14:val="tx1"/>
            </w14:solidFill>
          </w14:textFill>
        </w:rPr>
        <w:t>在本报告书中，除非文义另有所指，下列词语具有如下含义：</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3"/>
        <w:gridCol w:w="767"/>
        <w:gridCol w:w="5113"/>
      </w:tblGrid>
      <w:tr w14:paraId="74D07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sdt>
          <w:sdtPr>
            <w:tag w:val="_PLD_d73bff14187b49a1b1c86b56316c5e47"/>
            <w:id w:val="1814290043"/>
          </w:sdtPr>
          <w:sdtContent>
            <w:tc>
              <w:tcPr>
                <w:tcW w:w="8823" w:type="dxa"/>
                <w:gridSpan w:val="3"/>
                <w:vAlign w:val="center"/>
              </w:tcPr>
              <w:p w14:paraId="5D9A4DF1">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常用词语释义</w:t>
                </w:r>
              </w:p>
            </w:tc>
          </w:sdtContent>
        </w:sdt>
      </w:tr>
      <w:tr w14:paraId="6A34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285D417B">
            <w:pPr>
              <w:widowControl w:val="0"/>
              <w:jc w:val="both"/>
            </w:pPr>
            <w:r>
              <w:t>中国证监会</w:t>
            </w:r>
          </w:p>
        </w:tc>
        <w:tc>
          <w:tcPr>
            <w:tcW w:w="767" w:type="dxa"/>
            <w:vAlign w:val="center"/>
          </w:tcPr>
          <w:p w14:paraId="414AF79B">
            <w:pPr>
              <w:widowControl w:val="0"/>
              <w:jc w:val="center"/>
              <w:rPr>
                <w:highlight w:val="lightGray"/>
              </w:rPr>
            </w:pPr>
            <w:r>
              <w:rPr>
                <w:rFonts w:hint="eastAsia"/>
              </w:rPr>
              <w:t>指</w:t>
            </w:r>
          </w:p>
        </w:tc>
        <w:tc>
          <w:tcPr>
            <w:tcW w:w="5113" w:type="dxa"/>
            <w:vAlign w:val="center"/>
          </w:tcPr>
          <w:p w14:paraId="2A9F6DED">
            <w:pPr>
              <w:widowControl w:val="0"/>
              <w:jc w:val="both"/>
            </w:pPr>
            <w:r>
              <w:rPr>
                <w:rFonts w:hint="eastAsia"/>
              </w:rPr>
              <w:t>中国证券监督管理委员会</w:t>
            </w:r>
          </w:p>
        </w:tc>
      </w:tr>
      <w:tr w14:paraId="253C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5559DDB5">
            <w:pPr>
              <w:widowControl w:val="0"/>
              <w:jc w:val="both"/>
            </w:pPr>
            <w:r>
              <w:t>公司、本公司、千里科技</w:t>
            </w:r>
          </w:p>
        </w:tc>
        <w:tc>
          <w:tcPr>
            <w:tcW w:w="767" w:type="dxa"/>
            <w:vAlign w:val="center"/>
          </w:tcPr>
          <w:p w14:paraId="530A4979">
            <w:pPr>
              <w:widowControl w:val="0"/>
              <w:jc w:val="center"/>
              <w:rPr>
                <w:highlight w:val="lightGray"/>
              </w:rPr>
            </w:pPr>
            <w:r>
              <w:rPr>
                <w:rFonts w:hint="eastAsia"/>
              </w:rPr>
              <w:t>指</w:t>
            </w:r>
          </w:p>
        </w:tc>
        <w:tc>
          <w:tcPr>
            <w:tcW w:w="5113" w:type="dxa"/>
            <w:vAlign w:val="center"/>
          </w:tcPr>
          <w:p w14:paraId="17F1FCE3">
            <w:pPr>
              <w:widowControl w:val="0"/>
              <w:jc w:val="both"/>
            </w:pPr>
            <w:r>
              <w:rPr>
                <w:rFonts w:hint="eastAsia"/>
              </w:rPr>
              <w:t>重庆千里科技股份有限公司（曾用名：力帆科技（集团）股份有限公司）</w:t>
            </w:r>
          </w:p>
        </w:tc>
      </w:tr>
      <w:tr w14:paraId="65F4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07D87B3C">
            <w:pPr>
              <w:widowControl w:val="0"/>
              <w:jc w:val="both"/>
            </w:pPr>
            <w:r>
              <w:t>控股股东、满江红基金</w:t>
            </w:r>
          </w:p>
        </w:tc>
        <w:tc>
          <w:tcPr>
            <w:tcW w:w="767" w:type="dxa"/>
            <w:vAlign w:val="center"/>
          </w:tcPr>
          <w:p w14:paraId="79748BFA">
            <w:pPr>
              <w:widowControl w:val="0"/>
              <w:jc w:val="center"/>
            </w:pPr>
            <w:r>
              <w:t>指</w:t>
            </w:r>
          </w:p>
        </w:tc>
        <w:tc>
          <w:tcPr>
            <w:tcW w:w="5113" w:type="dxa"/>
            <w:vAlign w:val="center"/>
          </w:tcPr>
          <w:p w14:paraId="428C6FF7">
            <w:pPr>
              <w:widowControl w:val="0"/>
              <w:jc w:val="both"/>
            </w:pPr>
            <w:r>
              <w:t>重庆满江红私募股权投资基金合伙企业（有限合伙）</w:t>
            </w:r>
          </w:p>
        </w:tc>
      </w:tr>
      <w:tr w14:paraId="3C33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387F1405">
            <w:pPr>
              <w:widowControl w:val="0"/>
              <w:jc w:val="both"/>
            </w:pPr>
            <w:r>
              <w:t>实际控制人</w:t>
            </w:r>
          </w:p>
        </w:tc>
        <w:tc>
          <w:tcPr>
            <w:tcW w:w="767" w:type="dxa"/>
            <w:vAlign w:val="center"/>
          </w:tcPr>
          <w:p w14:paraId="472D7B0A">
            <w:pPr>
              <w:widowControl w:val="0"/>
              <w:jc w:val="center"/>
            </w:pPr>
            <w:r>
              <w:t>指</w:t>
            </w:r>
          </w:p>
        </w:tc>
        <w:tc>
          <w:tcPr>
            <w:tcW w:w="5113" w:type="dxa"/>
            <w:vAlign w:val="center"/>
          </w:tcPr>
          <w:p w14:paraId="3A7C8B4D">
            <w:pPr>
              <w:widowControl w:val="0"/>
              <w:jc w:val="both"/>
            </w:pPr>
            <w:r>
              <w:t>重庆满江红企业管理有限公司</w:t>
            </w:r>
          </w:p>
        </w:tc>
      </w:tr>
      <w:tr w14:paraId="18D1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2CAC5830">
            <w:pPr>
              <w:widowControl w:val="0"/>
              <w:jc w:val="both"/>
            </w:pPr>
            <w:r>
              <w:t>重庆江河汇</w:t>
            </w:r>
          </w:p>
        </w:tc>
        <w:tc>
          <w:tcPr>
            <w:tcW w:w="767" w:type="dxa"/>
            <w:vAlign w:val="center"/>
          </w:tcPr>
          <w:p w14:paraId="406A7349">
            <w:pPr>
              <w:widowControl w:val="0"/>
              <w:jc w:val="center"/>
            </w:pPr>
            <w:r>
              <w:t>指</w:t>
            </w:r>
          </w:p>
        </w:tc>
        <w:tc>
          <w:tcPr>
            <w:tcW w:w="5113" w:type="dxa"/>
            <w:vAlign w:val="center"/>
          </w:tcPr>
          <w:p w14:paraId="48833C23">
            <w:pPr>
              <w:widowControl w:val="0"/>
              <w:jc w:val="both"/>
            </w:pPr>
            <w:r>
              <w:t>重庆江河汇企业管理有限责任公司</w:t>
            </w:r>
          </w:p>
        </w:tc>
      </w:tr>
      <w:tr w14:paraId="47583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667DE085">
            <w:pPr>
              <w:widowControl w:val="0"/>
              <w:jc w:val="both"/>
            </w:pPr>
            <w:r>
              <w:t>《公司法》</w:t>
            </w:r>
          </w:p>
        </w:tc>
        <w:tc>
          <w:tcPr>
            <w:tcW w:w="767" w:type="dxa"/>
            <w:vAlign w:val="center"/>
          </w:tcPr>
          <w:p w14:paraId="113C5305">
            <w:pPr>
              <w:widowControl w:val="0"/>
              <w:jc w:val="center"/>
            </w:pPr>
            <w:r>
              <w:t>指</w:t>
            </w:r>
          </w:p>
        </w:tc>
        <w:tc>
          <w:tcPr>
            <w:tcW w:w="5113" w:type="dxa"/>
            <w:vAlign w:val="center"/>
          </w:tcPr>
          <w:p w14:paraId="5D74F0D1">
            <w:pPr>
              <w:widowControl w:val="0"/>
              <w:jc w:val="both"/>
            </w:pPr>
            <w:r>
              <w:t>《中华人民共和国公司法》</w:t>
            </w:r>
          </w:p>
        </w:tc>
      </w:tr>
      <w:tr w14:paraId="20E8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3D66D0E0">
            <w:pPr>
              <w:widowControl w:val="0"/>
              <w:jc w:val="both"/>
            </w:pPr>
            <w:r>
              <w:t>《证券法》</w:t>
            </w:r>
          </w:p>
        </w:tc>
        <w:tc>
          <w:tcPr>
            <w:tcW w:w="767" w:type="dxa"/>
            <w:vAlign w:val="center"/>
          </w:tcPr>
          <w:p w14:paraId="4DA9A649">
            <w:pPr>
              <w:widowControl w:val="0"/>
              <w:jc w:val="center"/>
            </w:pPr>
            <w:r>
              <w:t>指</w:t>
            </w:r>
          </w:p>
        </w:tc>
        <w:tc>
          <w:tcPr>
            <w:tcW w:w="5113" w:type="dxa"/>
            <w:vAlign w:val="center"/>
          </w:tcPr>
          <w:p w14:paraId="251D7BBE">
            <w:pPr>
              <w:widowControl w:val="0"/>
              <w:jc w:val="both"/>
            </w:pPr>
            <w:r>
              <w:t>《中华人民共和国证券法》</w:t>
            </w:r>
          </w:p>
        </w:tc>
      </w:tr>
      <w:tr w14:paraId="72F6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451A32F5">
            <w:pPr>
              <w:widowControl w:val="0"/>
              <w:jc w:val="both"/>
            </w:pPr>
            <w:r>
              <w:t>《公司章程》</w:t>
            </w:r>
          </w:p>
        </w:tc>
        <w:tc>
          <w:tcPr>
            <w:tcW w:w="767" w:type="dxa"/>
            <w:vAlign w:val="center"/>
          </w:tcPr>
          <w:p w14:paraId="6A8E47FE">
            <w:pPr>
              <w:widowControl w:val="0"/>
              <w:jc w:val="center"/>
            </w:pPr>
            <w:r>
              <w:t>指</w:t>
            </w:r>
          </w:p>
        </w:tc>
        <w:tc>
          <w:tcPr>
            <w:tcW w:w="5113" w:type="dxa"/>
            <w:vAlign w:val="center"/>
          </w:tcPr>
          <w:p w14:paraId="31DC4A2F">
            <w:pPr>
              <w:widowControl w:val="0"/>
              <w:jc w:val="both"/>
            </w:pPr>
            <w:r>
              <w:t>《重庆千里科技股份有限公司章程》</w:t>
            </w:r>
          </w:p>
        </w:tc>
      </w:tr>
      <w:tr w14:paraId="0F28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4D1D6E7D">
            <w:pPr>
              <w:widowControl w:val="0"/>
              <w:jc w:val="both"/>
            </w:pPr>
            <w:r>
              <w:t>睿蓝科技、睿蓝汽车</w:t>
            </w:r>
          </w:p>
        </w:tc>
        <w:tc>
          <w:tcPr>
            <w:tcW w:w="767" w:type="dxa"/>
            <w:vAlign w:val="center"/>
          </w:tcPr>
          <w:p w14:paraId="6D18DCD1">
            <w:pPr>
              <w:widowControl w:val="0"/>
              <w:jc w:val="center"/>
            </w:pPr>
            <w:r>
              <w:t>指</w:t>
            </w:r>
          </w:p>
        </w:tc>
        <w:tc>
          <w:tcPr>
            <w:tcW w:w="5113" w:type="dxa"/>
            <w:vAlign w:val="center"/>
          </w:tcPr>
          <w:p w14:paraId="4E6AB80F">
            <w:pPr>
              <w:widowControl w:val="0"/>
              <w:jc w:val="both"/>
            </w:pPr>
            <w:r>
              <w:t>重庆睿蓝汽车科技有限公司</w:t>
            </w:r>
          </w:p>
        </w:tc>
      </w:tr>
      <w:tr w14:paraId="577D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0E0DF935">
            <w:pPr>
              <w:widowControl w:val="0"/>
              <w:jc w:val="both"/>
            </w:pPr>
            <w:r>
              <w:t>睿蓝研究院</w:t>
            </w:r>
          </w:p>
        </w:tc>
        <w:tc>
          <w:tcPr>
            <w:tcW w:w="767" w:type="dxa"/>
            <w:vAlign w:val="center"/>
          </w:tcPr>
          <w:p w14:paraId="39B0A7C2">
            <w:pPr>
              <w:widowControl w:val="0"/>
              <w:jc w:val="center"/>
            </w:pPr>
            <w:r>
              <w:t>指</w:t>
            </w:r>
          </w:p>
        </w:tc>
        <w:tc>
          <w:tcPr>
            <w:tcW w:w="5113" w:type="dxa"/>
            <w:vAlign w:val="center"/>
          </w:tcPr>
          <w:p w14:paraId="4FE6CE2E">
            <w:pPr>
              <w:widowControl w:val="0"/>
              <w:jc w:val="both"/>
            </w:pPr>
            <w:r>
              <w:t>重庆睿蓝汽车研究院有限公司</w:t>
            </w:r>
          </w:p>
        </w:tc>
      </w:tr>
      <w:tr w14:paraId="01EC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5CADEEC5">
            <w:pPr>
              <w:widowControl w:val="0"/>
              <w:jc w:val="both"/>
            </w:pPr>
            <w:r>
              <w:t>睿蓝制造</w:t>
            </w:r>
          </w:p>
        </w:tc>
        <w:tc>
          <w:tcPr>
            <w:tcW w:w="767" w:type="dxa"/>
            <w:vAlign w:val="center"/>
          </w:tcPr>
          <w:p w14:paraId="4A90D73C">
            <w:pPr>
              <w:widowControl w:val="0"/>
              <w:jc w:val="center"/>
            </w:pPr>
            <w:r>
              <w:t>指</w:t>
            </w:r>
          </w:p>
        </w:tc>
        <w:tc>
          <w:tcPr>
            <w:tcW w:w="5113" w:type="dxa"/>
            <w:vAlign w:val="center"/>
          </w:tcPr>
          <w:p w14:paraId="127E9F73">
            <w:pPr>
              <w:widowControl w:val="0"/>
              <w:jc w:val="both"/>
            </w:pPr>
            <w:r>
              <w:t>重庆睿蓝汽车制造有限公司</w:t>
            </w:r>
          </w:p>
        </w:tc>
      </w:tr>
      <w:tr w14:paraId="701B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79A83D5D">
            <w:pPr>
              <w:widowControl w:val="0"/>
              <w:jc w:val="both"/>
            </w:pPr>
            <w:r>
              <w:rPr>
                <w:rFonts w:hint="eastAsia"/>
              </w:rPr>
              <w:t>千里智驾</w:t>
            </w:r>
          </w:p>
        </w:tc>
        <w:tc>
          <w:tcPr>
            <w:tcW w:w="767" w:type="dxa"/>
            <w:vAlign w:val="center"/>
          </w:tcPr>
          <w:p w14:paraId="46470043">
            <w:pPr>
              <w:widowControl w:val="0"/>
              <w:jc w:val="center"/>
            </w:pPr>
            <w:r>
              <w:rPr>
                <w:rFonts w:hint="eastAsia"/>
              </w:rPr>
              <w:t>指</w:t>
            </w:r>
          </w:p>
        </w:tc>
        <w:tc>
          <w:tcPr>
            <w:tcW w:w="5113" w:type="dxa"/>
            <w:vAlign w:val="center"/>
          </w:tcPr>
          <w:p w14:paraId="2CE1DE56">
            <w:pPr>
              <w:widowControl w:val="0"/>
              <w:jc w:val="both"/>
            </w:pPr>
            <w:r>
              <w:rPr>
                <w:rFonts w:hint="eastAsia"/>
              </w:rPr>
              <w:t>重庆千里智驾科技有限公司</w:t>
            </w:r>
          </w:p>
        </w:tc>
      </w:tr>
      <w:tr w14:paraId="56B1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43" w:type="dxa"/>
            <w:vAlign w:val="center"/>
          </w:tcPr>
          <w:p w14:paraId="0EEF5D4D">
            <w:pPr>
              <w:widowControl w:val="0"/>
              <w:jc w:val="both"/>
            </w:pPr>
            <w:r>
              <w:t>润田房地产</w:t>
            </w:r>
          </w:p>
        </w:tc>
        <w:tc>
          <w:tcPr>
            <w:tcW w:w="767" w:type="dxa"/>
            <w:vAlign w:val="center"/>
          </w:tcPr>
          <w:p w14:paraId="1B410F55">
            <w:pPr>
              <w:widowControl w:val="0"/>
              <w:jc w:val="center"/>
            </w:pPr>
            <w:r>
              <w:t>指</w:t>
            </w:r>
          </w:p>
        </w:tc>
        <w:tc>
          <w:tcPr>
            <w:tcW w:w="5113" w:type="dxa"/>
            <w:vAlign w:val="center"/>
          </w:tcPr>
          <w:p w14:paraId="19F57D7B">
            <w:pPr>
              <w:widowControl w:val="0"/>
              <w:jc w:val="both"/>
            </w:pPr>
            <w:r>
              <w:t>重庆润田房地产开发有限公司</w:t>
            </w:r>
          </w:p>
        </w:tc>
      </w:tr>
      <w:tr w14:paraId="771A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777D9994">
            <w:pPr>
              <w:widowControl w:val="0"/>
              <w:jc w:val="both"/>
            </w:pPr>
            <w:r>
              <w:t>吉利汽车集团</w:t>
            </w:r>
          </w:p>
        </w:tc>
        <w:tc>
          <w:tcPr>
            <w:tcW w:w="767" w:type="dxa"/>
            <w:vAlign w:val="center"/>
          </w:tcPr>
          <w:p w14:paraId="2FC55F48">
            <w:pPr>
              <w:widowControl w:val="0"/>
              <w:jc w:val="center"/>
            </w:pPr>
            <w:r>
              <w:t>指</w:t>
            </w:r>
          </w:p>
        </w:tc>
        <w:tc>
          <w:tcPr>
            <w:tcW w:w="5113" w:type="dxa"/>
            <w:vAlign w:val="center"/>
          </w:tcPr>
          <w:p w14:paraId="6EC1F05C">
            <w:pPr>
              <w:widowControl w:val="0"/>
              <w:jc w:val="both"/>
            </w:pPr>
            <w:r>
              <w:t>吉利汽车集团有限公司</w:t>
            </w:r>
          </w:p>
        </w:tc>
      </w:tr>
      <w:tr w14:paraId="20F0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74BACA22">
            <w:pPr>
              <w:widowControl w:val="0"/>
              <w:jc w:val="both"/>
            </w:pPr>
            <w:r>
              <w:t>吉润汽车、吉利</w:t>
            </w:r>
          </w:p>
        </w:tc>
        <w:tc>
          <w:tcPr>
            <w:tcW w:w="767" w:type="dxa"/>
            <w:vAlign w:val="center"/>
          </w:tcPr>
          <w:p w14:paraId="24477B50">
            <w:pPr>
              <w:widowControl w:val="0"/>
              <w:jc w:val="center"/>
            </w:pPr>
            <w:r>
              <w:t>指</w:t>
            </w:r>
          </w:p>
        </w:tc>
        <w:tc>
          <w:tcPr>
            <w:tcW w:w="5113" w:type="dxa"/>
            <w:vAlign w:val="center"/>
          </w:tcPr>
          <w:p w14:paraId="19EEA869">
            <w:pPr>
              <w:widowControl w:val="0"/>
              <w:jc w:val="both"/>
            </w:pPr>
            <w:r>
              <w:t>浙江吉润汽车有限公司</w:t>
            </w:r>
          </w:p>
        </w:tc>
      </w:tr>
      <w:tr w14:paraId="23C6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2AA439C3">
            <w:pPr>
              <w:widowControl w:val="0"/>
              <w:jc w:val="both"/>
            </w:pPr>
            <w:r>
              <w:t>阶跃星辰</w:t>
            </w:r>
          </w:p>
        </w:tc>
        <w:tc>
          <w:tcPr>
            <w:tcW w:w="767" w:type="dxa"/>
            <w:vAlign w:val="center"/>
          </w:tcPr>
          <w:p w14:paraId="3E8712B8">
            <w:pPr>
              <w:widowControl w:val="0"/>
              <w:jc w:val="center"/>
            </w:pPr>
            <w:r>
              <w:t>指</w:t>
            </w:r>
          </w:p>
        </w:tc>
        <w:tc>
          <w:tcPr>
            <w:tcW w:w="5113" w:type="dxa"/>
            <w:vAlign w:val="center"/>
          </w:tcPr>
          <w:p w14:paraId="5ECF235A">
            <w:pPr>
              <w:widowControl w:val="0"/>
              <w:jc w:val="both"/>
            </w:pPr>
            <w:r>
              <w:t>上海阶跃星辰智能科技有限公司</w:t>
            </w:r>
          </w:p>
        </w:tc>
      </w:tr>
      <w:tr w14:paraId="05C4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1636E60E">
            <w:pPr>
              <w:widowControl w:val="0"/>
              <w:jc w:val="both"/>
            </w:pPr>
            <w:r>
              <w:t>重庆迈驰</w:t>
            </w:r>
          </w:p>
        </w:tc>
        <w:tc>
          <w:tcPr>
            <w:tcW w:w="767" w:type="dxa"/>
            <w:vAlign w:val="center"/>
          </w:tcPr>
          <w:p w14:paraId="4B9222CE">
            <w:pPr>
              <w:widowControl w:val="0"/>
              <w:jc w:val="center"/>
            </w:pPr>
            <w:r>
              <w:t>指</w:t>
            </w:r>
          </w:p>
        </w:tc>
        <w:tc>
          <w:tcPr>
            <w:tcW w:w="5113" w:type="dxa"/>
            <w:vAlign w:val="center"/>
          </w:tcPr>
          <w:p w14:paraId="3A8BF336">
            <w:pPr>
              <w:widowControl w:val="0"/>
              <w:jc w:val="both"/>
            </w:pPr>
            <w:r>
              <w:t>迈驰智行（重庆）科技有限公司</w:t>
            </w:r>
          </w:p>
        </w:tc>
      </w:tr>
      <w:tr w14:paraId="2A2D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0ED07771">
            <w:pPr>
              <w:widowControl w:val="0"/>
              <w:jc w:val="both"/>
            </w:pPr>
            <w:r>
              <w:t>路特斯</w:t>
            </w:r>
          </w:p>
        </w:tc>
        <w:tc>
          <w:tcPr>
            <w:tcW w:w="767" w:type="dxa"/>
            <w:vAlign w:val="center"/>
          </w:tcPr>
          <w:p w14:paraId="1B8D8A67">
            <w:pPr>
              <w:widowControl w:val="0"/>
              <w:jc w:val="center"/>
            </w:pPr>
            <w:r>
              <w:t>指</w:t>
            </w:r>
          </w:p>
        </w:tc>
        <w:tc>
          <w:tcPr>
            <w:tcW w:w="5113" w:type="dxa"/>
            <w:vAlign w:val="center"/>
          </w:tcPr>
          <w:p w14:paraId="43C34D6A">
            <w:pPr>
              <w:widowControl w:val="0"/>
              <w:jc w:val="both"/>
            </w:pPr>
            <w:r>
              <w:t>宁波路特斯机器人有限公司</w:t>
            </w:r>
          </w:p>
        </w:tc>
      </w:tr>
      <w:tr w14:paraId="5DA2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007D4F55">
            <w:pPr>
              <w:widowControl w:val="0"/>
              <w:jc w:val="both"/>
            </w:pPr>
            <w:r>
              <w:t>重庆两江产业基金</w:t>
            </w:r>
          </w:p>
        </w:tc>
        <w:tc>
          <w:tcPr>
            <w:tcW w:w="767" w:type="dxa"/>
            <w:vAlign w:val="center"/>
          </w:tcPr>
          <w:p w14:paraId="7C35340C">
            <w:pPr>
              <w:widowControl w:val="0"/>
              <w:jc w:val="center"/>
            </w:pPr>
            <w:r>
              <w:t>指</w:t>
            </w:r>
          </w:p>
        </w:tc>
        <w:tc>
          <w:tcPr>
            <w:tcW w:w="5113" w:type="dxa"/>
            <w:vAlign w:val="center"/>
          </w:tcPr>
          <w:p w14:paraId="0B9AFD62">
            <w:pPr>
              <w:widowControl w:val="0"/>
              <w:jc w:val="both"/>
            </w:pPr>
            <w:r>
              <w:t>重庆两江新区高质量发展产业私募股权投资基金合伙企业（有限合伙）</w:t>
            </w:r>
          </w:p>
        </w:tc>
      </w:tr>
      <w:tr w14:paraId="5D43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65F4AE06">
            <w:pPr>
              <w:widowControl w:val="0"/>
              <w:jc w:val="both"/>
            </w:pPr>
            <w:r>
              <w:t>重庆产业母基金</w:t>
            </w:r>
          </w:p>
        </w:tc>
        <w:tc>
          <w:tcPr>
            <w:tcW w:w="767" w:type="dxa"/>
            <w:vAlign w:val="center"/>
          </w:tcPr>
          <w:p w14:paraId="397F6714">
            <w:pPr>
              <w:widowControl w:val="0"/>
              <w:jc w:val="center"/>
            </w:pPr>
            <w:r>
              <w:t>指</w:t>
            </w:r>
          </w:p>
        </w:tc>
        <w:tc>
          <w:tcPr>
            <w:tcW w:w="5113" w:type="dxa"/>
            <w:vAlign w:val="center"/>
          </w:tcPr>
          <w:p w14:paraId="19E48DD4">
            <w:pPr>
              <w:widowControl w:val="0"/>
              <w:jc w:val="both"/>
            </w:pPr>
            <w:r>
              <w:t>重庆产业投资母基金合伙企业（有限合伙）</w:t>
            </w:r>
          </w:p>
        </w:tc>
      </w:tr>
      <w:tr w14:paraId="7640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4CF88DC2">
            <w:pPr>
              <w:widowControl w:val="0"/>
              <w:jc w:val="both"/>
            </w:pPr>
            <w:r>
              <w:t>元、万元、亿元</w:t>
            </w:r>
          </w:p>
        </w:tc>
        <w:tc>
          <w:tcPr>
            <w:tcW w:w="767" w:type="dxa"/>
            <w:vAlign w:val="center"/>
          </w:tcPr>
          <w:p w14:paraId="506989C3">
            <w:pPr>
              <w:widowControl w:val="0"/>
              <w:jc w:val="center"/>
            </w:pPr>
            <w:r>
              <w:t>指</w:t>
            </w:r>
          </w:p>
        </w:tc>
        <w:tc>
          <w:tcPr>
            <w:tcW w:w="5113" w:type="dxa"/>
            <w:vAlign w:val="center"/>
          </w:tcPr>
          <w:p w14:paraId="713B86BF">
            <w:pPr>
              <w:widowControl w:val="0"/>
              <w:jc w:val="both"/>
            </w:pPr>
            <w:r>
              <w:t>人民币元、人民币万元、人民币亿元</w:t>
            </w:r>
          </w:p>
        </w:tc>
      </w:tr>
      <w:tr w14:paraId="3DEF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3" w:type="dxa"/>
            <w:vAlign w:val="center"/>
          </w:tcPr>
          <w:p w14:paraId="535C2E38">
            <w:pPr>
              <w:widowControl w:val="0"/>
              <w:jc w:val="both"/>
            </w:pPr>
            <w:r>
              <w:t>报告期、本报告期</w:t>
            </w:r>
          </w:p>
        </w:tc>
        <w:tc>
          <w:tcPr>
            <w:tcW w:w="767" w:type="dxa"/>
            <w:vAlign w:val="center"/>
          </w:tcPr>
          <w:p w14:paraId="0B96AD23">
            <w:pPr>
              <w:widowControl w:val="0"/>
              <w:jc w:val="center"/>
            </w:pPr>
            <w:r>
              <w:t>指</w:t>
            </w:r>
          </w:p>
        </w:tc>
        <w:tc>
          <w:tcPr>
            <w:tcW w:w="5113" w:type="dxa"/>
            <w:vAlign w:val="center"/>
          </w:tcPr>
          <w:p w14:paraId="5A0FBC57">
            <w:pPr>
              <w:widowControl w:val="0"/>
              <w:jc w:val="both"/>
              <w:rPr>
                <w:rFonts w:asciiTheme="minorEastAsia" w:hAnsiTheme="minorEastAsia" w:eastAsiaTheme="minorEastAsia"/>
              </w:rPr>
            </w:pPr>
            <w:r>
              <w:rPr>
                <w:rFonts w:asciiTheme="minorEastAsia" w:hAnsiTheme="minorEastAsia" w:eastAsiaTheme="minorEastAsia"/>
              </w:rPr>
              <w:t>2025年1月1日至2025年6月30日</w:t>
            </w:r>
          </w:p>
        </w:tc>
      </w:tr>
      <w:tr w14:paraId="0881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43" w:type="dxa"/>
            <w:vAlign w:val="center"/>
          </w:tcPr>
          <w:p w14:paraId="082FC8F3">
            <w:pPr>
              <w:widowControl w:val="0"/>
              <w:jc w:val="both"/>
            </w:pPr>
            <w:r>
              <w:t>报告期末、本报告期末</w:t>
            </w:r>
          </w:p>
        </w:tc>
        <w:tc>
          <w:tcPr>
            <w:tcW w:w="767" w:type="dxa"/>
            <w:vAlign w:val="center"/>
          </w:tcPr>
          <w:p w14:paraId="69FA38C2">
            <w:pPr>
              <w:widowControl w:val="0"/>
              <w:jc w:val="center"/>
            </w:pPr>
            <w:r>
              <w:t>指</w:t>
            </w:r>
          </w:p>
        </w:tc>
        <w:tc>
          <w:tcPr>
            <w:tcW w:w="5113" w:type="dxa"/>
            <w:vAlign w:val="center"/>
          </w:tcPr>
          <w:p w14:paraId="508AB18F">
            <w:pPr>
              <w:widowControl w:val="0"/>
              <w:jc w:val="both"/>
              <w:rPr>
                <w:rFonts w:asciiTheme="minorEastAsia" w:hAnsiTheme="minorEastAsia" w:eastAsiaTheme="minorEastAsia"/>
              </w:rPr>
            </w:pPr>
            <w:r>
              <w:rPr>
                <w:rFonts w:hint="eastAsia" w:asciiTheme="minorEastAsia" w:hAnsiTheme="minorEastAsia" w:eastAsiaTheme="minorEastAsia"/>
              </w:rPr>
              <w:t>2025年6月30日</w:t>
            </w:r>
          </w:p>
        </w:tc>
      </w:tr>
    </w:tbl>
    <w:p w14:paraId="3A1E9068">
      <w:pPr>
        <w:rPr>
          <w:color w:val="000000" w:themeColor="text1"/>
          <w14:textFill>
            <w14:solidFill>
              <w14:schemeClr w14:val="tx1"/>
            </w14:solidFill>
          </w14:textFill>
        </w:rPr>
      </w:pPr>
    </w:p>
    <w:p w14:paraId="1D955AB7">
      <w:pPr>
        <w:pStyle w:val="2"/>
        <w:numPr>
          <w:ilvl w:val="0"/>
          <w:numId w:val="3"/>
        </w:numPr>
        <w:rPr>
          <w:rFonts w:ascii="黑体" w:hAnsi="黑体"/>
          <w:color w:val="000000" w:themeColor="text1"/>
          <w14:textFill>
            <w14:solidFill>
              <w14:schemeClr w14:val="tx1"/>
            </w14:solidFill>
          </w14:textFill>
        </w:rPr>
      </w:pPr>
      <w:bookmarkStart w:id="8" w:name="_Toc200030540"/>
      <w:bookmarkStart w:id="9" w:name="_Toc76114273"/>
      <w:r>
        <w:rPr>
          <w:rFonts w:hint="eastAsia" w:ascii="黑体" w:hAnsi="黑体"/>
          <w:color w:val="000000" w:themeColor="text1"/>
          <w14:textFill>
            <w14:solidFill>
              <w14:schemeClr w14:val="tx1"/>
            </w14:solidFill>
          </w14:textFill>
        </w:rPr>
        <w:t>公司简介</w:t>
      </w:r>
      <w:bookmarkEnd w:id="7"/>
      <w:r>
        <w:rPr>
          <w:rFonts w:hint="eastAsia" w:ascii="黑体" w:hAnsi="黑体"/>
          <w:color w:val="000000" w:themeColor="text1"/>
          <w14:textFill>
            <w14:solidFill>
              <w14:schemeClr w14:val="tx1"/>
            </w14:solidFill>
          </w14:textFill>
        </w:rPr>
        <w:t>和主要财务指标</w:t>
      </w:r>
    </w:p>
    <w:bookmarkEnd w:id="8"/>
    <w:bookmarkEnd w:id="9"/>
    <w:p w14:paraId="30C15DD4">
      <w:pPr>
        <w:pStyle w:val="3"/>
        <w:numPr>
          <w:ilvl w:val="0"/>
          <w:numId w:val="4"/>
        </w:numPr>
        <w:ind w:left="0" w:firstLine="0"/>
        <w:rPr>
          <w:color w:val="000000" w:themeColor="text1"/>
          <w14:textFill>
            <w14:solidFill>
              <w14:schemeClr w14:val="tx1"/>
            </w14:solidFill>
          </w14:textFill>
        </w:rPr>
      </w:pPr>
      <w:bookmarkStart w:id="10" w:name="_Toc342565881"/>
      <w:bookmarkStart w:id="11" w:name="_Toc342051041"/>
      <w:r>
        <w:rPr>
          <w:rFonts w:hint="eastAsia"/>
          <w:color w:val="000000" w:themeColor="text1"/>
          <w14:textFill>
            <w14:solidFill>
              <w14:schemeClr w14:val="tx1"/>
            </w14:solidFill>
          </w14:textFill>
        </w:rPr>
        <w:t>公司信息</w:t>
      </w:r>
      <w:bookmarkEnd w:id="10"/>
      <w:bookmarkEnd w:id="11"/>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14:paraId="5F4837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72cd7a5ecc1420488735479d42bf939"/>
            <w:id w:val="2046096399"/>
          </w:sdtPr>
          <w:sdtContent>
            <w:tc>
              <w:tcPr>
                <w:tcW w:w="2169" w:type="pct"/>
                <w:tcBorders>
                  <w:top w:val="single" w:color="auto" w:sz="4" w:space="0"/>
                  <w:bottom w:val="single" w:color="auto" w:sz="4" w:space="0"/>
                  <w:right w:val="single" w:color="auto" w:sz="4" w:space="0"/>
                </w:tcBorders>
              </w:tcPr>
              <w:p w14:paraId="5C3E5231">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公司的中文名称</w:t>
                </w:r>
              </w:p>
            </w:tc>
          </w:sdtContent>
        </w:sdt>
        <w:sdt>
          <w:sdtPr>
            <w:rPr>
              <w:rFonts w:hint="eastAsia"/>
              <w:color w:val="000000" w:themeColor="text1"/>
              <w14:textFill>
                <w14:solidFill>
                  <w14:schemeClr w14:val="tx1"/>
                </w14:solidFill>
              </w14:textFill>
            </w:rPr>
            <w:alias w:val="公司法定中文名称"/>
            <w:tag w:val="_GBC_6f7f4fb261c84402a309f1371502ca4f"/>
            <w:id w:val="1586490970"/>
            <w:dataBinding w:prefixMappings="xmlns:clcid-cgi='clcid-cgi'" w:xpath="/*/clcid-cgi:GongSiFaDingZhongWenMingCheng[not(@periodRef)]" w:storeItemID="{89EBAB94-44A0-46A2-B712-30D997D04A6D}"/>
            <w:text/>
          </w:sdtPr>
          <w:sdtEndPr>
            <w:rPr>
              <w:rFonts w:hint="eastAsia"/>
              <w:color w:val="000000" w:themeColor="text1"/>
              <w14:textFill>
                <w14:solidFill>
                  <w14:schemeClr w14:val="tx1"/>
                </w14:solidFill>
              </w14:textFill>
            </w:rPr>
          </w:sdtEndPr>
          <w:sdtContent>
            <w:tc>
              <w:tcPr>
                <w:tcW w:w="2831" w:type="pct"/>
                <w:tcBorders>
                  <w:top w:val="single" w:color="auto" w:sz="4" w:space="0"/>
                  <w:left w:val="single" w:color="auto" w:sz="4" w:space="0"/>
                  <w:bottom w:val="single" w:color="auto" w:sz="4" w:space="0"/>
                </w:tcBorders>
              </w:tcPr>
              <w:p w14:paraId="6276798A">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重庆千里科技股份有限公司</w:t>
                </w:r>
              </w:p>
            </w:tc>
          </w:sdtContent>
        </w:sdt>
      </w:tr>
      <w:tr w14:paraId="508684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757158D5">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公司的中文简称</w:t>
            </w:r>
          </w:p>
        </w:tc>
        <w:tc>
          <w:tcPr>
            <w:tcW w:w="2831" w:type="pct"/>
            <w:tcBorders>
              <w:top w:val="single" w:color="auto" w:sz="4" w:space="0"/>
              <w:left w:val="single" w:color="auto" w:sz="4" w:space="0"/>
              <w:bottom w:val="single" w:color="auto" w:sz="4" w:space="0"/>
            </w:tcBorders>
            <w:vAlign w:val="center"/>
          </w:tcPr>
          <w:p w14:paraId="1F06E89C">
            <w:r>
              <w:t>千里科技</w:t>
            </w:r>
          </w:p>
        </w:tc>
      </w:tr>
      <w:tr w14:paraId="5C900D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7521B13F">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公司的外文名称</w:t>
            </w:r>
          </w:p>
        </w:tc>
        <w:tc>
          <w:tcPr>
            <w:tcW w:w="2831" w:type="pct"/>
            <w:tcBorders>
              <w:top w:val="single" w:color="auto" w:sz="4" w:space="0"/>
              <w:left w:val="single" w:color="auto" w:sz="4" w:space="0"/>
              <w:bottom w:val="single" w:color="auto" w:sz="4" w:space="0"/>
            </w:tcBorders>
            <w:vAlign w:val="center"/>
          </w:tcPr>
          <w:p w14:paraId="7AC8FFAE">
            <w:r>
              <w:rPr>
                <w:rFonts w:hint="eastAsia"/>
              </w:rPr>
              <w:t>Chongqing Qianli Technology Co., Ltd.</w:t>
            </w:r>
          </w:p>
        </w:tc>
      </w:tr>
      <w:tr w14:paraId="7F2635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7CE141E3">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公司的外文名称缩写</w:t>
            </w:r>
          </w:p>
        </w:tc>
        <w:tc>
          <w:tcPr>
            <w:tcW w:w="2831" w:type="pct"/>
            <w:tcBorders>
              <w:top w:val="single" w:color="auto" w:sz="4" w:space="0"/>
              <w:left w:val="single" w:color="auto" w:sz="4" w:space="0"/>
              <w:bottom w:val="single" w:color="auto" w:sz="4" w:space="0"/>
            </w:tcBorders>
          </w:tcPr>
          <w:p w14:paraId="27121462">
            <w:pPr>
              <w:kinsoku w:val="0"/>
              <w:overflowPunct w:val="0"/>
              <w:autoSpaceDE w:val="0"/>
              <w:autoSpaceDN w:val="0"/>
              <w:adjustRightInd w:val="0"/>
              <w:snapToGrid w:val="0"/>
            </w:pPr>
            <w:r>
              <w:rPr>
                <w:rFonts w:hint="eastAsia"/>
              </w:rPr>
              <w:t>Qianli</w:t>
            </w:r>
          </w:p>
        </w:tc>
      </w:tr>
      <w:tr w14:paraId="47E364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169" w:type="pct"/>
            <w:tcBorders>
              <w:top w:val="single" w:color="auto" w:sz="4" w:space="0"/>
              <w:bottom w:val="single" w:color="auto" w:sz="4" w:space="0"/>
              <w:right w:val="single" w:color="auto" w:sz="4" w:space="0"/>
            </w:tcBorders>
          </w:tcPr>
          <w:p w14:paraId="71F91326">
            <w:pPr>
              <w:kinsoku w:val="0"/>
              <w:overflowPunct w:val="0"/>
              <w:autoSpaceDE w:val="0"/>
              <w:autoSpaceDN w:val="0"/>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公司的</w:t>
            </w:r>
            <w:r>
              <w:rPr>
                <w:rFonts w:hint="eastAsia"/>
                <w:color w:val="000000" w:themeColor="text1"/>
                <w14:textFill>
                  <w14:solidFill>
                    <w14:schemeClr w14:val="tx1"/>
                  </w14:solidFill>
                </w14:textFill>
              </w:rPr>
              <w:t>法定代表人</w:t>
            </w:r>
          </w:p>
        </w:tc>
        <w:tc>
          <w:tcPr>
            <w:tcW w:w="2831" w:type="pct"/>
            <w:tcBorders>
              <w:top w:val="single" w:color="auto" w:sz="4" w:space="0"/>
              <w:left w:val="single" w:color="auto" w:sz="4" w:space="0"/>
              <w:bottom w:val="single" w:color="auto" w:sz="4" w:space="0"/>
            </w:tcBorders>
          </w:tcPr>
          <w:p w14:paraId="0830CAD4">
            <w:pPr>
              <w:kinsoku w:val="0"/>
              <w:overflowPunct w:val="0"/>
              <w:autoSpaceDE w:val="0"/>
              <w:autoSpaceDN w:val="0"/>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印奇</w:t>
            </w:r>
          </w:p>
        </w:tc>
      </w:tr>
    </w:tbl>
    <w:p w14:paraId="0C02030C">
      <w:pPr>
        <w:rPr>
          <w:color w:val="000000" w:themeColor="text1"/>
          <w14:textFill>
            <w14:solidFill>
              <w14:schemeClr w14:val="tx1"/>
            </w14:solidFill>
          </w14:textFill>
        </w:rPr>
      </w:pPr>
    </w:p>
    <w:p w14:paraId="5E00B980">
      <w:pPr>
        <w:pStyle w:val="3"/>
        <w:numPr>
          <w:ilvl w:val="0"/>
          <w:numId w:val="4"/>
        </w:numPr>
        <w:ind w:left="0" w:firstLine="0"/>
        <w:rPr>
          <w:color w:val="000000" w:themeColor="text1"/>
          <w14:textFill>
            <w14:solidFill>
              <w14:schemeClr w14:val="tx1"/>
            </w14:solidFill>
          </w14:textFill>
        </w:rPr>
      </w:pPr>
      <w:bookmarkStart w:id="12" w:name="_Toc342565882"/>
      <w:bookmarkStart w:id="13" w:name="_Toc342051042"/>
      <w:r>
        <w:rPr>
          <w:rFonts w:hint="eastAsia"/>
          <w:color w:val="000000" w:themeColor="text1"/>
          <w14:textFill>
            <w14:solidFill>
              <w14:schemeClr w14:val="tx1"/>
            </w14:solidFill>
          </w14:textFill>
        </w:rPr>
        <w:t>联系人和联系方式</w:t>
      </w:r>
      <w:bookmarkEnd w:id="12"/>
      <w:bookmarkEnd w:id="13"/>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854"/>
        <w:gridCol w:w="3520"/>
        <w:gridCol w:w="3520"/>
      </w:tblGrid>
      <w:tr w14:paraId="0E2EE5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2" w:type="pct"/>
            <w:tcBorders>
              <w:top w:val="single" w:color="auto" w:sz="4" w:space="0"/>
              <w:bottom w:val="single" w:color="auto" w:sz="4" w:space="0"/>
              <w:right w:val="single" w:color="auto" w:sz="4" w:space="0"/>
            </w:tcBorders>
          </w:tcPr>
          <w:p w14:paraId="637514B3">
            <w:pPr>
              <w:kinsoku w:val="0"/>
              <w:overflowPunct w:val="0"/>
              <w:autoSpaceDE w:val="0"/>
              <w:autoSpaceDN w:val="0"/>
              <w:adjustRightInd w:val="0"/>
              <w:snapToGrid w:val="0"/>
              <w:jc w:val="center"/>
              <w:rPr>
                <w:color w:val="000000" w:themeColor="text1"/>
                <w14:textFill>
                  <w14:solidFill>
                    <w14:schemeClr w14:val="tx1"/>
                  </w14:solidFill>
                </w14:textFill>
              </w:rPr>
            </w:pPr>
          </w:p>
        </w:tc>
        <w:tc>
          <w:tcPr>
            <w:tcW w:w="1979" w:type="pct"/>
            <w:tcBorders>
              <w:top w:val="single" w:color="auto" w:sz="4" w:space="0"/>
              <w:left w:val="single" w:color="auto" w:sz="4" w:space="0"/>
              <w:bottom w:val="single" w:color="auto" w:sz="4" w:space="0"/>
              <w:right w:val="single" w:color="auto" w:sz="4" w:space="0"/>
            </w:tcBorders>
          </w:tcPr>
          <w:p w14:paraId="03AAF395">
            <w:pPr>
              <w:pStyle w:val="15"/>
              <w:kinsoku w:val="0"/>
              <w:overflowPunct w:val="0"/>
              <w:autoSpaceDE w:val="0"/>
              <w:autoSpaceDN w:val="0"/>
              <w:adjustRightInd w:val="0"/>
              <w:snapToGrid w:val="0"/>
              <w:jc w:val="center"/>
              <w:rPr>
                <w:rFonts w:ascii="宋体" w:hAnsi="宋体"/>
                <w:color w:val="000000" w:themeColor="text1"/>
                <w14:textFill>
                  <w14:solidFill>
                    <w14:schemeClr w14:val="tx1"/>
                  </w14:solidFill>
                </w14:textFill>
              </w:rPr>
            </w:pPr>
            <w:sdt>
              <w:sdtPr>
                <w:tag w:val="_PLD_d0432012a3f249c3b4fdd759ff340e86"/>
                <w:id w:val="1913117911"/>
              </w:sdtPr>
              <w:sdtContent>
                <w:r>
                  <w:rPr>
                    <w:rFonts w:hint="eastAsia" w:ascii="宋体" w:hAnsi="宋体" w:cs="宋体"/>
                    <w:color w:val="000000" w:themeColor="text1"/>
                    <w14:textFill>
                      <w14:solidFill>
                        <w14:schemeClr w14:val="tx1"/>
                      </w14:solidFill>
                    </w14:textFill>
                  </w:rPr>
                  <w:t>董事会秘书</w:t>
                </w:r>
              </w:sdtContent>
            </w:sdt>
          </w:p>
        </w:tc>
        <w:sdt>
          <w:sdtPr>
            <w:tag w:val="_PLD_3a25396416c14d2cb0688ae0ac8a1d4d"/>
            <w:id w:val="-2090150001"/>
          </w:sdtPr>
          <w:sdtContent>
            <w:tc>
              <w:tcPr>
                <w:tcW w:w="1979" w:type="pct"/>
                <w:tcBorders>
                  <w:top w:val="single" w:color="auto" w:sz="4" w:space="0"/>
                  <w:left w:val="single" w:color="auto" w:sz="4" w:space="0"/>
                  <w:bottom w:val="single" w:color="auto" w:sz="4" w:space="0"/>
                </w:tcBorders>
              </w:tcPr>
              <w:p w14:paraId="3F4FF147">
                <w:pPr>
                  <w:pStyle w:val="15"/>
                  <w:kinsoku w:val="0"/>
                  <w:overflowPunct w:val="0"/>
                  <w:autoSpaceDE w:val="0"/>
                  <w:autoSpaceDN w:val="0"/>
                  <w:adjustRightInd w:val="0"/>
                  <w:snapToGrid w:val="0"/>
                  <w:jc w:val="center"/>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证券事务代表</w:t>
                </w:r>
              </w:p>
            </w:tc>
          </w:sdtContent>
        </w:sdt>
      </w:tr>
      <w:tr w14:paraId="5FC45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2" w:type="pct"/>
            <w:tcBorders>
              <w:top w:val="single" w:color="auto" w:sz="4" w:space="0"/>
              <w:bottom w:val="single" w:color="auto" w:sz="4" w:space="0"/>
              <w:right w:val="single" w:color="auto" w:sz="4" w:space="0"/>
            </w:tcBorders>
          </w:tcPr>
          <w:p w14:paraId="05D580F4">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姓名</w:t>
            </w:r>
          </w:p>
        </w:tc>
        <w:tc>
          <w:tcPr>
            <w:tcW w:w="1979" w:type="pct"/>
            <w:tcBorders>
              <w:top w:val="single" w:color="auto" w:sz="4" w:space="0"/>
              <w:left w:val="single" w:color="auto" w:sz="4" w:space="0"/>
              <w:bottom w:val="single" w:color="auto" w:sz="4" w:space="0"/>
              <w:right w:val="single" w:color="auto" w:sz="4" w:space="0"/>
            </w:tcBorders>
            <w:vAlign w:val="center"/>
          </w:tcPr>
          <w:p w14:paraId="4C5D792D">
            <w:pPr>
              <w:jc w:val="center"/>
            </w:pPr>
            <w:r>
              <w:rPr>
                <w:rFonts w:hint="eastAsia"/>
              </w:rPr>
              <w:t>夏雨扬</w:t>
            </w:r>
          </w:p>
        </w:tc>
        <w:tc>
          <w:tcPr>
            <w:tcW w:w="1979" w:type="pct"/>
            <w:tcBorders>
              <w:top w:val="single" w:color="auto" w:sz="4" w:space="0"/>
              <w:left w:val="single" w:color="auto" w:sz="4" w:space="0"/>
              <w:bottom w:val="single" w:color="auto" w:sz="4" w:space="0"/>
            </w:tcBorders>
            <w:vAlign w:val="center"/>
          </w:tcPr>
          <w:p w14:paraId="0E20E674">
            <w:pPr>
              <w:jc w:val="center"/>
            </w:pPr>
            <w:r>
              <w:t>李心心</w:t>
            </w:r>
          </w:p>
        </w:tc>
      </w:tr>
      <w:tr w14:paraId="7C9EC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2" w:type="pct"/>
            <w:tcBorders>
              <w:top w:val="single" w:color="auto" w:sz="4" w:space="0"/>
              <w:bottom w:val="single" w:color="auto" w:sz="4" w:space="0"/>
              <w:right w:val="single" w:color="auto" w:sz="4" w:space="0"/>
            </w:tcBorders>
          </w:tcPr>
          <w:p w14:paraId="21E12CB8">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联系地址</w:t>
            </w:r>
          </w:p>
        </w:tc>
        <w:tc>
          <w:tcPr>
            <w:tcW w:w="1979" w:type="pct"/>
            <w:tcBorders>
              <w:top w:val="single" w:color="auto" w:sz="4" w:space="0"/>
              <w:left w:val="single" w:color="auto" w:sz="4" w:space="0"/>
              <w:bottom w:val="single" w:color="auto" w:sz="4" w:space="0"/>
              <w:right w:val="single" w:color="auto" w:sz="4" w:space="0"/>
            </w:tcBorders>
            <w:vAlign w:val="center"/>
          </w:tcPr>
          <w:p w14:paraId="11F50B91">
            <w:pPr>
              <w:jc w:val="center"/>
            </w:pPr>
            <w:r>
              <w:t>重庆市北碚区蔡家岗镇凤栖路16号</w:t>
            </w:r>
          </w:p>
        </w:tc>
        <w:tc>
          <w:tcPr>
            <w:tcW w:w="1979" w:type="pct"/>
            <w:tcBorders>
              <w:top w:val="single" w:color="auto" w:sz="4" w:space="0"/>
              <w:left w:val="single" w:color="auto" w:sz="4" w:space="0"/>
              <w:bottom w:val="single" w:color="auto" w:sz="4" w:space="0"/>
            </w:tcBorders>
            <w:vAlign w:val="center"/>
          </w:tcPr>
          <w:p w14:paraId="3C4B4275">
            <w:pPr>
              <w:jc w:val="center"/>
            </w:pPr>
            <w:r>
              <w:t>重庆市北碚区蔡家岗镇凤栖路16号</w:t>
            </w:r>
          </w:p>
        </w:tc>
      </w:tr>
      <w:tr w14:paraId="5FA54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2" w:type="pct"/>
            <w:tcBorders>
              <w:top w:val="single" w:color="auto" w:sz="4" w:space="0"/>
              <w:bottom w:val="single" w:color="auto" w:sz="4" w:space="0"/>
              <w:right w:val="single" w:color="auto" w:sz="4" w:space="0"/>
            </w:tcBorders>
          </w:tcPr>
          <w:p w14:paraId="783CA1E1">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电话</w:t>
            </w:r>
          </w:p>
        </w:tc>
        <w:tc>
          <w:tcPr>
            <w:tcW w:w="1979" w:type="pct"/>
            <w:tcBorders>
              <w:top w:val="single" w:color="auto" w:sz="4" w:space="0"/>
              <w:left w:val="single" w:color="auto" w:sz="4" w:space="0"/>
              <w:bottom w:val="single" w:color="auto" w:sz="4" w:space="0"/>
              <w:right w:val="single" w:color="auto" w:sz="4" w:space="0"/>
            </w:tcBorders>
            <w:vAlign w:val="center"/>
          </w:tcPr>
          <w:p w14:paraId="5D088A6E">
            <w:pPr>
              <w:jc w:val="center"/>
            </w:pPr>
            <w:r>
              <w:t>023-61663050</w:t>
            </w:r>
          </w:p>
        </w:tc>
        <w:tc>
          <w:tcPr>
            <w:tcW w:w="1979" w:type="pct"/>
            <w:tcBorders>
              <w:top w:val="single" w:color="auto" w:sz="4" w:space="0"/>
              <w:left w:val="single" w:color="auto" w:sz="4" w:space="0"/>
              <w:bottom w:val="single" w:color="auto" w:sz="4" w:space="0"/>
            </w:tcBorders>
            <w:vAlign w:val="center"/>
          </w:tcPr>
          <w:p w14:paraId="551B944E">
            <w:pPr>
              <w:jc w:val="center"/>
            </w:pPr>
            <w:r>
              <w:t>023-61663050</w:t>
            </w:r>
          </w:p>
        </w:tc>
      </w:tr>
      <w:tr w14:paraId="5D1BB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2" w:type="pct"/>
            <w:tcBorders>
              <w:top w:val="single" w:color="auto" w:sz="4" w:space="0"/>
              <w:bottom w:val="single" w:color="auto" w:sz="4" w:space="0"/>
              <w:right w:val="single" w:color="auto" w:sz="4" w:space="0"/>
            </w:tcBorders>
          </w:tcPr>
          <w:p w14:paraId="662CB836">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传真</w:t>
            </w:r>
          </w:p>
        </w:tc>
        <w:tc>
          <w:tcPr>
            <w:tcW w:w="1979" w:type="pct"/>
            <w:tcBorders>
              <w:top w:val="single" w:color="auto" w:sz="4" w:space="0"/>
              <w:left w:val="single" w:color="auto" w:sz="4" w:space="0"/>
              <w:bottom w:val="single" w:color="auto" w:sz="4" w:space="0"/>
              <w:right w:val="single" w:color="auto" w:sz="4" w:space="0"/>
            </w:tcBorders>
            <w:vAlign w:val="center"/>
          </w:tcPr>
          <w:p w14:paraId="61CF4A1A">
            <w:pPr>
              <w:jc w:val="center"/>
            </w:pPr>
            <w:r>
              <w:t>023-65213175</w:t>
            </w:r>
          </w:p>
        </w:tc>
        <w:tc>
          <w:tcPr>
            <w:tcW w:w="1979" w:type="pct"/>
            <w:tcBorders>
              <w:top w:val="single" w:color="auto" w:sz="4" w:space="0"/>
              <w:left w:val="single" w:color="auto" w:sz="4" w:space="0"/>
              <w:bottom w:val="single" w:color="auto" w:sz="4" w:space="0"/>
            </w:tcBorders>
            <w:vAlign w:val="center"/>
          </w:tcPr>
          <w:p w14:paraId="4E0E900B">
            <w:pPr>
              <w:jc w:val="center"/>
            </w:pPr>
            <w:r>
              <w:t>023-65213175</w:t>
            </w:r>
          </w:p>
        </w:tc>
      </w:tr>
      <w:tr w14:paraId="182D90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042" w:type="pct"/>
            <w:tcBorders>
              <w:top w:val="single" w:color="auto" w:sz="4" w:space="0"/>
              <w:bottom w:val="single" w:color="auto" w:sz="4" w:space="0"/>
              <w:right w:val="single" w:color="auto" w:sz="4" w:space="0"/>
            </w:tcBorders>
          </w:tcPr>
          <w:p w14:paraId="4E9163BF">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电子信箱</w:t>
            </w:r>
          </w:p>
        </w:tc>
        <w:tc>
          <w:tcPr>
            <w:tcW w:w="1979" w:type="pct"/>
            <w:tcBorders>
              <w:top w:val="single" w:color="auto" w:sz="4" w:space="0"/>
              <w:left w:val="single" w:color="auto" w:sz="4" w:space="0"/>
              <w:bottom w:val="single" w:color="auto" w:sz="4" w:space="0"/>
              <w:right w:val="single" w:color="auto" w:sz="4" w:space="0"/>
            </w:tcBorders>
            <w:vAlign w:val="center"/>
          </w:tcPr>
          <w:p w14:paraId="18AA1176">
            <w:pPr>
              <w:jc w:val="center"/>
            </w:pPr>
            <w:r>
              <w:t>tzzqb@qianli-ai.com</w:t>
            </w:r>
          </w:p>
        </w:tc>
        <w:tc>
          <w:tcPr>
            <w:tcW w:w="1979" w:type="pct"/>
            <w:tcBorders>
              <w:top w:val="single" w:color="auto" w:sz="4" w:space="0"/>
              <w:left w:val="single" w:color="auto" w:sz="4" w:space="0"/>
              <w:bottom w:val="single" w:color="auto" w:sz="4" w:space="0"/>
            </w:tcBorders>
            <w:vAlign w:val="center"/>
          </w:tcPr>
          <w:p w14:paraId="02D20FF6">
            <w:pPr>
              <w:jc w:val="center"/>
            </w:pPr>
            <w:r>
              <w:t>tzzqb@</w:t>
            </w:r>
            <w:bookmarkStart w:id="14" w:name="OLE_LINK3"/>
            <w:bookmarkStart w:id="15" w:name="OLE_LINK4"/>
            <w:r>
              <w:t>qianli-ai.com</w:t>
            </w:r>
            <w:bookmarkEnd w:id="14"/>
            <w:bookmarkEnd w:id="15"/>
          </w:p>
        </w:tc>
      </w:tr>
    </w:tbl>
    <w:p w14:paraId="30F1BD9C">
      <w:pPr>
        <w:rPr>
          <w:color w:val="000000" w:themeColor="text1"/>
          <w14:textFill>
            <w14:solidFill>
              <w14:schemeClr w14:val="tx1"/>
            </w14:solidFill>
          </w14:textFill>
        </w:rPr>
      </w:pPr>
    </w:p>
    <w:p w14:paraId="708C4BD2">
      <w:pPr>
        <w:pStyle w:val="3"/>
        <w:numPr>
          <w:ilvl w:val="0"/>
          <w:numId w:val="4"/>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基本情况变更简介</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139"/>
        <w:gridCol w:w="5754"/>
      </w:tblGrid>
      <w:tr w14:paraId="6FFCB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5d89a4aa7974727a1dc32c53cb7ca26"/>
            <w:id w:val="-346479578"/>
          </w:sdtPr>
          <w:sdtContent>
            <w:tc>
              <w:tcPr>
                <w:tcW w:w="1765" w:type="pct"/>
                <w:tcBorders>
                  <w:top w:val="single" w:color="auto" w:sz="4" w:space="0"/>
                  <w:bottom w:val="single" w:color="auto" w:sz="4" w:space="0"/>
                  <w:right w:val="single" w:color="auto" w:sz="4" w:space="0"/>
                </w:tcBorders>
              </w:tcPr>
              <w:p w14:paraId="28CB3500">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公司注册地址</w:t>
                </w:r>
              </w:p>
            </w:tc>
          </w:sdtContent>
        </w:sdt>
        <w:tc>
          <w:tcPr>
            <w:tcW w:w="3235" w:type="pct"/>
            <w:tcBorders>
              <w:top w:val="single" w:color="auto" w:sz="4" w:space="0"/>
              <w:left w:val="single" w:color="auto" w:sz="4" w:space="0"/>
              <w:bottom w:val="single" w:color="auto" w:sz="4" w:space="0"/>
            </w:tcBorders>
            <w:vAlign w:val="center"/>
          </w:tcPr>
          <w:p w14:paraId="6591E8E8">
            <w:pPr>
              <w:jc w:val="center"/>
            </w:pPr>
            <w:r>
              <w:t>重庆市两江新区金山大道黄环北路2号</w:t>
            </w:r>
          </w:p>
        </w:tc>
      </w:tr>
      <w:tr w14:paraId="0EF400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765" w:type="pct"/>
            <w:tcBorders>
              <w:top w:val="single" w:color="auto" w:sz="4" w:space="0"/>
              <w:bottom w:val="single" w:color="auto" w:sz="4" w:space="0"/>
              <w:right w:val="single" w:color="auto" w:sz="4" w:space="0"/>
            </w:tcBorders>
            <w:vAlign w:val="center"/>
          </w:tcPr>
          <w:p w14:paraId="3D99F7FF">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公司注册地址的历史变更情况</w:t>
            </w:r>
          </w:p>
        </w:tc>
        <w:tc>
          <w:tcPr>
            <w:tcW w:w="3235" w:type="pct"/>
            <w:tcBorders>
              <w:top w:val="single" w:color="auto" w:sz="4" w:space="0"/>
              <w:left w:val="single" w:color="auto" w:sz="4" w:space="0"/>
              <w:bottom w:val="single" w:color="auto" w:sz="4" w:space="0"/>
            </w:tcBorders>
            <w:vAlign w:val="center"/>
          </w:tcPr>
          <w:p w14:paraId="67CB2A72">
            <w:pPr>
              <w:jc w:val="center"/>
            </w:pPr>
            <w:r>
              <w:t>2019年1月24日公司注册地址由重庆市沙坪坝区上桥张家湾60号变更为重庆市北部新区金山大道黄环北路2号。</w:t>
            </w:r>
          </w:p>
        </w:tc>
      </w:tr>
      <w:tr w14:paraId="27E847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765" w:type="pct"/>
            <w:tcBorders>
              <w:top w:val="single" w:color="auto" w:sz="4" w:space="0"/>
              <w:bottom w:val="single" w:color="auto" w:sz="4" w:space="0"/>
              <w:right w:val="single" w:color="auto" w:sz="4" w:space="0"/>
            </w:tcBorders>
          </w:tcPr>
          <w:p w14:paraId="114759EC">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公司办公地址</w:t>
            </w:r>
          </w:p>
        </w:tc>
        <w:tc>
          <w:tcPr>
            <w:tcW w:w="3235" w:type="pct"/>
            <w:tcBorders>
              <w:top w:val="single" w:color="auto" w:sz="4" w:space="0"/>
              <w:left w:val="single" w:color="auto" w:sz="4" w:space="0"/>
              <w:bottom w:val="single" w:color="auto" w:sz="4" w:space="0"/>
            </w:tcBorders>
            <w:vAlign w:val="center"/>
          </w:tcPr>
          <w:p w14:paraId="6C280AF5">
            <w:pPr>
              <w:jc w:val="center"/>
            </w:pPr>
            <w:r>
              <w:t>重庆市北碚区蔡家岗镇凤栖路16号</w:t>
            </w:r>
          </w:p>
        </w:tc>
      </w:tr>
      <w:tr w14:paraId="64B4BD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765" w:type="pct"/>
            <w:tcBorders>
              <w:top w:val="single" w:color="auto" w:sz="4" w:space="0"/>
              <w:bottom w:val="single" w:color="auto" w:sz="4" w:space="0"/>
              <w:right w:val="single" w:color="auto" w:sz="4" w:space="0"/>
            </w:tcBorders>
          </w:tcPr>
          <w:p w14:paraId="2856C88C">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公司办公地址的邮政编码</w:t>
            </w:r>
          </w:p>
        </w:tc>
        <w:tc>
          <w:tcPr>
            <w:tcW w:w="3235" w:type="pct"/>
            <w:tcBorders>
              <w:top w:val="single" w:color="auto" w:sz="4" w:space="0"/>
              <w:left w:val="single" w:color="auto" w:sz="4" w:space="0"/>
              <w:bottom w:val="single" w:color="auto" w:sz="4" w:space="0"/>
            </w:tcBorders>
            <w:vAlign w:val="center"/>
          </w:tcPr>
          <w:p w14:paraId="13C8E3C5">
            <w:pPr>
              <w:jc w:val="center"/>
            </w:pPr>
            <w:r>
              <w:t>400707</w:t>
            </w:r>
          </w:p>
        </w:tc>
      </w:tr>
      <w:tr w14:paraId="1E1C6B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765" w:type="pct"/>
            <w:tcBorders>
              <w:top w:val="single" w:color="auto" w:sz="4" w:space="0"/>
              <w:bottom w:val="single" w:color="auto" w:sz="4" w:space="0"/>
              <w:right w:val="single" w:color="auto" w:sz="4" w:space="0"/>
            </w:tcBorders>
          </w:tcPr>
          <w:p w14:paraId="6360D3EB">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公司网址</w:t>
            </w:r>
          </w:p>
        </w:tc>
        <w:tc>
          <w:tcPr>
            <w:tcW w:w="3235" w:type="pct"/>
            <w:tcBorders>
              <w:top w:val="single" w:color="auto" w:sz="4" w:space="0"/>
              <w:left w:val="single" w:color="auto" w:sz="4" w:space="0"/>
              <w:bottom w:val="single" w:color="auto" w:sz="4" w:space="0"/>
            </w:tcBorders>
            <w:vAlign w:val="center"/>
          </w:tcPr>
          <w:p w14:paraId="529C5FD1">
            <w:pPr>
              <w:jc w:val="center"/>
            </w:pPr>
            <w:r>
              <w:t>www.qianli-ai.com</w:t>
            </w:r>
          </w:p>
        </w:tc>
      </w:tr>
      <w:tr w14:paraId="1D874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765" w:type="pct"/>
            <w:tcBorders>
              <w:top w:val="single" w:color="auto" w:sz="4" w:space="0"/>
              <w:bottom w:val="single" w:color="auto" w:sz="4" w:space="0"/>
              <w:right w:val="single" w:color="auto" w:sz="4" w:space="0"/>
            </w:tcBorders>
          </w:tcPr>
          <w:p w14:paraId="7B339A2F">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电子信箱</w:t>
            </w:r>
          </w:p>
        </w:tc>
        <w:tc>
          <w:tcPr>
            <w:tcW w:w="3235" w:type="pct"/>
            <w:tcBorders>
              <w:top w:val="single" w:color="auto" w:sz="4" w:space="0"/>
              <w:left w:val="single" w:color="auto" w:sz="4" w:space="0"/>
              <w:bottom w:val="single" w:color="auto" w:sz="4" w:space="0"/>
            </w:tcBorders>
            <w:vAlign w:val="center"/>
          </w:tcPr>
          <w:p w14:paraId="5D479F26">
            <w:pPr>
              <w:jc w:val="center"/>
            </w:pPr>
            <w:r>
              <w:t>mail@qianli-ai.com</w:t>
            </w:r>
          </w:p>
        </w:tc>
      </w:tr>
      <w:tr w14:paraId="722347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765" w:type="pct"/>
            <w:tcBorders>
              <w:top w:val="single" w:color="auto" w:sz="4" w:space="0"/>
              <w:bottom w:val="single" w:color="auto" w:sz="4" w:space="0"/>
              <w:right w:val="single" w:color="auto" w:sz="4" w:space="0"/>
            </w:tcBorders>
          </w:tcPr>
          <w:p w14:paraId="795A7ACD">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报告期内变更情况查询索引</w:t>
            </w:r>
          </w:p>
        </w:tc>
        <w:tc>
          <w:tcPr>
            <w:tcW w:w="3235" w:type="pct"/>
            <w:tcBorders>
              <w:top w:val="single" w:color="auto" w:sz="4" w:space="0"/>
              <w:left w:val="single" w:color="auto" w:sz="4" w:space="0"/>
              <w:bottom w:val="single" w:color="auto" w:sz="4" w:space="0"/>
            </w:tcBorders>
          </w:tcPr>
          <w:p w14:paraId="34E68ED2">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42CE9DFE">
      <w:pPr>
        <w:kinsoku w:val="0"/>
        <w:overflowPunct w:val="0"/>
        <w:autoSpaceDE w:val="0"/>
        <w:autoSpaceDN w:val="0"/>
        <w:adjustRightInd w:val="0"/>
        <w:snapToGrid w:val="0"/>
        <w:rPr>
          <w:color w:val="000000" w:themeColor="text1"/>
          <w14:textFill>
            <w14:solidFill>
              <w14:schemeClr w14:val="tx1"/>
            </w14:solidFill>
          </w14:textFill>
        </w:rPr>
      </w:pPr>
    </w:p>
    <w:p w14:paraId="472F1151">
      <w:pPr>
        <w:pStyle w:val="3"/>
        <w:numPr>
          <w:ilvl w:val="0"/>
          <w:numId w:val="4"/>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信息披露及备置地点变更情况简介</w:t>
      </w:r>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139"/>
        <w:gridCol w:w="5754"/>
      </w:tblGrid>
      <w:tr w14:paraId="41B60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5a9e1277ac2b48eb8d7aa1b69c532d31"/>
            <w:id w:val="663901873"/>
          </w:sdtPr>
          <w:sdtContent>
            <w:tc>
              <w:tcPr>
                <w:tcW w:w="1765" w:type="pct"/>
                <w:tcBorders>
                  <w:top w:val="single" w:color="auto" w:sz="4" w:space="0"/>
                  <w:bottom w:val="single" w:color="auto" w:sz="4" w:space="0"/>
                  <w:right w:val="single" w:color="auto" w:sz="4" w:space="0"/>
                </w:tcBorders>
                <w:vAlign w:val="center"/>
              </w:tcPr>
              <w:p w14:paraId="5F4BAD9B">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公司选定的信息披露报纸名称</w:t>
                </w:r>
              </w:p>
            </w:tc>
          </w:sdtContent>
        </w:sdt>
        <w:tc>
          <w:tcPr>
            <w:tcW w:w="3235" w:type="pct"/>
            <w:tcBorders>
              <w:top w:val="single" w:color="auto" w:sz="4" w:space="0"/>
              <w:left w:val="single" w:color="auto" w:sz="4" w:space="0"/>
              <w:bottom w:val="single" w:color="auto" w:sz="4" w:space="0"/>
            </w:tcBorders>
            <w:vAlign w:val="center"/>
          </w:tcPr>
          <w:p w14:paraId="0F291D26">
            <w:pPr>
              <w:jc w:val="center"/>
            </w:pPr>
            <w:r>
              <w:t>《上海证券报》《中国证券报》《证券时报》《证券日报》</w:t>
            </w:r>
          </w:p>
        </w:tc>
      </w:tr>
      <w:tr w14:paraId="6BD77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765" w:type="pct"/>
            <w:tcBorders>
              <w:top w:val="single" w:color="auto" w:sz="4" w:space="0"/>
              <w:bottom w:val="single" w:color="auto" w:sz="4" w:space="0"/>
              <w:right w:val="single" w:color="auto" w:sz="4" w:space="0"/>
            </w:tcBorders>
          </w:tcPr>
          <w:p w14:paraId="76F36F6A">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登载半年度报告的</w:t>
            </w:r>
            <w:r>
              <w:rPr>
                <w:rFonts w:hint="eastAsia"/>
                <w:color w:val="000000" w:themeColor="text1"/>
                <w14:textFill>
                  <w14:solidFill>
                    <w14:schemeClr w14:val="tx1"/>
                  </w14:solidFill>
                </w14:textFill>
              </w:rPr>
              <w:t>网站地</w:t>
            </w:r>
            <w:r>
              <w:rPr>
                <w:color w:val="000000" w:themeColor="text1"/>
                <w14:textFill>
                  <w14:solidFill>
                    <w14:schemeClr w14:val="tx1"/>
                  </w14:solidFill>
                </w14:textFill>
              </w:rPr>
              <w:t>址</w:t>
            </w:r>
          </w:p>
        </w:tc>
        <w:tc>
          <w:tcPr>
            <w:tcW w:w="3235" w:type="pct"/>
            <w:tcBorders>
              <w:top w:val="single" w:color="auto" w:sz="4" w:space="0"/>
              <w:left w:val="single" w:color="auto" w:sz="4" w:space="0"/>
              <w:bottom w:val="single" w:color="auto" w:sz="4" w:space="0"/>
            </w:tcBorders>
            <w:vAlign w:val="center"/>
          </w:tcPr>
          <w:p w14:paraId="5E1C8576">
            <w:pPr>
              <w:jc w:val="center"/>
            </w:pPr>
            <w:r>
              <w:t>www.sse.com.cn</w:t>
            </w:r>
          </w:p>
        </w:tc>
      </w:tr>
      <w:tr w14:paraId="4AA70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765" w:type="pct"/>
            <w:tcBorders>
              <w:top w:val="single" w:color="auto" w:sz="4" w:space="0"/>
              <w:bottom w:val="single" w:color="auto" w:sz="4" w:space="0"/>
              <w:right w:val="single" w:color="auto" w:sz="4" w:space="0"/>
            </w:tcBorders>
          </w:tcPr>
          <w:p w14:paraId="77259742">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公司半年度报告备置地点</w:t>
            </w:r>
          </w:p>
        </w:tc>
        <w:tc>
          <w:tcPr>
            <w:tcW w:w="3235" w:type="pct"/>
            <w:tcBorders>
              <w:top w:val="single" w:color="auto" w:sz="4" w:space="0"/>
              <w:left w:val="single" w:color="auto" w:sz="4" w:space="0"/>
              <w:bottom w:val="single" w:color="auto" w:sz="4" w:space="0"/>
            </w:tcBorders>
            <w:vAlign w:val="center"/>
          </w:tcPr>
          <w:p w14:paraId="7801A14D">
            <w:pPr>
              <w:jc w:val="center"/>
            </w:pPr>
            <w:r>
              <w:t>公司董事会办公室</w:t>
            </w:r>
          </w:p>
        </w:tc>
      </w:tr>
      <w:tr w14:paraId="00F09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765" w:type="pct"/>
            <w:tcBorders>
              <w:top w:val="single" w:color="auto" w:sz="4" w:space="0"/>
              <w:bottom w:val="single" w:color="auto" w:sz="4" w:space="0"/>
              <w:right w:val="single" w:color="auto" w:sz="4" w:space="0"/>
            </w:tcBorders>
          </w:tcPr>
          <w:p w14:paraId="5F403199">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报告期内变更情况查询索引</w:t>
            </w:r>
          </w:p>
        </w:tc>
        <w:tc>
          <w:tcPr>
            <w:tcW w:w="3235" w:type="pct"/>
            <w:tcBorders>
              <w:top w:val="single" w:color="auto" w:sz="4" w:space="0"/>
              <w:left w:val="single" w:color="auto" w:sz="4" w:space="0"/>
              <w:bottom w:val="single" w:color="auto" w:sz="4" w:space="0"/>
            </w:tcBorders>
          </w:tcPr>
          <w:p w14:paraId="4306B0D4">
            <w:pPr>
              <w:kinsoku w:val="0"/>
              <w:overflowPunct w:val="0"/>
              <w:autoSpaceDE w:val="0"/>
              <w:autoSpaceDN w:val="0"/>
              <w:adjustRightInd w:val="0"/>
              <w:snapToGrid w:val="0"/>
              <w:jc w:val="center"/>
            </w:pPr>
            <w:r>
              <w:rPr>
                <w:rFonts w:hint="eastAsia"/>
              </w:rPr>
              <w:t>/</w:t>
            </w:r>
          </w:p>
        </w:tc>
      </w:tr>
    </w:tbl>
    <w:p w14:paraId="665FA31E">
      <w:pPr>
        <w:rPr>
          <w:color w:val="000000" w:themeColor="text1"/>
          <w14:textFill>
            <w14:solidFill>
              <w14:schemeClr w14:val="tx1"/>
            </w14:solidFill>
          </w14:textFill>
        </w:rPr>
      </w:pPr>
    </w:p>
    <w:p w14:paraId="179499D0">
      <w:pPr>
        <w:pStyle w:val="3"/>
        <w:numPr>
          <w:ilvl w:val="0"/>
          <w:numId w:val="4"/>
        </w:numPr>
        <w:ind w:left="0" w:firstLine="0"/>
        <w:rPr>
          <w:color w:val="000000" w:themeColor="text1"/>
          <w14:textFill>
            <w14:solidFill>
              <w14:schemeClr w14:val="tx1"/>
            </w14:solidFill>
          </w14:textFill>
        </w:rPr>
      </w:pPr>
      <w:bookmarkStart w:id="16" w:name="_Toc342051045"/>
      <w:bookmarkStart w:id="17" w:name="_Toc342565885"/>
      <w:r>
        <w:rPr>
          <w:rFonts w:hint="eastAsia"/>
          <w:color w:val="000000" w:themeColor="text1"/>
          <w14:textFill>
            <w14:solidFill>
              <w14:schemeClr w14:val="tx1"/>
            </w14:solidFill>
          </w14:textFill>
        </w:rPr>
        <w:t>公司股票简况</w:t>
      </w:r>
      <w:bookmarkEnd w:id="16"/>
      <w:bookmarkEnd w:id="17"/>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778"/>
        <w:gridCol w:w="1778"/>
        <w:gridCol w:w="1779"/>
        <w:gridCol w:w="1779"/>
        <w:gridCol w:w="1779"/>
      </w:tblGrid>
      <w:tr w14:paraId="489549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136d907086394f5eaee0ec7d22ac5510"/>
            <w:id w:val="630370628"/>
          </w:sdtPr>
          <w:sdtContent>
            <w:tc>
              <w:tcPr>
                <w:tcW w:w="1000" w:type="pct"/>
                <w:tcBorders>
                  <w:top w:val="single" w:color="auto" w:sz="4" w:space="0"/>
                  <w:bottom w:val="single" w:color="auto" w:sz="4" w:space="0"/>
                  <w:right w:val="single" w:color="auto" w:sz="4" w:space="0"/>
                </w:tcBorders>
              </w:tcPr>
              <w:p w14:paraId="201FC496">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股票种类</w:t>
                </w:r>
              </w:p>
            </w:tc>
          </w:sdtContent>
        </w:sdt>
        <w:sdt>
          <w:sdtPr>
            <w:tag w:val="_PLD_6a843bcbb5a24c0aa6b5fa899c00d11d"/>
            <w:id w:val="-698393495"/>
          </w:sdtPr>
          <w:sdtContent>
            <w:tc>
              <w:tcPr>
                <w:tcW w:w="1000" w:type="pct"/>
                <w:tcBorders>
                  <w:top w:val="single" w:color="auto" w:sz="4" w:space="0"/>
                  <w:left w:val="single" w:color="auto" w:sz="4" w:space="0"/>
                  <w:bottom w:val="single" w:color="auto" w:sz="4" w:space="0"/>
                  <w:right w:val="single" w:color="auto" w:sz="4" w:space="0"/>
                </w:tcBorders>
              </w:tcPr>
              <w:p w14:paraId="56893A20">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股票上市交易所</w:t>
                </w:r>
              </w:p>
            </w:tc>
          </w:sdtContent>
        </w:sdt>
        <w:sdt>
          <w:sdtPr>
            <w:tag w:val="_PLD_c012a58bb3cc4bbd9a7de1f52bd17553"/>
            <w:id w:val="-2119981149"/>
          </w:sdtPr>
          <w:sdtContent>
            <w:tc>
              <w:tcPr>
                <w:tcW w:w="1000" w:type="pct"/>
                <w:tcBorders>
                  <w:top w:val="single" w:color="auto" w:sz="4" w:space="0"/>
                  <w:left w:val="single" w:color="auto" w:sz="4" w:space="0"/>
                  <w:bottom w:val="single" w:color="auto" w:sz="4" w:space="0"/>
                  <w:right w:val="single" w:color="auto" w:sz="4" w:space="0"/>
                </w:tcBorders>
              </w:tcPr>
              <w:p w14:paraId="2CBB6F65">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股票简称</w:t>
                </w:r>
              </w:p>
            </w:tc>
          </w:sdtContent>
        </w:sdt>
        <w:sdt>
          <w:sdtPr>
            <w:tag w:val="_PLD_9fa1e8781b094b29b21027138e9f63e8"/>
            <w:id w:val="1918282028"/>
          </w:sdtPr>
          <w:sdtContent>
            <w:tc>
              <w:tcPr>
                <w:tcW w:w="1000" w:type="pct"/>
                <w:tcBorders>
                  <w:top w:val="single" w:color="auto" w:sz="4" w:space="0"/>
                  <w:left w:val="single" w:color="auto" w:sz="4" w:space="0"/>
                  <w:bottom w:val="single" w:color="auto" w:sz="4" w:space="0"/>
                  <w:right w:val="single" w:color="auto" w:sz="4" w:space="0"/>
                </w:tcBorders>
              </w:tcPr>
              <w:p w14:paraId="3BFA0913">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股票代码</w:t>
                </w:r>
              </w:p>
            </w:tc>
          </w:sdtContent>
        </w:sdt>
        <w:sdt>
          <w:sdtPr>
            <w:tag w:val="_PLD_38293dc771ef4460bd5252827867d07d"/>
            <w:id w:val="1900242427"/>
          </w:sdtPr>
          <w:sdtContent>
            <w:tc>
              <w:tcPr>
                <w:tcW w:w="1000" w:type="pct"/>
                <w:tcBorders>
                  <w:top w:val="single" w:color="auto" w:sz="4" w:space="0"/>
                  <w:left w:val="single" w:color="auto" w:sz="4" w:space="0"/>
                  <w:bottom w:val="single" w:color="auto" w:sz="4" w:space="0"/>
                </w:tcBorders>
              </w:tcPr>
              <w:p w14:paraId="2839F995">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变更前股票简称</w:t>
                </w:r>
              </w:p>
            </w:tc>
          </w:sdtContent>
        </w:sdt>
      </w:tr>
      <w:tr w14:paraId="66494B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000" w:type="pct"/>
            <w:tcBorders>
              <w:top w:val="single" w:color="auto" w:sz="4" w:space="0"/>
              <w:bottom w:val="single" w:color="auto" w:sz="4" w:space="0"/>
              <w:right w:val="single" w:color="auto" w:sz="4" w:space="0"/>
            </w:tcBorders>
          </w:tcPr>
          <w:p w14:paraId="7A6101DA">
            <w:pPr>
              <w:kinsoku w:val="0"/>
              <w:overflowPunct w:val="0"/>
              <w:autoSpaceDE w:val="0"/>
              <w:autoSpaceDN w:val="0"/>
              <w:adjustRightInd w:val="0"/>
              <w:snapToGrid w:val="0"/>
              <w:jc w:val="center"/>
            </w:pPr>
            <w:r>
              <w:t>A股</w:t>
            </w:r>
          </w:p>
        </w:tc>
        <w:tc>
          <w:tcPr>
            <w:tcW w:w="1000" w:type="pct"/>
            <w:tcBorders>
              <w:top w:val="single" w:color="auto" w:sz="4" w:space="0"/>
              <w:left w:val="single" w:color="auto" w:sz="4" w:space="0"/>
              <w:bottom w:val="single" w:color="auto" w:sz="4" w:space="0"/>
              <w:right w:val="single" w:color="auto" w:sz="4" w:space="0"/>
            </w:tcBorders>
          </w:tcPr>
          <w:p w14:paraId="03E9C3EA">
            <w:pPr>
              <w:kinsoku w:val="0"/>
              <w:overflowPunct w:val="0"/>
              <w:autoSpaceDE w:val="0"/>
              <w:autoSpaceDN w:val="0"/>
              <w:adjustRightInd w:val="0"/>
              <w:snapToGrid w:val="0"/>
              <w:jc w:val="center"/>
            </w:pPr>
            <w:r>
              <w:t>上海证券交易所</w:t>
            </w:r>
          </w:p>
        </w:tc>
        <w:tc>
          <w:tcPr>
            <w:tcW w:w="1000" w:type="pct"/>
            <w:tcBorders>
              <w:top w:val="single" w:color="auto" w:sz="4" w:space="0"/>
              <w:left w:val="single" w:color="auto" w:sz="4" w:space="0"/>
              <w:bottom w:val="single" w:color="auto" w:sz="4" w:space="0"/>
              <w:right w:val="single" w:color="auto" w:sz="4" w:space="0"/>
            </w:tcBorders>
          </w:tcPr>
          <w:p w14:paraId="29A2928E">
            <w:pPr>
              <w:kinsoku w:val="0"/>
              <w:overflowPunct w:val="0"/>
              <w:autoSpaceDE w:val="0"/>
              <w:autoSpaceDN w:val="0"/>
              <w:adjustRightInd w:val="0"/>
              <w:snapToGrid w:val="0"/>
              <w:jc w:val="center"/>
            </w:pPr>
            <w:r>
              <w:t>千里科技</w:t>
            </w:r>
          </w:p>
        </w:tc>
        <w:tc>
          <w:tcPr>
            <w:tcW w:w="1000" w:type="pct"/>
            <w:tcBorders>
              <w:top w:val="single" w:color="auto" w:sz="4" w:space="0"/>
              <w:left w:val="single" w:color="auto" w:sz="4" w:space="0"/>
              <w:bottom w:val="single" w:color="auto" w:sz="4" w:space="0"/>
              <w:right w:val="single" w:color="auto" w:sz="4" w:space="0"/>
            </w:tcBorders>
          </w:tcPr>
          <w:p w14:paraId="2F729564">
            <w:pPr>
              <w:kinsoku w:val="0"/>
              <w:overflowPunct w:val="0"/>
              <w:autoSpaceDE w:val="0"/>
              <w:autoSpaceDN w:val="0"/>
              <w:adjustRightInd w:val="0"/>
              <w:snapToGrid w:val="0"/>
              <w:jc w:val="center"/>
            </w:pPr>
            <w:r>
              <w:t>601777</w:t>
            </w:r>
          </w:p>
        </w:tc>
        <w:tc>
          <w:tcPr>
            <w:tcW w:w="1000" w:type="pct"/>
            <w:tcBorders>
              <w:top w:val="single" w:color="auto" w:sz="4" w:space="0"/>
              <w:left w:val="single" w:color="auto" w:sz="4" w:space="0"/>
              <w:bottom w:val="single" w:color="auto" w:sz="4" w:space="0"/>
            </w:tcBorders>
          </w:tcPr>
          <w:p w14:paraId="3706E5D5">
            <w:pPr>
              <w:kinsoku w:val="0"/>
              <w:overflowPunct w:val="0"/>
              <w:autoSpaceDE w:val="0"/>
              <w:autoSpaceDN w:val="0"/>
              <w:adjustRightInd w:val="0"/>
              <w:snapToGrid w:val="0"/>
              <w:jc w:val="center"/>
            </w:pPr>
            <w:r>
              <w:t>力帆科技</w:t>
            </w:r>
          </w:p>
        </w:tc>
      </w:tr>
    </w:tbl>
    <w:p w14:paraId="3BEA9E70"/>
    <w:p w14:paraId="777D42A9">
      <w:pPr>
        <w:pStyle w:val="3"/>
        <w:numPr>
          <w:ilvl w:val="0"/>
          <w:numId w:val="4"/>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其他有关资料</w:t>
      </w:r>
    </w:p>
    <w:sdt>
      <w:sdtPr>
        <w:rPr>
          <w:color w:val="000000" w:themeColor="text1"/>
          <w14:textFill>
            <w14:solidFill>
              <w14:schemeClr w14:val="tx1"/>
            </w14:solidFill>
          </w14:textFill>
        </w:rPr>
        <w:alias w:val="是否适用：其他有关资料[双击切换]"/>
        <w:tag w:val="_GBC_78c3cc115c0d4dd3bf5e7c57142e5e68"/>
        <w:id w:val="-1783259955"/>
        <w:placeholder>
          <w:docPart w:val="GBC22222222222222222222222222222"/>
        </w:placeholder>
      </w:sdtPr>
      <w:sdtEndPr>
        <w:rPr>
          <w:color w:val="000000" w:themeColor="text1"/>
          <w14:textFill>
            <w14:solidFill>
              <w14:schemeClr w14:val="tx1"/>
            </w14:solidFill>
          </w14:textFill>
        </w:rPr>
      </w:sdtEndPr>
      <w:sdtContent>
        <w:p w14:paraId="7858AC8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DFAEAB3">
      <w:pPr>
        <w:rPr>
          <w:color w:val="000000" w:themeColor="text1"/>
          <w:bdr w:val="single" w:color="auto" w:sz="4" w:space="0"/>
          <w14:textFill>
            <w14:solidFill>
              <w14:schemeClr w14:val="tx1"/>
            </w14:solidFill>
          </w14:textFill>
        </w:rPr>
      </w:pPr>
    </w:p>
    <w:p w14:paraId="004F1B6E">
      <w:pPr>
        <w:pStyle w:val="3"/>
        <w:numPr>
          <w:ilvl w:val="0"/>
          <w:numId w:val="4"/>
        </w:numPr>
        <w:ind w:left="0" w:firstLine="0"/>
        <w:rPr>
          <w:color w:val="000000" w:themeColor="text1"/>
          <w14:textFill>
            <w14:solidFill>
              <w14:schemeClr w14:val="tx1"/>
            </w14:solidFill>
          </w14:textFill>
        </w:rPr>
      </w:pPr>
      <w:bookmarkStart w:id="18" w:name="_Toc342056397"/>
      <w:bookmarkStart w:id="19" w:name="_Toc342565889"/>
      <w:r>
        <w:rPr>
          <w:rFonts w:hint="eastAsia"/>
          <w:color w:val="000000" w:themeColor="text1"/>
          <w14:textFill>
            <w14:solidFill>
              <w14:schemeClr w14:val="tx1"/>
            </w14:solidFill>
          </w14:textFill>
        </w:rPr>
        <w:t>公司主要会计数据和财务指标</w:t>
      </w:r>
    </w:p>
    <w:bookmarkEnd w:id="18"/>
    <w:bookmarkEnd w:id="19"/>
    <w:p w14:paraId="1A0FAF87">
      <w:pPr>
        <w:pStyle w:val="4"/>
        <w:numPr>
          <w:ilvl w:val="1"/>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主要会计数据</w:t>
      </w:r>
    </w:p>
    <w:p w14:paraId="7EDC536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报告期末公司前三年主要会计数据和财务指标"/>
          <w:tag w:val="_GBC_c7cd0dd826b247dbba8cc8b1a811aefb"/>
          <w:id w:val="-10069846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报告期末公司前三年主要会计数据和财务指标"/>
          <w:tag w:val="_GBC_2df6a5d441324c13bcf6c4c54ac41eb0"/>
          <w:id w:val="15151973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1"/>
        <w:gridCol w:w="2052"/>
        <w:gridCol w:w="2052"/>
        <w:gridCol w:w="1514"/>
      </w:tblGrid>
      <w:tr w14:paraId="36196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sdt>
          <w:sdtPr>
            <w:rPr>
              <w:rFonts w:asciiTheme="minorEastAsia" w:hAnsiTheme="minorEastAsia" w:eastAsiaTheme="minorEastAsia"/>
            </w:rPr>
            <w:tag w:val="_PLD_e63d02b963714237aa4678b1878c888d"/>
            <w:id w:val="-1259212694"/>
          </w:sdtPr>
          <w:sdtEndPr>
            <w:rPr>
              <w:rFonts w:asciiTheme="minorEastAsia" w:hAnsiTheme="minorEastAsia" w:eastAsiaTheme="minorEastAsia"/>
            </w:rPr>
          </w:sdtEndPr>
          <w:sdtContent>
            <w:tc>
              <w:tcPr>
                <w:tcW w:w="1896" w:type="pct"/>
                <w:vAlign w:val="center"/>
              </w:tcPr>
              <w:p w14:paraId="0AEF9F35">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bookmarkStart w:id="20" w:name="_Hlk72769913"/>
                <w:r>
                  <w:rPr>
                    <w:rFonts w:hint="eastAsia" w:asciiTheme="minorEastAsia" w:hAnsiTheme="minorEastAsia" w:eastAsiaTheme="minorEastAsia"/>
                    <w:color w:val="000000" w:themeColor="text1"/>
                    <w14:textFill>
                      <w14:solidFill>
                        <w14:schemeClr w14:val="tx1"/>
                      </w14:solidFill>
                    </w14:textFill>
                  </w:rPr>
                  <w:t>主要会计数据</w:t>
                </w:r>
              </w:p>
            </w:tc>
          </w:sdtContent>
        </w:sdt>
        <w:sdt>
          <w:sdtPr>
            <w:rPr>
              <w:rFonts w:asciiTheme="minorEastAsia" w:hAnsiTheme="minorEastAsia" w:eastAsiaTheme="minorEastAsia"/>
            </w:rPr>
            <w:tag w:val="_PLD_913ae157f7e74eee947ea98d96be3599"/>
            <w:id w:val="-1946604496"/>
          </w:sdtPr>
          <w:sdtEndPr>
            <w:rPr>
              <w:rFonts w:asciiTheme="minorEastAsia" w:hAnsiTheme="minorEastAsia" w:eastAsiaTheme="minorEastAsia"/>
            </w:rPr>
          </w:sdtEndPr>
          <w:sdtContent>
            <w:tc>
              <w:tcPr>
                <w:tcW w:w="1134" w:type="pct"/>
                <w:vAlign w:val="center"/>
              </w:tcPr>
              <w:p w14:paraId="32C0AE8A">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w:t>
                </w:r>
                <w:r>
                  <w:rPr>
                    <w:rFonts w:asciiTheme="minorEastAsia" w:hAnsiTheme="minorEastAsia" w:eastAsiaTheme="minorEastAsia"/>
                    <w:color w:val="000000" w:themeColor="text1"/>
                    <w14:textFill>
                      <w14:solidFill>
                        <w14:schemeClr w14:val="tx1"/>
                      </w14:solidFill>
                    </w14:textFill>
                  </w:rPr>
                  <w:t>报告期</w:t>
                </w:r>
              </w:p>
              <w:p w14:paraId="55D47B0E">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（1－6月）</w:t>
                </w:r>
              </w:p>
            </w:tc>
          </w:sdtContent>
        </w:sdt>
        <w:sdt>
          <w:sdtPr>
            <w:rPr>
              <w:rFonts w:asciiTheme="minorEastAsia" w:hAnsiTheme="minorEastAsia" w:eastAsiaTheme="minorEastAsia"/>
            </w:rPr>
            <w:tag w:val="_PLD_0f32665f64034720b1ecd674058f4d8b"/>
            <w:id w:val="1798175323"/>
          </w:sdtPr>
          <w:sdtEndPr>
            <w:rPr>
              <w:rFonts w:asciiTheme="minorEastAsia" w:hAnsiTheme="minorEastAsia" w:eastAsiaTheme="minorEastAsia"/>
            </w:rPr>
          </w:sdtEndPr>
          <w:sdtContent>
            <w:tc>
              <w:tcPr>
                <w:tcW w:w="1134" w:type="pct"/>
                <w:vAlign w:val="center"/>
              </w:tcPr>
              <w:p w14:paraId="0990B3A6">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上年同期</w:t>
                </w:r>
              </w:p>
            </w:tc>
          </w:sdtContent>
        </w:sdt>
        <w:sdt>
          <w:sdtPr>
            <w:rPr>
              <w:rFonts w:asciiTheme="minorEastAsia" w:hAnsiTheme="minorEastAsia" w:eastAsiaTheme="minorEastAsia"/>
            </w:rPr>
            <w:tag w:val="_PLD_e634aa67fe8c44038b152224d8a245d6"/>
            <w:id w:val="-197791052"/>
          </w:sdtPr>
          <w:sdtEndPr>
            <w:rPr>
              <w:rFonts w:asciiTheme="minorEastAsia" w:hAnsiTheme="minorEastAsia" w:eastAsiaTheme="minorEastAsia"/>
            </w:rPr>
          </w:sdtEndPr>
          <w:sdtContent>
            <w:tc>
              <w:tcPr>
                <w:tcW w:w="836" w:type="pct"/>
                <w:vAlign w:val="center"/>
              </w:tcPr>
              <w:p w14:paraId="6E022B63">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本报告期比上年同期增减(%)</w:t>
                </w:r>
              </w:p>
            </w:tc>
          </w:sdtContent>
        </w:sdt>
      </w:tr>
      <w:tr w14:paraId="0CD6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6" w:type="pct"/>
          </w:tcPr>
          <w:p w14:paraId="45416FAD">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w:t>
            </w:r>
          </w:p>
        </w:tc>
        <w:tc>
          <w:tcPr>
            <w:tcW w:w="1134" w:type="pct"/>
            <w:vAlign w:val="center"/>
          </w:tcPr>
          <w:p w14:paraId="1A6681D7">
            <w:pPr>
              <w:widowControl w:val="0"/>
              <w:jc w:val="right"/>
              <w:rPr>
                <w:rFonts w:asciiTheme="minorEastAsia" w:hAnsiTheme="minorEastAsia" w:eastAsiaTheme="minorEastAsia"/>
              </w:rPr>
            </w:pPr>
            <w:r>
              <w:rPr>
                <w:rFonts w:asciiTheme="minorEastAsia" w:hAnsiTheme="minorEastAsia" w:eastAsiaTheme="minorEastAsia"/>
              </w:rPr>
              <w:t>4,184,038,792.26</w:t>
            </w:r>
          </w:p>
        </w:tc>
        <w:tc>
          <w:tcPr>
            <w:tcW w:w="1134" w:type="pct"/>
            <w:vAlign w:val="center"/>
          </w:tcPr>
          <w:p w14:paraId="5389DC70">
            <w:pPr>
              <w:widowControl w:val="0"/>
              <w:jc w:val="right"/>
              <w:rPr>
                <w:rFonts w:asciiTheme="minorEastAsia" w:hAnsiTheme="minorEastAsia" w:eastAsiaTheme="minorEastAsia"/>
              </w:rPr>
            </w:pPr>
            <w:r>
              <w:rPr>
                <w:rFonts w:asciiTheme="minorEastAsia" w:hAnsiTheme="minorEastAsia" w:eastAsiaTheme="minorEastAsia"/>
              </w:rPr>
              <w:t>2,987,814,509.50</w:t>
            </w:r>
          </w:p>
        </w:tc>
        <w:tc>
          <w:tcPr>
            <w:tcW w:w="836" w:type="pct"/>
            <w:vAlign w:val="center"/>
          </w:tcPr>
          <w:p w14:paraId="0988A0F6">
            <w:pPr>
              <w:widowControl w:val="0"/>
              <w:jc w:val="right"/>
              <w:rPr>
                <w:rFonts w:asciiTheme="minorEastAsia" w:hAnsiTheme="minorEastAsia" w:eastAsiaTheme="minorEastAsia"/>
              </w:rPr>
            </w:pPr>
            <w:r>
              <w:rPr>
                <w:rFonts w:asciiTheme="minorEastAsia" w:hAnsiTheme="minorEastAsia" w:eastAsiaTheme="minorEastAsia"/>
              </w:rPr>
              <w:t>40.04</w:t>
            </w:r>
          </w:p>
        </w:tc>
      </w:tr>
      <w:tr w14:paraId="49D8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6" w:type="pct"/>
          </w:tcPr>
          <w:p w14:paraId="2A568D2A">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利润总额</w:t>
            </w:r>
          </w:p>
        </w:tc>
        <w:tc>
          <w:tcPr>
            <w:tcW w:w="1134" w:type="pct"/>
            <w:vAlign w:val="center"/>
          </w:tcPr>
          <w:p w14:paraId="28EFED1B">
            <w:pPr>
              <w:widowControl w:val="0"/>
              <w:jc w:val="right"/>
              <w:rPr>
                <w:rFonts w:asciiTheme="minorEastAsia" w:hAnsiTheme="minorEastAsia" w:eastAsiaTheme="minorEastAsia"/>
              </w:rPr>
            </w:pPr>
            <w:r>
              <w:rPr>
                <w:rFonts w:asciiTheme="minorEastAsia" w:hAnsiTheme="minorEastAsia" w:eastAsiaTheme="minorEastAsia"/>
              </w:rPr>
              <w:t>57,295,416.36</w:t>
            </w:r>
          </w:p>
        </w:tc>
        <w:tc>
          <w:tcPr>
            <w:tcW w:w="1134" w:type="pct"/>
            <w:vAlign w:val="center"/>
          </w:tcPr>
          <w:p w14:paraId="3571802E">
            <w:pPr>
              <w:widowControl w:val="0"/>
              <w:jc w:val="right"/>
              <w:rPr>
                <w:rFonts w:asciiTheme="minorEastAsia" w:hAnsiTheme="minorEastAsia" w:eastAsiaTheme="minorEastAsia"/>
              </w:rPr>
            </w:pPr>
            <w:r>
              <w:rPr>
                <w:rFonts w:asciiTheme="minorEastAsia" w:hAnsiTheme="minorEastAsia" w:eastAsiaTheme="minorEastAsia"/>
              </w:rPr>
              <w:t>-130,148,167.86</w:t>
            </w:r>
          </w:p>
        </w:tc>
        <w:tc>
          <w:tcPr>
            <w:tcW w:w="836" w:type="pct"/>
            <w:vAlign w:val="center"/>
          </w:tcPr>
          <w:p w14:paraId="3F015889">
            <w:pPr>
              <w:widowControl w:val="0"/>
              <w:jc w:val="center"/>
              <w:rPr>
                <w:rFonts w:asciiTheme="minorEastAsia" w:hAnsiTheme="minorEastAsia" w:eastAsiaTheme="minorEastAsia"/>
              </w:rPr>
            </w:pPr>
            <w:r>
              <w:rPr>
                <w:rFonts w:asciiTheme="minorEastAsia" w:hAnsiTheme="minorEastAsia" w:eastAsiaTheme="minorEastAsia"/>
              </w:rPr>
              <w:t>不适用</w:t>
            </w:r>
          </w:p>
        </w:tc>
      </w:tr>
      <w:tr w14:paraId="01C2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6" w:type="pct"/>
          </w:tcPr>
          <w:p w14:paraId="2670740B">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归属于上市公司股东的净利润</w:t>
            </w:r>
          </w:p>
        </w:tc>
        <w:tc>
          <w:tcPr>
            <w:tcW w:w="1134" w:type="pct"/>
            <w:vAlign w:val="center"/>
          </w:tcPr>
          <w:p w14:paraId="0DCA5D50">
            <w:pPr>
              <w:widowControl w:val="0"/>
              <w:jc w:val="right"/>
              <w:rPr>
                <w:rFonts w:asciiTheme="minorEastAsia" w:hAnsiTheme="minorEastAsia" w:eastAsiaTheme="minorEastAsia"/>
              </w:rPr>
            </w:pPr>
            <w:r>
              <w:rPr>
                <w:rFonts w:asciiTheme="minorEastAsia" w:hAnsiTheme="minorEastAsia" w:eastAsiaTheme="minorEastAsia"/>
              </w:rPr>
              <w:t>31,170,783.19</w:t>
            </w:r>
          </w:p>
        </w:tc>
        <w:tc>
          <w:tcPr>
            <w:tcW w:w="1134" w:type="pct"/>
            <w:vAlign w:val="center"/>
          </w:tcPr>
          <w:p w14:paraId="598ED2C0">
            <w:pPr>
              <w:widowControl w:val="0"/>
              <w:jc w:val="right"/>
              <w:rPr>
                <w:rFonts w:asciiTheme="minorEastAsia" w:hAnsiTheme="minorEastAsia" w:eastAsiaTheme="minorEastAsia"/>
              </w:rPr>
            </w:pPr>
            <w:r>
              <w:rPr>
                <w:rFonts w:asciiTheme="minorEastAsia" w:hAnsiTheme="minorEastAsia" w:eastAsiaTheme="minorEastAsia"/>
              </w:rPr>
              <w:t>26,193,818.95</w:t>
            </w:r>
          </w:p>
        </w:tc>
        <w:tc>
          <w:tcPr>
            <w:tcW w:w="836" w:type="pct"/>
            <w:vAlign w:val="center"/>
          </w:tcPr>
          <w:p w14:paraId="2382AB8D">
            <w:pPr>
              <w:widowControl w:val="0"/>
              <w:jc w:val="right"/>
              <w:rPr>
                <w:rFonts w:asciiTheme="minorEastAsia" w:hAnsiTheme="minorEastAsia" w:eastAsiaTheme="minorEastAsia"/>
              </w:rPr>
            </w:pPr>
            <w:r>
              <w:rPr>
                <w:rFonts w:asciiTheme="minorEastAsia" w:hAnsiTheme="minorEastAsia" w:eastAsiaTheme="minorEastAsia"/>
              </w:rPr>
              <w:t>19.00</w:t>
            </w:r>
          </w:p>
        </w:tc>
      </w:tr>
      <w:tr w14:paraId="62D5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6" w:type="pct"/>
          </w:tcPr>
          <w:p w14:paraId="445B4B25">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归属于上市公司股东的扣除非经常性损益的净利润</w:t>
            </w:r>
          </w:p>
        </w:tc>
        <w:tc>
          <w:tcPr>
            <w:tcW w:w="1134" w:type="pct"/>
            <w:vAlign w:val="center"/>
          </w:tcPr>
          <w:p w14:paraId="63F0F939">
            <w:pPr>
              <w:widowControl w:val="0"/>
              <w:jc w:val="right"/>
              <w:rPr>
                <w:rFonts w:asciiTheme="minorEastAsia" w:hAnsiTheme="minorEastAsia" w:eastAsiaTheme="minorEastAsia"/>
                <w:color w:val="000000"/>
              </w:rPr>
            </w:pPr>
            <w:r>
              <w:rPr>
                <w:rFonts w:asciiTheme="minorEastAsia" w:hAnsiTheme="minorEastAsia" w:eastAsiaTheme="minorEastAsia"/>
              </w:rPr>
              <w:t>-133,503,319.49</w:t>
            </w:r>
          </w:p>
        </w:tc>
        <w:tc>
          <w:tcPr>
            <w:tcW w:w="1134" w:type="pct"/>
            <w:vAlign w:val="center"/>
          </w:tcPr>
          <w:p w14:paraId="3763255E">
            <w:pPr>
              <w:widowControl w:val="0"/>
              <w:jc w:val="right"/>
              <w:rPr>
                <w:rFonts w:asciiTheme="minorEastAsia" w:hAnsiTheme="minorEastAsia" w:eastAsiaTheme="minorEastAsia"/>
              </w:rPr>
            </w:pPr>
            <w:r>
              <w:rPr>
                <w:rFonts w:asciiTheme="minorEastAsia" w:hAnsiTheme="minorEastAsia" w:eastAsiaTheme="minorEastAsia"/>
              </w:rPr>
              <w:t>16,606,837.69</w:t>
            </w:r>
          </w:p>
        </w:tc>
        <w:tc>
          <w:tcPr>
            <w:tcW w:w="836" w:type="pct"/>
            <w:vAlign w:val="center"/>
          </w:tcPr>
          <w:p w14:paraId="713DF4BD">
            <w:pPr>
              <w:widowControl w:val="0"/>
              <w:jc w:val="right"/>
              <w:rPr>
                <w:rFonts w:asciiTheme="minorEastAsia" w:hAnsiTheme="minorEastAsia" w:eastAsiaTheme="minorEastAsia"/>
              </w:rPr>
            </w:pPr>
            <w:r>
              <w:rPr>
                <w:rFonts w:asciiTheme="minorEastAsia" w:hAnsiTheme="minorEastAsia" w:eastAsiaTheme="minorEastAsia"/>
              </w:rPr>
              <w:t>-903.91</w:t>
            </w:r>
          </w:p>
        </w:tc>
      </w:tr>
      <w:tr w14:paraId="6934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6" w:type="pct"/>
          </w:tcPr>
          <w:p w14:paraId="31364E70">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highlight w:val="magenta"/>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经营活动产生的现金流量净额</w:t>
            </w:r>
          </w:p>
        </w:tc>
        <w:tc>
          <w:tcPr>
            <w:tcW w:w="1134" w:type="pct"/>
            <w:vAlign w:val="center"/>
          </w:tcPr>
          <w:p w14:paraId="59EEF1AF">
            <w:pPr>
              <w:widowControl w:val="0"/>
              <w:jc w:val="right"/>
              <w:rPr>
                <w:rFonts w:asciiTheme="minorEastAsia" w:hAnsiTheme="minorEastAsia" w:eastAsiaTheme="minorEastAsia"/>
              </w:rPr>
            </w:pPr>
            <w:r>
              <w:rPr>
                <w:rFonts w:asciiTheme="minorEastAsia" w:hAnsiTheme="minorEastAsia" w:eastAsiaTheme="minorEastAsia"/>
              </w:rPr>
              <w:t>1,314,967,285.61</w:t>
            </w:r>
          </w:p>
        </w:tc>
        <w:tc>
          <w:tcPr>
            <w:tcW w:w="1134" w:type="pct"/>
            <w:vAlign w:val="center"/>
          </w:tcPr>
          <w:p w14:paraId="0B1E148B">
            <w:pPr>
              <w:widowControl w:val="0"/>
              <w:jc w:val="right"/>
              <w:rPr>
                <w:rFonts w:asciiTheme="minorEastAsia" w:hAnsiTheme="minorEastAsia" w:eastAsiaTheme="minorEastAsia"/>
              </w:rPr>
            </w:pPr>
            <w:r>
              <w:rPr>
                <w:rFonts w:asciiTheme="minorEastAsia" w:hAnsiTheme="minorEastAsia" w:eastAsiaTheme="minorEastAsia"/>
              </w:rPr>
              <w:t>264,962,015.94</w:t>
            </w:r>
          </w:p>
        </w:tc>
        <w:tc>
          <w:tcPr>
            <w:tcW w:w="836" w:type="pct"/>
            <w:vAlign w:val="center"/>
          </w:tcPr>
          <w:p w14:paraId="754E6D44">
            <w:pPr>
              <w:widowControl w:val="0"/>
              <w:jc w:val="right"/>
              <w:rPr>
                <w:rFonts w:asciiTheme="minorEastAsia" w:hAnsiTheme="minorEastAsia" w:eastAsiaTheme="minorEastAsia"/>
              </w:rPr>
            </w:pPr>
            <w:r>
              <w:rPr>
                <w:rFonts w:asciiTheme="minorEastAsia" w:hAnsiTheme="minorEastAsia" w:eastAsiaTheme="minorEastAsia"/>
              </w:rPr>
              <w:t>396.29</w:t>
            </w:r>
          </w:p>
        </w:tc>
      </w:tr>
      <w:tr w14:paraId="5CB9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896" w:type="pct"/>
            <w:vAlign w:val="center"/>
          </w:tcPr>
          <w:p w14:paraId="07647EFB">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p>
        </w:tc>
        <w:sdt>
          <w:sdtPr>
            <w:rPr>
              <w:rFonts w:asciiTheme="minorEastAsia" w:hAnsiTheme="minorEastAsia" w:eastAsiaTheme="minorEastAsia"/>
            </w:rPr>
            <w:tag w:val="_PLD_b75e9aa554cc48539ab9de572d244f45"/>
            <w:id w:val="1453595595"/>
          </w:sdtPr>
          <w:sdtEndPr>
            <w:rPr>
              <w:rFonts w:asciiTheme="minorEastAsia" w:hAnsiTheme="minorEastAsia" w:eastAsiaTheme="minorEastAsia"/>
            </w:rPr>
          </w:sdtEndPr>
          <w:sdtContent>
            <w:tc>
              <w:tcPr>
                <w:tcW w:w="1134" w:type="pct"/>
                <w:vAlign w:val="center"/>
              </w:tcPr>
              <w:p w14:paraId="6945BF9C">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本报告期末</w:t>
                </w:r>
              </w:p>
            </w:tc>
          </w:sdtContent>
        </w:sdt>
        <w:sdt>
          <w:sdtPr>
            <w:rPr>
              <w:rFonts w:asciiTheme="minorEastAsia" w:hAnsiTheme="minorEastAsia" w:eastAsiaTheme="minorEastAsia"/>
            </w:rPr>
            <w:tag w:val="_PLD_7425b2bc6a39452296814978a781ba72"/>
            <w:id w:val="-2021540227"/>
          </w:sdtPr>
          <w:sdtEndPr>
            <w:rPr>
              <w:rFonts w:asciiTheme="minorEastAsia" w:hAnsiTheme="minorEastAsia" w:eastAsiaTheme="minorEastAsia"/>
            </w:rPr>
          </w:sdtEndPr>
          <w:sdtContent>
            <w:tc>
              <w:tcPr>
                <w:tcW w:w="1134" w:type="pct"/>
                <w:vAlign w:val="center"/>
              </w:tcPr>
              <w:p w14:paraId="272B1EE8">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上年度末</w:t>
                </w:r>
              </w:p>
            </w:tc>
          </w:sdtContent>
        </w:sdt>
        <w:sdt>
          <w:sdtPr>
            <w:rPr>
              <w:rFonts w:asciiTheme="minorEastAsia" w:hAnsiTheme="minorEastAsia" w:eastAsiaTheme="minorEastAsia"/>
            </w:rPr>
            <w:tag w:val="_PLD_7a1ba9a6d9b54e51bd320f47b6233184"/>
            <w:id w:val="423699661"/>
          </w:sdtPr>
          <w:sdtEndPr>
            <w:rPr>
              <w:rFonts w:asciiTheme="minorEastAsia" w:hAnsiTheme="minorEastAsia" w:eastAsiaTheme="minorEastAsia"/>
            </w:rPr>
          </w:sdtEndPr>
          <w:sdtContent>
            <w:tc>
              <w:tcPr>
                <w:tcW w:w="836" w:type="pct"/>
                <w:vAlign w:val="center"/>
              </w:tcPr>
              <w:p w14:paraId="22A17909">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本报告期末比上年度末增减(%)</w:t>
                </w:r>
              </w:p>
            </w:tc>
          </w:sdtContent>
        </w:sdt>
      </w:tr>
      <w:tr w14:paraId="3D9C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6" w:type="pct"/>
          </w:tcPr>
          <w:p w14:paraId="6AECACF3">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归属于上市公司股东的净资产</w:t>
            </w:r>
          </w:p>
        </w:tc>
        <w:tc>
          <w:tcPr>
            <w:tcW w:w="1134" w:type="pct"/>
            <w:vAlign w:val="center"/>
          </w:tcPr>
          <w:p w14:paraId="32DEF2AE">
            <w:pPr>
              <w:widowControl w:val="0"/>
              <w:jc w:val="right"/>
              <w:rPr>
                <w:rFonts w:asciiTheme="minorEastAsia" w:hAnsiTheme="minorEastAsia" w:eastAsiaTheme="minorEastAsia"/>
              </w:rPr>
            </w:pPr>
            <w:r>
              <w:rPr>
                <w:rFonts w:asciiTheme="minorEastAsia" w:hAnsiTheme="minorEastAsia" w:eastAsiaTheme="minorEastAsia"/>
              </w:rPr>
              <w:t>10,553,937,457.06</w:t>
            </w:r>
          </w:p>
        </w:tc>
        <w:tc>
          <w:tcPr>
            <w:tcW w:w="1134" w:type="pct"/>
            <w:vAlign w:val="center"/>
          </w:tcPr>
          <w:p w14:paraId="3FDEA8CF">
            <w:pPr>
              <w:widowControl w:val="0"/>
              <w:jc w:val="right"/>
              <w:rPr>
                <w:rFonts w:asciiTheme="minorEastAsia" w:hAnsiTheme="minorEastAsia" w:eastAsiaTheme="minorEastAsia"/>
              </w:rPr>
            </w:pPr>
            <w:r>
              <w:rPr>
                <w:rFonts w:asciiTheme="minorEastAsia" w:hAnsiTheme="minorEastAsia" w:eastAsiaTheme="minorEastAsia"/>
              </w:rPr>
              <w:t>10,511,329,437.11</w:t>
            </w:r>
          </w:p>
        </w:tc>
        <w:tc>
          <w:tcPr>
            <w:tcW w:w="836" w:type="pct"/>
            <w:vAlign w:val="center"/>
          </w:tcPr>
          <w:p w14:paraId="63F45AC0">
            <w:pPr>
              <w:widowControl w:val="0"/>
              <w:jc w:val="right"/>
              <w:rPr>
                <w:rFonts w:asciiTheme="minorEastAsia" w:hAnsiTheme="minorEastAsia" w:eastAsiaTheme="minorEastAsia"/>
              </w:rPr>
            </w:pPr>
            <w:r>
              <w:rPr>
                <w:rFonts w:asciiTheme="minorEastAsia" w:hAnsiTheme="minorEastAsia" w:eastAsiaTheme="minorEastAsia"/>
              </w:rPr>
              <w:t>0.41</w:t>
            </w:r>
          </w:p>
        </w:tc>
      </w:tr>
      <w:tr w14:paraId="3EEB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896" w:type="pct"/>
          </w:tcPr>
          <w:p w14:paraId="2F844F71">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总资产</w:t>
            </w:r>
          </w:p>
        </w:tc>
        <w:tc>
          <w:tcPr>
            <w:tcW w:w="1134" w:type="pct"/>
            <w:vAlign w:val="center"/>
          </w:tcPr>
          <w:p w14:paraId="58E414CB">
            <w:pPr>
              <w:widowControl w:val="0"/>
              <w:jc w:val="right"/>
              <w:rPr>
                <w:rFonts w:asciiTheme="minorEastAsia" w:hAnsiTheme="minorEastAsia" w:eastAsiaTheme="minorEastAsia"/>
              </w:rPr>
            </w:pPr>
            <w:r>
              <w:rPr>
                <w:rFonts w:asciiTheme="minorEastAsia" w:hAnsiTheme="minorEastAsia" w:eastAsiaTheme="minorEastAsia"/>
              </w:rPr>
              <w:t>22,396,283,301.07</w:t>
            </w:r>
          </w:p>
        </w:tc>
        <w:tc>
          <w:tcPr>
            <w:tcW w:w="1134" w:type="pct"/>
            <w:vAlign w:val="center"/>
          </w:tcPr>
          <w:p w14:paraId="5399D996">
            <w:pPr>
              <w:widowControl w:val="0"/>
              <w:jc w:val="right"/>
              <w:rPr>
                <w:rFonts w:asciiTheme="minorEastAsia" w:hAnsiTheme="minorEastAsia" w:eastAsiaTheme="minorEastAsia"/>
              </w:rPr>
            </w:pPr>
            <w:r>
              <w:rPr>
                <w:rFonts w:asciiTheme="minorEastAsia" w:hAnsiTheme="minorEastAsia" w:eastAsiaTheme="minorEastAsia"/>
              </w:rPr>
              <w:t>21,713,662,266.54</w:t>
            </w:r>
          </w:p>
        </w:tc>
        <w:tc>
          <w:tcPr>
            <w:tcW w:w="836" w:type="pct"/>
            <w:vAlign w:val="center"/>
          </w:tcPr>
          <w:p w14:paraId="767C6A9F">
            <w:pPr>
              <w:widowControl w:val="0"/>
              <w:jc w:val="right"/>
              <w:rPr>
                <w:rFonts w:asciiTheme="minorEastAsia" w:hAnsiTheme="minorEastAsia" w:eastAsiaTheme="minorEastAsia"/>
              </w:rPr>
            </w:pPr>
            <w:r>
              <w:rPr>
                <w:rFonts w:asciiTheme="minorEastAsia" w:hAnsiTheme="minorEastAsia" w:eastAsiaTheme="minorEastAsia"/>
              </w:rPr>
              <w:t>3.14</w:t>
            </w:r>
          </w:p>
        </w:tc>
      </w:tr>
    </w:tbl>
    <w:p w14:paraId="6DDFE6ED">
      <w:pPr>
        <w:rPr>
          <w:color w:val="000000" w:themeColor="text1"/>
          <w14:textFill>
            <w14:solidFill>
              <w14:schemeClr w14:val="tx1"/>
            </w14:solidFill>
          </w14:textFill>
        </w:rPr>
      </w:pPr>
    </w:p>
    <w:bookmarkEnd w:id="20"/>
    <w:p w14:paraId="4FEA5118">
      <w:pPr>
        <w:pStyle w:val="4"/>
        <w:numPr>
          <w:ilvl w:val="1"/>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主要财务指标</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2"/>
        <w:gridCol w:w="1661"/>
        <w:gridCol w:w="1586"/>
        <w:gridCol w:w="2024"/>
      </w:tblGrid>
      <w:tr w14:paraId="04F5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12e929543994adfbc7a21fe743cd125"/>
            <w:id w:val="406573765"/>
          </w:sdtPr>
          <w:sdtEndPr>
            <w:rPr>
              <w:rFonts w:asciiTheme="minorEastAsia" w:hAnsiTheme="minorEastAsia" w:eastAsiaTheme="minorEastAsia"/>
            </w:rPr>
          </w:sdtEndPr>
          <w:sdtContent>
            <w:tc>
              <w:tcPr>
                <w:tcW w:w="3552" w:type="dxa"/>
                <w:vAlign w:val="center"/>
              </w:tcPr>
              <w:p w14:paraId="0831454D">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主要财务指标</w:t>
                </w:r>
              </w:p>
            </w:tc>
          </w:sdtContent>
        </w:sdt>
        <w:sdt>
          <w:sdtPr>
            <w:rPr>
              <w:rFonts w:asciiTheme="minorEastAsia" w:hAnsiTheme="minorEastAsia" w:eastAsiaTheme="minorEastAsia"/>
            </w:rPr>
            <w:tag w:val="_PLD_d04f89449ff14c5fa39e871117b7e9e2"/>
            <w:id w:val="714388720"/>
          </w:sdtPr>
          <w:sdtEndPr>
            <w:rPr>
              <w:rFonts w:asciiTheme="minorEastAsia" w:hAnsiTheme="minorEastAsia" w:eastAsiaTheme="minorEastAsia"/>
            </w:rPr>
          </w:sdtEndPr>
          <w:sdtContent>
            <w:tc>
              <w:tcPr>
                <w:tcW w:w="1661" w:type="dxa"/>
                <w:vAlign w:val="center"/>
              </w:tcPr>
              <w:p w14:paraId="74299C00">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本报告期</w:t>
                </w:r>
              </w:p>
              <w:p w14:paraId="557A153B">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（1－6月）</w:t>
                </w:r>
              </w:p>
            </w:tc>
          </w:sdtContent>
        </w:sdt>
        <w:sdt>
          <w:sdtPr>
            <w:rPr>
              <w:rFonts w:asciiTheme="minorEastAsia" w:hAnsiTheme="minorEastAsia" w:eastAsiaTheme="minorEastAsia"/>
            </w:rPr>
            <w:tag w:val="_PLD_bdb91a2a58254a0e945eecc5aef91521"/>
            <w:id w:val="-977076485"/>
          </w:sdtPr>
          <w:sdtEndPr>
            <w:rPr>
              <w:rFonts w:asciiTheme="minorEastAsia" w:hAnsiTheme="minorEastAsia" w:eastAsiaTheme="minorEastAsia"/>
            </w:rPr>
          </w:sdtEndPr>
          <w:sdtContent>
            <w:tc>
              <w:tcPr>
                <w:tcW w:w="1586" w:type="dxa"/>
                <w:vAlign w:val="center"/>
              </w:tcPr>
              <w:p w14:paraId="2B203C94">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上年同期</w:t>
                </w:r>
              </w:p>
            </w:tc>
          </w:sdtContent>
        </w:sdt>
        <w:sdt>
          <w:sdtPr>
            <w:rPr>
              <w:rFonts w:asciiTheme="minorEastAsia" w:hAnsiTheme="minorEastAsia" w:eastAsiaTheme="minorEastAsia"/>
            </w:rPr>
            <w:tag w:val="_PLD_08306889e5b040aa83784b3f6db386f1"/>
            <w:id w:val="1211776392"/>
          </w:sdtPr>
          <w:sdtEndPr>
            <w:rPr>
              <w:rFonts w:asciiTheme="minorEastAsia" w:hAnsiTheme="minorEastAsia" w:eastAsiaTheme="minorEastAsia"/>
            </w:rPr>
          </w:sdtEndPr>
          <w:sdtContent>
            <w:tc>
              <w:tcPr>
                <w:tcW w:w="2024" w:type="dxa"/>
                <w:vAlign w:val="center"/>
              </w:tcPr>
              <w:p w14:paraId="38DFEA4F">
                <w:pPr>
                  <w:widowControl w:val="0"/>
                  <w:kinsoku w:val="0"/>
                  <w:overflowPunct w:val="0"/>
                  <w:autoSpaceDE w:val="0"/>
                  <w:autoSpaceDN w:val="0"/>
                  <w:adjustRightInd w:val="0"/>
                  <w:snapToGrid w:val="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本报告期比上年同期增减(%)</w:t>
                </w:r>
              </w:p>
            </w:tc>
          </w:sdtContent>
        </w:sdt>
      </w:tr>
      <w:tr w14:paraId="49AA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vAlign w:val="center"/>
          </w:tcPr>
          <w:p w14:paraId="42A230BB">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基本每股收益（元／股）</w:t>
            </w:r>
          </w:p>
        </w:tc>
        <w:tc>
          <w:tcPr>
            <w:tcW w:w="1661" w:type="dxa"/>
            <w:vAlign w:val="center"/>
          </w:tcPr>
          <w:p w14:paraId="10D2A537">
            <w:pPr>
              <w:widowControl w:val="0"/>
              <w:jc w:val="right"/>
              <w:rPr>
                <w:rFonts w:asciiTheme="minorEastAsia" w:hAnsiTheme="minorEastAsia" w:eastAsiaTheme="minorEastAsia"/>
              </w:rPr>
            </w:pPr>
            <w:r>
              <w:t>0.0069</w:t>
            </w:r>
          </w:p>
        </w:tc>
        <w:tc>
          <w:tcPr>
            <w:tcW w:w="1586" w:type="dxa"/>
            <w:vAlign w:val="center"/>
          </w:tcPr>
          <w:p w14:paraId="2DD6751E">
            <w:pPr>
              <w:widowControl w:val="0"/>
              <w:jc w:val="right"/>
              <w:rPr>
                <w:rFonts w:asciiTheme="minorEastAsia" w:hAnsiTheme="minorEastAsia" w:eastAsiaTheme="minorEastAsia"/>
              </w:rPr>
            </w:pPr>
            <w:r>
              <w:t>0.0057</w:t>
            </w:r>
          </w:p>
        </w:tc>
        <w:tc>
          <w:tcPr>
            <w:tcW w:w="2024" w:type="dxa"/>
            <w:vAlign w:val="center"/>
          </w:tcPr>
          <w:p w14:paraId="1AD5D27E">
            <w:pPr>
              <w:widowControl w:val="0"/>
              <w:jc w:val="right"/>
              <w:rPr>
                <w:rFonts w:asciiTheme="minorEastAsia" w:hAnsiTheme="minorEastAsia" w:eastAsiaTheme="minorEastAsia"/>
              </w:rPr>
            </w:pPr>
            <w:r>
              <w:t>21.05</w:t>
            </w:r>
          </w:p>
        </w:tc>
      </w:tr>
      <w:tr w14:paraId="4B7B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vAlign w:val="center"/>
          </w:tcPr>
          <w:p w14:paraId="1CACC0D1">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稀释每股收益（元／股）</w:t>
            </w:r>
          </w:p>
        </w:tc>
        <w:tc>
          <w:tcPr>
            <w:tcW w:w="1661" w:type="dxa"/>
            <w:vAlign w:val="center"/>
          </w:tcPr>
          <w:p w14:paraId="09AFF6AC">
            <w:pPr>
              <w:widowControl w:val="0"/>
              <w:jc w:val="right"/>
              <w:rPr>
                <w:rFonts w:asciiTheme="minorEastAsia" w:hAnsiTheme="minorEastAsia" w:eastAsiaTheme="minorEastAsia"/>
              </w:rPr>
            </w:pPr>
            <w:r>
              <w:t>0.0069</w:t>
            </w:r>
          </w:p>
        </w:tc>
        <w:tc>
          <w:tcPr>
            <w:tcW w:w="1586" w:type="dxa"/>
            <w:vAlign w:val="center"/>
          </w:tcPr>
          <w:p w14:paraId="45052CC8">
            <w:pPr>
              <w:widowControl w:val="0"/>
              <w:jc w:val="right"/>
              <w:rPr>
                <w:rFonts w:asciiTheme="minorEastAsia" w:hAnsiTheme="minorEastAsia" w:eastAsiaTheme="minorEastAsia"/>
              </w:rPr>
            </w:pPr>
            <w:r>
              <w:t>0.0057</w:t>
            </w:r>
          </w:p>
        </w:tc>
        <w:tc>
          <w:tcPr>
            <w:tcW w:w="2024" w:type="dxa"/>
            <w:vAlign w:val="center"/>
          </w:tcPr>
          <w:p w14:paraId="601DA3D9">
            <w:pPr>
              <w:widowControl w:val="0"/>
              <w:jc w:val="right"/>
              <w:rPr>
                <w:rFonts w:asciiTheme="minorEastAsia" w:hAnsiTheme="minorEastAsia" w:eastAsiaTheme="minorEastAsia"/>
              </w:rPr>
            </w:pPr>
            <w:r>
              <w:t>21.05</w:t>
            </w:r>
          </w:p>
        </w:tc>
      </w:tr>
      <w:tr w14:paraId="675A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vAlign w:val="center"/>
          </w:tcPr>
          <w:p w14:paraId="4108963B">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扣除非经常性损益后的基本每股收益（元／股）</w:t>
            </w:r>
          </w:p>
        </w:tc>
        <w:tc>
          <w:tcPr>
            <w:tcW w:w="1661" w:type="dxa"/>
            <w:vAlign w:val="center"/>
          </w:tcPr>
          <w:p w14:paraId="37B6746B">
            <w:pPr>
              <w:widowControl w:val="0"/>
              <w:jc w:val="right"/>
              <w:rPr>
                <w:rFonts w:asciiTheme="minorEastAsia" w:hAnsiTheme="minorEastAsia" w:eastAsiaTheme="minorEastAsia"/>
                <w:color w:val="000000"/>
              </w:rPr>
            </w:pPr>
            <w:r>
              <w:t>-0.0295</w:t>
            </w:r>
          </w:p>
        </w:tc>
        <w:tc>
          <w:tcPr>
            <w:tcW w:w="1586" w:type="dxa"/>
            <w:vAlign w:val="center"/>
          </w:tcPr>
          <w:p w14:paraId="407A5CD1">
            <w:pPr>
              <w:widowControl w:val="0"/>
              <w:jc w:val="right"/>
              <w:rPr>
                <w:rFonts w:asciiTheme="minorEastAsia" w:hAnsiTheme="minorEastAsia" w:eastAsiaTheme="minorEastAsia"/>
                <w:color w:val="000000"/>
              </w:rPr>
            </w:pPr>
            <w:r>
              <w:t>0.0036</w:t>
            </w:r>
          </w:p>
        </w:tc>
        <w:tc>
          <w:tcPr>
            <w:tcW w:w="2024" w:type="dxa"/>
            <w:vAlign w:val="center"/>
          </w:tcPr>
          <w:p w14:paraId="66C27793">
            <w:pPr>
              <w:widowControl w:val="0"/>
              <w:jc w:val="right"/>
              <w:rPr>
                <w:rFonts w:asciiTheme="minorEastAsia" w:hAnsiTheme="minorEastAsia" w:eastAsiaTheme="minorEastAsia"/>
                <w:color w:val="000000"/>
              </w:rPr>
            </w:pPr>
            <w:r>
              <w:rPr>
                <w:rFonts w:hint="eastAsia" w:asciiTheme="minorEastAsia" w:hAnsiTheme="minorEastAsia" w:eastAsiaTheme="minorEastAsia"/>
                <w:color w:val="000000"/>
              </w:rPr>
              <w:t>-</w:t>
            </w:r>
            <w:r>
              <w:rPr>
                <w:rFonts w:asciiTheme="minorEastAsia" w:hAnsiTheme="minorEastAsia" w:eastAsiaTheme="minorEastAsia"/>
                <w:color w:val="000000"/>
              </w:rPr>
              <w:t>919.44</w:t>
            </w:r>
          </w:p>
        </w:tc>
      </w:tr>
      <w:tr w14:paraId="3D8F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vAlign w:val="center"/>
          </w:tcPr>
          <w:p w14:paraId="00AC0632">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加权平均净资产收益率（%）</w:t>
            </w:r>
          </w:p>
        </w:tc>
        <w:tc>
          <w:tcPr>
            <w:tcW w:w="1661" w:type="dxa"/>
            <w:vAlign w:val="center"/>
          </w:tcPr>
          <w:p w14:paraId="1AF37EF4">
            <w:pPr>
              <w:widowControl w:val="0"/>
              <w:jc w:val="right"/>
              <w:rPr>
                <w:rFonts w:asciiTheme="minorEastAsia" w:hAnsiTheme="minorEastAsia" w:eastAsiaTheme="minorEastAsia"/>
              </w:rPr>
            </w:pPr>
            <w:r>
              <w:t>0.30</w:t>
            </w:r>
          </w:p>
        </w:tc>
        <w:tc>
          <w:tcPr>
            <w:tcW w:w="1586" w:type="dxa"/>
            <w:vAlign w:val="center"/>
          </w:tcPr>
          <w:p w14:paraId="792F3D74">
            <w:pPr>
              <w:widowControl w:val="0"/>
              <w:jc w:val="right"/>
              <w:rPr>
                <w:rFonts w:asciiTheme="minorEastAsia" w:hAnsiTheme="minorEastAsia" w:eastAsiaTheme="minorEastAsia"/>
              </w:rPr>
            </w:pPr>
            <w:r>
              <w:t>0.25</w:t>
            </w:r>
          </w:p>
        </w:tc>
        <w:tc>
          <w:tcPr>
            <w:tcW w:w="2024" w:type="dxa"/>
            <w:vAlign w:val="center"/>
          </w:tcPr>
          <w:p w14:paraId="28139482">
            <w:pPr>
              <w:widowControl w:val="0"/>
              <w:jc w:val="right"/>
              <w:rPr>
                <w:rFonts w:asciiTheme="minorEastAsia" w:hAnsiTheme="minorEastAsia" w:eastAsiaTheme="minorEastAsia"/>
              </w:rPr>
            </w:pPr>
            <w:r>
              <w:rPr>
                <w:rFonts w:hint="eastAsia"/>
              </w:rPr>
              <w:t>增加0.05个百分点</w:t>
            </w:r>
          </w:p>
        </w:tc>
      </w:tr>
      <w:tr w14:paraId="70B3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2" w:type="dxa"/>
            <w:vAlign w:val="center"/>
          </w:tcPr>
          <w:p w14:paraId="7B3CC221">
            <w:pPr>
              <w:widowControl w:val="0"/>
              <w:kinsoku w:val="0"/>
              <w:overflowPunct w:val="0"/>
              <w:autoSpaceDE w:val="0"/>
              <w:autoSpaceDN w:val="0"/>
              <w:adjustRightInd w:val="0"/>
              <w:snapToGrid w:val="0"/>
              <w:jc w:val="both"/>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扣除非经常性损益后的加权平均净资产收益率（%）</w:t>
            </w:r>
          </w:p>
        </w:tc>
        <w:tc>
          <w:tcPr>
            <w:tcW w:w="1661" w:type="dxa"/>
            <w:vAlign w:val="center"/>
          </w:tcPr>
          <w:p w14:paraId="7C698B6D">
            <w:pPr>
              <w:widowControl w:val="0"/>
              <w:jc w:val="right"/>
              <w:rPr>
                <w:rFonts w:asciiTheme="minorEastAsia" w:hAnsiTheme="minorEastAsia" w:eastAsiaTheme="minorEastAsia"/>
              </w:rPr>
            </w:pPr>
            <w:r>
              <w:t>-1.27</w:t>
            </w:r>
          </w:p>
        </w:tc>
        <w:tc>
          <w:tcPr>
            <w:tcW w:w="1586" w:type="dxa"/>
            <w:vAlign w:val="center"/>
          </w:tcPr>
          <w:p w14:paraId="17101384">
            <w:pPr>
              <w:widowControl w:val="0"/>
              <w:jc w:val="right"/>
              <w:rPr>
                <w:rFonts w:asciiTheme="minorEastAsia" w:hAnsiTheme="minorEastAsia" w:eastAsiaTheme="minorEastAsia"/>
              </w:rPr>
            </w:pPr>
            <w:r>
              <w:t>0.16</w:t>
            </w:r>
          </w:p>
        </w:tc>
        <w:tc>
          <w:tcPr>
            <w:tcW w:w="2024" w:type="dxa"/>
            <w:vAlign w:val="center"/>
          </w:tcPr>
          <w:p w14:paraId="13E5206C">
            <w:pPr>
              <w:widowControl w:val="0"/>
              <w:jc w:val="right"/>
              <w:rPr>
                <w:rFonts w:asciiTheme="minorEastAsia" w:hAnsiTheme="minorEastAsia" w:eastAsiaTheme="minorEastAsia"/>
              </w:rPr>
            </w:pPr>
            <w:r>
              <w:rPr>
                <w:rFonts w:hint="eastAsia"/>
              </w:rPr>
              <w:t>减少1.43个百分点</w:t>
            </w:r>
          </w:p>
        </w:tc>
      </w:tr>
    </w:tbl>
    <w:p w14:paraId="315E2634">
      <w:pPr>
        <w:rPr>
          <w:color w:val="000000" w:themeColor="text1"/>
          <w14:textFill>
            <w14:solidFill>
              <w14:schemeClr w14:val="tx1"/>
            </w14:solidFill>
          </w14:textFill>
        </w:rPr>
      </w:pPr>
    </w:p>
    <w:p w14:paraId="642DFFDA">
      <w:pPr>
        <w:rPr>
          <w:color w:val="000000" w:themeColor="text1"/>
          <w14:textFill>
            <w14:solidFill>
              <w14:schemeClr w14:val="tx1"/>
            </w14:solidFill>
          </w14:textFill>
        </w:rPr>
      </w:pPr>
      <w:bookmarkStart w:id="21" w:name="_Toc342565890"/>
      <w:bookmarkStart w:id="22" w:name="_Toc342056398"/>
      <w:r>
        <w:rPr>
          <w:color w:val="000000" w:themeColor="text1"/>
          <w14:textFill>
            <w14:solidFill>
              <w14:schemeClr w14:val="tx1"/>
            </w14:solidFill>
          </w14:textFill>
        </w:rPr>
        <w:t>公司主要会计数据和财务指标的说明</w:t>
      </w:r>
    </w:p>
    <w:sdt>
      <w:sdtPr>
        <w:rPr>
          <w:color w:val="000000" w:themeColor="text1"/>
          <w14:textFill>
            <w14:solidFill>
              <w14:schemeClr w14:val="tx1"/>
            </w14:solidFill>
          </w14:textFill>
        </w:rPr>
        <w:alias w:val="是否适用：公司主要会计数据和财务指标的说明[双击切换]"/>
        <w:tag w:val="_GBC_cfe99dae5f804f6f8f02eb429483f98a"/>
        <w:id w:val="-676351043"/>
        <w:placeholder>
          <w:docPart w:val="GBC22222222222222222222222222222"/>
        </w:placeholder>
      </w:sdtPr>
      <w:sdtEndPr>
        <w:rPr>
          <w:color w:val="000000" w:themeColor="text1"/>
          <w14:textFill>
            <w14:solidFill>
              <w14:schemeClr w14:val="tx1"/>
            </w14:solidFill>
          </w14:textFill>
        </w:rPr>
      </w:sdtEndPr>
      <w:sdtContent>
        <w:p w14:paraId="30C0E6D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ascii="Times New Roman" w:hAnsi="Times New Roman" w:cs="宋体"/>
          <w:kern w:val="0"/>
          <w:szCs w:val="21"/>
        </w:rPr>
        <w:alias w:val="公司主要会计数据和财务指标的说明"/>
        <w:tag w:val="_GBC_97608ceee0dd4babbeaf5daeb2216ce1"/>
        <w:id w:val="-1047686167"/>
        <w:placeholder>
          <w:docPart w:val="GBC22222222222222222222222222222"/>
        </w:placeholder>
      </w:sdtPr>
      <w:sdtEndPr>
        <w:rPr>
          <w:rFonts w:ascii="Times New Roman" w:hAnsi="Times New Roman" w:cs="宋体"/>
          <w:color w:val="000000" w:themeColor="text1"/>
          <w:kern w:val="0"/>
          <w:szCs w:val="21"/>
          <w14:textFill>
            <w14:solidFill>
              <w14:schemeClr w14:val="tx1"/>
            </w14:solidFill>
          </w14:textFill>
        </w:rPr>
      </w:sdtEndPr>
      <w:sdtContent>
        <w:p w14:paraId="1EED55B8">
          <w:pPr>
            <w:pStyle w:val="51"/>
            <w:numPr>
              <w:ilvl w:val="0"/>
              <w:numId w:val="6"/>
            </w:numPr>
            <w:spacing w:line="360" w:lineRule="exact"/>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营业收入比上年同期增长4</w:t>
          </w:r>
          <w:r>
            <w:rPr>
              <w:color w:val="000000" w:themeColor="text1"/>
              <w14:textFill>
                <w14:solidFill>
                  <w14:schemeClr w14:val="tx1"/>
                </w14:solidFill>
              </w14:textFill>
            </w:rPr>
            <w:t>0.04</w:t>
          </w:r>
          <w:r>
            <w:rPr>
              <w:rFonts w:hint="eastAsia"/>
              <w:color w:val="000000" w:themeColor="text1"/>
              <w14:textFill>
                <w14:solidFill>
                  <w14:schemeClr w14:val="tx1"/>
                </w14:solidFill>
              </w14:textFill>
            </w:rPr>
            <w:t>%，主要系公司汽车业务、摩托车业务销量增长，收入增加。</w:t>
          </w:r>
        </w:p>
        <w:p w14:paraId="50498AD9">
          <w:pPr>
            <w:pStyle w:val="51"/>
            <w:numPr>
              <w:ilvl w:val="0"/>
              <w:numId w:val="6"/>
            </w:numPr>
            <w:spacing w:line="360" w:lineRule="exact"/>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利润总额比上年同期增长，主要系本期收到政府补助增加。</w:t>
          </w:r>
        </w:p>
        <w:p w14:paraId="4AD00AF4">
          <w:pPr>
            <w:spacing w:line="360" w:lineRule="exact"/>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、归属于上市公司股东的扣除非经常性损益的净利润比上年同期下降</w:t>
          </w:r>
          <w:r>
            <w:rPr>
              <w:color w:val="000000" w:themeColor="text1"/>
              <w14:textFill>
                <w14:solidFill>
                  <w14:schemeClr w14:val="tx1"/>
                </w14:solidFill>
              </w14:textFill>
            </w:rPr>
            <w:t>903.91</w:t>
          </w:r>
          <w:r>
            <w:rPr>
              <w:rFonts w:hint="eastAsia"/>
              <w:color w:val="000000" w:themeColor="text1"/>
              <w14:textFill>
                <w14:solidFill>
                  <w14:schemeClr w14:val="tx1"/>
                </w14:solidFill>
              </w14:textFill>
            </w:rPr>
            <w:t>%，主要系新增智能汽车座舱操作系统研发，研发投入增加，对资产计提减值损失增加以及递延所得税费用增加。</w:t>
          </w:r>
        </w:p>
        <w:p w14:paraId="172CC29B">
          <w:pPr>
            <w:spacing w:line="360" w:lineRule="exact"/>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、经营活动产生的现金流量净额比上年同期增长</w:t>
          </w:r>
          <w:r>
            <w:t>396.29</w:t>
          </w:r>
          <w:r>
            <w:rPr>
              <w:rFonts w:hint="eastAsia"/>
            </w:rPr>
            <w:t>%，主要系本期收入增长，收回的货款增加以及收到政府补助增加。</w:t>
          </w:r>
        </w:p>
        <w:p w14:paraId="457A94A8">
          <w:pPr>
            <w:spacing w:line="360" w:lineRule="exact"/>
            <w:rPr>
              <w:color w:val="000000" w:themeColor="text1"/>
              <w14:textFill>
                <w14:solidFill>
                  <w14:schemeClr w14:val="tx1"/>
                </w14:solidFill>
              </w14:textFill>
            </w:rPr>
          </w:pPr>
        </w:p>
      </w:sdtContent>
    </w:sdt>
    <w:p w14:paraId="0D2F47F7">
      <w:pPr>
        <w:pStyle w:val="3"/>
        <w:numPr>
          <w:ilvl w:val="0"/>
          <w:numId w:val="4"/>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境内外会计准则下会计数据差异</w:t>
      </w:r>
      <w:bookmarkEnd w:id="21"/>
      <w:bookmarkEnd w:id="22"/>
    </w:p>
    <w:sdt>
      <w:sdtPr>
        <w:rPr>
          <w:color w:val="000000" w:themeColor="text1"/>
          <w14:textFill>
            <w14:solidFill>
              <w14:schemeClr w14:val="tx1"/>
            </w14:solidFill>
          </w14:textFill>
        </w:rPr>
        <w:alias w:val="是否适用：境内外会计准则下会计数据差异[双击切换]"/>
        <w:tag w:val="_GBC_bdabc18d82504a7696c49b78e67b7ce4"/>
        <w:id w:val="-1523084008"/>
        <w:placeholder>
          <w:docPart w:val="GBC22222222222222222222222222222"/>
        </w:placeholder>
      </w:sdtPr>
      <w:sdtEndPr>
        <w:rPr>
          <w:color w:val="000000" w:themeColor="text1"/>
          <w14:textFill>
            <w14:solidFill>
              <w14:schemeClr w14:val="tx1"/>
            </w14:solidFill>
          </w14:textFill>
        </w:rPr>
      </w:sdtEndPr>
      <w:sdtContent>
        <w:p w14:paraId="4BCF6B5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903DACC">
      <w:pPr>
        <w:rPr>
          <w:color w:val="000000" w:themeColor="text1"/>
          <w14:textFill>
            <w14:solidFill>
              <w14:schemeClr w14:val="tx1"/>
            </w14:solidFill>
          </w14:textFill>
        </w:rPr>
      </w:pPr>
    </w:p>
    <w:p w14:paraId="1D493FD8">
      <w:pPr>
        <w:pStyle w:val="3"/>
        <w:numPr>
          <w:ilvl w:val="0"/>
          <w:numId w:val="4"/>
        </w:numPr>
        <w:ind w:left="0" w:firstLine="0"/>
        <w:rPr>
          <w:color w:val="000000" w:themeColor="text1"/>
          <w14:textFill>
            <w14:solidFill>
              <w14:schemeClr w14:val="tx1"/>
            </w14:solidFill>
          </w14:textFill>
        </w:rPr>
      </w:pPr>
      <w:bookmarkStart w:id="23" w:name="_Hlk24640273"/>
      <w:bookmarkEnd w:id="23"/>
      <w:bookmarkStart w:id="24" w:name="_Hlk167796974"/>
      <w:r>
        <w:rPr>
          <w:rFonts w:hint="eastAsia"/>
          <w:color w:val="000000" w:themeColor="text1"/>
          <w14:textFill>
            <w14:solidFill>
              <w14:schemeClr w14:val="tx1"/>
            </w14:solidFill>
          </w14:textFill>
        </w:rPr>
        <w:t>非经常性损益项目和金额</w:t>
      </w:r>
    </w:p>
    <w:sdt>
      <w:sdtPr>
        <w:rPr>
          <w:color w:val="000000" w:themeColor="text1"/>
          <w14:textFill>
            <w14:solidFill>
              <w14:schemeClr w14:val="tx1"/>
            </w14:solidFill>
          </w14:textFill>
        </w:rPr>
        <w:alias w:val="是否适用：扣除非经常性损益项目和金额[双击切换]"/>
        <w:tag w:val="_GBC_43f94504cb3d48cbbe81a75d50663c2d"/>
        <w:id w:val="-552073653"/>
        <w:placeholder>
          <w:docPart w:val="GBC22222222222222222222222222222"/>
        </w:placeholder>
      </w:sdtPr>
      <w:sdtEndPr>
        <w:rPr>
          <w:color w:val="000000" w:themeColor="text1"/>
          <w14:textFill>
            <w14:solidFill>
              <w14:schemeClr w14:val="tx1"/>
            </w14:solidFill>
          </w14:textFill>
        </w:rPr>
      </w:sdtEndPr>
      <w:sdtContent>
        <w:p w14:paraId="7F14264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051A9F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扣除非经常性损益项目和金额"/>
          <w:tag w:val="_GBC_f9e43a30b40946c08985f868a2ba3b74"/>
          <w:id w:val="-932669620"/>
          <w:placeholder>
            <w:docPart w:val="GBC22222222222222222222222222222"/>
          </w:placeholder>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扣除非经常性损益项目和金额"/>
          <w:tag w:val="_GBC_81dc93f6f5e14511b89edb8661fa84fd"/>
          <w:id w:val="-1432580910"/>
          <w:placeholder>
            <w:docPart w:val="GBC22222222222222222222222222222"/>
          </w:placeholder>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0"/>
        <w:gridCol w:w="1745"/>
        <w:gridCol w:w="1784"/>
      </w:tblGrid>
      <w:tr w14:paraId="0705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75c3787071e446ebb752a5626cdbd723"/>
            <w:id w:val="-1103954752"/>
          </w:sdtPr>
          <w:sdtEndPr>
            <w:rPr>
              <w:rFonts w:asciiTheme="minorEastAsia" w:hAnsiTheme="minorEastAsia" w:eastAsiaTheme="minorEastAsia"/>
            </w:rPr>
          </w:sdtEndPr>
          <w:sdtContent>
            <w:tc>
              <w:tcPr>
                <w:tcW w:w="3050" w:type="pct"/>
                <w:vAlign w:val="center"/>
              </w:tcPr>
              <w:p w14:paraId="0B467FA0">
                <w:pPr>
                  <w:pStyle w:val="51"/>
                  <w:ind w:firstLine="0" w:firstLineChars="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非经常性损益项目</w:t>
                </w:r>
              </w:p>
            </w:tc>
          </w:sdtContent>
        </w:sdt>
        <w:sdt>
          <w:sdtPr>
            <w:rPr>
              <w:rFonts w:asciiTheme="minorEastAsia" w:hAnsiTheme="minorEastAsia" w:eastAsiaTheme="minorEastAsia"/>
            </w:rPr>
            <w:tag w:val="_PLD_819237cfe12b4f9b95d296101869571d"/>
            <w:id w:val="-1156845370"/>
          </w:sdtPr>
          <w:sdtEndPr>
            <w:rPr>
              <w:rFonts w:asciiTheme="minorEastAsia" w:hAnsiTheme="minorEastAsia" w:eastAsiaTheme="minorEastAsia"/>
            </w:rPr>
          </w:sdtEndPr>
          <w:sdtContent>
            <w:tc>
              <w:tcPr>
                <w:tcW w:w="964" w:type="pct"/>
                <w:vAlign w:val="center"/>
              </w:tcPr>
              <w:p w14:paraId="4016DBCA">
                <w:pPr>
                  <w:pStyle w:val="51"/>
                  <w:ind w:firstLine="0" w:firstLineChars="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金额</w:t>
                </w:r>
              </w:p>
            </w:tc>
          </w:sdtContent>
        </w:sdt>
        <w:sdt>
          <w:sdtPr>
            <w:rPr>
              <w:rFonts w:asciiTheme="minorEastAsia" w:hAnsiTheme="minorEastAsia" w:eastAsiaTheme="minorEastAsia"/>
            </w:rPr>
            <w:tag w:val="_PLD_271c1520daad4f06be80c7ac930ea658"/>
            <w:id w:val="1018127661"/>
          </w:sdtPr>
          <w:sdtEndPr>
            <w:rPr>
              <w:rFonts w:asciiTheme="minorEastAsia" w:hAnsiTheme="minorEastAsia" w:eastAsiaTheme="minorEastAsia"/>
            </w:rPr>
          </w:sdtEndPr>
          <w:sdtContent>
            <w:tc>
              <w:tcPr>
                <w:tcW w:w="986" w:type="pct"/>
                <w:vAlign w:val="center"/>
              </w:tcPr>
              <w:p w14:paraId="11B15A20">
                <w:pPr>
                  <w:pStyle w:val="51"/>
                  <w:ind w:firstLine="0" w:firstLineChars="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附注（如适用）</w:t>
                </w:r>
              </w:p>
            </w:tc>
          </w:sdtContent>
        </w:sdt>
      </w:tr>
      <w:tr w14:paraId="7B59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1AC10B99">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非流动</w:t>
            </w:r>
            <w:r>
              <w:rPr>
                <w:rFonts w:hint="eastAsia" w:asciiTheme="minorEastAsia" w:hAnsiTheme="minorEastAsia" w:eastAsiaTheme="minorEastAsia"/>
                <w:color w:val="000000" w:themeColor="text1"/>
                <w14:textFill>
                  <w14:solidFill>
                    <w14:schemeClr w14:val="tx1"/>
                  </w14:solidFill>
                </w14:textFill>
              </w:rPr>
              <w:t>性</w:t>
            </w:r>
            <w:r>
              <w:rPr>
                <w:rFonts w:asciiTheme="minorEastAsia" w:hAnsiTheme="minorEastAsia" w:eastAsiaTheme="minorEastAsia"/>
                <w:color w:val="000000" w:themeColor="text1"/>
                <w14:textFill>
                  <w14:solidFill>
                    <w14:schemeClr w14:val="tx1"/>
                  </w14:solidFill>
                </w14:textFill>
              </w:rPr>
              <w:t>资产处置损益</w:t>
            </w:r>
            <w:r>
              <w:rPr>
                <w:rFonts w:hint="eastAsia" w:asciiTheme="minorEastAsia" w:hAnsiTheme="minorEastAsia" w:eastAsiaTheme="minorEastAsia"/>
                <w:color w:val="000000" w:themeColor="text1"/>
                <w14:textFill>
                  <w14:solidFill>
                    <w14:schemeClr w14:val="tx1"/>
                  </w14:solidFill>
                </w14:textFill>
              </w:rPr>
              <w:t>，包括已计提资产减值准备的冲销部分</w:t>
            </w:r>
          </w:p>
        </w:tc>
        <w:tc>
          <w:tcPr>
            <w:tcW w:w="964" w:type="pct"/>
            <w:vAlign w:val="center"/>
          </w:tcPr>
          <w:p w14:paraId="2E5D5F68">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5,344,347.52</w:t>
            </w:r>
          </w:p>
        </w:tc>
        <w:tc>
          <w:tcPr>
            <w:tcW w:w="986" w:type="pct"/>
            <w:vAlign w:val="center"/>
          </w:tcPr>
          <w:p w14:paraId="5F8F8B76">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1CF9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760145EA">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计入当期损益的政府补助</w:t>
            </w:r>
            <w:r>
              <w:rPr>
                <w:rFonts w:hint="eastAsia" w:asciiTheme="minorEastAsia" w:hAnsiTheme="minorEastAsia" w:eastAsiaTheme="minorEastAsia"/>
                <w:color w:val="000000" w:themeColor="text1"/>
                <w14:textFill>
                  <w14:solidFill>
                    <w14:schemeClr w14:val="tx1"/>
                  </w14:solidFill>
                </w14:textFill>
              </w:rPr>
              <w:t>，但与公司正常经营业务密切相关、符合国家政策规定、按照确定的标准享有、对公司损益产生持续影响的政府补助除外</w:t>
            </w:r>
          </w:p>
        </w:tc>
        <w:tc>
          <w:tcPr>
            <w:tcW w:w="964" w:type="pct"/>
            <w:vAlign w:val="center"/>
          </w:tcPr>
          <w:p w14:paraId="76067C4C">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169,760,786.48</w:t>
            </w:r>
          </w:p>
        </w:tc>
        <w:tc>
          <w:tcPr>
            <w:tcW w:w="986" w:type="pct"/>
            <w:vAlign w:val="center"/>
          </w:tcPr>
          <w:p w14:paraId="51BC2F59">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1A24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593A2A8C">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除同公司正常经营业务相关的有效套期保值业务外，</w:t>
            </w:r>
            <w:r>
              <w:rPr>
                <w:rFonts w:asciiTheme="minorEastAsia" w:hAnsiTheme="minorEastAsia" w:eastAsiaTheme="minorEastAsia"/>
                <w:color w:val="000000" w:themeColor="text1"/>
                <w14:textFill>
                  <w14:solidFill>
                    <w14:schemeClr w14:val="tx1"/>
                  </w14:solidFill>
                </w14:textFill>
              </w:rPr>
              <w:t>非金融企业持有金融资产和金融负债产生的公允价值变动损益以及处置金融资产和金融负债产生的损益</w:t>
            </w:r>
          </w:p>
        </w:tc>
        <w:tc>
          <w:tcPr>
            <w:tcW w:w="964" w:type="pct"/>
            <w:vAlign w:val="center"/>
          </w:tcPr>
          <w:p w14:paraId="08BAECDD">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76BE72A4">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437B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49B9B38F">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计入当期损益的对非金融企业收取的资金占用费</w:t>
            </w:r>
          </w:p>
        </w:tc>
        <w:tc>
          <w:tcPr>
            <w:tcW w:w="964" w:type="pct"/>
            <w:vAlign w:val="center"/>
          </w:tcPr>
          <w:p w14:paraId="592E820A">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002E119D">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3AD8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4F0E17C4">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委托他人投资或管理资产的损益</w:t>
            </w:r>
          </w:p>
        </w:tc>
        <w:tc>
          <w:tcPr>
            <w:tcW w:w="964" w:type="pct"/>
            <w:vAlign w:val="center"/>
          </w:tcPr>
          <w:p w14:paraId="690F18C9">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6DC453E7">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6ABF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07A72358">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对外委托贷款取得的损益</w:t>
            </w:r>
          </w:p>
        </w:tc>
        <w:tc>
          <w:tcPr>
            <w:tcW w:w="964" w:type="pct"/>
            <w:vAlign w:val="center"/>
          </w:tcPr>
          <w:p w14:paraId="5C5ACDEA">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22D546E2">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304E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5FF4BF8F">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因不可抗力因</w:t>
            </w:r>
            <w:r>
              <w:rPr>
                <w:rFonts w:hint="eastAsia" w:asciiTheme="minorEastAsia" w:hAnsiTheme="minorEastAsia" w:eastAsiaTheme="minorEastAsia"/>
                <w:color w:val="000000" w:themeColor="text1"/>
                <w14:textFill>
                  <w14:solidFill>
                    <w14:schemeClr w14:val="tx1"/>
                  </w14:solidFill>
                </w14:textFill>
              </w:rPr>
              <w:t>素，如遭受自然灾害而产生的各项资产损失</w:t>
            </w:r>
          </w:p>
        </w:tc>
        <w:tc>
          <w:tcPr>
            <w:tcW w:w="964" w:type="pct"/>
            <w:vAlign w:val="center"/>
          </w:tcPr>
          <w:p w14:paraId="4783BAEC">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3AB3FA50">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77C9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0C03CAC5">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单独进行减值测试的应收款项减值准备转回</w:t>
            </w:r>
          </w:p>
        </w:tc>
        <w:tc>
          <w:tcPr>
            <w:tcW w:w="964" w:type="pct"/>
            <w:vAlign w:val="center"/>
          </w:tcPr>
          <w:p w14:paraId="374DB02F">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2,873,286.22</w:t>
            </w:r>
          </w:p>
        </w:tc>
        <w:tc>
          <w:tcPr>
            <w:tcW w:w="986" w:type="pct"/>
            <w:vAlign w:val="center"/>
          </w:tcPr>
          <w:p w14:paraId="4807C2DE">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2463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24F89679">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企业取得子公司、联营企业及合营企业的投资成本小于取得投资时应享有被投资单位可辨认净资产公允价值产生的收益</w:t>
            </w:r>
          </w:p>
        </w:tc>
        <w:tc>
          <w:tcPr>
            <w:tcW w:w="964" w:type="pct"/>
            <w:vAlign w:val="center"/>
          </w:tcPr>
          <w:p w14:paraId="07147DC9">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66E69294">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69DB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4D68463F">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同一控制下企业合并产生的子公司期初至合并日的当期净损益</w:t>
            </w:r>
          </w:p>
        </w:tc>
        <w:tc>
          <w:tcPr>
            <w:tcW w:w="964" w:type="pct"/>
            <w:vAlign w:val="center"/>
          </w:tcPr>
          <w:p w14:paraId="0E97C3CB">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025D0F34">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4247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0FF3F150">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非货币性资产交换损益</w:t>
            </w:r>
          </w:p>
        </w:tc>
        <w:tc>
          <w:tcPr>
            <w:tcW w:w="964" w:type="pct"/>
            <w:vAlign w:val="center"/>
          </w:tcPr>
          <w:p w14:paraId="7686C6B5">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7B4639B9">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598A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081DF10C">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债务重组损益</w:t>
            </w:r>
          </w:p>
        </w:tc>
        <w:tc>
          <w:tcPr>
            <w:tcW w:w="964" w:type="pct"/>
            <w:vAlign w:val="center"/>
          </w:tcPr>
          <w:p w14:paraId="6AB02AB2">
            <w:pPr>
              <w:widowControl w:val="0"/>
              <w:jc w:val="right"/>
              <w:rPr>
                <w:rFonts w:asciiTheme="minorEastAsia" w:hAnsiTheme="minorEastAsia" w:eastAsiaTheme="minorEastAsia"/>
              </w:rPr>
            </w:pPr>
            <w:r>
              <w:rPr>
                <w:rFonts w:hint="eastAsia" w:asciiTheme="minorEastAsia" w:hAnsiTheme="minorEastAsia" w:eastAsiaTheme="minorEastAsia"/>
              </w:rPr>
              <w:t>-873.48 　</w:t>
            </w:r>
          </w:p>
        </w:tc>
        <w:tc>
          <w:tcPr>
            <w:tcW w:w="986" w:type="pct"/>
            <w:vAlign w:val="center"/>
          </w:tcPr>
          <w:p w14:paraId="7DDAA3DA">
            <w:pPr>
              <w:widowControl w:val="0"/>
              <w:jc w:val="both"/>
              <w:rPr>
                <w:rFonts w:asciiTheme="minorEastAsia" w:hAnsiTheme="minorEastAsia" w:eastAsiaTheme="minorEastAsia"/>
              </w:rPr>
            </w:pPr>
            <w:r>
              <w:rPr>
                <w:rFonts w:hint="eastAsia" w:asciiTheme="minorEastAsia" w:hAnsiTheme="minorEastAsia" w:eastAsiaTheme="minorEastAsia"/>
              </w:rPr>
              <w:t>　</w:t>
            </w:r>
          </w:p>
        </w:tc>
      </w:tr>
      <w:tr w14:paraId="7325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56BCA096">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企业</w:t>
            </w:r>
            <w:r>
              <w:rPr>
                <w:rFonts w:hint="eastAsia" w:asciiTheme="minorEastAsia" w:hAnsiTheme="minorEastAsia" w:eastAsiaTheme="minorEastAsia"/>
                <w:color w:val="000000" w:themeColor="text1"/>
                <w14:textFill>
                  <w14:solidFill>
                    <w14:schemeClr w14:val="tx1"/>
                  </w14:solidFill>
                </w14:textFill>
              </w:rPr>
              <w:t>因相关经营活动不再持续而发生的一次性费用，如安置职工的支出等</w:t>
            </w:r>
          </w:p>
        </w:tc>
        <w:tc>
          <w:tcPr>
            <w:tcW w:w="964" w:type="pct"/>
            <w:vAlign w:val="center"/>
          </w:tcPr>
          <w:p w14:paraId="1ECDA0DF">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1EBA1AAF">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42C5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418A8023">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因税收、会计等法律、法规</w:t>
            </w:r>
            <w:r>
              <w:rPr>
                <w:rFonts w:hint="eastAsia" w:asciiTheme="minorEastAsia" w:hAnsiTheme="minorEastAsia" w:eastAsiaTheme="minorEastAsia"/>
                <w:color w:val="000000" w:themeColor="text1"/>
                <w14:textFill>
                  <w14:solidFill>
                    <w14:schemeClr w14:val="tx1"/>
                  </w14:solidFill>
                </w14:textFill>
              </w:rPr>
              <w:t>的调整对当期损益产生的一次性影响</w:t>
            </w:r>
          </w:p>
        </w:tc>
        <w:tc>
          <w:tcPr>
            <w:tcW w:w="964" w:type="pct"/>
            <w:vAlign w:val="center"/>
          </w:tcPr>
          <w:p w14:paraId="115164DD">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038BF2A5">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7FEF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0146345A">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因取消、修改股权激励计划一次性确认的股份支付费用</w:t>
            </w:r>
          </w:p>
        </w:tc>
        <w:tc>
          <w:tcPr>
            <w:tcW w:w="964" w:type="pct"/>
            <w:vAlign w:val="center"/>
          </w:tcPr>
          <w:p w14:paraId="5FB86850">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0E1842E6">
            <w:pPr>
              <w:widowControl w:val="0"/>
              <w:jc w:val="both"/>
              <w:rPr>
                <w:rFonts w:asciiTheme="minorEastAsia" w:hAnsiTheme="minorEastAsia" w:eastAsiaTheme="minorEastAsia"/>
              </w:rPr>
            </w:pPr>
          </w:p>
        </w:tc>
      </w:tr>
      <w:tr w14:paraId="28F27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31C31F83">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对于现金结算的股份支付，在可行权日之后，应付职工薪酬的公允价值变动产生的损益</w:t>
            </w:r>
          </w:p>
        </w:tc>
        <w:tc>
          <w:tcPr>
            <w:tcW w:w="964" w:type="pct"/>
            <w:vAlign w:val="center"/>
          </w:tcPr>
          <w:p w14:paraId="2E007D98">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69FE787D">
            <w:pPr>
              <w:widowControl w:val="0"/>
              <w:jc w:val="both"/>
              <w:rPr>
                <w:rFonts w:asciiTheme="minorEastAsia" w:hAnsiTheme="minorEastAsia" w:eastAsiaTheme="minorEastAsia"/>
              </w:rPr>
            </w:pPr>
          </w:p>
        </w:tc>
      </w:tr>
      <w:tr w14:paraId="7066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730870C9">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采用公允价值模式进行后续计量的投资性房地产公允价值变动产生的损益</w:t>
            </w:r>
          </w:p>
        </w:tc>
        <w:tc>
          <w:tcPr>
            <w:tcW w:w="964" w:type="pct"/>
            <w:vAlign w:val="center"/>
          </w:tcPr>
          <w:p w14:paraId="6B3467A7">
            <w:pPr>
              <w:widowControl w:val="0"/>
              <w:jc w:val="right"/>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416</w:t>
            </w:r>
            <w:r>
              <w:rPr>
                <w:rFonts w:hint="eastAsia" w:asciiTheme="minorEastAsia" w:hAnsiTheme="minorEastAsia" w:eastAsiaTheme="minorEastAsia"/>
              </w:rPr>
              <w:t xml:space="preserve">,700.00 </w:t>
            </w:r>
          </w:p>
        </w:tc>
        <w:tc>
          <w:tcPr>
            <w:tcW w:w="986" w:type="pct"/>
            <w:vAlign w:val="center"/>
          </w:tcPr>
          <w:p w14:paraId="0FF4579B">
            <w:pPr>
              <w:widowControl w:val="0"/>
              <w:jc w:val="both"/>
              <w:rPr>
                <w:rFonts w:asciiTheme="minorEastAsia" w:hAnsiTheme="minorEastAsia" w:eastAsiaTheme="minorEastAsia"/>
              </w:rPr>
            </w:pPr>
            <w:r>
              <w:rPr>
                <w:rFonts w:hint="eastAsia" w:asciiTheme="minorEastAsia" w:hAnsiTheme="minorEastAsia" w:eastAsiaTheme="minorEastAsia"/>
              </w:rPr>
              <w:t>　</w:t>
            </w:r>
          </w:p>
        </w:tc>
      </w:tr>
      <w:tr w14:paraId="4BC7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0177D353">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交易价格显失公允的交易产生的收益</w:t>
            </w:r>
          </w:p>
        </w:tc>
        <w:tc>
          <w:tcPr>
            <w:tcW w:w="964" w:type="pct"/>
            <w:vAlign w:val="center"/>
          </w:tcPr>
          <w:p w14:paraId="7679F8DD">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5E8061A4">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45EB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7C566E8E">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与公司正常经营业务无关的或有事项产生的损益</w:t>
            </w:r>
          </w:p>
        </w:tc>
        <w:tc>
          <w:tcPr>
            <w:tcW w:w="964" w:type="pct"/>
            <w:vAlign w:val="center"/>
          </w:tcPr>
          <w:p w14:paraId="695E41BD">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1A6E95BB">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57CF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498D639E">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受托经营取得的托管费收入</w:t>
            </w:r>
          </w:p>
        </w:tc>
        <w:tc>
          <w:tcPr>
            <w:tcW w:w="964" w:type="pct"/>
            <w:vAlign w:val="center"/>
          </w:tcPr>
          <w:p w14:paraId="6F89E7A4">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986" w:type="pct"/>
            <w:vAlign w:val="center"/>
          </w:tcPr>
          <w:p w14:paraId="14CF9CF0">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7839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561CC500">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除上述各项之外的其他营业外收入和支出</w:t>
            </w:r>
          </w:p>
        </w:tc>
        <w:tc>
          <w:tcPr>
            <w:tcW w:w="964" w:type="pct"/>
            <w:vAlign w:val="center"/>
          </w:tcPr>
          <w:p w14:paraId="039F7DD2">
            <w:pPr>
              <w:widowControl w:val="0"/>
              <w:jc w:val="right"/>
              <w:rPr>
                <w:rFonts w:asciiTheme="minorEastAsia" w:hAnsiTheme="minorEastAsia" w:eastAsiaTheme="minorEastAsia"/>
              </w:rPr>
            </w:pPr>
            <w:r>
              <w:rPr>
                <w:rFonts w:asciiTheme="minorEastAsia" w:hAnsiTheme="minorEastAsia" w:eastAsiaTheme="minorEastAsia"/>
              </w:rPr>
              <w:t>-6,972,790.57</w:t>
            </w:r>
          </w:p>
        </w:tc>
        <w:tc>
          <w:tcPr>
            <w:tcW w:w="986" w:type="pct"/>
            <w:vAlign w:val="center"/>
          </w:tcPr>
          <w:p w14:paraId="6D65F5D1">
            <w:pPr>
              <w:widowControl w:val="0"/>
              <w:jc w:val="both"/>
              <w:rPr>
                <w:rFonts w:asciiTheme="minorEastAsia" w:hAnsiTheme="minorEastAsia" w:eastAsiaTheme="minorEastAsia"/>
              </w:rPr>
            </w:pPr>
            <w:r>
              <w:rPr>
                <w:rFonts w:hint="eastAsia" w:asciiTheme="minorEastAsia" w:hAnsiTheme="minorEastAsia" w:eastAsiaTheme="minorEastAsia"/>
              </w:rPr>
              <w:t>　</w:t>
            </w:r>
          </w:p>
        </w:tc>
      </w:tr>
      <w:tr w14:paraId="30DD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3646E6A9">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处置长期股权投资产生的损益</w:t>
            </w:r>
          </w:p>
        </w:tc>
        <w:tc>
          <w:tcPr>
            <w:tcW w:w="964" w:type="pct"/>
            <w:vAlign w:val="center"/>
          </w:tcPr>
          <w:p w14:paraId="07410583">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32,122,321.06</w:t>
            </w:r>
          </w:p>
        </w:tc>
        <w:tc>
          <w:tcPr>
            <w:tcW w:w="986" w:type="pct"/>
            <w:vAlign w:val="center"/>
          </w:tcPr>
          <w:p w14:paraId="54EFB1F5">
            <w:pPr>
              <w:widowControl w:val="0"/>
              <w:jc w:val="both"/>
              <w:rPr>
                <w:rFonts w:asciiTheme="minorEastAsia" w:hAnsiTheme="minorEastAsia" w:eastAsiaTheme="minorEastAsia"/>
                <w:color w:val="000000" w:themeColor="text1"/>
                <w14:textFill>
                  <w14:solidFill>
                    <w14:schemeClr w14:val="tx1"/>
                  </w14:solidFill>
                </w14:textFill>
              </w:rPr>
            </w:pPr>
          </w:p>
        </w:tc>
      </w:tr>
      <w:tr w14:paraId="18A3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629EE37E">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其他符合非经常性损益定义的损益项目</w:t>
            </w:r>
          </w:p>
        </w:tc>
        <w:tc>
          <w:tcPr>
            <w:tcW w:w="964" w:type="pct"/>
            <w:vAlign w:val="center"/>
          </w:tcPr>
          <w:p w14:paraId="24A4F8F0">
            <w:pPr>
              <w:widowControl w:val="0"/>
              <w:jc w:val="right"/>
              <w:rPr>
                <w:rFonts w:asciiTheme="minorEastAsia" w:hAnsiTheme="minorEastAsia" w:eastAsiaTheme="minorEastAsia"/>
                <w:color w:val="000000" w:themeColor="text1"/>
                <w14:textFill>
                  <w14:solidFill>
                    <w14:schemeClr w14:val="tx1"/>
                  </w14:solidFill>
                </w14:textFill>
              </w:rPr>
            </w:pPr>
          </w:p>
        </w:tc>
        <w:tc>
          <w:tcPr>
            <w:tcW w:w="986" w:type="pct"/>
            <w:vAlign w:val="center"/>
          </w:tcPr>
          <w:p w14:paraId="6EDE86D1">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0B83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3E8CF7F7">
            <w:pPr>
              <w:pStyle w:val="51"/>
              <w:ind w:firstLine="0" w:firstLineChars="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减：</w:t>
            </w:r>
            <w:r>
              <w:rPr>
                <w:rFonts w:asciiTheme="minorEastAsia" w:hAnsiTheme="minorEastAsia" w:eastAsiaTheme="minorEastAsia"/>
                <w:color w:val="000000" w:themeColor="text1"/>
                <w14:textFill>
                  <w14:solidFill>
                    <w14:schemeClr w14:val="tx1"/>
                  </w14:solidFill>
                </w14:textFill>
              </w:rPr>
              <w:t>所得税影响额</w:t>
            </w:r>
          </w:p>
        </w:tc>
        <w:tc>
          <w:tcPr>
            <w:tcW w:w="964" w:type="pct"/>
            <w:vAlign w:val="center"/>
          </w:tcPr>
          <w:p w14:paraId="354DDBB4">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7,676,090.87</w:t>
            </w:r>
          </w:p>
        </w:tc>
        <w:tc>
          <w:tcPr>
            <w:tcW w:w="986" w:type="pct"/>
            <w:vAlign w:val="center"/>
          </w:tcPr>
          <w:p w14:paraId="2F01D540">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68A6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tcPr>
          <w:p w14:paraId="18C894DE">
            <w:pPr>
              <w:pStyle w:val="51"/>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少数股东权益影响额</w:t>
            </w:r>
            <w:r>
              <w:rPr>
                <w:rFonts w:hint="eastAsia" w:asciiTheme="minorEastAsia" w:hAnsiTheme="minorEastAsia" w:eastAsiaTheme="minorEastAsia"/>
                <w:color w:val="000000" w:themeColor="text1"/>
                <w14:textFill>
                  <w14:solidFill>
                    <w14:schemeClr w14:val="tx1"/>
                  </w14:solidFill>
                </w14:textFill>
              </w:rPr>
              <w:t>（税后）</w:t>
            </w:r>
          </w:p>
        </w:tc>
        <w:tc>
          <w:tcPr>
            <w:tcW w:w="964" w:type="pct"/>
            <w:vAlign w:val="center"/>
          </w:tcPr>
          <w:p w14:paraId="519E7B1A">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rPr>
              <w:t>7,360,183.68</w:t>
            </w:r>
          </w:p>
        </w:tc>
        <w:tc>
          <w:tcPr>
            <w:tcW w:w="986" w:type="pct"/>
            <w:vAlign w:val="center"/>
          </w:tcPr>
          <w:p w14:paraId="5F81E6CA">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r w14:paraId="72B5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pct"/>
            <w:vAlign w:val="center"/>
          </w:tcPr>
          <w:p w14:paraId="3C422329">
            <w:pPr>
              <w:pStyle w:val="51"/>
              <w:ind w:firstLine="0" w:firstLineChars="0"/>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合计</w:t>
            </w:r>
          </w:p>
        </w:tc>
        <w:tc>
          <w:tcPr>
            <w:tcW w:w="964" w:type="pct"/>
            <w:vAlign w:val="center"/>
          </w:tcPr>
          <w:p w14:paraId="3D59E5CF">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rPr>
              <w:t>164,674,102.68</w:t>
            </w:r>
          </w:p>
        </w:tc>
        <w:tc>
          <w:tcPr>
            <w:tcW w:w="986" w:type="pct"/>
            <w:vAlign w:val="center"/>
          </w:tcPr>
          <w:p w14:paraId="364D8A86">
            <w:pPr>
              <w:widowControl w:val="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r>
    </w:tbl>
    <w:p w14:paraId="7F455D32">
      <w:pPr>
        <w:rPr>
          <w:color w:val="000000" w:themeColor="text1"/>
          <w14:textFill>
            <w14:solidFill>
              <w14:schemeClr w14:val="tx1"/>
            </w14:solidFill>
          </w14:textFill>
        </w:rPr>
      </w:pPr>
    </w:p>
    <w:bookmarkEnd w:id="24"/>
    <w:p w14:paraId="6B0756BC">
      <w:pPr>
        <w:pStyle w:val="20"/>
        <w:adjustRightInd w:val="0"/>
        <w:snapToGrid w:val="0"/>
        <w:spacing w:line="360" w:lineRule="auto"/>
        <w:rPr>
          <w:rFonts w:hAnsi="宋体"/>
          <w:color w:val="000000" w:themeColor="text1"/>
          <w:kern w:val="0"/>
          <w:szCs w:val="21"/>
          <w14:textFill>
            <w14:solidFill>
              <w14:schemeClr w14:val="tx1"/>
            </w14:solidFill>
          </w14:textFill>
        </w:rPr>
      </w:pPr>
      <w:bookmarkStart w:id="25" w:name="_Hlk89096484"/>
      <w:bookmarkStart w:id="26" w:name="_Hlk137045432"/>
      <w:bookmarkStart w:id="27" w:name="_Hlk41379873"/>
      <w:bookmarkStart w:id="28" w:name="_Hlk105685044"/>
      <w:r>
        <w:rPr>
          <w:rFonts w:hint="eastAsia" w:hAnsi="宋体" w:cs="宋体"/>
          <w:color w:val="000000" w:themeColor="text1"/>
          <w:kern w:val="0"/>
          <w:szCs w:val="21"/>
          <w14:textFill>
            <w14:solidFill>
              <w14:schemeClr w14:val="tx1"/>
            </w14:solidFill>
          </w14:textFill>
        </w:rPr>
        <w:t>对公司将《公开发行证券的公司信息披露解释性公告第</w:t>
      </w:r>
      <w:r>
        <w:rPr>
          <w:rFonts w:hAnsi="宋体" w:cs="宋体"/>
          <w:color w:val="000000" w:themeColor="text1"/>
          <w:kern w:val="0"/>
          <w:szCs w:val="21"/>
          <w14:textFill>
            <w14:solidFill>
              <w14:schemeClr w14:val="tx1"/>
            </w14:solidFill>
          </w14:textFill>
        </w:rPr>
        <w:t>1号——非经常性损益》未列举的项目认定为非经常性损益项目且金额重大的，以及将《公开发行证券的公司信息披露解释性公告第1号——非经常性损益》中列举的非经常性损益项目界定为经常性损益的项目，应说明原因</w:t>
      </w:r>
      <w:r>
        <w:rPr>
          <w:rFonts w:hint="eastAsia" w:hAnsi="宋体" w:cs="宋体"/>
          <w:color w:val="000000" w:themeColor="text1"/>
          <w:kern w:val="0"/>
          <w:szCs w:val="21"/>
          <w14:textFill>
            <w14:solidFill>
              <w14:schemeClr w14:val="tx1"/>
            </w14:solidFill>
          </w14:textFill>
        </w:rPr>
        <w:t>。</w:t>
      </w:r>
    </w:p>
    <w:sdt>
      <w:sdtPr>
        <w:rPr>
          <w:color w:val="000000" w:themeColor="text1"/>
          <w14:textFill>
            <w14:solidFill>
              <w14:schemeClr w14:val="tx1"/>
            </w14:solidFill>
          </w14:textFill>
        </w:rPr>
        <w:alias w:val="是否适用：将非经常性损益项目界定为经常性损益项目[双击切换]"/>
        <w:tag w:val="_GBC_2fced4d4c7b049209a471cd2040fe574"/>
        <w:id w:val="-1218737250"/>
        <w:placeholder>
          <w:docPart w:val="GBC22222222222222222222222222222"/>
        </w:placeholder>
      </w:sdtPr>
      <w:sdtEndPr>
        <w:rPr>
          <w:color w:val="000000" w:themeColor="text1"/>
          <w14:textFill>
            <w14:solidFill>
              <w14:schemeClr w14:val="tx1"/>
            </w14:solidFill>
          </w14:textFill>
        </w:rPr>
      </w:sdtEndPr>
      <w:sdtContent>
        <w:p w14:paraId="086A55D4">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CEFB0F">
      <w:pPr>
        <w:rPr>
          <w:color w:val="000000" w:themeColor="text1"/>
          <w14:textFill>
            <w14:solidFill>
              <w14:schemeClr w14:val="tx1"/>
            </w14:solidFill>
          </w14:textFill>
        </w:rPr>
      </w:pPr>
    </w:p>
    <w:bookmarkEnd w:id="25"/>
    <w:bookmarkEnd w:id="26"/>
    <w:bookmarkEnd w:id="27"/>
    <w:p w14:paraId="009E8BF9">
      <w:pPr>
        <w:pStyle w:val="3"/>
        <w:numPr>
          <w:ilvl w:val="0"/>
          <w:numId w:val="4"/>
        </w:numPr>
        <w:spacing w:line="360" w:lineRule="auto"/>
        <w:ind w:left="0" w:firstLine="0"/>
        <w:rPr>
          <w:color w:val="000000" w:themeColor="text1"/>
          <w14:textFill>
            <w14:solidFill>
              <w14:schemeClr w14:val="tx1"/>
            </w14:solidFill>
          </w14:textFill>
        </w:rPr>
      </w:pPr>
      <w:bookmarkStart w:id="29" w:name="_Hlk199506011"/>
      <w:bookmarkStart w:id="30" w:name="_Hlk200097037"/>
      <w:r>
        <w:rPr>
          <w:rFonts w:hint="eastAsia"/>
          <w:color w:val="000000" w:themeColor="text1"/>
          <w14:textFill>
            <w14:solidFill>
              <w14:schemeClr w14:val="tx1"/>
            </w14:solidFill>
          </w14:textFill>
        </w:rPr>
        <w:t>存在股权激励、员工持股计划的公司可选择披露扣除股份支付影响后的净利润</w:t>
      </w:r>
    </w:p>
    <w:sdt>
      <w:sdtPr>
        <w:rPr>
          <w:rFonts w:hint="eastAsia"/>
        </w:rPr>
        <w:alias w:val="是否适用：扣除股份支付影响后的净利润[双击切换]"/>
        <w:tag w:val="_GBC_0800bd28016b47e5b3f7d0b40ad325dc"/>
        <w:id w:val="-1987230927"/>
        <w:placeholder>
          <w:docPart w:val="GBC22222222222222222222222222222"/>
        </w:placeholder>
      </w:sdtPr>
      <w:sdtEndPr>
        <w:rPr>
          <w:rFonts w:hint="eastAsia"/>
        </w:rPr>
      </w:sdtEndPr>
      <w:sdtContent>
        <w:p w14:paraId="443DF580">
          <w:pPr>
            <w:spacing w:line="360" w:lineRule="auto"/>
          </w:pPr>
          <w:r>
            <w:rPr>
              <w:rFonts w:hint="eastAsia" w:ascii="宋体" w:hAnsi="宋体"/>
            </w:rPr>
            <w:fldChar w:fldCharType="begin"/>
          </w:r>
          <w:r>
            <w:rPr>
              <w:rFonts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ascii="宋体" w:hAnsi="宋体"/>
            </w:rPr>
            <w:instrText xml:space="preserve"> MACROBUTTON  SnrToggleCheckbox √不适用 </w:instrText>
          </w:r>
          <w:r>
            <w:rPr>
              <w:rFonts w:hint="eastAsia" w:ascii="宋体" w:hAnsi="宋体"/>
            </w:rPr>
            <w:fldChar w:fldCharType="end"/>
          </w:r>
        </w:p>
      </w:sdtContent>
    </w:sdt>
    <w:bookmarkEnd w:id="29"/>
    <w:p w14:paraId="22DFCC8E">
      <w:pPr>
        <w:spacing w:line="360" w:lineRule="auto"/>
      </w:pPr>
    </w:p>
    <w:bookmarkEnd w:id="28"/>
    <w:bookmarkEnd w:id="30"/>
    <w:p w14:paraId="19E029CA">
      <w:pPr>
        <w:pStyle w:val="3"/>
        <w:numPr>
          <w:ilvl w:val="0"/>
          <w:numId w:val="4"/>
        </w:numPr>
        <w:spacing w:line="36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公司简介和主要财务指标其他说明[双击切换]"/>
        <w:tag w:val="_GBC_5b4104dc5c2c4501bc2420c70be30c2a"/>
        <w:id w:val="-163860404"/>
        <w:placeholder>
          <w:docPart w:val="GBC22222222222222222222222222222"/>
        </w:placeholder>
      </w:sdtPr>
      <w:sdtEndPr>
        <w:rPr>
          <w:color w:val="000000" w:themeColor="text1"/>
          <w14:textFill>
            <w14:solidFill>
              <w14:schemeClr w14:val="tx1"/>
            </w14:solidFill>
          </w14:textFill>
        </w:rPr>
      </w:sdtEndPr>
      <w:sdtContent>
        <w:p w14:paraId="657B2E6D">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D2EA17E">
      <w:pPr>
        <w:kinsoku w:val="0"/>
        <w:overflowPunct w:val="0"/>
        <w:autoSpaceDE w:val="0"/>
        <w:autoSpaceDN w:val="0"/>
        <w:adjustRightInd w:val="0"/>
        <w:snapToGrid w:val="0"/>
        <w:rPr>
          <w:color w:val="000000" w:themeColor="text1"/>
          <w14:textFill>
            <w14:solidFill>
              <w14:schemeClr w14:val="tx1"/>
            </w14:solidFill>
          </w14:textFill>
        </w:rPr>
      </w:pPr>
    </w:p>
    <w:p w14:paraId="455F1C49">
      <w:pPr>
        <w:pStyle w:val="2"/>
        <w:numPr>
          <w:ilvl w:val="0"/>
          <w:numId w:val="3"/>
        </w:numPr>
        <w:rPr>
          <w:rFonts w:ascii="黑体" w:hAnsi="黑体"/>
          <w:color w:val="000000" w:themeColor="text1"/>
          <w14:textFill>
            <w14:solidFill>
              <w14:schemeClr w14:val="tx1"/>
            </w14:solidFill>
          </w14:textFill>
        </w:rPr>
      </w:pPr>
      <w:bookmarkStart w:id="31" w:name="_Toc200030541"/>
      <w:bookmarkStart w:id="32" w:name="_Toc76114274"/>
      <w:r>
        <w:rPr>
          <w:rFonts w:hint="eastAsia" w:ascii="黑体" w:hAnsi="黑体"/>
          <w:color w:val="000000" w:themeColor="text1"/>
          <w14:textFill>
            <w14:solidFill>
              <w14:schemeClr w14:val="tx1"/>
            </w14:solidFill>
          </w14:textFill>
        </w:rPr>
        <w:t>管理层讨论与分析</w:t>
      </w:r>
    </w:p>
    <w:bookmarkEnd w:id="31"/>
    <w:bookmarkEnd w:id="32"/>
    <w:p w14:paraId="07FB4121">
      <w:pPr>
        <w:pStyle w:val="3"/>
        <w:numPr>
          <w:ilvl w:val="0"/>
          <w:numId w:val="7"/>
        </w:numPr>
        <w:tabs>
          <w:tab w:val="left" w:pos="426"/>
        </w:tabs>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报告期内公司所属行业及主营业务情况说明</w:t>
      </w:r>
    </w:p>
    <w:sdt>
      <w:sdtPr>
        <w:rPr>
          <w:rFonts w:hint="eastAsia"/>
          <w:color w:val="000000" w:themeColor="text1"/>
          <w14:textFill>
            <w14:solidFill>
              <w14:schemeClr w14:val="tx1"/>
            </w14:solidFill>
          </w14:textFill>
        </w:rPr>
        <w:alias w:val="报告期内公司所从事的主要业务、经营模式及行业情况说明"/>
        <w:tag w:val="_GBC_5c28d6f46eea48f892bed0c5fc99ab60"/>
        <w:id w:val="-1426724357"/>
        <w:placeholder>
          <w:docPart w:val="GBC22222222222222222222222222222"/>
        </w:placeholder>
      </w:sdtPr>
      <w:sdtEndPr>
        <w:rPr>
          <w:rFonts w:hint="eastAsia"/>
          <w:color w:val="000000" w:themeColor="text1"/>
          <w14:textFill>
            <w14:solidFill>
              <w14:schemeClr w14:val="tx1"/>
            </w14:solidFill>
          </w14:textFill>
        </w:rPr>
      </w:sdtEndPr>
      <w:sdtContent>
        <w:sdt>
          <w:sdtPr>
            <w:rPr>
              <w:rFonts w:hint="eastAsia"/>
              <w:color w:val="000000" w:themeColor="text1"/>
              <w14:textFill>
                <w14:solidFill>
                  <w14:schemeClr w14:val="tx1"/>
                </w14:solidFill>
              </w14:textFill>
            </w:rPr>
            <w:alias w:val="报告期内公司所从事的主要业务、经营模式及行业情况说明"/>
            <w:tag w:val="_GBC_5c28d6f46eea48f892bed0c5fc99ab60"/>
            <w:id w:val="147472459"/>
            <w:placeholder>
              <w:docPart w:val="{81d1eded-ca6a-4f44-bf0f-c7b1c8d05b91}"/>
            </w:placeholder>
          </w:sdtPr>
          <w:sdtEndPr>
            <w:rPr>
              <w:rFonts w:hint="eastAsia"/>
              <w:color w:val="000000" w:themeColor="text1"/>
              <w14:textFill>
                <w14:solidFill>
                  <w14:schemeClr w14:val="tx1"/>
                </w14:solidFill>
              </w14:textFill>
            </w:rPr>
          </w:sdtEndPr>
          <w:sdtContent>
            <w:sdt>
              <w:sdtPr>
                <w:rPr>
                  <w:rFonts w:hint="eastAsia"/>
                  <w:color w:val="000000" w:themeColor="text1"/>
                  <w14:textFill>
                    <w14:solidFill>
                      <w14:schemeClr w14:val="tx1"/>
                    </w14:solidFill>
                  </w14:textFill>
                </w:rPr>
                <w:alias w:val="报告期内公司所从事的主要业务、经营模式及行业情况说明"/>
                <w:tag w:val="_GBC_5c28d6f46eea48f892bed0c5fc99ab60"/>
                <w:id w:val="147477812"/>
                <w:placeholder>
                  <w:docPart w:val="{840a7055-40b0-43df-a894-e7c4291d2dcf}"/>
                </w:placeholder>
              </w:sdtPr>
              <w:sdtEndPr>
                <w:rPr>
                  <w:rFonts w:hint="eastAsia"/>
                  <w:color w:val="000000" w:themeColor="text1"/>
                  <w14:textFill>
                    <w14:solidFill>
                      <w14:schemeClr w14:val="tx1"/>
                    </w14:solidFill>
                  </w14:textFill>
                </w:rPr>
              </w:sdtEndPr>
              <w:sdtContent>
                <w:p w14:paraId="29B5AD2D">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报告期内，公司聚焦“AI+车”核心战略，锚定智能制造产业核心赛道，积极把握人工智能发展机遇，旨在打造面向全球市场的智能出行科技品牌，以AI赋能出行与生活，推动科技普惠大众。公司致力于在“AI+车”领域打造技术、产品和生态优势，同时实施“科技与终端协同发展，AI化与国际化相互促进”的发展战略，构建“以终端业务稳固发展基础，以科技业务驱动增长”的产业格局。科技业务板块目前主要聚焦于智能辅助驾驶与智能座舱技术，提供面向未来的汽车智能化整体解决方案，构建技术壁垒与生态优势；终端业务板块深耕乘用车（含新能源汽车）、摩托车、摩托车发动机及通用机械等领域的研发、生产、销售（含出口），持续巩固市场地位与规模优势，两大业务板块协同并进，共同驱动公司高质量发展，为股东及社会创造长期价值。</w:t>
                  </w:r>
                </w:p>
                <w:p w14:paraId="39C162A7">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（一）行业发展情况</w:t>
                  </w:r>
                </w:p>
                <w:p w14:paraId="4AF26933">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1.汽车行业</w:t>
                  </w:r>
                </w:p>
                <w:p w14:paraId="50BA9CC6">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汽车行业延续高增长态势，据中国汽车工业协会统计：2025年上半年全国汽车销量达1,565.3万辆，同比显著增长11.4%。其中，新能源汽车销量实现 693.7万辆，同比强劲增长 40.3%，市场渗透率突破44%，产业转型加速推进。汽车出口规模达308.3万辆，同比增长10.4%；新能源汽车出口表现尤为突出，达106万辆，同比大幅攀升75.2%，国际竞争凸显。</w:t>
                  </w:r>
                </w:p>
                <w:p w14:paraId="221D2A34">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中国“智能网联汽车发展规划”明确支持以AI为技术底座的智能辅助驾驶、智能座舱等核心技术研发，智能辅助驾驶技术商用进程加速，L2级及以上智能辅助驾驶辅助功能的装车率已高达 77.8%，并呈现出从高端车型向主流价格区间（16万元以下）车型扩展的趋势，技术普惠性大幅提升。</w:t>
                  </w:r>
                </w:p>
                <w:p w14:paraId="53E8D14D">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2.摩托车行业</w:t>
                  </w:r>
                </w:p>
                <w:p w14:paraId="25B24A98">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摩托车行业保持平稳健康发展，据摩托车商会统计：上半年摩托车总销量为1,061.46 万台，同比增长11.54%。其中，国内市场逐步企稳，销量395.35万台；外贸出口表现亮眼，成为行业增长的主要引擎，出口销量达666.11万台，同比大幅增长25.44%，对整体行业拉动作用显著。</w:t>
                  </w:r>
                </w:p>
                <w:p w14:paraId="43E477F8">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（二）主要业务与产品</w:t>
                  </w:r>
                </w:p>
                <w:p w14:paraId="2EDB3B43">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1.终端业务</w:t>
                  </w:r>
                </w:p>
                <w:p w14:paraId="2B7D4ED6">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公司终端业务主要涵盖汽车与摩托车两大业务，作为发展基石，持续巩固市场地位与规模优势。</w:t>
                  </w:r>
                </w:p>
                <w:p w14:paraId="014624E3">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汽车板块：聚焦构建“充换电一体化”核心能力体系，持续优化多场景适配的产品矩阵与全生命周期的服务体系，提升市场响应能力与客户价值。报告期内，睿蓝汽车锚定“可充可换”多元补能方式，战略整合研发资源，与生态伙伴共同构建统一高效的正向研发平台。</w:t>
                  </w:r>
                </w:p>
                <w:p w14:paraId="7B01D454">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摩托车板块：将国际化拓展确立为战略重心，积极强化全球重点市场布局，着力完善本地化运营体系，持续提升全球市场份额与品牌影响力。报告期内，摩托车业务推进在研项目 38个，上市6个，获欧标法规认证26个；通过混合动力技术路线整合，实现降本与性能兼顾；完成5Kw、10Kw增程动力热机、三电及控制系统选型与布置。</w:t>
                  </w:r>
                </w:p>
                <w:p w14:paraId="103B9FBE">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2.科技业务</w:t>
                  </w:r>
                </w:p>
                <w:p w14:paraId="5A6BF963">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科技业务作为核心增长引擎，协同战略合作伙伴，重点深耕智能辅助驾驶与智能座舱领域，共同打造面向整车制造企业的“AI智行开放平台”。</w:t>
                  </w:r>
                </w:p>
                <w:p w14:paraId="7B4B4219">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智驾领域：6月23日，发布“千里智驾 1.0”解决方案，分为基础版、专业版和旗舰版三大类别，可实现多场景自主决策与复杂交互、车位到车位等核心功能。</w:t>
                  </w:r>
                </w:p>
                <w:p w14:paraId="594C1E75">
                  <w:pPr>
                    <w:spacing w:line="360" w:lineRule="auto"/>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智舱领域：强化产业生态协同创新，联合生态伙伴推出智能座舱 Agent OS 系统（预览版），在多模态交互、场景化服务、人机共驾等方面取得技术突破。</w:t>
                  </w:r>
                </w:p>
              </w:sdtContent>
            </w:sdt>
          </w:sdtContent>
        </w:sdt>
        <w:p w14:paraId="1B50A5C1">
          <w:pPr>
            <w:spacing w:line="360" w:lineRule="auto"/>
            <w:ind w:firstLine="420" w:firstLineChars="200"/>
            <w:rPr>
              <w:rFonts w:ascii="宋体" w:hAnsi="宋体" w:cs="Segoe UI"/>
              <w:color w:val="404040"/>
              <w:shd w:val="clear" w:color="auto" w:fill="FFFFFF"/>
            </w:rPr>
          </w:pPr>
        </w:p>
      </w:sdtContent>
    </w:sdt>
    <w:p w14:paraId="0C82FD1E">
      <w:pPr>
        <w:spacing w:line="360" w:lineRule="auto"/>
        <w:rPr>
          <w:rFonts w:ascii="Calibri" w:hAnsi="Calibri" w:cs="Times New Roman"/>
          <w:bCs/>
          <w:kern w:val="2"/>
        </w:rPr>
      </w:pPr>
      <w:bookmarkStart w:id="33" w:name="_Hlk188285089"/>
      <w:bookmarkStart w:id="34" w:name="_Hlk199506625"/>
      <w:r>
        <w:rPr>
          <w:rFonts w:hint="eastAsia" w:ascii="Calibri" w:hAnsi="Calibri" w:cs="Times New Roman"/>
          <w:kern w:val="2"/>
        </w:rPr>
        <w:t>报告期内公司新增重要非主营业务的说明</w:t>
      </w:r>
    </w:p>
    <w:sdt>
      <w:sdtPr>
        <w:rPr>
          <w:rFonts w:hint="eastAsia"/>
        </w:rPr>
        <w:alias w:val="是否适用：报告期内公司新增重要非主营业务的说明[双击切换]"/>
        <w:tag w:val="_GBC_c777ca3f625d446a99f6adbd4267c48a"/>
        <w:id w:val="-1549223501"/>
        <w:placeholder>
          <w:docPart w:val="GBC22222222222222222222222222222"/>
        </w:placeholder>
      </w:sdtPr>
      <w:sdtEndPr>
        <w:rPr>
          <w:rFonts w:hint="eastAsia"/>
        </w:rPr>
      </w:sdtEndPr>
      <w:sdtContent>
        <w:p w14:paraId="07872603">
          <w:pPr>
            <w:spacing w:line="360" w:lineRule="auto"/>
          </w:pPr>
          <w:r>
            <w:rPr>
              <w:rFonts w:hint="eastAsia" w:ascii="宋体" w:hAnsi="宋体"/>
            </w:rPr>
            <w:fldChar w:fldCharType="begin"/>
          </w:r>
          <w:r>
            <w:rPr>
              <w:rFonts w:hint="eastAsia" w:ascii="宋体" w:hAnsi="宋体"/>
            </w:rPr>
            <w:instrText xml:space="preserve"> MACROBUTTON  SnrToggleCheckbox □适用 </w:instrText>
          </w:r>
          <w:r>
            <w:rPr>
              <w:rFonts w:hint="eastAsia" w:ascii="宋体" w:hAnsi="宋体"/>
            </w:rPr>
            <w:fldChar w:fldCharType="end"/>
          </w:r>
          <w:r>
            <w:rPr>
              <w:rFonts w:hint="eastAsia" w:ascii="宋体" w:hAnsi="宋体"/>
            </w:rPr>
            <w:fldChar w:fldCharType="begin"/>
          </w:r>
          <w:r>
            <w:rPr>
              <w:rFonts w:hint="eastAsia" w:ascii="宋体" w:hAnsi="宋体"/>
            </w:rPr>
            <w:instrText xml:space="preserve"> MACROBUTTON  SnrToggleCheckbox √不适用 </w:instrText>
          </w:r>
          <w:r>
            <w:rPr>
              <w:rFonts w:hint="eastAsia" w:ascii="宋体" w:hAnsi="宋体"/>
            </w:rPr>
            <w:fldChar w:fldCharType="end"/>
          </w:r>
        </w:p>
      </w:sdtContent>
    </w:sdt>
    <w:p w14:paraId="33710C7D">
      <w:pPr>
        <w:spacing w:line="360" w:lineRule="auto"/>
      </w:pPr>
    </w:p>
    <w:bookmarkEnd w:id="33"/>
    <w:bookmarkEnd w:id="34"/>
    <w:p w14:paraId="569E4B27">
      <w:pPr>
        <w:pStyle w:val="3"/>
        <w:numPr>
          <w:ilvl w:val="0"/>
          <w:numId w:val="7"/>
        </w:numPr>
        <w:tabs>
          <w:tab w:val="left" w:pos="426"/>
        </w:tabs>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经营情况的讨论与分析</w:t>
      </w:r>
    </w:p>
    <w:sdt>
      <w:sdtPr>
        <w:rPr>
          <w:rFonts w:hint="eastAsia"/>
          <w:b/>
          <w:bCs/>
          <w:color w:val="000000" w:themeColor="text1"/>
          <w14:textFill>
            <w14:solidFill>
              <w14:schemeClr w14:val="tx1"/>
            </w14:solidFill>
          </w14:textFill>
        </w:rPr>
        <w:alias w:val="管理层讨论与分析"/>
        <w:tag w:val="_GBC_886258ec69e240da99b57ac102afbda6"/>
        <w:id w:val="877362206"/>
        <w:placeholder>
          <w:docPart w:val="GBC22222222222222222222222222222"/>
        </w:placeholder>
      </w:sdtPr>
      <w:sdtEndPr>
        <w:rPr>
          <w:rFonts w:hint="eastAsia"/>
          <w:b w:val="0"/>
          <w:bCs/>
          <w:color w:val="000000" w:themeColor="text1"/>
          <w14:textFill>
            <w14:solidFill>
              <w14:schemeClr w14:val="tx1"/>
            </w14:solidFill>
          </w14:textFill>
        </w:rPr>
      </w:sdtEndPr>
      <w:sdtContent>
        <w:sdt>
          <w:sdtPr>
            <w:rPr>
              <w:rFonts w:hint="eastAsia"/>
              <w:b/>
              <w:bCs/>
              <w:color w:val="000000" w:themeColor="text1"/>
              <w14:textFill>
                <w14:solidFill>
                  <w14:schemeClr w14:val="tx1"/>
                </w14:solidFill>
              </w14:textFill>
            </w:rPr>
            <w:alias w:val="管理层讨论与分析"/>
            <w:tag w:val="_GBC_886258ec69e240da99b57ac102afbda6"/>
            <w:id w:val="147474545"/>
            <w:placeholder>
              <w:docPart w:val="{03e0cf10-9902-4810-9881-9ba1ba34bf4a}"/>
            </w:placeholder>
          </w:sdtPr>
          <w:sdtEndPr>
            <w:rPr>
              <w:rFonts w:hint="eastAsia"/>
              <w:b w:val="0"/>
              <w:bCs/>
              <w:color w:val="000000" w:themeColor="text1"/>
              <w14:textFill>
                <w14:solidFill>
                  <w14:schemeClr w14:val="tx1"/>
                </w14:solidFill>
              </w14:textFill>
            </w:rPr>
          </w:sdtEndPr>
          <w:sdtContent>
            <w:p w14:paraId="0AA081C8">
              <w:pPr>
                <w:spacing w:before="120" w:beforeLines="50" w:line="360" w:lineRule="auto"/>
                <w:ind w:firstLine="42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（一）公司经营情况</w:t>
              </w:r>
            </w:p>
            <w:p w14:paraId="6906D63C">
              <w:pPr>
                <w:spacing w:line="360" w:lineRule="auto"/>
                <w:ind w:firstLine="422" w:firstLineChars="200"/>
                <w:jc w:val="both"/>
                <w:rPr>
                  <w:b/>
                  <w:color w:val="000000" w:themeColor="text1"/>
                  <w14:textFill>
                    <w14:solidFill>
                      <w14:schemeClr w14:val="tx1"/>
                    </w14:solidFill>
                  </w14:textFill>
                </w:rPr>
              </w:pPr>
              <w:r>
                <w:rPr>
                  <w:rFonts w:hint="eastAsia"/>
                  <w:b/>
                  <w:color w:val="000000" w:themeColor="text1"/>
                  <w14:textFill>
                    <w14:solidFill>
                      <w14:schemeClr w14:val="tx1"/>
                    </w14:solidFill>
                  </w14:textFill>
                </w:rPr>
                <w:t>1.深耕核心技术攻坚，锤炼创新关键利器</w:t>
              </w:r>
            </w:p>
            <w:p w14:paraId="46559CE7">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以突破技术壁垒、强化产品竞争力为目标，在研发与技术领域多点突破。科技业务在智驾算法、智舱交互体验等关键领域攻坚，6月发布面向L2+的“千里智驾1.0”智能辅助驾驶解决方案。该方案最低标配100TOPS算力，旗舰版搭载700TOPS算力平台，具备多场景自主决策与复杂交互、车位到车位等核心功能。合资公司千里智驾成立，并与吉利汽车联合推出“千里浩瀚”智能辅助驾驶系统，已实现多款量产车型搭载；联合生态伙伴推出智能座舱Agent OS系统（预览版），该系统基于AI Agent原生打造，采用了最新的AI Agent协作协议和架构，能够为AI Agent的运行、调用与协作提供底层基础设施与服务；终端业务，汽车板块构建“高效动力+智能补能+场景创新”三位一体技术体系；摩托车研发L0级辅助驾驶系统，预研电子节气门，推进高压架构平台化。</w:t>
              </w:r>
            </w:p>
            <w:p w14:paraId="5D713357">
              <w:pPr>
                <w:spacing w:line="360" w:lineRule="auto"/>
                <w:ind w:firstLine="422" w:firstLineChars="200"/>
                <w:jc w:val="both"/>
                <w:rPr>
                  <w:b/>
                  <w:color w:val="000000" w:themeColor="text1"/>
                  <w14:textFill>
                    <w14:solidFill>
                      <w14:schemeClr w14:val="tx1"/>
                    </w14:solidFill>
                  </w14:textFill>
                </w:rPr>
              </w:pPr>
              <w:r>
                <w:rPr>
                  <w:rFonts w:hint="eastAsia"/>
                  <w:b/>
                  <w:color w:val="000000" w:themeColor="text1"/>
                  <w14:textFill>
                    <w14:solidFill>
                      <w14:schemeClr w14:val="tx1"/>
                    </w14:solidFill>
                  </w14:textFill>
                </w:rPr>
                <w:t>2.深耕全球市场，拓展增长空间</w:t>
              </w:r>
            </w:p>
            <w:p w14:paraId="5ACB803F">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公司始终秉持 “全域覆盖、双端发力” 的营销战略导向，深度统筹国内国际市场资源联动，通过构建一体化协同发展格局，实现汽车、摩托车两大核心业务板块销量突破性增长。国内市场精耕渠道网络，其中汽车业务一级渠道数量显著提升，摩托车业务在黑龙江、河北等重点区域新增多个渠道。国际市场加速布局，汽车业务在意大利、西班牙等欧洲市场超额完成目标，印尼市场实现睿蓝8项目落地；摩托车覆盖全球87个国家，新增巴西、埃及、乍得、南非等新兴国家市场。</w:t>
              </w:r>
            </w:p>
            <w:p w14:paraId="4C03E374">
              <w:pPr>
                <w:spacing w:line="360" w:lineRule="auto"/>
                <w:ind w:firstLine="422" w:firstLineChars="200"/>
                <w:jc w:val="both"/>
                <w:rPr>
                  <w:b/>
                  <w:color w:val="000000" w:themeColor="text1"/>
                  <w14:textFill>
                    <w14:solidFill>
                      <w14:schemeClr w14:val="tx1"/>
                    </w14:solidFill>
                  </w14:textFill>
                </w:rPr>
              </w:pPr>
              <w:r>
                <w:rPr>
                  <w:rFonts w:hint="eastAsia"/>
                  <w:b/>
                  <w:color w:val="000000" w:themeColor="text1"/>
                  <w14:textFill>
                    <w14:solidFill>
                      <w14:schemeClr w14:val="tx1"/>
                    </w14:solidFill>
                  </w14:textFill>
                </w:rPr>
                <w:t>3.深耕供应链协同，夯实发展根基</w:t>
              </w:r>
            </w:p>
            <w:p w14:paraId="4C39A890">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延续“整合资源拓合作、立足本地强生态”的供应链战略，在本地化布局与协同降本上持续发力。依托重庆汽摩产业配套优势，深化本地供应商培育，通过优化采购网络、强化战略合作，推动零部件采购本地化率稳步提升，有效缩短供应周期、降低物流成本。与国内行业领军供应商巩固深度合作，构建多元稳固的供应链网络，保障核心零部件稳定供应。同步开展全员精益改善活动，聚焦供应链各环节痛点，完成多项降本课题，提升经济效益。</w:t>
              </w:r>
            </w:p>
            <w:p w14:paraId="5B048AD5">
              <w:pPr>
                <w:spacing w:line="360" w:lineRule="auto"/>
                <w:ind w:firstLine="422" w:firstLineChars="200"/>
                <w:jc w:val="both"/>
                <w:rPr>
                  <w:b/>
                  <w:color w:val="000000" w:themeColor="text1"/>
                  <w14:textFill>
                    <w14:solidFill>
                      <w14:schemeClr w14:val="tx1"/>
                    </w14:solidFill>
                  </w14:textFill>
                </w:rPr>
              </w:pPr>
              <w:r>
                <w:rPr>
                  <w:rFonts w:hint="eastAsia"/>
                  <w:b/>
                  <w:color w:val="000000" w:themeColor="text1"/>
                  <w14:textFill>
                    <w14:solidFill>
                      <w14:schemeClr w14:val="tx1"/>
                    </w14:solidFill>
                  </w14:textFill>
                </w:rPr>
                <w:t>4.精铸管理基石，提升治理效能</w:t>
              </w:r>
            </w:p>
            <w:p w14:paraId="584EE425">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公司秉持“管理现代化、执行高效化、运营数字化”理念，以体系升级与效能提升为核心，筑牢内部管理根基。深化数字化转型，落地集团级系统及系统迭代，显著提升工作效能与决策科学性，推动业务流程线上化、自动化与数据共享，构建“数据驱动、智能辅助、闭环管理”的高效决策支撑体系，跨部门协同效率及运营管理效能显著提升。同时，强化风险防控与合规管理，科学合理解决历史遗留问题，持续完善内控体系。</w:t>
              </w:r>
            </w:p>
            <w:p w14:paraId="65934651">
              <w:pPr>
                <w:spacing w:line="360" w:lineRule="auto"/>
                <w:ind w:firstLine="422" w:firstLineChars="200"/>
                <w:jc w:val="both"/>
                <w:rPr>
                  <w:b/>
                  <w:color w:val="000000" w:themeColor="text1"/>
                  <w14:textFill>
                    <w14:solidFill>
                      <w14:schemeClr w14:val="tx1"/>
                    </w14:solidFill>
                  </w14:textFill>
                </w:rPr>
              </w:pPr>
              <w:r>
                <w:rPr>
                  <w:rFonts w:hint="eastAsia"/>
                  <w:b/>
                  <w:color w:val="000000" w:themeColor="text1"/>
                  <w14:textFill>
                    <w14:solidFill>
                      <w14:schemeClr w14:val="tx1"/>
                    </w14:solidFill>
                  </w14:textFill>
                </w:rPr>
                <w:t>（二）公司战略目标与实施</w:t>
              </w:r>
            </w:p>
            <w:p w14:paraId="5DFD7A53">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公司致力于在科技业务领域成为“AI+车”时代的技术、产品和生态领导者。公司将在智能辅助驾驶和智能座舱解决方案的基础上，布局并拓展智能出行业务，构建“AI+车”全栈解决方案和开放平台；在终端业务方面，公司将在汽车、摩托车、通用机械等领域，推出更具市场吸引力的新产品，提升终端业务的国际化竞争力。</w:t>
              </w:r>
            </w:p>
            <w:p w14:paraId="75C0746C">
              <w:pPr>
                <w:spacing w:line="360" w:lineRule="auto"/>
                <w:ind w:firstLine="420" w:firstLineChars="200"/>
                <w:jc w:val="both"/>
              </w:pPr>
              <w:r>
                <w:rPr>
                  <w:rFonts w:hint="eastAsia"/>
                  <w:color w:val="000000" w:themeColor="text1"/>
                  <w14:textFill>
                    <w14:solidFill>
                      <w14:schemeClr w14:val="tx1"/>
                    </w14:solidFill>
                  </w14:textFill>
                </w:rPr>
                <w:t>公司将继续加大在科技业务的投入，着力强化软件技术攻关，积极整合硬件技术资源，加速构建软硬一体化战略生态体系；同时，通过深化与主流车企的战略合作，稳固双方合作关系，共同推动“AI+车”技术的应用与发展。此外，公司将积极拓展海外市场，通过加强客户关系拓展和销售及服务团队建设，提升终端业务和科技业务的国际化水平。</w:t>
              </w:r>
            </w:p>
          </w:sdtContent>
        </w:sdt>
      </w:sdtContent>
    </w:sdt>
    <w:p w14:paraId="62A9ECBA">
      <w:pPr>
        <w:rPr>
          <w:color w:val="000000" w:themeColor="text1"/>
          <w14:textFill>
            <w14:solidFill>
              <w14:schemeClr w14:val="tx1"/>
            </w14:solidFill>
          </w14:textFill>
        </w:rPr>
      </w:pPr>
    </w:p>
    <w:p w14:paraId="3B078834">
      <w:pPr>
        <w:spacing w:line="360" w:lineRule="auto"/>
        <w:rPr>
          <w:b/>
          <w:bCs/>
          <w:color w:val="000000" w:themeColor="text1"/>
          <w14:textFill>
            <w14:solidFill>
              <w14:schemeClr w14:val="tx1"/>
            </w14:solidFill>
          </w14:textFill>
        </w:rPr>
      </w:pPr>
      <w:r>
        <w:rPr>
          <w:rFonts w:hint="eastAsia"/>
          <w:b/>
          <w:color w:val="000000" w:themeColor="text1"/>
          <w14:textFill>
            <w14:solidFill>
              <w14:schemeClr w14:val="tx1"/>
            </w14:solidFill>
          </w14:textFill>
        </w:rPr>
        <w:t>报告期内公司经营情况的重大变化，以及报告期内发生的对公司经营情况有重大影响和预计未来会有重大影响的事项</w:t>
      </w:r>
    </w:p>
    <w:sdt>
      <w:sdtPr>
        <w:rPr>
          <w:rFonts w:hint="eastAsia"/>
          <w:color w:val="000000" w:themeColor="text1"/>
          <w14:textFill>
            <w14:solidFill>
              <w14:schemeClr w14:val="tx1"/>
            </w14:solidFill>
          </w14:textFill>
        </w:rPr>
        <w:alias w:val="是否适用：报告期内公司经营情况的重大变化，以及报告期内发生的对公司经营情况有重大影响和预计未来会有重大影响的事项[双击切换]"/>
        <w:tag w:val="_GBC_0f91ff55b5a9406ea662149119d7e23c"/>
        <w:id w:val="-722054580"/>
        <w:placeholder>
          <w:docPart w:val="GBC22222222222222222222222222222"/>
        </w:placeholder>
      </w:sdtPr>
      <w:sdtEndPr>
        <w:rPr>
          <w:rFonts w:hint="eastAsia"/>
          <w:color w:val="000000" w:themeColor="text1"/>
          <w14:textFill>
            <w14:solidFill>
              <w14:schemeClr w14:val="tx1"/>
            </w14:solidFill>
          </w14:textFill>
        </w:rPr>
      </w:sdtEndPr>
      <w:sdtContent>
        <w:p w14:paraId="25C4A1A2">
          <w:pPr>
            <w:spacing w:line="360" w:lineRule="auto"/>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1EE32AE">
      <w:pPr>
        <w:spacing w:line="360" w:lineRule="auto"/>
        <w:ind w:firstLine="420" w:firstLineChars="200"/>
        <w:rPr>
          <w:color w:val="000000" w:themeColor="text1"/>
          <w14:textFill>
            <w14:solidFill>
              <w14:schemeClr w14:val="tx1"/>
            </w14:solidFill>
          </w14:textFill>
        </w:rPr>
      </w:pPr>
    </w:p>
    <w:p w14:paraId="1151BE18">
      <w:pPr>
        <w:pStyle w:val="3"/>
        <w:numPr>
          <w:ilvl w:val="0"/>
          <w:numId w:val="7"/>
        </w:numPr>
        <w:tabs>
          <w:tab w:val="left" w:pos="426"/>
        </w:tabs>
        <w:spacing w:line="360" w:lineRule="auto"/>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报告期内核心竞争力分析</w:t>
      </w:r>
    </w:p>
    <w:sdt>
      <w:sdtPr>
        <w:rPr>
          <w:color w:val="000000" w:themeColor="text1"/>
          <w14:textFill>
            <w14:solidFill>
              <w14:schemeClr w14:val="tx1"/>
            </w14:solidFill>
          </w14:textFill>
        </w:rPr>
        <w:alias w:val="是否适用：报告期内核心竞争力分析[双击切换]"/>
        <w:tag w:val="_GBC_f5e4beedb06c4dedb1da9c7f429d840e"/>
        <w:id w:val="-718197462"/>
        <w:placeholder>
          <w:docPart w:val="GBC22222222222222222222222222222"/>
        </w:placeholder>
      </w:sdtPr>
      <w:sdtEndPr>
        <w:rPr>
          <w:color w:val="000000" w:themeColor="text1"/>
          <w14:textFill>
            <w14:solidFill>
              <w14:schemeClr w14:val="tx1"/>
            </w14:solidFill>
          </w14:textFill>
        </w:rPr>
      </w:sdtEndPr>
      <w:sdtContent>
        <w:p w14:paraId="04004C08">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报告期内核心竞争力分析"/>
        <w:tag w:val="_GBC_2aded0644185447a9ec788ba0b35ac4f"/>
        <w:id w:val="-230620030"/>
        <w:placeholder>
          <w:docPart w:val="GBC22222222222222222222222222222"/>
        </w:placeholder>
      </w:sdtPr>
      <w:sdtEndPr>
        <w:rPr>
          <w:rFonts w:hint="eastAsia"/>
          <w:color w:val="000000" w:themeColor="text1"/>
          <w14:textFill>
            <w14:solidFill>
              <w14:schemeClr w14:val="tx1"/>
            </w14:solidFill>
          </w14:textFill>
        </w:rPr>
      </w:sdtEndPr>
      <w:sdtContent>
        <w:sdt>
          <w:sdtPr>
            <w:rPr>
              <w:rFonts w:hint="eastAsia"/>
              <w:color w:val="000000" w:themeColor="text1"/>
              <w14:textFill>
                <w14:solidFill>
                  <w14:schemeClr w14:val="tx1"/>
                </w14:solidFill>
              </w14:textFill>
            </w:rPr>
            <w:alias w:val="报告期内核心竞争力分析"/>
            <w:tag w:val="_GBC_2aded0644185447a9ec788ba0b35ac4f"/>
            <w:id w:val="147451063"/>
            <w:placeholder>
              <w:docPart w:val="{91fb0529-1b6f-4707-a161-ecf71314d165}"/>
            </w:placeholder>
          </w:sdtPr>
          <w:sdtEndPr>
            <w:rPr>
              <w:rFonts w:hint="eastAsia"/>
              <w:color w:val="000000" w:themeColor="text1"/>
              <w14:textFill>
                <w14:solidFill>
                  <w14:schemeClr w14:val="tx1"/>
                </w14:solidFill>
              </w14:textFill>
            </w:rPr>
          </w:sdtEndPr>
          <w:sdtContent>
            <w:p w14:paraId="4D98D85B">
              <w:pPr>
                <w:spacing w:line="360" w:lineRule="auto"/>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（一）</w:t>
              </w:r>
              <w:r>
                <w:rPr>
                  <w:b/>
                  <w:bCs/>
                  <w:color w:val="000000" w:themeColor="text1"/>
                  <w14:textFill>
                    <w14:solidFill>
                      <w14:schemeClr w14:val="tx1"/>
                    </w14:solidFill>
                  </w14:textFill>
                </w:rPr>
                <w:t>构筑人才高地，激活创新核心动能</w:t>
              </w:r>
            </w:p>
            <w:p w14:paraId="7BB0FABD">
              <w:pPr>
                <w:spacing w:line="360" w:lineRule="auto"/>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公司将人才资源作为推动战略转型与高质量发展的核心引擎，坚定不移实施人才强企战略。在人才引进方面，公司聚焦人工智能、全球化运营和先进制造等关键战略领域，引进行业资深管理人才与核心技术骨干，并加大高端人才自主培养力度，构建“引育并举” 的人才梯队。公司致力于打造一支兼具全球视野与实战能力的复合型领军人才队伍，为跨国经营拓展与技术创新升级提供核心动能，保障公司持续发展。</w:t>
              </w:r>
            </w:p>
            <w:p w14:paraId="4F902323">
              <w:pPr>
                <w:spacing w:line="360" w:lineRule="auto"/>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（二）</w:t>
              </w:r>
              <w:r>
                <w:rPr>
                  <w:b/>
                  <w:bCs/>
                  <w:color w:val="000000" w:themeColor="text1"/>
                  <w14:textFill>
                    <w14:solidFill>
                      <w14:schemeClr w14:val="tx1"/>
                    </w14:solidFill>
                  </w14:textFill>
                </w:rPr>
                <w:t>聚合产业资源，构建全栈资源平台及开放生态</w:t>
              </w:r>
            </w:p>
            <w:p w14:paraId="67A0E6EE">
              <w:pPr>
                <w:spacing w:line="360" w:lineRule="auto"/>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公司秉持开放协同理念，构建多方共赢的产业生态体系，积极应对产业变革挑战，加速技术创新与商业化进程。同时，公司积极打造产业生态联盟，打破边界，促进资源互补与能力共享，显著增强了公司在</w:t>
              </w:r>
              <w:r>
                <w:rPr>
                  <w:rFonts w:hint="eastAsia"/>
                  <w:color w:val="000000" w:themeColor="text1"/>
                  <w14:textFill>
                    <w14:solidFill>
                      <w14:schemeClr w14:val="tx1"/>
                    </w14:solidFill>
                  </w14:textFill>
                </w:rPr>
                <w:t>产业生态</w:t>
              </w:r>
              <w:r>
                <w:rPr>
                  <w:color w:val="000000" w:themeColor="text1"/>
                  <w14:textFill>
                    <w14:solidFill>
                      <w14:schemeClr w14:val="tx1"/>
                    </w14:solidFill>
                  </w14:textFill>
                </w:rPr>
                <w:t>中的话语权与协同价值。</w:t>
              </w:r>
            </w:p>
            <w:p w14:paraId="22C823E9">
              <w:pPr>
                <w:spacing w:line="360" w:lineRule="auto"/>
                <w:ind w:firstLine="422" w:firstLineChars="200"/>
                <w:jc w:val="both"/>
                <w:rPr>
                  <w:color w:val="000000" w:themeColor="text1"/>
                  <w14:textFill>
                    <w14:solidFill>
                      <w14:schemeClr w14:val="tx1"/>
                    </w14:solidFill>
                  </w14:textFill>
                </w:rPr>
              </w:pPr>
              <w:r>
                <w:rPr>
                  <w:b/>
                  <w:bCs/>
                  <w:color w:val="000000" w:themeColor="text1"/>
                  <w14:textFill>
                    <w14:solidFill>
                      <w14:schemeClr w14:val="tx1"/>
                    </w14:solidFill>
                  </w14:textFill>
                </w:rPr>
                <w:t>（三）科技业务与终端</w:t>
              </w:r>
              <w:r>
                <w:rPr>
                  <w:rFonts w:hint="eastAsia"/>
                  <w:b/>
                  <w:bCs/>
                  <w:color w:val="000000" w:themeColor="text1"/>
                  <w14:textFill>
                    <w14:solidFill>
                      <w14:schemeClr w14:val="tx1"/>
                    </w14:solidFill>
                  </w14:textFill>
                </w:rPr>
                <w:t>业务</w:t>
              </w:r>
              <w:r>
                <w:rPr>
                  <w:b/>
                  <w:bCs/>
                  <w:color w:val="000000" w:themeColor="text1"/>
                  <w14:textFill>
                    <w14:solidFill>
                      <w14:schemeClr w14:val="tx1"/>
                    </w14:solidFill>
                  </w14:textFill>
                </w:rPr>
                <w:t>的深度融合，打造差异化竞争优势</w:t>
              </w:r>
            </w:p>
            <w:p w14:paraId="4A9B6960">
              <w:pPr>
                <w:spacing w:line="360" w:lineRule="auto"/>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公司以科技与终端业务为“双轮驱动”，聚焦智能辅助驾驶与智能座舱核心技术，构建大模型驱动的全栈解决方案，实现“感知-决策-执行”全链路闭环，提升系统效能。在技术整合中，基于现有的先进算法与软件平台的深厚根基，推动“算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软件-硬件”协同闭环体系落地，强化垂直领域深度协同，打造集成化、高性能、安全可靠的系统级产品与服务体系。终端业务围绕市场需求，推进产品矩阵升级，加速智能化、网联化、电动化产品的开发，提升用户体验，推动业务延展与竞争力提升，形成市场差异化优势</w:t>
              </w:r>
              <w:r>
                <w:rPr>
                  <w:rFonts w:hint="eastAsia"/>
                </w:rPr>
                <w:t>。</w:t>
              </w:r>
            </w:p>
          </w:sdtContent>
        </w:sdt>
      </w:sdtContent>
    </w:sdt>
    <w:p w14:paraId="38EC6167">
      <w:pPr>
        <w:rPr>
          <w:color w:val="000000" w:themeColor="text1"/>
          <w14:textFill>
            <w14:solidFill>
              <w14:schemeClr w14:val="tx1"/>
            </w14:solidFill>
          </w14:textFill>
        </w:rPr>
      </w:pPr>
    </w:p>
    <w:p w14:paraId="4E06140B">
      <w:pPr>
        <w:pStyle w:val="3"/>
        <w:numPr>
          <w:ilvl w:val="0"/>
          <w:numId w:val="7"/>
        </w:numPr>
        <w:tabs>
          <w:tab w:val="left" w:pos="426"/>
        </w:tabs>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报告期内主要经营情况</w:t>
      </w:r>
    </w:p>
    <w:p w14:paraId="1CD7296F">
      <w:pPr>
        <w:pStyle w:val="4"/>
        <w:numPr>
          <w:ilvl w:val="0"/>
          <w:numId w:val="8"/>
        </w:numPr>
        <w:rPr>
          <w:rFonts w:ascii="宋体" w:hAnsi="宋体"/>
          <w:color w:val="000000" w:themeColor="text1"/>
          <w14:textFill>
            <w14:solidFill>
              <w14:schemeClr w14:val="tx1"/>
            </w14:solidFill>
          </w14:textFill>
        </w:rPr>
      </w:pPr>
      <w:bookmarkStart w:id="35" w:name="_Toc342565895"/>
      <w:bookmarkStart w:id="36" w:name="_Toc342559738"/>
      <w:r>
        <w:rPr>
          <w:rFonts w:hint="eastAsia" w:ascii="宋体" w:hAnsi="宋体"/>
          <w:color w:val="000000" w:themeColor="text1"/>
          <w14:textFill>
            <w14:solidFill>
              <w14:schemeClr w14:val="tx1"/>
            </w14:solidFill>
          </w14:textFill>
        </w:rPr>
        <w:t>主营业务分析</w:t>
      </w:r>
      <w:bookmarkEnd w:id="35"/>
      <w:bookmarkEnd w:id="36"/>
    </w:p>
    <w:p w14:paraId="7DD183C7">
      <w:pPr>
        <w:pStyle w:val="5"/>
        <w:numPr>
          <w:ilvl w:val="0"/>
          <w:numId w:val="9"/>
        </w:numPr>
        <w:rPr>
          <w:rFonts w:ascii="宋体" w:hAnsi="宋体"/>
          <w:color w:val="000000" w:themeColor="text1"/>
          <w14:textFill>
            <w14:solidFill>
              <w14:schemeClr w14:val="tx1"/>
            </w14:solidFill>
          </w14:textFill>
        </w:rPr>
      </w:pPr>
      <w:bookmarkStart w:id="37" w:name="_Toc342565896"/>
      <w:bookmarkStart w:id="38" w:name="_Toc342559739"/>
      <w:r>
        <w:rPr>
          <w:rFonts w:hint="eastAsia" w:ascii="宋体" w:hAnsi="宋体"/>
          <w:color w:val="000000" w:themeColor="text1"/>
          <w14:textFill>
            <w14:solidFill>
              <w14:schemeClr w14:val="tx1"/>
            </w14:solidFill>
          </w14:textFill>
        </w:rPr>
        <w:t>财务报表相关科目变动分析表</w:t>
      </w:r>
      <w:bookmarkEnd w:id="37"/>
      <w:bookmarkEnd w:id="38"/>
    </w:p>
    <w:p w14:paraId="35B8D2D8">
      <w:pPr>
        <w:pStyle w:val="51"/>
        <w:ind w:left="360" w:firstLine="0" w:firstLineChars="0"/>
        <w:jc w:val="right"/>
        <w:rPr>
          <w:rFonts w:ascii="宋体" w:hAnsi="宋体"/>
          <w:color w:val="000000" w:themeColor="text1"/>
          <w14:textFill>
            <w14:solidFill>
              <w14:schemeClr w14:val="tx1"/>
            </w14:solidFill>
          </w14:textFill>
        </w:rPr>
      </w:pPr>
      <w:bookmarkStart w:id="39" w:name="_Hlk10208083"/>
      <w:r>
        <w:rPr>
          <w:rFonts w:hint="eastAsia" w:ascii="宋体" w:hAnsi="宋体"/>
          <w:color w:val="000000" w:themeColor="text1"/>
          <w:szCs w:val="21"/>
          <w14:textFill>
            <w14:solidFill>
              <w14:schemeClr w14:val="tx1"/>
            </w14:solidFill>
          </w14:textFill>
        </w:rPr>
        <w:t>单位</w:t>
      </w:r>
      <w:r>
        <w:rPr>
          <w:rFonts w:ascii="宋体" w:hAnsi="宋体"/>
          <w:color w:val="000000" w:themeColor="text1"/>
          <w:szCs w:val="21"/>
          <w14:textFill>
            <w14:solidFill>
              <w14:schemeClr w14:val="tx1"/>
            </w14:solidFill>
          </w14:textFill>
        </w:rPr>
        <w:t>：</w:t>
      </w:r>
      <w:sdt>
        <w:sdtPr>
          <w:rPr>
            <w:rFonts w:ascii="宋体" w:hAnsi="宋体"/>
            <w:color w:val="000000" w:themeColor="text1"/>
            <w:szCs w:val="21"/>
            <w14:textFill>
              <w14:solidFill>
                <w14:schemeClr w14:val="tx1"/>
              </w14:solidFill>
            </w14:textFill>
          </w:rPr>
          <w:alias w:val="单位：利润表及现金流量表相关科目变动分析表"/>
          <w:tag w:val="_GBC_ece1a77905b94e6db0c76206578fe2db"/>
          <w:id w:val="8303324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color w:val="000000" w:themeColor="text1"/>
            <w:szCs w:val="21"/>
            <w14:textFill>
              <w14:solidFill>
                <w14:schemeClr w14:val="tx1"/>
              </w14:solidFill>
            </w14:textFill>
          </w:rPr>
        </w:sdtEndPr>
        <w:sdtContent>
          <w:r>
            <w:rPr>
              <w:rFonts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r>
        <w:rPr>
          <w:rFonts w:ascii="宋体" w:hAnsi="宋体"/>
          <w:color w:val="000000" w:themeColor="text1"/>
          <w:szCs w:val="21"/>
          <w14:textFill>
            <w14:solidFill>
              <w14:schemeClr w14:val="tx1"/>
            </w14:solidFill>
          </w14:textFill>
        </w:rPr>
        <w:t>：</w:t>
      </w:r>
      <w:sdt>
        <w:sdtPr>
          <w:rPr>
            <w:rFonts w:ascii="宋体" w:hAnsi="宋体"/>
            <w:color w:val="000000" w:themeColor="text1"/>
            <w:szCs w:val="21"/>
            <w14:textFill>
              <w14:solidFill>
                <w14:schemeClr w14:val="tx1"/>
              </w14:solidFill>
            </w14:textFill>
          </w:rPr>
          <w:alias w:val="币种：利润表及现金流量表相关科目变动分析表"/>
          <w:tag w:val="_GBC_6c86f79f9e2349b09f37ad908cd43f73"/>
          <w:id w:val="7710564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color w:val="000000" w:themeColor="text1"/>
            <w:szCs w:val="21"/>
            <w14:textFill>
              <w14:solidFill>
                <w14:schemeClr w14:val="tx1"/>
              </w14:solidFill>
            </w14:textFill>
          </w:rPr>
        </w:sdtEndPr>
        <w:sdtContent>
          <w:r>
            <w:rPr>
              <w:rFonts w:ascii="宋体" w:hAnsi="宋体"/>
              <w:color w:val="000000" w:themeColor="text1"/>
              <w:szCs w:val="21"/>
              <w14:textFill>
                <w14:solidFill>
                  <w14:schemeClr w14:val="tx1"/>
                </w14:solidFill>
              </w14:textFill>
            </w:rPr>
            <w:t>人民币</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126"/>
        <w:gridCol w:w="1985"/>
        <w:gridCol w:w="1842"/>
      </w:tblGrid>
      <w:tr w14:paraId="3D71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2e2e0d1bb8d44a278061305ea6808979"/>
            <w:id w:val="-942375804"/>
          </w:sdtPr>
          <w:sdtEndPr>
            <w:rPr>
              <w:rFonts w:asciiTheme="minorEastAsia" w:hAnsiTheme="minorEastAsia" w:eastAsiaTheme="minorEastAsia"/>
            </w:rPr>
          </w:sdtEndPr>
          <w:sdtContent>
            <w:tc>
              <w:tcPr>
                <w:tcW w:w="1707" w:type="pct"/>
                <w:vAlign w:val="center"/>
              </w:tcPr>
              <w:p w14:paraId="090C0E46">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科目</w:t>
                </w:r>
              </w:p>
            </w:tc>
          </w:sdtContent>
        </w:sdt>
        <w:sdt>
          <w:sdtPr>
            <w:rPr>
              <w:rFonts w:asciiTheme="minorEastAsia" w:hAnsiTheme="minorEastAsia" w:eastAsiaTheme="minorEastAsia"/>
            </w:rPr>
            <w:tag w:val="_PLD_37391874ab08430b841a55f53c4d20e6"/>
            <w:id w:val="743000068"/>
          </w:sdtPr>
          <w:sdtEndPr>
            <w:rPr>
              <w:rFonts w:asciiTheme="minorEastAsia" w:hAnsiTheme="minorEastAsia" w:eastAsiaTheme="minorEastAsia"/>
            </w:rPr>
          </w:sdtEndPr>
          <w:sdtContent>
            <w:tc>
              <w:tcPr>
                <w:tcW w:w="1176" w:type="pct"/>
                <w:vAlign w:val="center"/>
              </w:tcPr>
              <w:p w14:paraId="1212659A">
                <w:pPr>
                  <w:pStyle w:val="51"/>
                  <w:ind w:firstLine="0" w:firstLineChars="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本期数</w:t>
                </w:r>
              </w:p>
            </w:tc>
          </w:sdtContent>
        </w:sdt>
        <w:sdt>
          <w:sdtPr>
            <w:rPr>
              <w:rFonts w:asciiTheme="minorEastAsia" w:hAnsiTheme="minorEastAsia" w:eastAsiaTheme="minorEastAsia"/>
            </w:rPr>
            <w:tag w:val="_PLD_d061bf6d7e824e93a5540d2e36feb15d"/>
            <w:id w:val="113413415"/>
          </w:sdtPr>
          <w:sdtEndPr>
            <w:rPr>
              <w:rFonts w:asciiTheme="minorEastAsia" w:hAnsiTheme="minorEastAsia" w:eastAsiaTheme="minorEastAsia"/>
            </w:rPr>
          </w:sdtEndPr>
          <w:sdtContent>
            <w:tc>
              <w:tcPr>
                <w:tcW w:w="1098" w:type="pct"/>
                <w:vAlign w:val="center"/>
              </w:tcPr>
              <w:p w14:paraId="0F0C5A76">
                <w:pPr>
                  <w:pStyle w:val="51"/>
                  <w:ind w:firstLine="0" w:firstLineChars="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上年同期数</w:t>
                </w:r>
              </w:p>
            </w:tc>
          </w:sdtContent>
        </w:sdt>
        <w:sdt>
          <w:sdtPr>
            <w:rPr>
              <w:rFonts w:asciiTheme="minorEastAsia" w:hAnsiTheme="minorEastAsia" w:eastAsiaTheme="minorEastAsia"/>
            </w:rPr>
            <w:tag w:val="_PLD_1792b71106c34c75af22292391c96e49"/>
            <w:id w:val="1766106489"/>
          </w:sdtPr>
          <w:sdtEndPr>
            <w:rPr>
              <w:rFonts w:asciiTheme="minorEastAsia" w:hAnsiTheme="minorEastAsia" w:eastAsiaTheme="minorEastAsia"/>
            </w:rPr>
          </w:sdtEndPr>
          <w:sdtContent>
            <w:tc>
              <w:tcPr>
                <w:tcW w:w="1019" w:type="pct"/>
                <w:vAlign w:val="center"/>
              </w:tcPr>
              <w:p w14:paraId="002C873A">
                <w:pPr>
                  <w:pStyle w:val="51"/>
                  <w:ind w:firstLine="0" w:firstLineChars="0"/>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变动比例（%）</w:t>
                </w:r>
              </w:p>
            </w:tc>
          </w:sdtContent>
        </w:sdt>
      </w:tr>
      <w:tr w14:paraId="6819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0368B2E1">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营业收入</w:t>
            </w:r>
          </w:p>
        </w:tc>
        <w:tc>
          <w:tcPr>
            <w:tcW w:w="1176" w:type="pct"/>
            <w:vAlign w:val="center"/>
          </w:tcPr>
          <w:p w14:paraId="542247B6">
            <w:pPr>
              <w:widowControl w:val="0"/>
              <w:jc w:val="right"/>
              <w:rPr>
                <w:rFonts w:asciiTheme="minorEastAsia" w:hAnsiTheme="minorEastAsia" w:eastAsiaTheme="minorEastAsia"/>
              </w:rPr>
            </w:pPr>
            <w:r>
              <w:rPr>
                <w:rFonts w:asciiTheme="minorEastAsia" w:hAnsiTheme="minorEastAsia" w:eastAsiaTheme="minorEastAsia"/>
              </w:rPr>
              <w:t>4,184,038,792.26</w:t>
            </w:r>
          </w:p>
        </w:tc>
        <w:tc>
          <w:tcPr>
            <w:tcW w:w="1098" w:type="pct"/>
            <w:vAlign w:val="center"/>
          </w:tcPr>
          <w:p w14:paraId="5FA395A3">
            <w:pPr>
              <w:widowControl w:val="0"/>
              <w:jc w:val="right"/>
              <w:rPr>
                <w:rFonts w:asciiTheme="minorEastAsia" w:hAnsiTheme="minorEastAsia" w:eastAsiaTheme="minorEastAsia"/>
              </w:rPr>
            </w:pPr>
            <w:r>
              <w:rPr>
                <w:rFonts w:asciiTheme="minorEastAsia" w:hAnsiTheme="minorEastAsia" w:eastAsiaTheme="minorEastAsia"/>
              </w:rPr>
              <w:t>2,987,814,509.50</w:t>
            </w:r>
          </w:p>
        </w:tc>
        <w:tc>
          <w:tcPr>
            <w:tcW w:w="1019" w:type="pct"/>
            <w:vAlign w:val="center"/>
          </w:tcPr>
          <w:p w14:paraId="57C3DDAC">
            <w:pPr>
              <w:widowControl w:val="0"/>
              <w:jc w:val="right"/>
              <w:rPr>
                <w:rFonts w:asciiTheme="minorEastAsia" w:hAnsiTheme="minorEastAsia" w:eastAsiaTheme="minorEastAsia"/>
              </w:rPr>
            </w:pPr>
            <w:r>
              <w:rPr>
                <w:rFonts w:asciiTheme="minorEastAsia" w:hAnsiTheme="minorEastAsia" w:eastAsiaTheme="minorEastAsia"/>
              </w:rPr>
              <w:t>40.04</w:t>
            </w:r>
          </w:p>
        </w:tc>
      </w:tr>
      <w:tr w14:paraId="58A0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468F2772">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营业成本</w:t>
            </w:r>
          </w:p>
        </w:tc>
        <w:tc>
          <w:tcPr>
            <w:tcW w:w="1176" w:type="pct"/>
            <w:vAlign w:val="center"/>
          </w:tcPr>
          <w:p w14:paraId="5B34D3E1">
            <w:pPr>
              <w:widowControl w:val="0"/>
              <w:jc w:val="right"/>
              <w:rPr>
                <w:rFonts w:asciiTheme="minorEastAsia" w:hAnsiTheme="minorEastAsia" w:eastAsiaTheme="minorEastAsia"/>
              </w:rPr>
            </w:pPr>
            <w:r>
              <w:rPr>
                <w:rFonts w:asciiTheme="minorEastAsia" w:hAnsiTheme="minorEastAsia" w:eastAsiaTheme="minorEastAsia"/>
              </w:rPr>
              <w:t>3,837,376,150.61</w:t>
            </w:r>
          </w:p>
        </w:tc>
        <w:tc>
          <w:tcPr>
            <w:tcW w:w="1098" w:type="pct"/>
            <w:vAlign w:val="center"/>
          </w:tcPr>
          <w:p w14:paraId="57D72870">
            <w:pPr>
              <w:widowControl w:val="0"/>
              <w:jc w:val="right"/>
              <w:rPr>
                <w:rFonts w:asciiTheme="minorEastAsia" w:hAnsiTheme="minorEastAsia" w:eastAsiaTheme="minorEastAsia"/>
              </w:rPr>
            </w:pPr>
            <w:r>
              <w:rPr>
                <w:rFonts w:asciiTheme="minorEastAsia" w:hAnsiTheme="minorEastAsia" w:eastAsiaTheme="minorEastAsia"/>
              </w:rPr>
              <w:t>2,734,258,924.75</w:t>
            </w:r>
          </w:p>
        </w:tc>
        <w:tc>
          <w:tcPr>
            <w:tcW w:w="1019" w:type="pct"/>
            <w:vAlign w:val="center"/>
          </w:tcPr>
          <w:p w14:paraId="337CAC37">
            <w:pPr>
              <w:widowControl w:val="0"/>
              <w:jc w:val="right"/>
              <w:rPr>
                <w:rFonts w:asciiTheme="minorEastAsia" w:hAnsiTheme="minorEastAsia" w:eastAsiaTheme="minorEastAsia"/>
              </w:rPr>
            </w:pPr>
            <w:r>
              <w:rPr>
                <w:rFonts w:asciiTheme="minorEastAsia" w:hAnsiTheme="minorEastAsia" w:eastAsiaTheme="minorEastAsia"/>
              </w:rPr>
              <w:t>40.34</w:t>
            </w:r>
          </w:p>
        </w:tc>
      </w:tr>
      <w:tr w14:paraId="1459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287F6E40">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销售费用</w:t>
            </w:r>
          </w:p>
        </w:tc>
        <w:tc>
          <w:tcPr>
            <w:tcW w:w="1176" w:type="pct"/>
            <w:vAlign w:val="center"/>
          </w:tcPr>
          <w:p w14:paraId="76F8EB37">
            <w:pPr>
              <w:widowControl w:val="0"/>
              <w:jc w:val="right"/>
              <w:rPr>
                <w:rFonts w:asciiTheme="minorEastAsia" w:hAnsiTheme="minorEastAsia" w:eastAsiaTheme="minorEastAsia"/>
              </w:rPr>
            </w:pPr>
            <w:r>
              <w:rPr>
                <w:rFonts w:asciiTheme="minorEastAsia" w:hAnsiTheme="minorEastAsia" w:eastAsiaTheme="minorEastAsia"/>
              </w:rPr>
              <w:t>142,897,270.39</w:t>
            </w:r>
          </w:p>
        </w:tc>
        <w:tc>
          <w:tcPr>
            <w:tcW w:w="1098" w:type="pct"/>
            <w:vAlign w:val="center"/>
          </w:tcPr>
          <w:p w14:paraId="43C35B82">
            <w:pPr>
              <w:widowControl w:val="0"/>
              <w:jc w:val="right"/>
              <w:rPr>
                <w:rFonts w:asciiTheme="minorEastAsia" w:hAnsiTheme="minorEastAsia" w:eastAsiaTheme="minorEastAsia"/>
              </w:rPr>
            </w:pPr>
            <w:r>
              <w:rPr>
                <w:rFonts w:asciiTheme="minorEastAsia" w:hAnsiTheme="minorEastAsia" w:eastAsiaTheme="minorEastAsia"/>
              </w:rPr>
              <w:t>181,315,496.73</w:t>
            </w:r>
          </w:p>
        </w:tc>
        <w:tc>
          <w:tcPr>
            <w:tcW w:w="1019" w:type="pct"/>
            <w:vAlign w:val="center"/>
          </w:tcPr>
          <w:p w14:paraId="64979933">
            <w:pPr>
              <w:widowControl w:val="0"/>
              <w:jc w:val="right"/>
              <w:rPr>
                <w:rFonts w:asciiTheme="minorEastAsia" w:hAnsiTheme="minorEastAsia" w:eastAsiaTheme="minorEastAsia"/>
              </w:rPr>
            </w:pPr>
            <w:r>
              <w:rPr>
                <w:rFonts w:asciiTheme="minorEastAsia" w:hAnsiTheme="minorEastAsia" w:eastAsiaTheme="minorEastAsia"/>
              </w:rPr>
              <w:t>-21.19</w:t>
            </w:r>
          </w:p>
        </w:tc>
      </w:tr>
      <w:tr w14:paraId="1AEB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39D309DD">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管理费用</w:t>
            </w:r>
          </w:p>
        </w:tc>
        <w:tc>
          <w:tcPr>
            <w:tcW w:w="1176" w:type="pct"/>
            <w:vAlign w:val="center"/>
          </w:tcPr>
          <w:p w14:paraId="018CF260">
            <w:pPr>
              <w:widowControl w:val="0"/>
              <w:jc w:val="right"/>
              <w:rPr>
                <w:rFonts w:asciiTheme="minorEastAsia" w:hAnsiTheme="minorEastAsia" w:eastAsiaTheme="minorEastAsia"/>
              </w:rPr>
            </w:pPr>
            <w:r>
              <w:rPr>
                <w:rFonts w:asciiTheme="minorEastAsia" w:hAnsiTheme="minorEastAsia" w:eastAsiaTheme="minorEastAsia"/>
              </w:rPr>
              <w:t>167,163,110.50</w:t>
            </w:r>
          </w:p>
        </w:tc>
        <w:tc>
          <w:tcPr>
            <w:tcW w:w="1098" w:type="pct"/>
            <w:vAlign w:val="center"/>
          </w:tcPr>
          <w:p w14:paraId="217D035D">
            <w:pPr>
              <w:widowControl w:val="0"/>
              <w:jc w:val="right"/>
              <w:rPr>
                <w:rFonts w:asciiTheme="minorEastAsia" w:hAnsiTheme="minorEastAsia" w:eastAsiaTheme="minorEastAsia"/>
              </w:rPr>
            </w:pPr>
            <w:r>
              <w:rPr>
                <w:rFonts w:asciiTheme="minorEastAsia" w:hAnsiTheme="minorEastAsia" w:eastAsiaTheme="minorEastAsia"/>
              </w:rPr>
              <w:t>141,540,509.22</w:t>
            </w:r>
          </w:p>
        </w:tc>
        <w:tc>
          <w:tcPr>
            <w:tcW w:w="1019" w:type="pct"/>
            <w:vAlign w:val="center"/>
          </w:tcPr>
          <w:p w14:paraId="6DC2E6FE">
            <w:pPr>
              <w:widowControl w:val="0"/>
              <w:jc w:val="right"/>
              <w:rPr>
                <w:rFonts w:asciiTheme="minorEastAsia" w:hAnsiTheme="minorEastAsia" w:eastAsiaTheme="minorEastAsia"/>
              </w:rPr>
            </w:pPr>
            <w:r>
              <w:rPr>
                <w:rFonts w:asciiTheme="minorEastAsia" w:hAnsiTheme="minorEastAsia" w:eastAsiaTheme="minorEastAsia"/>
              </w:rPr>
              <w:t>18.10</w:t>
            </w:r>
          </w:p>
        </w:tc>
      </w:tr>
      <w:tr w14:paraId="6D10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46C7C698">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财务费用</w:t>
            </w:r>
          </w:p>
        </w:tc>
        <w:tc>
          <w:tcPr>
            <w:tcW w:w="1176" w:type="pct"/>
            <w:vAlign w:val="center"/>
          </w:tcPr>
          <w:p w14:paraId="167E5E66">
            <w:pPr>
              <w:widowControl w:val="0"/>
              <w:jc w:val="right"/>
              <w:rPr>
                <w:rFonts w:asciiTheme="minorEastAsia" w:hAnsiTheme="minorEastAsia" w:eastAsiaTheme="minorEastAsia"/>
              </w:rPr>
            </w:pPr>
            <w:r>
              <w:rPr>
                <w:rFonts w:asciiTheme="minorEastAsia" w:hAnsiTheme="minorEastAsia" w:eastAsiaTheme="minorEastAsia"/>
              </w:rPr>
              <w:t>-100,748,752.96</w:t>
            </w:r>
          </w:p>
        </w:tc>
        <w:tc>
          <w:tcPr>
            <w:tcW w:w="1098" w:type="pct"/>
            <w:vAlign w:val="center"/>
          </w:tcPr>
          <w:p w14:paraId="00884359">
            <w:pPr>
              <w:widowControl w:val="0"/>
              <w:jc w:val="right"/>
              <w:rPr>
                <w:rFonts w:asciiTheme="minorEastAsia" w:hAnsiTheme="minorEastAsia" w:eastAsiaTheme="minorEastAsia"/>
              </w:rPr>
            </w:pPr>
            <w:r>
              <w:rPr>
                <w:rFonts w:asciiTheme="minorEastAsia" w:hAnsiTheme="minorEastAsia" w:eastAsiaTheme="minorEastAsia"/>
              </w:rPr>
              <w:t>-23,767,882.39</w:t>
            </w:r>
          </w:p>
        </w:tc>
        <w:tc>
          <w:tcPr>
            <w:tcW w:w="1019" w:type="pct"/>
            <w:vAlign w:val="center"/>
          </w:tcPr>
          <w:p w14:paraId="12C16AED">
            <w:pPr>
              <w:widowControl w:val="0"/>
              <w:jc w:val="right"/>
              <w:rPr>
                <w:rFonts w:asciiTheme="minorEastAsia" w:hAnsiTheme="minorEastAsia" w:eastAsiaTheme="minorEastAsia"/>
              </w:rPr>
            </w:pPr>
            <w:r>
              <w:rPr>
                <w:rFonts w:hint="eastAsia" w:asciiTheme="minorEastAsia" w:hAnsiTheme="minorEastAsia" w:eastAsiaTheme="minorEastAsia"/>
              </w:rPr>
              <w:t>不适用</w:t>
            </w:r>
          </w:p>
        </w:tc>
      </w:tr>
      <w:tr w14:paraId="71F9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4EE9A64D">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研发费用</w:t>
            </w:r>
          </w:p>
        </w:tc>
        <w:tc>
          <w:tcPr>
            <w:tcW w:w="1176" w:type="pct"/>
            <w:vAlign w:val="center"/>
          </w:tcPr>
          <w:p w14:paraId="3FE23AE5">
            <w:pPr>
              <w:widowControl w:val="0"/>
              <w:jc w:val="right"/>
              <w:rPr>
                <w:rFonts w:asciiTheme="minorEastAsia" w:hAnsiTheme="minorEastAsia" w:eastAsiaTheme="minorEastAsia"/>
              </w:rPr>
            </w:pPr>
            <w:r>
              <w:rPr>
                <w:rFonts w:asciiTheme="minorEastAsia" w:hAnsiTheme="minorEastAsia" w:eastAsiaTheme="minorEastAsia"/>
              </w:rPr>
              <w:t>287,588,035.92</w:t>
            </w:r>
          </w:p>
        </w:tc>
        <w:tc>
          <w:tcPr>
            <w:tcW w:w="1098" w:type="pct"/>
            <w:vAlign w:val="center"/>
          </w:tcPr>
          <w:p w14:paraId="51DF4886">
            <w:pPr>
              <w:widowControl w:val="0"/>
              <w:jc w:val="right"/>
              <w:rPr>
                <w:rFonts w:asciiTheme="minorEastAsia" w:hAnsiTheme="minorEastAsia" w:eastAsiaTheme="minorEastAsia"/>
              </w:rPr>
            </w:pPr>
            <w:r>
              <w:rPr>
                <w:rFonts w:asciiTheme="minorEastAsia" w:hAnsiTheme="minorEastAsia" w:eastAsiaTheme="minorEastAsia"/>
              </w:rPr>
              <w:t>180,113,516.39</w:t>
            </w:r>
          </w:p>
        </w:tc>
        <w:tc>
          <w:tcPr>
            <w:tcW w:w="1019" w:type="pct"/>
            <w:vAlign w:val="center"/>
          </w:tcPr>
          <w:p w14:paraId="683B056E">
            <w:pPr>
              <w:widowControl w:val="0"/>
              <w:jc w:val="right"/>
              <w:rPr>
                <w:rFonts w:asciiTheme="minorEastAsia" w:hAnsiTheme="minorEastAsia" w:eastAsiaTheme="minorEastAsia"/>
              </w:rPr>
            </w:pPr>
            <w:r>
              <w:rPr>
                <w:rFonts w:asciiTheme="minorEastAsia" w:hAnsiTheme="minorEastAsia" w:eastAsiaTheme="minorEastAsia"/>
              </w:rPr>
              <w:t>59.67</w:t>
            </w:r>
          </w:p>
        </w:tc>
      </w:tr>
      <w:tr w14:paraId="0E26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251A3752">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经营活动产生的现金流量净额</w:t>
            </w:r>
          </w:p>
        </w:tc>
        <w:tc>
          <w:tcPr>
            <w:tcW w:w="1176" w:type="pct"/>
            <w:vAlign w:val="center"/>
          </w:tcPr>
          <w:p w14:paraId="60F07A26">
            <w:pPr>
              <w:widowControl w:val="0"/>
              <w:jc w:val="right"/>
              <w:rPr>
                <w:rFonts w:asciiTheme="minorEastAsia" w:hAnsiTheme="minorEastAsia" w:eastAsiaTheme="minorEastAsia"/>
              </w:rPr>
            </w:pPr>
            <w:r>
              <w:rPr>
                <w:rFonts w:asciiTheme="minorEastAsia" w:hAnsiTheme="minorEastAsia" w:eastAsiaTheme="minorEastAsia"/>
              </w:rPr>
              <w:t>1,314,967,285.61</w:t>
            </w:r>
          </w:p>
        </w:tc>
        <w:tc>
          <w:tcPr>
            <w:tcW w:w="1098" w:type="pct"/>
            <w:vAlign w:val="center"/>
          </w:tcPr>
          <w:p w14:paraId="22B2187F">
            <w:pPr>
              <w:widowControl w:val="0"/>
              <w:jc w:val="right"/>
              <w:rPr>
                <w:rFonts w:asciiTheme="minorEastAsia" w:hAnsiTheme="minorEastAsia" w:eastAsiaTheme="minorEastAsia"/>
              </w:rPr>
            </w:pPr>
            <w:r>
              <w:rPr>
                <w:rFonts w:asciiTheme="minorEastAsia" w:hAnsiTheme="minorEastAsia" w:eastAsiaTheme="minorEastAsia"/>
              </w:rPr>
              <w:t>264,962,015.94</w:t>
            </w:r>
          </w:p>
        </w:tc>
        <w:tc>
          <w:tcPr>
            <w:tcW w:w="1019" w:type="pct"/>
            <w:vAlign w:val="center"/>
          </w:tcPr>
          <w:p w14:paraId="3C9EF018">
            <w:pPr>
              <w:widowControl w:val="0"/>
              <w:jc w:val="right"/>
              <w:rPr>
                <w:rFonts w:asciiTheme="minorEastAsia" w:hAnsiTheme="minorEastAsia" w:eastAsiaTheme="minorEastAsia"/>
              </w:rPr>
            </w:pPr>
            <w:r>
              <w:rPr>
                <w:rFonts w:asciiTheme="minorEastAsia" w:hAnsiTheme="minorEastAsia" w:eastAsiaTheme="minorEastAsia"/>
              </w:rPr>
              <w:t>396.29</w:t>
            </w:r>
          </w:p>
        </w:tc>
      </w:tr>
      <w:tr w14:paraId="391A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2EDAF385">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投资活动产生的现金流量净额</w:t>
            </w:r>
          </w:p>
        </w:tc>
        <w:tc>
          <w:tcPr>
            <w:tcW w:w="1176" w:type="pct"/>
            <w:vAlign w:val="center"/>
          </w:tcPr>
          <w:p w14:paraId="6854803D">
            <w:pPr>
              <w:widowControl w:val="0"/>
              <w:jc w:val="right"/>
              <w:rPr>
                <w:rFonts w:asciiTheme="minorEastAsia" w:hAnsiTheme="minorEastAsia" w:eastAsiaTheme="minorEastAsia"/>
              </w:rPr>
            </w:pPr>
            <w:r>
              <w:rPr>
                <w:rFonts w:asciiTheme="minorEastAsia" w:hAnsiTheme="minorEastAsia" w:eastAsiaTheme="minorEastAsia"/>
              </w:rPr>
              <w:t>-1,245,380,053.38</w:t>
            </w:r>
          </w:p>
        </w:tc>
        <w:tc>
          <w:tcPr>
            <w:tcW w:w="1098" w:type="pct"/>
            <w:vAlign w:val="center"/>
          </w:tcPr>
          <w:p w14:paraId="08CCF91C">
            <w:pPr>
              <w:widowControl w:val="0"/>
              <w:jc w:val="right"/>
              <w:rPr>
                <w:rFonts w:asciiTheme="minorEastAsia" w:hAnsiTheme="minorEastAsia" w:eastAsiaTheme="minorEastAsia"/>
              </w:rPr>
            </w:pPr>
            <w:r>
              <w:rPr>
                <w:rFonts w:asciiTheme="minorEastAsia" w:hAnsiTheme="minorEastAsia" w:eastAsiaTheme="minorEastAsia"/>
              </w:rPr>
              <w:t>404,796,233.20</w:t>
            </w:r>
          </w:p>
        </w:tc>
        <w:tc>
          <w:tcPr>
            <w:tcW w:w="1019" w:type="pct"/>
            <w:vAlign w:val="center"/>
          </w:tcPr>
          <w:p w14:paraId="5C5B7261">
            <w:pPr>
              <w:widowControl w:val="0"/>
              <w:jc w:val="right"/>
              <w:rPr>
                <w:rFonts w:asciiTheme="minorEastAsia" w:hAnsiTheme="minorEastAsia" w:eastAsiaTheme="minorEastAsia"/>
              </w:rPr>
            </w:pPr>
            <w:r>
              <w:rPr>
                <w:rFonts w:asciiTheme="minorEastAsia" w:hAnsiTheme="minorEastAsia" w:eastAsiaTheme="minorEastAsia"/>
              </w:rPr>
              <w:t>-407.66</w:t>
            </w:r>
          </w:p>
        </w:tc>
      </w:tr>
      <w:tr w14:paraId="2402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0F86C0C9">
            <w:pPr>
              <w:pStyle w:val="51"/>
              <w:ind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筹资活动产生的现金流量净额</w:t>
            </w:r>
          </w:p>
        </w:tc>
        <w:tc>
          <w:tcPr>
            <w:tcW w:w="1176" w:type="pct"/>
            <w:vAlign w:val="center"/>
          </w:tcPr>
          <w:p w14:paraId="0974DCCD">
            <w:pPr>
              <w:widowControl w:val="0"/>
              <w:jc w:val="right"/>
              <w:rPr>
                <w:rFonts w:asciiTheme="minorEastAsia" w:hAnsiTheme="minorEastAsia" w:eastAsiaTheme="minorEastAsia"/>
              </w:rPr>
            </w:pPr>
            <w:r>
              <w:rPr>
                <w:rFonts w:asciiTheme="minorEastAsia" w:hAnsiTheme="minorEastAsia" w:eastAsiaTheme="minorEastAsia"/>
              </w:rPr>
              <w:t>471,799,522.67</w:t>
            </w:r>
          </w:p>
        </w:tc>
        <w:tc>
          <w:tcPr>
            <w:tcW w:w="1098" w:type="pct"/>
            <w:vAlign w:val="center"/>
          </w:tcPr>
          <w:p w14:paraId="38886DD4">
            <w:pPr>
              <w:widowControl w:val="0"/>
              <w:jc w:val="right"/>
              <w:rPr>
                <w:rFonts w:asciiTheme="minorEastAsia" w:hAnsiTheme="minorEastAsia" w:eastAsiaTheme="minorEastAsia"/>
              </w:rPr>
            </w:pPr>
            <w:r>
              <w:rPr>
                <w:rFonts w:asciiTheme="minorEastAsia" w:hAnsiTheme="minorEastAsia" w:eastAsiaTheme="minorEastAsia"/>
              </w:rPr>
              <w:t>-411,823,249.55</w:t>
            </w:r>
          </w:p>
        </w:tc>
        <w:tc>
          <w:tcPr>
            <w:tcW w:w="1019" w:type="pct"/>
            <w:vAlign w:val="center"/>
          </w:tcPr>
          <w:p w14:paraId="0477C143">
            <w:pPr>
              <w:widowControl w:val="0"/>
              <w:jc w:val="right"/>
              <w:rPr>
                <w:rFonts w:asciiTheme="minorEastAsia" w:hAnsiTheme="minorEastAsia" w:eastAsiaTheme="minorEastAsia"/>
              </w:rPr>
            </w:pPr>
            <w:r>
              <w:rPr>
                <w:rFonts w:hint="eastAsia" w:asciiTheme="minorEastAsia" w:hAnsiTheme="minorEastAsia" w:eastAsiaTheme="minorEastAsia"/>
              </w:rPr>
              <w:t>不适用</w:t>
            </w:r>
          </w:p>
        </w:tc>
      </w:tr>
      <w:tr w14:paraId="232E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5C25B93F">
            <w:pPr>
              <w:pStyle w:val="51"/>
              <w:ind w:firstLine="0" w:firstLineChars="0"/>
              <w:rPr>
                <w:rFonts w:asciiTheme="minorEastAsia" w:hAnsiTheme="minorEastAsia" w:eastAsiaTheme="minorEastAsia"/>
              </w:rPr>
            </w:pPr>
            <w:r>
              <w:rPr>
                <w:rFonts w:asciiTheme="minorEastAsia" w:hAnsiTheme="minorEastAsia" w:eastAsiaTheme="minorEastAsia"/>
              </w:rPr>
              <w:t>其他收益</w:t>
            </w:r>
          </w:p>
        </w:tc>
        <w:tc>
          <w:tcPr>
            <w:tcW w:w="1176" w:type="pct"/>
            <w:vAlign w:val="center"/>
          </w:tcPr>
          <w:p w14:paraId="315976CC">
            <w:pPr>
              <w:pStyle w:val="51"/>
              <w:ind w:firstLine="0" w:firstLineChars="0"/>
              <w:jc w:val="right"/>
              <w:rPr>
                <w:rFonts w:asciiTheme="minorEastAsia" w:hAnsiTheme="minorEastAsia" w:eastAsiaTheme="minorEastAsia"/>
              </w:rPr>
            </w:pPr>
            <w:r>
              <w:rPr>
                <w:rFonts w:asciiTheme="minorEastAsia" w:hAnsiTheme="minorEastAsia" w:eastAsiaTheme="minorEastAsia"/>
              </w:rPr>
              <w:t>179,289,993.59</w:t>
            </w:r>
          </w:p>
        </w:tc>
        <w:tc>
          <w:tcPr>
            <w:tcW w:w="1098" w:type="pct"/>
            <w:vAlign w:val="center"/>
          </w:tcPr>
          <w:p w14:paraId="66F3992D">
            <w:pPr>
              <w:pStyle w:val="51"/>
              <w:ind w:firstLine="0" w:firstLineChars="0"/>
              <w:jc w:val="right"/>
              <w:rPr>
                <w:rFonts w:asciiTheme="minorEastAsia" w:hAnsiTheme="minorEastAsia" w:eastAsiaTheme="minorEastAsia"/>
              </w:rPr>
            </w:pPr>
            <w:r>
              <w:rPr>
                <w:rFonts w:asciiTheme="minorEastAsia" w:hAnsiTheme="minorEastAsia" w:eastAsiaTheme="minorEastAsia"/>
              </w:rPr>
              <w:t>7,134,225.00</w:t>
            </w:r>
          </w:p>
        </w:tc>
        <w:tc>
          <w:tcPr>
            <w:tcW w:w="1019" w:type="pct"/>
            <w:vAlign w:val="center"/>
          </w:tcPr>
          <w:p w14:paraId="34A760C4">
            <w:pPr>
              <w:pStyle w:val="51"/>
              <w:ind w:firstLine="0" w:firstLineChars="0"/>
              <w:jc w:val="right"/>
              <w:rPr>
                <w:rFonts w:asciiTheme="minorEastAsia" w:hAnsiTheme="minorEastAsia" w:eastAsiaTheme="minorEastAsia"/>
              </w:rPr>
            </w:pPr>
            <w:r>
              <w:rPr>
                <w:rFonts w:asciiTheme="minorEastAsia" w:hAnsiTheme="minorEastAsia" w:eastAsiaTheme="minorEastAsia"/>
              </w:rPr>
              <w:t>2,413.10</w:t>
            </w:r>
          </w:p>
        </w:tc>
      </w:tr>
      <w:tr w14:paraId="7F44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160C3B26">
            <w:pPr>
              <w:pStyle w:val="51"/>
              <w:ind w:firstLine="0" w:firstLineChars="0"/>
              <w:rPr>
                <w:rFonts w:asciiTheme="minorEastAsia" w:hAnsiTheme="minorEastAsia" w:eastAsiaTheme="minorEastAsia"/>
              </w:rPr>
            </w:pPr>
            <w:r>
              <w:rPr>
                <w:rFonts w:asciiTheme="minorEastAsia" w:hAnsiTheme="minorEastAsia" w:eastAsiaTheme="minorEastAsia"/>
              </w:rPr>
              <w:t>投资收益</w:t>
            </w:r>
          </w:p>
        </w:tc>
        <w:tc>
          <w:tcPr>
            <w:tcW w:w="1176" w:type="pct"/>
            <w:vAlign w:val="center"/>
          </w:tcPr>
          <w:p w14:paraId="124EB366">
            <w:pPr>
              <w:pStyle w:val="51"/>
              <w:ind w:firstLine="0" w:firstLineChars="0"/>
              <w:jc w:val="right"/>
              <w:rPr>
                <w:rFonts w:asciiTheme="minorEastAsia" w:hAnsiTheme="minorEastAsia" w:eastAsiaTheme="minorEastAsia"/>
              </w:rPr>
            </w:pPr>
            <w:r>
              <w:rPr>
                <w:rFonts w:asciiTheme="minorEastAsia" w:hAnsiTheme="minorEastAsia" w:eastAsiaTheme="minorEastAsia"/>
              </w:rPr>
              <w:t>273,318,430.55</w:t>
            </w:r>
          </w:p>
        </w:tc>
        <w:tc>
          <w:tcPr>
            <w:tcW w:w="1098" w:type="pct"/>
            <w:vAlign w:val="center"/>
          </w:tcPr>
          <w:p w14:paraId="4BF23EE1">
            <w:pPr>
              <w:pStyle w:val="51"/>
              <w:ind w:firstLine="0" w:firstLineChars="0"/>
              <w:jc w:val="right"/>
              <w:rPr>
                <w:rFonts w:asciiTheme="minorEastAsia" w:hAnsiTheme="minorEastAsia" w:eastAsiaTheme="minorEastAsia"/>
              </w:rPr>
            </w:pPr>
            <w:r>
              <w:rPr>
                <w:rFonts w:asciiTheme="minorEastAsia" w:hAnsiTheme="minorEastAsia" w:eastAsiaTheme="minorEastAsia"/>
              </w:rPr>
              <w:t>184,846,507.41</w:t>
            </w:r>
          </w:p>
        </w:tc>
        <w:tc>
          <w:tcPr>
            <w:tcW w:w="1019" w:type="pct"/>
            <w:vAlign w:val="center"/>
          </w:tcPr>
          <w:p w14:paraId="75E996CF">
            <w:pPr>
              <w:pStyle w:val="51"/>
              <w:ind w:firstLine="0" w:firstLineChars="0"/>
              <w:jc w:val="right"/>
              <w:rPr>
                <w:rFonts w:asciiTheme="minorEastAsia" w:hAnsiTheme="minorEastAsia" w:eastAsiaTheme="minorEastAsia"/>
              </w:rPr>
            </w:pPr>
            <w:r>
              <w:rPr>
                <w:rFonts w:asciiTheme="minorEastAsia" w:hAnsiTheme="minorEastAsia" w:eastAsiaTheme="minorEastAsia"/>
              </w:rPr>
              <w:t>47.86</w:t>
            </w:r>
          </w:p>
        </w:tc>
      </w:tr>
      <w:tr w14:paraId="316F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7E15BBBC">
            <w:pPr>
              <w:pStyle w:val="51"/>
              <w:ind w:firstLine="0" w:firstLineChars="0"/>
              <w:rPr>
                <w:rFonts w:asciiTheme="minorEastAsia" w:hAnsiTheme="minorEastAsia" w:eastAsiaTheme="minorEastAsia"/>
              </w:rPr>
            </w:pPr>
            <w:r>
              <w:rPr>
                <w:rFonts w:hint="eastAsia" w:asciiTheme="minorEastAsia" w:hAnsiTheme="minorEastAsia" w:eastAsiaTheme="minorEastAsia"/>
              </w:rPr>
              <w:t>公允价值变动</w:t>
            </w:r>
          </w:p>
        </w:tc>
        <w:tc>
          <w:tcPr>
            <w:tcW w:w="1176" w:type="pct"/>
            <w:vAlign w:val="center"/>
          </w:tcPr>
          <w:p w14:paraId="22D00D57">
            <w:pPr>
              <w:pStyle w:val="51"/>
              <w:ind w:firstLine="0" w:firstLineChars="0"/>
              <w:jc w:val="right"/>
              <w:rPr>
                <w:rFonts w:asciiTheme="minorEastAsia" w:hAnsiTheme="minorEastAsia" w:eastAsiaTheme="minorEastAsia"/>
              </w:rPr>
            </w:pPr>
            <w:r>
              <w:rPr>
                <w:rFonts w:asciiTheme="minorEastAsia" w:hAnsiTheme="minorEastAsia" w:eastAsiaTheme="minorEastAsia"/>
              </w:rPr>
              <w:t>-23,416,700.00</w:t>
            </w:r>
          </w:p>
        </w:tc>
        <w:tc>
          <w:tcPr>
            <w:tcW w:w="1098" w:type="pct"/>
            <w:vAlign w:val="center"/>
          </w:tcPr>
          <w:p w14:paraId="229C87C4">
            <w:pPr>
              <w:pStyle w:val="51"/>
              <w:ind w:firstLine="0" w:firstLineChars="0"/>
              <w:jc w:val="right"/>
              <w:rPr>
                <w:rFonts w:asciiTheme="minorEastAsia" w:hAnsiTheme="minorEastAsia" w:eastAsiaTheme="minorEastAsia"/>
              </w:rPr>
            </w:pPr>
          </w:p>
        </w:tc>
        <w:tc>
          <w:tcPr>
            <w:tcW w:w="1019" w:type="pct"/>
            <w:vAlign w:val="center"/>
          </w:tcPr>
          <w:p w14:paraId="6A1136C7">
            <w:pPr>
              <w:pStyle w:val="51"/>
              <w:ind w:firstLine="0" w:firstLineChars="0"/>
              <w:jc w:val="right"/>
              <w:rPr>
                <w:rFonts w:asciiTheme="minorEastAsia" w:hAnsiTheme="minorEastAsia" w:eastAsiaTheme="minorEastAsia"/>
              </w:rPr>
            </w:pPr>
          </w:p>
        </w:tc>
      </w:tr>
      <w:tr w14:paraId="7950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640499AD">
            <w:pPr>
              <w:pStyle w:val="51"/>
              <w:ind w:firstLine="0" w:firstLineChars="0"/>
              <w:rPr>
                <w:rFonts w:asciiTheme="minorEastAsia" w:hAnsiTheme="minorEastAsia" w:eastAsiaTheme="minorEastAsia"/>
              </w:rPr>
            </w:pPr>
            <w:r>
              <w:rPr>
                <w:rFonts w:asciiTheme="minorEastAsia" w:hAnsiTheme="minorEastAsia" w:eastAsiaTheme="minorEastAsia"/>
              </w:rPr>
              <w:t>信用减值损失</w:t>
            </w:r>
          </w:p>
        </w:tc>
        <w:tc>
          <w:tcPr>
            <w:tcW w:w="1176" w:type="pct"/>
            <w:vAlign w:val="center"/>
          </w:tcPr>
          <w:p w14:paraId="66EC8D1E">
            <w:pPr>
              <w:pStyle w:val="51"/>
              <w:ind w:firstLine="0" w:firstLineChars="0"/>
              <w:jc w:val="right"/>
              <w:rPr>
                <w:rFonts w:asciiTheme="minorEastAsia" w:hAnsiTheme="minorEastAsia" w:eastAsiaTheme="minorEastAsia"/>
              </w:rPr>
            </w:pPr>
            <w:r>
              <w:rPr>
                <w:rFonts w:asciiTheme="minorEastAsia" w:hAnsiTheme="minorEastAsia" w:eastAsiaTheme="minorEastAsia"/>
              </w:rPr>
              <w:t>-23,456,718.87</w:t>
            </w:r>
          </w:p>
        </w:tc>
        <w:tc>
          <w:tcPr>
            <w:tcW w:w="1098" w:type="pct"/>
            <w:vAlign w:val="center"/>
          </w:tcPr>
          <w:p w14:paraId="236F1581">
            <w:pPr>
              <w:pStyle w:val="51"/>
              <w:ind w:firstLine="0" w:firstLineChars="0"/>
              <w:jc w:val="right"/>
              <w:rPr>
                <w:rFonts w:asciiTheme="minorEastAsia" w:hAnsiTheme="minorEastAsia" w:eastAsiaTheme="minorEastAsia"/>
              </w:rPr>
            </w:pPr>
            <w:r>
              <w:rPr>
                <w:rFonts w:asciiTheme="minorEastAsia" w:hAnsiTheme="minorEastAsia" w:eastAsiaTheme="minorEastAsia"/>
              </w:rPr>
              <w:t>-7,267,859.15</w:t>
            </w:r>
          </w:p>
        </w:tc>
        <w:tc>
          <w:tcPr>
            <w:tcW w:w="1019" w:type="pct"/>
            <w:vAlign w:val="center"/>
          </w:tcPr>
          <w:p w14:paraId="69068BC2">
            <w:pPr>
              <w:pStyle w:val="51"/>
              <w:ind w:firstLine="0" w:firstLineChars="0"/>
              <w:jc w:val="right"/>
              <w:rPr>
                <w:rFonts w:asciiTheme="minorEastAsia" w:hAnsiTheme="minorEastAsia" w:eastAsiaTheme="minorEastAsia"/>
              </w:rPr>
            </w:pPr>
            <w:r>
              <w:rPr>
                <w:rFonts w:hint="eastAsia" w:asciiTheme="minorEastAsia" w:hAnsiTheme="minorEastAsia" w:eastAsiaTheme="minorEastAsia"/>
              </w:rPr>
              <w:t>不适用</w:t>
            </w:r>
          </w:p>
        </w:tc>
      </w:tr>
      <w:tr w14:paraId="1CE7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6CE22CDA">
            <w:pPr>
              <w:pStyle w:val="51"/>
              <w:ind w:firstLine="0" w:firstLineChars="0"/>
              <w:rPr>
                <w:rFonts w:asciiTheme="minorEastAsia" w:hAnsiTheme="minorEastAsia" w:eastAsiaTheme="minorEastAsia"/>
              </w:rPr>
            </w:pPr>
            <w:r>
              <w:rPr>
                <w:rFonts w:asciiTheme="minorEastAsia" w:hAnsiTheme="minorEastAsia" w:eastAsiaTheme="minorEastAsia"/>
              </w:rPr>
              <w:t>资产减值损失</w:t>
            </w:r>
          </w:p>
        </w:tc>
        <w:tc>
          <w:tcPr>
            <w:tcW w:w="1176" w:type="pct"/>
            <w:vAlign w:val="center"/>
          </w:tcPr>
          <w:p w14:paraId="4FB60D66">
            <w:pPr>
              <w:pStyle w:val="51"/>
              <w:ind w:firstLine="0" w:firstLineChars="0"/>
              <w:jc w:val="right"/>
              <w:rPr>
                <w:rFonts w:asciiTheme="minorEastAsia" w:hAnsiTheme="minorEastAsia" w:eastAsiaTheme="minorEastAsia"/>
              </w:rPr>
            </w:pPr>
            <w:r>
              <w:rPr>
                <w:rFonts w:asciiTheme="minorEastAsia" w:hAnsiTheme="minorEastAsia" w:eastAsiaTheme="minorEastAsia"/>
              </w:rPr>
              <w:t>-144,845,609.50</w:t>
            </w:r>
          </w:p>
        </w:tc>
        <w:tc>
          <w:tcPr>
            <w:tcW w:w="1098" w:type="pct"/>
            <w:vAlign w:val="center"/>
          </w:tcPr>
          <w:p w14:paraId="69BEE171">
            <w:pPr>
              <w:pStyle w:val="51"/>
              <w:ind w:firstLine="0" w:firstLineChars="0"/>
              <w:jc w:val="right"/>
              <w:rPr>
                <w:rFonts w:asciiTheme="minorEastAsia" w:hAnsiTheme="minorEastAsia" w:eastAsiaTheme="minorEastAsia"/>
              </w:rPr>
            </w:pPr>
            <w:r>
              <w:rPr>
                <w:rFonts w:asciiTheme="minorEastAsia" w:hAnsiTheme="minorEastAsia" w:eastAsiaTheme="minorEastAsia"/>
              </w:rPr>
              <w:t>-39,300,312.69</w:t>
            </w:r>
          </w:p>
        </w:tc>
        <w:tc>
          <w:tcPr>
            <w:tcW w:w="1019" w:type="pct"/>
            <w:vAlign w:val="center"/>
          </w:tcPr>
          <w:p w14:paraId="6B0F753D">
            <w:pPr>
              <w:pStyle w:val="51"/>
              <w:ind w:firstLine="0" w:firstLineChars="0"/>
              <w:jc w:val="right"/>
              <w:rPr>
                <w:rFonts w:asciiTheme="minorEastAsia" w:hAnsiTheme="minorEastAsia" w:eastAsiaTheme="minorEastAsia"/>
              </w:rPr>
            </w:pPr>
            <w:r>
              <w:rPr>
                <w:rFonts w:hint="eastAsia" w:asciiTheme="minorEastAsia" w:hAnsiTheme="minorEastAsia" w:eastAsiaTheme="minorEastAsia"/>
              </w:rPr>
              <w:t>不适用</w:t>
            </w:r>
          </w:p>
        </w:tc>
      </w:tr>
      <w:tr w14:paraId="426D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3DB6EA85">
            <w:pPr>
              <w:pStyle w:val="51"/>
              <w:ind w:firstLine="0" w:firstLineChars="0"/>
              <w:rPr>
                <w:rFonts w:asciiTheme="minorEastAsia" w:hAnsiTheme="minorEastAsia" w:eastAsiaTheme="minorEastAsia"/>
              </w:rPr>
            </w:pPr>
            <w:r>
              <w:rPr>
                <w:rFonts w:asciiTheme="minorEastAsia" w:hAnsiTheme="minorEastAsia" w:eastAsiaTheme="minorEastAsia"/>
              </w:rPr>
              <w:t>资产处置收益</w:t>
            </w:r>
          </w:p>
        </w:tc>
        <w:tc>
          <w:tcPr>
            <w:tcW w:w="1176" w:type="pct"/>
            <w:vAlign w:val="center"/>
          </w:tcPr>
          <w:p w14:paraId="2727045B">
            <w:pPr>
              <w:pStyle w:val="51"/>
              <w:ind w:firstLine="0" w:firstLineChars="0"/>
              <w:jc w:val="right"/>
              <w:rPr>
                <w:rFonts w:asciiTheme="minorEastAsia" w:hAnsiTheme="minorEastAsia" w:eastAsiaTheme="minorEastAsia"/>
              </w:rPr>
            </w:pPr>
            <w:r>
              <w:rPr>
                <w:rFonts w:asciiTheme="minorEastAsia" w:hAnsiTheme="minorEastAsia" w:eastAsiaTheme="minorEastAsia"/>
              </w:rPr>
              <w:t>5,356,611.40</w:t>
            </w:r>
          </w:p>
        </w:tc>
        <w:tc>
          <w:tcPr>
            <w:tcW w:w="1098" w:type="pct"/>
            <w:vAlign w:val="center"/>
          </w:tcPr>
          <w:p w14:paraId="64EF6102">
            <w:pPr>
              <w:pStyle w:val="51"/>
              <w:ind w:firstLine="0" w:firstLineChars="0"/>
              <w:jc w:val="right"/>
              <w:rPr>
                <w:rFonts w:asciiTheme="minorEastAsia" w:hAnsiTheme="minorEastAsia" w:eastAsiaTheme="minorEastAsia"/>
              </w:rPr>
            </w:pPr>
            <w:r>
              <w:rPr>
                <w:rFonts w:asciiTheme="minorEastAsia" w:hAnsiTheme="minorEastAsia" w:eastAsiaTheme="minorEastAsia"/>
              </w:rPr>
              <w:t>723,625.33</w:t>
            </w:r>
          </w:p>
        </w:tc>
        <w:tc>
          <w:tcPr>
            <w:tcW w:w="1019" w:type="pct"/>
            <w:vAlign w:val="center"/>
          </w:tcPr>
          <w:p w14:paraId="5B27B5F4">
            <w:pPr>
              <w:pStyle w:val="51"/>
              <w:ind w:firstLine="0" w:firstLineChars="0"/>
              <w:jc w:val="right"/>
              <w:rPr>
                <w:rFonts w:asciiTheme="minorEastAsia" w:hAnsiTheme="minorEastAsia" w:eastAsiaTheme="minorEastAsia"/>
              </w:rPr>
            </w:pPr>
            <w:r>
              <w:rPr>
                <w:rFonts w:asciiTheme="minorEastAsia" w:hAnsiTheme="minorEastAsia" w:eastAsiaTheme="minorEastAsia"/>
              </w:rPr>
              <w:t>640.25</w:t>
            </w:r>
          </w:p>
        </w:tc>
      </w:tr>
      <w:tr w14:paraId="6A13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450EC6F8">
            <w:pPr>
              <w:pStyle w:val="51"/>
              <w:ind w:firstLine="0" w:firstLineChars="0"/>
              <w:rPr>
                <w:rFonts w:asciiTheme="minorEastAsia" w:hAnsiTheme="minorEastAsia" w:eastAsiaTheme="minorEastAsia"/>
              </w:rPr>
            </w:pPr>
            <w:r>
              <w:rPr>
                <w:rFonts w:asciiTheme="minorEastAsia" w:hAnsiTheme="minorEastAsia" w:eastAsiaTheme="minorEastAsia"/>
              </w:rPr>
              <w:t>营业外收入</w:t>
            </w:r>
          </w:p>
        </w:tc>
        <w:tc>
          <w:tcPr>
            <w:tcW w:w="1176" w:type="pct"/>
            <w:vAlign w:val="center"/>
          </w:tcPr>
          <w:p w14:paraId="7CB6B690">
            <w:pPr>
              <w:pStyle w:val="51"/>
              <w:ind w:firstLine="0" w:firstLineChars="0"/>
              <w:jc w:val="right"/>
              <w:rPr>
                <w:rFonts w:asciiTheme="minorEastAsia" w:hAnsiTheme="minorEastAsia" w:eastAsiaTheme="minorEastAsia"/>
              </w:rPr>
            </w:pPr>
            <w:r>
              <w:rPr>
                <w:rFonts w:asciiTheme="minorEastAsia" w:hAnsiTheme="minorEastAsia" w:eastAsiaTheme="minorEastAsia"/>
              </w:rPr>
              <w:t>2,020,004.21</w:t>
            </w:r>
          </w:p>
        </w:tc>
        <w:tc>
          <w:tcPr>
            <w:tcW w:w="1098" w:type="pct"/>
            <w:vAlign w:val="center"/>
          </w:tcPr>
          <w:p w14:paraId="5D1CC33D">
            <w:pPr>
              <w:pStyle w:val="51"/>
              <w:ind w:firstLine="0" w:firstLineChars="0"/>
              <w:jc w:val="right"/>
              <w:rPr>
                <w:rFonts w:asciiTheme="minorEastAsia" w:hAnsiTheme="minorEastAsia" w:eastAsiaTheme="minorEastAsia"/>
              </w:rPr>
            </w:pPr>
            <w:r>
              <w:rPr>
                <w:rFonts w:asciiTheme="minorEastAsia" w:hAnsiTheme="minorEastAsia" w:eastAsiaTheme="minorEastAsia"/>
              </w:rPr>
              <w:t>1,540,814.92</w:t>
            </w:r>
          </w:p>
        </w:tc>
        <w:tc>
          <w:tcPr>
            <w:tcW w:w="1019" w:type="pct"/>
            <w:vAlign w:val="center"/>
          </w:tcPr>
          <w:p w14:paraId="5DB41668">
            <w:pPr>
              <w:pStyle w:val="51"/>
              <w:ind w:firstLine="0" w:firstLineChars="0"/>
              <w:jc w:val="right"/>
              <w:rPr>
                <w:rFonts w:asciiTheme="minorEastAsia" w:hAnsiTheme="minorEastAsia" w:eastAsiaTheme="minorEastAsia"/>
              </w:rPr>
            </w:pPr>
            <w:r>
              <w:rPr>
                <w:rFonts w:asciiTheme="minorEastAsia" w:hAnsiTheme="minorEastAsia" w:eastAsiaTheme="minorEastAsia"/>
              </w:rPr>
              <w:t>31.10</w:t>
            </w:r>
          </w:p>
        </w:tc>
      </w:tr>
      <w:tr w14:paraId="6680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23481CBB">
            <w:pPr>
              <w:pStyle w:val="51"/>
              <w:ind w:firstLine="0" w:firstLineChars="0"/>
              <w:rPr>
                <w:rFonts w:asciiTheme="minorEastAsia" w:hAnsiTheme="minorEastAsia" w:eastAsiaTheme="minorEastAsia"/>
              </w:rPr>
            </w:pPr>
            <w:r>
              <w:rPr>
                <w:rFonts w:asciiTheme="minorEastAsia" w:hAnsiTheme="minorEastAsia" w:eastAsiaTheme="minorEastAsia"/>
              </w:rPr>
              <w:t>营业外支出</w:t>
            </w:r>
          </w:p>
        </w:tc>
        <w:tc>
          <w:tcPr>
            <w:tcW w:w="1176" w:type="pct"/>
            <w:vAlign w:val="center"/>
          </w:tcPr>
          <w:p w14:paraId="1ECB740D">
            <w:pPr>
              <w:pStyle w:val="51"/>
              <w:ind w:firstLine="0" w:firstLineChars="0"/>
              <w:jc w:val="right"/>
              <w:rPr>
                <w:rFonts w:asciiTheme="minorEastAsia" w:hAnsiTheme="minorEastAsia" w:eastAsiaTheme="minorEastAsia"/>
              </w:rPr>
            </w:pPr>
            <w:r>
              <w:rPr>
                <w:rFonts w:asciiTheme="minorEastAsia" w:hAnsiTheme="minorEastAsia" w:eastAsiaTheme="minorEastAsia"/>
              </w:rPr>
              <w:t>9,005,058.66</w:t>
            </w:r>
          </w:p>
        </w:tc>
        <w:tc>
          <w:tcPr>
            <w:tcW w:w="1098" w:type="pct"/>
            <w:vAlign w:val="center"/>
          </w:tcPr>
          <w:p w14:paraId="17E16EAE">
            <w:pPr>
              <w:pStyle w:val="51"/>
              <w:ind w:firstLine="0" w:firstLineChars="0"/>
              <w:jc w:val="right"/>
              <w:rPr>
                <w:rFonts w:asciiTheme="minorEastAsia" w:hAnsiTheme="minorEastAsia" w:eastAsiaTheme="minorEastAsia"/>
              </w:rPr>
            </w:pPr>
            <w:r>
              <w:rPr>
                <w:rFonts w:asciiTheme="minorEastAsia" w:hAnsiTheme="minorEastAsia" w:eastAsiaTheme="minorEastAsia"/>
              </w:rPr>
              <w:t>3,877,237.35</w:t>
            </w:r>
          </w:p>
        </w:tc>
        <w:tc>
          <w:tcPr>
            <w:tcW w:w="1019" w:type="pct"/>
            <w:vAlign w:val="center"/>
          </w:tcPr>
          <w:p w14:paraId="297FDCAB">
            <w:pPr>
              <w:pStyle w:val="51"/>
              <w:ind w:firstLine="0" w:firstLineChars="0"/>
              <w:jc w:val="right"/>
              <w:rPr>
                <w:rFonts w:asciiTheme="minorEastAsia" w:hAnsiTheme="minorEastAsia" w:eastAsiaTheme="minorEastAsia"/>
              </w:rPr>
            </w:pPr>
            <w:r>
              <w:rPr>
                <w:rFonts w:asciiTheme="minorEastAsia" w:hAnsiTheme="minorEastAsia" w:eastAsiaTheme="minorEastAsia"/>
              </w:rPr>
              <w:t>132.25</w:t>
            </w:r>
          </w:p>
        </w:tc>
      </w:tr>
      <w:tr w14:paraId="375C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7" w:type="pct"/>
          </w:tcPr>
          <w:p w14:paraId="29EDA517">
            <w:pPr>
              <w:pStyle w:val="51"/>
              <w:ind w:firstLine="0" w:firstLineChars="0"/>
              <w:rPr>
                <w:rFonts w:asciiTheme="minorEastAsia" w:hAnsiTheme="minorEastAsia" w:eastAsiaTheme="minorEastAsia"/>
              </w:rPr>
            </w:pPr>
            <w:r>
              <w:rPr>
                <w:rFonts w:asciiTheme="minorEastAsia" w:hAnsiTheme="minorEastAsia" w:eastAsiaTheme="minorEastAsia"/>
              </w:rPr>
              <w:t>所得税费用</w:t>
            </w:r>
          </w:p>
        </w:tc>
        <w:tc>
          <w:tcPr>
            <w:tcW w:w="1176" w:type="pct"/>
            <w:vAlign w:val="center"/>
          </w:tcPr>
          <w:p w14:paraId="7AEAA0C2">
            <w:pPr>
              <w:pStyle w:val="51"/>
              <w:ind w:firstLine="0" w:firstLineChars="0"/>
              <w:jc w:val="right"/>
              <w:rPr>
                <w:rFonts w:asciiTheme="minorEastAsia" w:hAnsiTheme="minorEastAsia" w:eastAsiaTheme="minorEastAsia"/>
              </w:rPr>
            </w:pPr>
            <w:r>
              <w:rPr>
                <w:rFonts w:asciiTheme="minorEastAsia" w:hAnsiTheme="minorEastAsia" w:eastAsiaTheme="minorEastAsia"/>
              </w:rPr>
              <w:t>173,266,464.08</w:t>
            </w:r>
          </w:p>
        </w:tc>
        <w:tc>
          <w:tcPr>
            <w:tcW w:w="1098" w:type="pct"/>
            <w:vAlign w:val="center"/>
          </w:tcPr>
          <w:p w14:paraId="0B5A3365">
            <w:pPr>
              <w:pStyle w:val="51"/>
              <w:ind w:firstLine="0" w:firstLineChars="0"/>
              <w:jc w:val="right"/>
              <w:rPr>
                <w:rFonts w:asciiTheme="minorEastAsia" w:hAnsiTheme="minorEastAsia" w:eastAsiaTheme="minorEastAsia"/>
              </w:rPr>
            </w:pPr>
            <w:r>
              <w:rPr>
                <w:rFonts w:asciiTheme="minorEastAsia" w:hAnsiTheme="minorEastAsia" w:eastAsiaTheme="minorEastAsia"/>
              </w:rPr>
              <w:t>-21,666,987.75</w:t>
            </w:r>
          </w:p>
        </w:tc>
        <w:tc>
          <w:tcPr>
            <w:tcW w:w="1019" w:type="pct"/>
            <w:vAlign w:val="center"/>
          </w:tcPr>
          <w:p w14:paraId="5D0A4CEC">
            <w:pPr>
              <w:pStyle w:val="51"/>
              <w:ind w:firstLine="0" w:firstLineChars="0"/>
              <w:jc w:val="right"/>
              <w:rPr>
                <w:rFonts w:asciiTheme="minorEastAsia" w:hAnsiTheme="minorEastAsia" w:eastAsiaTheme="minorEastAsia"/>
              </w:rPr>
            </w:pPr>
            <w:r>
              <w:rPr>
                <w:rFonts w:hint="eastAsia" w:asciiTheme="minorEastAsia" w:hAnsiTheme="minorEastAsia" w:eastAsiaTheme="minorEastAsia"/>
              </w:rPr>
              <w:t>不适用</w:t>
            </w:r>
          </w:p>
        </w:tc>
      </w:tr>
    </w:tbl>
    <w:p w14:paraId="31137057"/>
    <w:p w14:paraId="068EEB22">
      <w:pPr>
        <w:pStyle w:val="51"/>
        <w:spacing w:line="360" w:lineRule="auto"/>
        <w:ind w:firstLine="0" w:firstLineChars="0"/>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营业收入变动原因说明：</w:t>
      </w:r>
      <w:sdt>
        <w:sdtPr>
          <w:rPr>
            <w:rFonts w:ascii="Times New Roman" w:hAnsi="Times New Roman"/>
            <w:color w:val="000000" w:themeColor="text1"/>
            <w:szCs w:val="21"/>
            <w14:textFill>
              <w14:solidFill>
                <w14:schemeClr w14:val="tx1"/>
              </w14:solidFill>
            </w14:textFill>
          </w:rPr>
          <w:alias w:val="营业收入变动原因说明"/>
          <w:tag w:val="_GBC_f42c61e6c2ef46fe886ea6ecdd4ea15b"/>
          <w:id w:val="-2114501901"/>
          <w:placeholder>
            <w:docPart w:val="GBC22222222222222222222222222222"/>
          </w:placeholder>
        </w:sdtPr>
        <w:sdtEndPr>
          <w:rPr>
            <w:rFonts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本期较上年同期增加主要系公司汽车业务、摩托车业务销量增长，公司收入增加。</w:t>
          </w:r>
        </w:sdtContent>
      </w:sdt>
    </w:p>
    <w:p w14:paraId="3A85B78F">
      <w:pPr>
        <w:pStyle w:val="51"/>
        <w:spacing w:line="360" w:lineRule="auto"/>
        <w:ind w:firstLine="0" w:firstLineChars="0"/>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营业成本变动原因说明：</w:t>
      </w:r>
      <w:sdt>
        <w:sdtPr>
          <w:rPr>
            <w:rFonts w:hint="eastAsia" w:ascii="Times New Roman" w:hAnsi="Times New Roman"/>
            <w:color w:val="000000" w:themeColor="text1"/>
            <w14:textFill>
              <w14:solidFill>
                <w14:schemeClr w14:val="tx1"/>
              </w14:solidFill>
            </w14:textFill>
          </w:rPr>
          <w:alias w:val="营业成本变动原因说明"/>
          <w:tag w:val="_GBC_4ab47071f9844da58abe164f6bd272aa"/>
          <w:id w:val="-938445573"/>
          <w:placeholder>
            <w:docPart w:val="GBC22222222222222222222222222222"/>
          </w:placeholder>
        </w:sdtPr>
        <w:sdtEndPr>
          <w:rPr>
            <w:rFonts w:hint="eastAsia" w:ascii="Times New Roman" w:hAnsi="Times New Roman"/>
            <w:color w:val="000000" w:themeColor="text1"/>
            <w14:textFill>
              <w14:solidFill>
                <w14:schemeClr w14:val="tx1"/>
              </w14:solidFill>
            </w14:textFill>
          </w:rPr>
        </w:sdtEndPr>
        <w:sdtContent>
          <w:r>
            <w:rPr>
              <w:rFonts w:hint="eastAsia" w:ascii="Times New Roman" w:hAnsi="Times New Roman"/>
              <w:color w:val="000000" w:themeColor="text1"/>
              <w14:textFill>
                <w14:solidFill>
                  <w14:schemeClr w14:val="tx1"/>
                </w14:solidFill>
              </w14:textFill>
            </w:rPr>
            <w:t>本期较上年同期增加主要系收入增长，对应的成本增长。</w:t>
          </w:r>
        </w:sdtContent>
      </w:sdt>
    </w:p>
    <w:p w14:paraId="4005E974">
      <w:pPr>
        <w:pStyle w:val="51"/>
        <w:spacing w:line="360" w:lineRule="auto"/>
        <w:ind w:firstLine="0" w:firstLineChars="0"/>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销售费用变动原因说明：</w:t>
      </w:r>
      <w:sdt>
        <w:sdtPr>
          <w:rPr>
            <w:rFonts w:hint="eastAsia" w:ascii="Times New Roman" w:hAnsi="Times New Roman"/>
            <w:color w:val="000000" w:themeColor="text1"/>
            <w14:textFill>
              <w14:solidFill>
                <w14:schemeClr w14:val="tx1"/>
              </w14:solidFill>
            </w14:textFill>
          </w:rPr>
          <w:alias w:val="销售费用变动原因说明"/>
          <w:tag w:val="_GBC_d8f3d3236009445ca57b171f1c954fae"/>
          <w:id w:val="660123942"/>
          <w:placeholder>
            <w:docPart w:val="GBC22222222222222222222222222222"/>
          </w:placeholder>
        </w:sdtPr>
        <w:sdtEndPr>
          <w:rPr>
            <w:rFonts w:hint="eastAsia" w:ascii="Times New Roman" w:hAnsi="Times New Roman"/>
            <w:color w:val="000000" w:themeColor="text1"/>
            <w14:textFill>
              <w14:solidFill>
                <w14:schemeClr w14:val="tx1"/>
              </w14:solidFill>
            </w14:textFill>
          </w:rPr>
        </w:sdtEndPr>
        <w:sdtContent>
          <w:r>
            <w:rPr>
              <w:rFonts w:hint="eastAsia" w:ascii="Times New Roman" w:hAnsi="Times New Roman"/>
              <w:color w:val="000000" w:themeColor="text1"/>
              <w14:textFill>
                <w14:solidFill>
                  <w14:schemeClr w14:val="tx1"/>
                </w14:solidFill>
              </w14:textFill>
            </w:rPr>
            <w:t>本期较上年同期减少主要系广宣费减少。</w:t>
          </w:r>
        </w:sdtContent>
      </w:sdt>
    </w:p>
    <w:p w14:paraId="14FC7DF2">
      <w:pPr>
        <w:pStyle w:val="51"/>
        <w:spacing w:line="360" w:lineRule="auto"/>
        <w:ind w:firstLine="0" w:firstLineChars="0"/>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管理费用变动原因说明：</w:t>
      </w:r>
      <w:sdt>
        <w:sdtPr>
          <w:rPr>
            <w:rFonts w:hint="eastAsia" w:ascii="Times New Roman" w:hAnsi="Times New Roman"/>
            <w:color w:val="000000" w:themeColor="text1"/>
            <w14:textFill>
              <w14:solidFill>
                <w14:schemeClr w14:val="tx1"/>
              </w14:solidFill>
            </w14:textFill>
          </w:rPr>
          <w:alias w:val="管理费用变动原因说明"/>
          <w:tag w:val="_GBC_13103bbe23ee4770b17eecdee03d38a1"/>
          <w:id w:val="1603301684"/>
          <w:placeholder>
            <w:docPart w:val="GBC22222222222222222222222222222"/>
          </w:placeholder>
        </w:sdtPr>
        <w:sdtEndPr>
          <w:rPr>
            <w:rFonts w:hint="eastAsia" w:ascii="Times New Roman" w:hAnsi="Times New Roman"/>
            <w:color w:val="000000" w:themeColor="text1"/>
            <w14:textFill>
              <w14:solidFill>
                <w14:schemeClr w14:val="tx1"/>
              </w14:solidFill>
            </w14:textFill>
          </w:rPr>
        </w:sdtEndPr>
        <w:sdtContent>
          <w:r>
            <w:rPr>
              <w:rFonts w:hint="eastAsia" w:ascii="Times New Roman" w:hAnsi="Times New Roman"/>
              <w:color w:val="000000" w:themeColor="text1"/>
              <w14:textFill>
                <w14:solidFill>
                  <w14:schemeClr w14:val="tx1"/>
                </w14:solidFill>
              </w14:textFill>
            </w:rPr>
            <w:t>本期较上年同期增加主要系</w:t>
          </w:r>
          <w:r>
            <w:rPr>
              <w:rFonts w:ascii="Arial" w:hAnsi="Arial" w:cs="Arial"/>
              <w:szCs w:val="21"/>
              <w:shd w:val="clear" w:color="auto" w:fill="FFFFFF"/>
            </w:rPr>
            <w:t>人力成本费用</w:t>
          </w:r>
          <w:r>
            <w:rPr>
              <w:rFonts w:hint="eastAsia" w:ascii="Times New Roman" w:hAnsi="Times New Roman"/>
              <w:color w:val="000000" w:themeColor="text1"/>
              <w14:textFill>
                <w14:solidFill>
                  <w14:schemeClr w14:val="tx1"/>
                </w14:solidFill>
              </w14:textFill>
            </w:rPr>
            <w:t>增加。</w:t>
          </w:r>
        </w:sdtContent>
      </w:sdt>
    </w:p>
    <w:p w14:paraId="336861A9">
      <w:pPr>
        <w:pStyle w:val="51"/>
        <w:spacing w:line="360" w:lineRule="auto"/>
        <w:ind w:firstLine="0" w:firstLineChars="0"/>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财务费用变动原因说明：</w:t>
      </w:r>
      <w:sdt>
        <w:sdtPr>
          <w:rPr>
            <w:rFonts w:hint="eastAsia" w:ascii="Times New Roman" w:hAnsi="Times New Roman"/>
            <w:color w:val="000000" w:themeColor="text1"/>
            <w14:textFill>
              <w14:solidFill>
                <w14:schemeClr w14:val="tx1"/>
              </w14:solidFill>
            </w14:textFill>
          </w:rPr>
          <w:alias w:val="财务费用变动原因说明"/>
          <w:tag w:val="_GBC_2876360f1d844724b6ba84d6b9756580"/>
          <w:id w:val="554432451"/>
          <w:placeholder>
            <w:docPart w:val="GBC22222222222222222222222222222"/>
          </w:placeholder>
        </w:sdtPr>
        <w:sdtEndPr>
          <w:rPr>
            <w:rFonts w:hint="eastAsia" w:ascii="Times New Roman" w:hAnsi="Times New Roman"/>
            <w:color w:val="000000" w:themeColor="text1"/>
            <w14:textFill>
              <w14:solidFill>
                <w14:schemeClr w14:val="tx1"/>
              </w14:solidFill>
            </w14:textFill>
          </w:rPr>
        </w:sdtEndPr>
        <w:sdtContent>
          <w:r>
            <w:rPr>
              <w:rFonts w:hint="eastAsia" w:ascii="Times New Roman" w:hAnsi="Times New Roman"/>
              <w:color w:val="000000" w:themeColor="text1"/>
              <w14:textFill>
                <w14:solidFill>
                  <w14:schemeClr w14:val="tx1"/>
                </w14:solidFill>
              </w14:textFill>
            </w:rPr>
            <w:t>本期较上年同期减少主要系，一是外币升值，汇兑收益增加，二是贷款余额减少，利息支出减少。</w:t>
          </w:r>
        </w:sdtContent>
      </w:sdt>
    </w:p>
    <w:p w14:paraId="4666DD43">
      <w:pPr>
        <w:pStyle w:val="51"/>
        <w:spacing w:line="360" w:lineRule="auto"/>
        <w:ind w:firstLine="0" w:firstLineChars="0"/>
        <w:jc w:val="left"/>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研发费用变动原因说明</w:t>
      </w:r>
      <w:r>
        <w:rPr>
          <w:rFonts w:ascii="Times New Roman" w:hAnsi="Times New Roman"/>
          <w:color w:val="000000" w:themeColor="text1"/>
          <w14:textFill>
            <w14:solidFill>
              <w14:schemeClr w14:val="tx1"/>
            </w14:solidFill>
          </w14:textFill>
        </w:rPr>
        <w:t>：</w:t>
      </w:r>
      <w:sdt>
        <w:sdtPr>
          <w:rPr>
            <w:rFonts w:ascii="Times New Roman" w:hAnsi="Times New Roman"/>
            <w:color w:val="000000" w:themeColor="text1"/>
            <w14:textFill>
              <w14:solidFill>
                <w14:schemeClr w14:val="tx1"/>
              </w14:solidFill>
            </w14:textFill>
          </w:rPr>
          <w:alias w:val="研发费用变动原因说明"/>
          <w:tag w:val="_GBC_b0b71742eb3f4715afa18751ce433454"/>
          <w:id w:val="1615485869"/>
          <w:placeholder>
            <w:docPart w:val="GBC22222222222222222222222222222"/>
          </w:placeholder>
        </w:sdtPr>
        <w:sdtEndPr>
          <w:rPr>
            <w:rFonts w:ascii="Times New Roman" w:hAnsi="Times New Roman"/>
            <w:color w:val="000000" w:themeColor="text1"/>
            <w14:textFill>
              <w14:solidFill>
                <w14:schemeClr w14:val="tx1"/>
              </w14:solidFill>
            </w14:textFill>
          </w:rPr>
        </w:sdtEndPr>
        <w:sdtContent>
          <w:r>
            <w:rPr>
              <w:rFonts w:hint="eastAsia" w:ascii="Times New Roman" w:hAnsi="Times New Roman"/>
              <w:color w:val="000000" w:themeColor="text1"/>
              <w14:textFill>
                <w14:solidFill>
                  <w14:schemeClr w14:val="tx1"/>
                </w14:solidFill>
              </w14:textFill>
            </w:rPr>
            <w:t>本期较上年同期增加主要系公司本期新增智能汽车座舱操作系统研发，研发投入增加。</w:t>
          </w:r>
        </w:sdtContent>
      </w:sdt>
    </w:p>
    <w:p w14:paraId="7E312613">
      <w:pPr>
        <w:pStyle w:val="51"/>
        <w:spacing w:line="360" w:lineRule="auto"/>
        <w:ind w:firstLine="0" w:firstLineChars="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经营活动产生的现金流量净额</w:t>
      </w:r>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经营活动产生的现金流量净额变动原因说明"/>
          <w:tag w:val="_GBC_309323bb8b0046e9bb6afe0231994d50"/>
          <w:id w:val="1547331177"/>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本期较上年同期增加主要系本期收入增长，收回的货款增加以及收到政府补助。</w:t>
          </w:r>
        </w:sdtContent>
      </w:sdt>
    </w:p>
    <w:p w14:paraId="2C7F9FA9">
      <w:pPr>
        <w:pStyle w:val="51"/>
        <w:spacing w:line="360" w:lineRule="auto"/>
        <w:ind w:firstLine="0" w:firstLineChars="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投资活动产生的现金流量净额</w:t>
      </w:r>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投资活动产生的现金流量净额变动原因说明"/>
          <w:tag w:val="_GBC_981bcb9573814b8080b52fae435fb1b0"/>
          <w:id w:val="752542888"/>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本期较上年同期减少主要系</w:t>
          </w:r>
          <w:r>
            <w:rPr>
              <w:rFonts w:ascii="Arial" w:hAnsi="Arial" w:cs="Arial"/>
              <w:szCs w:val="21"/>
              <w:shd w:val="clear" w:color="auto" w:fill="FFFFFF"/>
            </w:rPr>
            <w:t>为</w:t>
          </w:r>
          <w:r>
            <w:rPr>
              <w:rFonts w:ascii="Times New Roman" w:hAnsi="Times New Roman"/>
              <w:color w:val="000000" w:themeColor="text1"/>
              <w:szCs w:val="21"/>
              <w14:textFill>
                <w14:solidFill>
                  <w14:schemeClr w14:val="tx1"/>
                </w14:solidFill>
              </w14:textFill>
            </w:rPr>
            <w:t>提高资金收益率，将部分活期存款转为定期存款。</w:t>
          </w:r>
        </w:sdtContent>
      </w:sdt>
    </w:p>
    <w:p w14:paraId="7B2AA372">
      <w:pPr>
        <w:pStyle w:val="51"/>
        <w:spacing w:line="360" w:lineRule="auto"/>
        <w:ind w:firstLine="0" w:firstLineChars="0"/>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筹资活动产生的现金流量净额</w:t>
      </w:r>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筹资活动产生的现金流量净额变动原因说明"/>
          <w:tag w:val="_GBC_900a9d8acfac4ec18a35c4034161c13e"/>
          <w:id w:val="1892918668"/>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本期较上年同期增加主要系本期票据贴现款增加。</w:t>
          </w:r>
        </w:sdtContent>
      </w:sdt>
    </w:p>
    <w:sdt>
      <w:sdtPr>
        <w:rPr>
          <w:rFonts w:hint="eastAsia" w:ascii="Times New Roman" w:hAnsi="Times New Roman"/>
          <w:color w:val="000000" w:themeColor="text1"/>
          <w:szCs w:val="21"/>
          <w14:textFill>
            <w14:solidFill>
              <w14:schemeClr w14:val="tx1"/>
            </w14:solidFill>
          </w14:textFill>
        </w:rPr>
        <w:alias w:val="利润表及现金流量表相关科目变动分析"/>
        <w:tag w:val="_GBC_94f5ff32e4ce4847911acff5a0adb36c"/>
        <w:id w:val="807053015"/>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p w14:paraId="614B6A7C">
          <w:pPr>
            <w:pStyle w:val="51"/>
            <w:spacing w:line="360" w:lineRule="auto"/>
            <w:ind w:firstLine="0" w:firstLineChars="0"/>
            <w:jc w:val="left"/>
            <w:rPr>
              <w:rFonts w:ascii="Times New Roman" w:hAnsi="Times New Roman"/>
              <w:color w:val="000000" w:themeColor="text1"/>
              <w14:textFill>
                <w14:solidFill>
                  <w14:schemeClr w14:val="tx1"/>
                </w14:solidFill>
              </w14:textFill>
            </w:rPr>
          </w:pPr>
          <w:sdt>
            <w:sdtPr>
              <w:rPr>
                <w:rFonts w:hint="eastAsia" w:ascii="Times New Roman" w:hAnsi="Times New Roman"/>
                <w:color w:val="000000" w:themeColor="text1"/>
                <w:szCs w:val="21"/>
                <w14:textFill>
                  <w14:solidFill>
                    <w14:schemeClr w14:val="tx1"/>
                  </w14:solidFill>
                </w14:textFill>
              </w:rPr>
              <w:alias w:val="利润表及现金流量表相关科目变动分析-科目名称"/>
              <w:tag w:val="_GBC_764a55650aaf4240a584071ddd35a587"/>
              <w:id w:val="1069550373"/>
              <w:lock w:val="sdtLocked"/>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其他收益</w:t>
              </w:r>
            </w:sdtContent>
          </w:sdt>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利润表及现金流量表相关科目变动分析-变动原因说明"/>
              <w:tag w:val="_GBC_1f225b75164341838c2f2de40a1ee736"/>
              <w:id w:val="-393730286"/>
              <w:lock w:val="sdtLocked"/>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本期较上年同期增加主要系本期收到政府补助增加。</w:t>
              </w:r>
            </w:sdtContent>
          </w:sdt>
        </w:p>
      </w:sdtContent>
    </w:sdt>
    <w:sdt>
      <w:sdtPr>
        <w:rPr>
          <w:rFonts w:hint="eastAsia" w:ascii="Times New Roman" w:hAnsi="Times New Roman"/>
          <w:color w:val="000000" w:themeColor="text1"/>
          <w:szCs w:val="21"/>
          <w14:textFill>
            <w14:solidFill>
              <w14:schemeClr w14:val="tx1"/>
            </w14:solidFill>
          </w14:textFill>
        </w:rPr>
        <w:alias w:val="利润表及现金流量表相关科目变动分析"/>
        <w:tag w:val="_GBC_94f5ff32e4ce4847911acff5a0adb36c"/>
        <w:id w:val="-1291128000"/>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p w14:paraId="40D0D410">
          <w:pPr>
            <w:pStyle w:val="51"/>
            <w:spacing w:line="360" w:lineRule="auto"/>
            <w:ind w:firstLine="0" w:firstLineChars="0"/>
            <w:jc w:val="left"/>
            <w:rPr>
              <w:rFonts w:ascii="Times New Roman" w:hAnsi="Times New Roman"/>
              <w:color w:val="000000" w:themeColor="text1"/>
              <w14:textFill>
                <w14:solidFill>
                  <w14:schemeClr w14:val="tx1"/>
                </w14:solidFill>
              </w14:textFill>
            </w:rPr>
          </w:pPr>
          <w:sdt>
            <w:sdtPr>
              <w:rPr>
                <w:rFonts w:hint="eastAsia" w:ascii="Times New Roman" w:hAnsi="Times New Roman"/>
                <w:color w:val="000000" w:themeColor="text1"/>
                <w:szCs w:val="21"/>
                <w14:textFill>
                  <w14:solidFill>
                    <w14:schemeClr w14:val="tx1"/>
                  </w14:solidFill>
                </w14:textFill>
              </w:rPr>
              <w:alias w:val="利润表及现金流量表相关科目变动分析-科目名称"/>
              <w:tag w:val="_GBC_764a55650aaf4240a584071ddd35a587"/>
              <w:id w:val="-239100553"/>
              <w:lock w:val="sdtLocked"/>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投资收益</w:t>
              </w:r>
            </w:sdtContent>
          </w:sdt>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利润表及现金流量表相关科目变动分析-变动原因说明"/>
              <w:tag w:val="_GBC_1f225b75164341838c2f2de40a1ee736"/>
              <w:id w:val="1358169001"/>
              <w:lock w:val="sdtLocked"/>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本期较上年同期增加主要系联营企业的利润增加享有的投资收益增加及处置海博瑞德（重庆）汽车动力控制系统有限公司股权收益增加。</w:t>
              </w:r>
            </w:sdtContent>
          </w:sdt>
        </w:p>
      </w:sdtContent>
    </w:sdt>
    <w:sdt>
      <w:sdtPr>
        <w:rPr>
          <w:rFonts w:hint="eastAsia" w:ascii="Times New Roman" w:hAnsi="Times New Roman"/>
          <w:color w:val="000000" w:themeColor="text1"/>
          <w:szCs w:val="21"/>
          <w14:textFill>
            <w14:solidFill>
              <w14:schemeClr w14:val="tx1"/>
            </w14:solidFill>
          </w14:textFill>
        </w:rPr>
        <w:alias w:val="利润表及现金流量表相关科目变动分析"/>
        <w:tag w:val="_GBC_94f5ff32e4ce4847911acff5a0adb36c"/>
        <w:id w:val="1160814378"/>
        <w:placeholder>
          <w:docPart w:val="07F341E97A2540A79B5BA7773A1A4ADD"/>
        </w:placeholder>
      </w:sdtPr>
      <w:sdtEndPr>
        <w:rPr>
          <w:rFonts w:hint="eastAsia" w:ascii="Times New Roman" w:hAnsi="Times New Roman"/>
          <w:color w:val="000000" w:themeColor="text1"/>
          <w:szCs w:val="21"/>
          <w14:textFill>
            <w14:solidFill>
              <w14:schemeClr w14:val="tx1"/>
            </w14:solidFill>
          </w14:textFill>
        </w:rPr>
      </w:sdtEndPr>
      <w:sdtContent>
        <w:p w14:paraId="1C85E832">
          <w:pPr>
            <w:pStyle w:val="51"/>
            <w:spacing w:line="360" w:lineRule="auto"/>
            <w:ind w:firstLine="0" w:firstLineChars="0"/>
            <w:jc w:val="left"/>
            <w:rPr>
              <w:rFonts w:ascii="Times New Roman" w:hAnsi="Times New Roman"/>
              <w:color w:val="000000" w:themeColor="text1"/>
              <w:szCs w:val="21"/>
              <w14:textFill>
                <w14:solidFill>
                  <w14:schemeClr w14:val="tx1"/>
                </w14:solidFill>
              </w14:textFill>
            </w:rPr>
          </w:pPr>
          <w:sdt>
            <w:sdtPr>
              <w:rPr>
                <w:rFonts w:hint="eastAsia" w:ascii="Times New Roman" w:hAnsi="Times New Roman"/>
                <w:color w:val="000000" w:themeColor="text1"/>
                <w:szCs w:val="21"/>
                <w14:textFill>
                  <w14:solidFill>
                    <w14:schemeClr w14:val="tx1"/>
                  </w14:solidFill>
                </w14:textFill>
              </w:rPr>
              <w:alias w:val="利润表及现金流量表相关科目变动分析-科目名称"/>
              <w:tag w:val="_GBC_764a55650aaf4240a584071ddd35a587"/>
              <w:id w:val="1761562378"/>
              <w:lock w:val="sdtLocked"/>
              <w:placeholder>
                <w:docPart w:val="07F341E97A2540A79B5BA7773A1A4ADD"/>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公允价值变动</w:t>
              </w:r>
            </w:sdtContent>
          </w:sdt>
          <w:r>
            <w:rPr>
              <w:rFonts w:hint="eastAsia" w:ascii="Times New Roman" w:hAnsi="Times New Roman"/>
              <w:color w:val="000000" w:themeColor="text1"/>
              <w:szCs w:val="21"/>
              <w14:textFill>
                <w14:solidFill>
                  <w14:schemeClr w14:val="tx1"/>
                </w14:solidFill>
              </w14:textFill>
            </w:rPr>
            <w:t>原因说明：</w:t>
          </w:r>
          <w:sdt>
            <w:sdtPr>
              <w:rPr>
                <w:rFonts w:hint="eastAsia" w:ascii="Times New Roman" w:hAnsi="Times New Roman"/>
                <w:color w:val="000000" w:themeColor="text1"/>
                <w:szCs w:val="21"/>
                <w14:textFill>
                  <w14:solidFill>
                    <w14:schemeClr w14:val="tx1"/>
                  </w14:solidFill>
                </w14:textFill>
              </w:rPr>
              <w:alias w:val="利润表及现金流量表相关科目变动分析-变动原因说明"/>
              <w:tag w:val="_GBC_1f225b75164341838c2f2de40a1ee736"/>
              <w:id w:val="-1937819998"/>
              <w:lock w:val="sdtLocked"/>
              <w:placeholder>
                <w:docPart w:val="07F341E97A2540A79B5BA7773A1A4ADD"/>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本期较上年同期增加主要系对投资性房地产评估，确认公允价值变动损失。</w:t>
              </w:r>
            </w:sdtContent>
          </w:sdt>
        </w:p>
      </w:sdtContent>
    </w:sdt>
    <w:sdt>
      <w:sdtPr>
        <w:rPr>
          <w:rFonts w:hint="eastAsia" w:ascii="Times New Roman" w:hAnsi="Times New Roman"/>
          <w:color w:val="000000" w:themeColor="text1"/>
          <w:szCs w:val="21"/>
          <w14:textFill>
            <w14:solidFill>
              <w14:schemeClr w14:val="tx1"/>
            </w14:solidFill>
          </w14:textFill>
        </w:rPr>
        <w:alias w:val="利润表及现金流量表相关科目变动分析"/>
        <w:tag w:val="_GBC_94f5ff32e4ce4847911acff5a0adb36c"/>
        <w:id w:val="-1032808642"/>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p w14:paraId="440AA96C">
          <w:pPr>
            <w:pStyle w:val="51"/>
            <w:spacing w:line="360" w:lineRule="auto"/>
            <w:ind w:firstLine="0" w:firstLineChars="0"/>
            <w:jc w:val="left"/>
            <w:rPr>
              <w:rFonts w:ascii="Times New Roman" w:hAnsi="Times New Roman"/>
              <w:color w:val="000000" w:themeColor="text1"/>
              <w:szCs w:val="21"/>
              <w14:textFill>
                <w14:solidFill>
                  <w14:schemeClr w14:val="tx1"/>
                </w14:solidFill>
              </w14:textFill>
            </w:rPr>
          </w:pPr>
          <w:sdt>
            <w:sdtPr>
              <w:rPr>
                <w:rFonts w:hint="eastAsia" w:ascii="Times New Roman" w:hAnsi="Times New Roman"/>
                <w:color w:val="000000" w:themeColor="text1"/>
                <w:szCs w:val="21"/>
                <w14:textFill>
                  <w14:solidFill>
                    <w14:schemeClr w14:val="tx1"/>
                  </w14:solidFill>
                </w14:textFill>
              </w:rPr>
              <w:alias w:val="利润表及现金流量表相关科目变动分析-科目名称"/>
              <w:tag w:val="_GBC_764a55650aaf4240a584071ddd35a587"/>
              <w:id w:val="967784266"/>
              <w:lock w:val="sdtLocked"/>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r>
                <w:t>信用减值损失</w:t>
              </w:r>
            </w:sdtContent>
          </w:sdt>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利润表及现金流量表相关科目变动分析-变动原因说明"/>
              <w:tag w:val="_GBC_1f225b75164341838c2f2de40a1ee736"/>
              <w:id w:val="1402247109"/>
              <w:lock w:val="sdtLocked"/>
              <w:placeholder>
                <w:docPart w:val="GBC22222222222222222222222222222"/>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本期较上年同期增加主要系本期对预计不能收回的新能源补贴款计提减值损失。</w:t>
              </w:r>
            </w:sdtContent>
          </w:sdt>
        </w:p>
      </w:sdtContent>
    </w:sdt>
    <w:sdt>
      <w:sdtPr>
        <w:rPr>
          <w:rFonts w:hint="eastAsia" w:ascii="Times New Roman" w:hAnsi="Times New Roman"/>
          <w:color w:val="000000" w:themeColor="text1"/>
          <w:szCs w:val="21"/>
          <w14:textFill>
            <w14:solidFill>
              <w14:schemeClr w14:val="tx1"/>
            </w14:solidFill>
          </w14:textFill>
        </w:rPr>
        <w:alias w:val="利润表及现金流量表相关科目变动分析"/>
        <w:tag w:val="_GBC_94f5ff32e4ce4847911acff5a0adb36c"/>
        <w:id w:val="-1719207123"/>
        <w:placeholder>
          <w:docPart w:val="ADED526B8C7C4863B82886CC952A19CC"/>
        </w:placeholder>
      </w:sdtPr>
      <w:sdtEndPr>
        <w:rPr>
          <w:rFonts w:hint="eastAsia" w:ascii="Times New Roman" w:hAnsi="Times New Roman"/>
          <w:color w:val="000000" w:themeColor="text1"/>
          <w:szCs w:val="21"/>
          <w14:textFill>
            <w14:solidFill>
              <w14:schemeClr w14:val="tx1"/>
            </w14:solidFill>
          </w14:textFill>
        </w:rPr>
      </w:sdtEndPr>
      <w:sdtContent>
        <w:p w14:paraId="1CA01869">
          <w:pPr>
            <w:pStyle w:val="51"/>
            <w:spacing w:line="360" w:lineRule="auto"/>
            <w:ind w:firstLine="0" w:firstLineChars="0"/>
            <w:jc w:val="left"/>
            <w:rPr>
              <w:rFonts w:ascii="Times New Roman" w:hAnsi="Times New Roman"/>
              <w:color w:val="000000" w:themeColor="text1"/>
              <w:szCs w:val="21"/>
              <w14:textFill>
                <w14:solidFill>
                  <w14:schemeClr w14:val="tx1"/>
                </w14:solidFill>
              </w14:textFill>
            </w:rPr>
          </w:pPr>
          <w:sdt>
            <w:sdtPr>
              <w:rPr>
                <w:rFonts w:hint="eastAsia" w:ascii="Times New Roman" w:hAnsi="Times New Roman"/>
                <w:color w:val="000000" w:themeColor="text1"/>
                <w:szCs w:val="21"/>
                <w14:textFill>
                  <w14:solidFill>
                    <w14:schemeClr w14:val="tx1"/>
                  </w14:solidFill>
                </w14:textFill>
              </w:rPr>
              <w:alias w:val="利润表及现金流量表相关科目变动分析-科目名称"/>
              <w:tag w:val="_GBC_764a55650aaf4240a584071ddd35a587"/>
              <w:id w:val="2070142723"/>
              <w:lock w:val="sdtLocked"/>
              <w:placeholder>
                <w:docPart w:val="ADED526B8C7C4863B82886CC952A19CC"/>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资产减值损失</w:t>
              </w:r>
            </w:sdtContent>
          </w:sdt>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利润表及现金流量表相关科目变动分析-变动原因说明"/>
              <w:tag w:val="_GBC_1f225b75164341838c2f2de40a1ee736"/>
              <w:id w:val="-253757313"/>
              <w:lock w:val="sdtLocked"/>
              <w:placeholder>
                <w:docPart w:val="ADED526B8C7C4863B82886CC952A19CC"/>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本期较上年同期增加主要系本期对存货、闲置固定资产及商誉计提的减值比上年同期增加。</w:t>
              </w:r>
            </w:sdtContent>
          </w:sdt>
        </w:p>
      </w:sdtContent>
    </w:sdt>
    <w:sdt>
      <w:sdtPr>
        <w:rPr>
          <w:rFonts w:hint="eastAsia"/>
        </w:rPr>
        <w:alias w:val="利润表及现金流量表相关科目变动分析"/>
        <w:tag w:val="_GBC_94f5ff32e4ce4847911acff5a0adb36c"/>
        <w:id w:val="-163015234"/>
        <w:placeholder>
          <w:docPart w:val="BD7FC7B937054DEDA43654C9C510D1A6"/>
        </w:placeholder>
      </w:sdtPr>
      <w:sdtEndPr>
        <w:rPr>
          <w:rFonts w:hint="eastAsia"/>
        </w:rPr>
      </w:sdtEndPr>
      <w:sdtContent>
        <w:p w14:paraId="663113A4">
          <w:pPr>
            <w:spacing w:line="360" w:lineRule="auto"/>
            <w:rPr>
              <w:rFonts w:ascii="Calibri" w:hAnsi="Calibri"/>
              <w:color w:val="000000" w:themeColor="text1"/>
              <w:szCs w:val="22"/>
              <w14:textFill>
                <w14:solidFill>
                  <w14:schemeClr w14:val="tx1"/>
                </w14:solidFill>
              </w14:textFill>
            </w:rPr>
          </w:pPr>
          <w:sdt>
            <w:sdtPr>
              <w:rPr>
                <w:rFonts w:hint="eastAsia"/>
              </w:rPr>
              <w:alias w:val="利润表及现金流量表相关科目变动分析-科目名称"/>
              <w:tag w:val="_GBC_764a55650aaf4240a584071ddd35a587"/>
              <w:id w:val="-1374310585"/>
              <w:lock w:val="sdtLocked"/>
              <w:placeholder>
                <w:docPart w:val="BD7FC7B937054DEDA43654C9C510D1A6"/>
              </w:placeholder>
            </w:sdtPr>
            <w:sdtEndPr>
              <w:rPr>
                <w:rFonts w:hint="eastAsia"/>
              </w:rPr>
            </w:sdtEndPr>
            <w:sdtContent>
              <w:r>
                <w:t>资产处置收益</w:t>
              </w:r>
            </w:sdtContent>
          </w:sdt>
          <w:r>
            <w:rPr>
              <w:rFonts w:hint="eastAsia"/>
              <w:color w:val="000000" w:themeColor="text1"/>
              <w14:textFill>
                <w14:solidFill>
                  <w14:schemeClr w14:val="tx1"/>
                </w14:solidFill>
              </w14:textFill>
            </w:rPr>
            <w:t>变动原因说明：</w:t>
          </w:r>
          <w:sdt>
            <w:sdtPr>
              <w:rPr>
                <w:rFonts w:hint="eastAsia"/>
              </w:rPr>
              <w:alias w:val="利润表及现金流量表相关科目变动分析-变动原因说明"/>
              <w:tag w:val="_GBC_1f225b75164341838c2f2de40a1ee736"/>
              <w:id w:val="-1728442950"/>
              <w:lock w:val="sdtLocked"/>
              <w:placeholder>
                <w:docPart w:val="BD7FC7B937054DEDA43654C9C510D1A6"/>
              </w:placeholder>
            </w:sdtPr>
            <w:sdtEndPr>
              <w:rPr>
                <w:rFonts w:hint="eastAsia"/>
              </w:rPr>
            </w:sdtEndPr>
            <w:sdtContent>
              <w:r>
                <w:rPr>
                  <w:rFonts w:hint="eastAsia"/>
                  <w:color w:val="000000" w:themeColor="text1"/>
                  <w14:textFill>
                    <w14:solidFill>
                      <w14:schemeClr w14:val="tx1"/>
                    </w14:solidFill>
                  </w14:textFill>
                </w:rPr>
                <w:t>本期较上年同期增加主要系本期处置模具款收益增加。</w:t>
              </w:r>
            </w:sdtContent>
          </w:sdt>
        </w:p>
      </w:sdtContent>
    </w:sdt>
    <w:sdt>
      <w:sdtPr>
        <w:rPr>
          <w:rFonts w:hint="eastAsia"/>
        </w:rPr>
        <w:alias w:val="利润表及现金流量表相关科目变动分析"/>
        <w:tag w:val="_GBC_94f5ff32e4ce4847911acff5a0adb36c"/>
        <w:id w:val="-1218965847"/>
        <w:placeholder>
          <w:docPart w:val="D1FD054220E54558A883A0F71BF0B0B4"/>
        </w:placeholder>
      </w:sdtPr>
      <w:sdtEndPr>
        <w:rPr>
          <w:rFonts w:hint="eastAsia"/>
        </w:rPr>
      </w:sdtEndPr>
      <w:sdtContent>
        <w:p w14:paraId="496C0734">
          <w:pPr>
            <w:spacing w:line="360" w:lineRule="auto"/>
            <w:rPr>
              <w:color w:val="000000" w:themeColor="text1"/>
              <w14:textFill>
                <w14:solidFill>
                  <w14:schemeClr w14:val="tx1"/>
                </w14:solidFill>
              </w14:textFill>
            </w:rPr>
          </w:pPr>
          <w:sdt>
            <w:sdtPr>
              <w:rPr>
                <w:rFonts w:hint="eastAsia"/>
              </w:rPr>
              <w:alias w:val="利润表及现金流量表相关科目变动分析-科目名称"/>
              <w:tag w:val="_GBC_764a55650aaf4240a584071ddd35a587"/>
              <w:id w:val="-71588939"/>
              <w:lock w:val="sdtLocked"/>
              <w:placeholder>
                <w:docPart w:val="D1FD054220E54558A883A0F71BF0B0B4"/>
              </w:placeholder>
            </w:sdtPr>
            <w:sdtEndPr>
              <w:rPr>
                <w:rFonts w:hint="eastAsia"/>
              </w:rPr>
            </w:sdtEndPr>
            <w:sdtContent>
              <w:r>
                <w:t>营业外收入</w:t>
              </w:r>
            </w:sdtContent>
          </w:sdt>
          <w:r>
            <w:rPr>
              <w:rFonts w:hint="eastAsia"/>
              <w:color w:val="000000" w:themeColor="text1"/>
              <w14:textFill>
                <w14:solidFill>
                  <w14:schemeClr w14:val="tx1"/>
                </w14:solidFill>
              </w14:textFill>
            </w:rPr>
            <w:t>变动原因说明：</w:t>
          </w:r>
          <w:sdt>
            <w:sdtPr>
              <w:rPr>
                <w:rFonts w:hint="eastAsia"/>
              </w:rPr>
              <w:alias w:val="利润表及现金流量表相关科目变动分析-变动原因说明"/>
              <w:tag w:val="_GBC_1f225b75164341838c2f2de40a1ee736"/>
              <w:id w:val="-1037121505"/>
              <w:lock w:val="sdtLocked"/>
              <w:placeholder>
                <w:docPart w:val="D1FD054220E54558A883A0F71BF0B0B4"/>
              </w:placeholder>
            </w:sdtPr>
            <w:sdtEndPr>
              <w:rPr>
                <w:rFonts w:hint="eastAsia"/>
              </w:rPr>
            </w:sdtEndPr>
            <w:sdtContent>
              <w:r>
                <w:rPr>
                  <w:rFonts w:hint="eastAsia"/>
                </w:rPr>
                <w:t>本期较上年同期增加主要系</w:t>
              </w:r>
              <w:r>
                <w:rPr>
                  <w:rFonts w:cs="Times New Roman"/>
                  <w:color w:val="000000" w:themeColor="text1"/>
                  <w:kern w:val="2"/>
                  <w14:textFill>
                    <w14:solidFill>
                      <w14:schemeClr w14:val="tx1"/>
                    </w14:solidFill>
                  </w14:textFill>
                </w:rPr>
                <w:t>非日常性收益比上年同期</w:t>
              </w:r>
              <w:r>
                <w:rPr>
                  <w:rFonts w:hint="eastAsia" w:cs="Times New Roman"/>
                  <w:color w:val="000000" w:themeColor="text1"/>
                  <w:kern w:val="2"/>
                  <w14:textFill>
                    <w14:solidFill>
                      <w14:schemeClr w14:val="tx1"/>
                    </w14:solidFill>
                  </w14:textFill>
                </w:rPr>
                <w:t>增加。</w:t>
              </w:r>
            </w:sdtContent>
          </w:sdt>
        </w:p>
      </w:sdtContent>
    </w:sdt>
    <w:sdt>
      <w:sdtPr>
        <w:rPr>
          <w:rFonts w:hint="eastAsia"/>
        </w:rPr>
        <w:alias w:val="利润表及现金流量表相关科目变动分析"/>
        <w:tag w:val="_GBC_94f5ff32e4ce4847911acff5a0adb36c"/>
        <w:id w:val="-384875448"/>
        <w:placeholder>
          <w:docPart w:val="5867D7D0E9E345948836A462CE83F6E6"/>
        </w:placeholder>
      </w:sdtPr>
      <w:sdtEndPr>
        <w:rPr>
          <w:rFonts w:hint="eastAsia"/>
        </w:rPr>
      </w:sdtEndPr>
      <w:sdtContent>
        <w:p w14:paraId="44E177FF">
          <w:pPr>
            <w:spacing w:line="360" w:lineRule="auto"/>
            <w:rPr>
              <w:color w:val="000000" w:themeColor="text1"/>
              <w14:textFill>
                <w14:solidFill>
                  <w14:schemeClr w14:val="tx1"/>
                </w14:solidFill>
              </w14:textFill>
            </w:rPr>
          </w:pPr>
          <w:sdt>
            <w:sdtPr>
              <w:rPr>
                <w:rFonts w:hint="eastAsia"/>
              </w:rPr>
              <w:alias w:val="利润表及现金流量表相关科目变动分析-科目名称"/>
              <w:tag w:val="_GBC_764a55650aaf4240a584071ddd35a587"/>
              <w:id w:val="-1068950356"/>
              <w:lock w:val="sdtLocked"/>
              <w:placeholder>
                <w:docPart w:val="5867D7D0E9E345948836A462CE83F6E6"/>
              </w:placeholder>
            </w:sdtPr>
            <w:sdtEndPr>
              <w:rPr>
                <w:rFonts w:hint="eastAsia"/>
              </w:rPr>
            </w:sdtEndPr>
            <w:sdtContent>
              <w:r>
                <w:rPr>
                  <w:rFonts w:hint="eastAsia"/>
                  <w:color w:val="000000" w:themeColor="text1"/>
                  <w14:textFill>
                    <w14:solidFill>
                      <w14:schemeClr w14:val="tx1"/>
                    </w14:solidFill>
                  </w14:textFill>
                </w:rPr>
                <w:t>营业外支出</w:t>
              </w:r>
            </w:sdtContent>
          </w:sdt>
          <w:r>
            <w:rPr>
              <w:rFonts w:hint="eastAsia"/>
              <w:color w:val="000000" w:themeColor="text1"/>
              <w14:textFill>
                <w14:solidFill>
                  <w14:schemeClr w14:val="tx1"/>
                </w14:solidFill>
              </w14:textFill>
            </w:rPr>
            <w:t>变动原因说明：</w:t>
          </w:r>
          <w:sdt>
            <w:sdtPr>
              <w:rPr>
                <w:rFonts w:hint="eastAsia"/>
              </w:rPr>
              <w:alias w:val="利润表及现金流量表相关科目变动分析-变动原因说明"/>
              <w:tag w:val="_GBC_1f225b75164341838c2f2de40a1ee736"/>
              <w:id w:val="1188868053"/>
              <w:lock w:val="sdtLocked"/>
              <w:placeholder>
                <w:docPart w:val="5867D7D0E9E345948836A462CE83F6E6"/>
              </w:placeholder>
            </w:sdtPr>
            <w:sdtEndPr>
              <w:rPr>
                <w:rFonts w:hint="eastAsia"/>
              </w:rPr>
            </w:sdtEndPr>
            <w:sdtContent>
              <w:r>
                <w:rPr>
                  <w:rFonts w:hint="eastAsia"/>
                  <w:color w:val="000000" w:themeColor="text1"/>
                  <w14:textFill>
                    <w14:solidFill>
                      <w14:schemeClr w14:val="tx1"/>
                    </w14:solidFill>
                  </w14:textFill>
                </w:rPr>
                <w:t>本期较上年同期增加主要系预计未决诉讼损失比上年同期增加。</w:t>
              </w:r>
            </w:sdtContent>
          </w:sdt>
        </w:p>
      </w:sdtContent>
    </w:sdt>
    <w:sdt>
      <w:sdtPr>
        <w:rPr>
          <w:rFonts w:hint="eastAsia" w:ascii="Times New Roman" w:hAnsi="Times New Roman"/>
          <w:color w:val="000000" w:themeColor="text1"/>
          <w:szCs w:val="21"/>
          <w14:textFill>
            <w14:solidFill>
              <w14:schemeClr w14:val="tx1"/>
            </w14:solidFill>
          </w14:textFill>
        </w:rPr>
        <w:alias w:val="利润表及现金流量表相关科目变动分析"/>
        <w:tag w:val="_GBC_94f5ff32e4ce4847911acff5a0adb36c"/>
        <w:id w:val="-1956555041"/>
        <w:placeholder>
          <w:docPart w:val="852632E0D3634FA7B993816714BFA3FC"/>
        </w:placeholder>
      </w:sdtPr>
      <w:sdtEndPr>
        <w:rPr>
          <w:rFonts w:hint="eastAsia" w:ascii="Times New Roman" w:hAnsi="Times New Roman"/>
          <w:color w:val="000000" w:themeColor="text1"/>
          <w:szCs w:val="21"/>
          <w14:textFill>
            <w14:solidFill>
              <w14:schemeClr w14:val="tx1"/>
            </w14:solidFill>
          </w14:textFill>
        </w:rPr>
      </w:sdtEndPr>
      <w:sdtContent>
        <w:p w14:paraId="6715D586">
          <w:pPr>
            <w:pStyle w:val="51"/>
            <w:spacing w:line="360" w:lineRule="auto"/>
            <w:ind w:firstLine="0" w:firstLineChars="0"/>
            <w:jc w:val="left"/>
            <w:rPr>
              <w:rFonts w:ascii="Times New Roman" w:hAnsi="Times New Roman" w:cs="宋体"/>
              <w:color w:val="000000" w:themeColor="text1"/>
              <w:kern w:val="0"/>
              <w:szCs w:val="21"/>
              <w14:textFill>
                <w14:solidFill>
                  <w14:schemeClr w14:val="tx1"/>
                </w14:solidFill>
              </w14:textFill>
            </w:rPr>
          </w:pPr>
          <w:sdt>
            <w:sdtPr>
              <w:rPr>
                <w:rFonts w:hint="eastAsia" w:ascii="Times New Roman" w:hAnsi="Times New Roman"/>
                <w:color w:val="000000" w:themeColor="text1"/>
                <w:szCs w:val="21"/>
                <w14:textFill>
                  <w14:solidFill>
                    <w14:schemeClr w14:val="tx1"/>
                  </w14:solidFill>
                </w14:textFill>
              </w:rPr>
              <w:alias w:val="利润表及现金流量表相关科目变动分析-科目名称"/>
              <w:tag w:val="_GBC_764a55650aaf4240a584071ddd35a587"/>
              <w:id w:val="-980311060"/>
              <w:lock w:val="sdtLocked"/>
              <w:placeholder>
                <w:docPart w:val="852632E0D3634FA7B993816714BFA3FC"/>
              </w:placeholder>
            </w:sdtPr>
            <w:sdtEndPr>
              <w:rPr>
                <w:rFonts w:hint="eastAsia" w:ascii="Times New Roman" w:hAnsi="Times New Roman"/>
                <w:color w:val="000000" w:themeColor="text1"/>
                <w:szCs w:val="21"/>
                <w14:textFill>
                  <w14:solidFill>
                    <w14:schemeClr w14:val="tx1"/>
                  </w14:solidFill>
                </w14:textFill>
              </w:rPr>
            </w:sdtEndPr>
            <w:sdtContent>
              <w:r>
                <w:t>所得税费用</w:t>
              </w:r>
            </w:sdtContent>
          </w:sdt>
          <w:r>
            <w:rPr>
              <w:rFonts w:hint="eastAsia" w:ascii="Times New Roman" w:hAnsi="Times New Roman"/>
              <w:color w:val="000000" w:themeColor="text1"/>
              <w:szCs w:val="21"/>
              <w14:textFill>
                <w14:solidFill>
                  <w14:schemeClr w14:val="tx1"/>
                </w14:solidFill>
              </w14:textFill>
            </w:rPr>
            <w:t>变动原因说明：</w:t>
          </w:r>
          <w:sdt>
            <w:sdtPr>
              <w:rPr>
                <w:rFonts w:hint="eastAsia" w:ascii="Times New Roman" w:hAnsi="Times New Roman"/>
                <w:color w:val="000000" w:themeColor="text1"/>
                <w:szCs w:val="21"/>
                <w14:textFill>
                  <w14:solidFill>
                    <w14:schemeClr w14:val="tx1"/>
                  </w14:solidFill>
                </w14:textFill>
              </w:rPr>
              <w:alias w:val="利润表及现金流量表相关科目变动分析-变动原因说明"/>
              <w:tag w:val="_GBC_1f225b75164341838c2f2de40a1ee736"/>
              <w:id w:val="-374390457"/>
              <w:lock w:val="sdtLocked"/>
              <w:placeholder>
                <w:docPart w:val="852632E0D3634FA7B993816714BFA3FC"/>
              </w:placeholder>
            </w:sdtPr>
            <w:sdtEndPr>
              <w:rPr>
                <w:rFonts w:hint="eastAsia" w:ascii="Times New Roman" w:hAnsi="Times New Roman"/>
                <w:color w:val="000000" w:themeColor="text1"/>
                <w:szCs w:val="21"/>
                <w14:textFill>
                  <w14:solidFill>
                    <w14:schemeClr w14:val="tx1"/>
                  </w14:solidFill>
                </w14:textFill>
              </w:rPr>
            </w:sdtEndPr>
            <w:sdtContent>
              <w:r>
                <w:rPr>
                  <w:rFonts w:hint="eastAsia" w:ascii="Times New Roman" w:hAnsi="Times New Roman"/>
                  <w:color w:val="000000" w:themeColor="text1"/>
                  <w:szCs w:val="21"/>
                  <w14:textFill>
                    <w14:solidFill>
                      <w14:schemeClr w14:val="tx1"/>
                    </w14:solidFill>
                  </w14:textFill>
                </w:rPr>
                <w:t>本期较上年同期增加主要系本期利润增加导致当期所得税费用增加及部分可抵扣暂时性差异转回，递延所得税费用增加。</w:t>
              </w:r>
            </w:sdtContent>
          </w:sdt>
        </w:p>
      </w:sdtContent>
    </w:sdt>
    <w:bookmarkEnd w:id="39"/>
    <w:p w14:paraId="22CFDFCF">
      <w:pPr>
        <w:pStyle w:val="51"/>
        <w:spacing w:line="360" w:lineRule="auto"/>
        <w:ind w:firstLine="0" w:firstLineChars="0"/>
        <w:jc w:val="left"/>
        <w:rPr>
          <w:rFonts w:ascii="宋体" w:hAnsi="宋体"/>
          <w:color w:val="000000" w:themeColor="text1"/>
          <w14:textFill>
            <w14:solidFill>
              <w14:schemeClr w14:val="tx1"/>
            </w14:solidFill>
          </w14:textFill>
        </w:rPr>
      </w:pPr>
      <w:bookmarkStart w:id="40" w:name="_Toc342559755"/>
      <w:bookmarkStart w:id="41" w:name="_Toc342565903"/>
    </w:p>
    <w:p w14:paraId="1A1A630B">
      <w:pPr>
        <w:pStyle w:val="5"/>
        <w:numPr>
          <w:ilvl w:val="0"/>
          <w:numId w:val="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本期公司业务类型、利润构成或利润来源发生重大变动的详细说明</w:t>
      </w:r>
    </w:p>
    <w:sdt>
      <w:sdtPr>
        <w:rPr>
          <w:color w:val="000000" w:themeColor="text1"/>
          <w14:textFill>
            <w14:solidFill>
              <w14:schemeClr w14:val="tx1"/>
            </w14:solidFill>
          </w14:textFill>
        </w:rPr>
        <w:alias w:val="是否适用：公司利润构成或利润来源发生重大变动的详细说明[双击切换]"/>
        <w:tag w:val="_GBC_cf62b49cb7b54052a77aa6c4ec7218c8"/>
        <w:id w:val="93518623"/>
        <w:placeholder>
          <w:docPart w:val="GBC22222222222222222222222222222"/>
        </w:placeholder>
      </w:sdtPr>
      <w:sdtEndPr>
        <w:rPr>
          <w:color w:val="000000" w:themeColor="text1"/>
          <w14:textFill>
            <w14:solidFill>
              <w14:schemeClr w14:val="tx1"/>
            </w14:solidFill>
          </w14:textFill>
        </w:rPr>
      </w:sdtEndPr>
      <w:sdtContent>
        <w:p w14:paraId="63CE3E1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3F1C5F">
      <w:pPr>
        <w:rPr>
          <w:color w:val="000000" w:themeColor="text1"/>
          <w14:textFill>
            <w14:solidFill>
              <w14:schemeClr w14:val="tx1"/>
            </w14:solidFill>
          </w14:textFill>
        </w:rPr>
      </w:pPr>
    </w:p>
    <w:p w14:paraId="28A4600F">
      <w:pPr>
        <w:pStyle w:val="4"/>
        <w:numPr>
          <w:ilvl w:val="0"/>
          <w:numId w:val="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非主营业务导致利润重大变化的说明</w:t>
      </w:r>
    </w:p>
    <w:sdt>
      <w:sdtPr>
        <w:rPr>
          <w:rFonts w:hint="eastAsia"/>
          <w:color w:val="000000" w:themeColor="text1"/>
          <w14:textFill>
            <w14:solidFill>
              <w14:schemeClr w14:val="tx1"/>
            </w14:solidFill>
          </w14:textFill>
        </w:rPr>
        <w:alias w:val="是否适用：非主营业务来源分析[双击切换]"/>
        <w:tag w:val="_GBC_45f0580c6f114551af0270412b25ccd0"/>
        <w:id w:val="1105619935"/>
        <w:placeholder>
          <w:docPart w:val="GBC22222222222222222222222222222"/>
        </w:placeholder>
      </w:sdtPr>
      <w:sdtEndPr>
        <w:rPr>
          <w:rFonts w:hint="eastAsia"/>
          <w:color w:val="000000" w:themeColor="text1"/>
          <w14:textFill>
            <w14:solidFill>
              <w14:schemeClr w14:val="tx1"/>
            </w14:solidFill>
          </w14:textFill>
        </w:rPr>
      </w:sdtEndPr>
      <w:sdtContent>
        <w:p w14:paraId="677F7C8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5161C88">
      <w:pPr>
        <w:rPr>
          <w:color w:val="000000" w:themeColor="text1"/>
          <w14:textFill>
            <w14:solidFill>
              <w14:schemeClr w14:val="tx1"/>
            </w14:solidFill>
          </w14:textFill>
        </w:rPr>
      </w:pPr>
    </w:p>
    <w:p w14:paraId="605BF095">
      <w:pPr>
        <w:pStyle w:val="4"/>
        <w:numPr>
          <w:ilvl w:val="0"/>
          <w:numId w:val="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资产、负债情况分析</w:t>
      </w:r>
    </w:p>
    <w:p w14:paraId="362F2F99">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资产、负债情况分析[双击切换]"/>
          <w:tag w:val="_GBC_7e768f46f428417e8696bff3cfaf9902"/>
          <w:id w:val="-1865202481"/>
          <w:lock w:val="contentLocked"/>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6D88BB8A">
      <w:pPr>
        <w:pStyle w:val="5"/>
        <w:numPr>
          <w:ilvl w:val="0"/>
          <w:numId w:val="10"/>
        </w:numPr>
        <w:rPr>
          <w:rFonts w:ascii="宋体" w:hAnsi="宋体"/>
          <w:b w:val="0"/>
          <w:color w:val="000000" w:themeColor="text1"/>
          <w14:textFill>
            <w14:solidFill>
              <w14:schemeClr w14:val="tx1"/>
            </w14:solidFill>
          </w14:textFill>
        </w:rPr>
      </w:pPr>
      <w:bookmarkStart w:id="42" w:name="_Hlk74730011"/>
      <w:r>
        <w:rPr>
          <w:rFonts w:ascii="宋体" w:hAnsi="宋体"/>
          <w:color w:val="000000" w:themeColor="text1"/>
          <w14:textFill>
            <w14:solidFill>
              <w14:schemeClr w14:val="tx1"/>
            </w14:solidFill>
          </w14:textFill>
        </w:rPr>
        <w:t>资产</w:t>
      </w:r>
      <w:r>
        <w:rPr>
          <w:rFonts w:hint="eastAsia" w:ascii="宋体" w:hAnsi="宋体"/>
          <w:color w:val="000000" w:themeColor="text1"/>
          <w14:textFill>
            <w14:solidFill>
              <w14:schemeClr w14:val="tx1"/>
            </w14:solidFill>
          </w14:textFill>
        </w:rPr>
        <w:t>及</w:t>
      </w:r>
      <w:r>
        <w:rPr>
          <w:rFonts w:ascii="宋体" w:hAnsi="宋体"/>
          <w:color w:val="000000" w:themeColor="text1"/>
          <w14:textFill>
            <w14:solidFill>
              <w14:schemeClr w14:val="tx1"/>
            </w14:solidFill>
          </w14:textFill>
        </w:rPr>
        <w:t>负债</w:t>
      </w:r>
      <w:r>
        <w:rPr>
          <w:rFonts w:hint="eastAsia" w:ascii="宋体" w:hAnsi="宋体"/>
          <w:color w:val="000000" w:themeColor="text1"/>
          <w:szCs w:val="21"/>
          <w14:textFill>
            <w14:solidFill>
              <w14:schemeClr w14:val="tx1"/>
            </w14:solidFill>
          </w14:textFill>
        </w:rPr>
        <w:t>状</w:t>
      </w:r>
      <w:r>
        <w:rPr>
          <w:rFonts w:ascii="宋体" w:hAnsi="宋体"/>
          <w:color w:val="000000" w:themeColor="text1"/>
          <w:szCs w:val="21"/>
          <w14:textFill>
            <w14:solidFill>
              <w14:schemeClr w14:val="tx1"/>
            </w14:solidFill>
          </w14:textFill>
        </w:rPr>
        <w:t>况</w:t>
      </w:r>
    </w:p>
    <w:p w14:paraId="17640D2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资产负债状况分析"/>
          <w:tag w:val="_GBC_21de4e2184d94baf8e19137a1d0d5b74"/>
          <w:id w:val="1868019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p>
    <w:tbl>
      <w:tblPr>
        <w:tblStyle w:val="38"/>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2035"/>
        <w:gridCol w:w="727"/>
        <w:gridCol w:w="1888"/>
        <w:gridCol w:w="731"/>
        <w:gridCol w:w="1306"/>
        <w:gridCol w:w="872"/>
      </w:tblGrid>
      <w:tr w14:paraId="30FD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tag w:val="_PLD_d0f356a255cd4ad2a1d809f43b17afe4"/>
            <w:id w:val="-1628242579"/>
          </w:sdtPr>
          <w:sdtContent>
            <w:tc>
              <w:tcPr>
                <w:tcW w:w="936" w:type="pct"/>
                <w:vAlign w:val="center"/>
              </w:tcPr>
              <w:p w14:paraId="0487996A">
                <w:pPr>
                  <w:widowControl w:val="0"/>
                  <w:jc w:val="center"/>
                  <w:rPr>
                    <w:rStyle w:val="49"/>
                    <w:rFonts w:asciiTheme="minorEastAsia" w:hAnsiTheme="minorEastAsia" w:eastAsiaTheme="minorEastAsia"/>
                    <w:b w:val="0"/>
                    <w:bCs w:val="0"/>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项目名称</w:t>
                </w:r>
              </w:p>
            </w:tc>
          </w:sdtContent>
        </w:sdt>
        <w:sdt>
          <w:sdtPr>
            <w:tag w:val="_PLD_908740cf286747d79d5abbe407fef2b5"/>
            <w:id w:val="-1323418854"/>
          </w:sdtPr>
          <w:sdtContent>
            <w:tc>
              <w:tcPr>
                <w:tcW w:w="1094" w:type="pct"/>
                <w:vAlign w:val="center"/>
              </w:tcPr>
              <w:p w14:paraId="1B97B8EE">
                <w:pPr>
                  <w:widowControl w:val="0"/>
                  <w:jc w:val="center"/>
                  <w:rPr>
                    <w:rStyle w:val="49"/>
                    <w:rFonts w:asciiTheme="minorEastAsia" w:hAnsiTheme="minorEastAsia" w:eastAsiaTheme="minorEastAsia"/>
                    <w:b w:val="0"/>
                    <w:bCs w:val="0"/>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本期期末数</w:t>
                </w:r>
              </w:p>
            </w:tc>
          </w:sdtContent>
        </w:sdt>
        <w:sdt>
          <w:sdtPr>
            <w:tag w:val="_PLD_329bbbc9fa484c0990e705c4343b8bd2"/>
            <w:id w:val="-1366746496"/>
          </w:sdtPr>
          <w:sdtContent>
            <w:tc>
              <w:tcPr>
                <w:tcW w:w="391" w:type="pct"/>
                <w:vAlign w:val="center"/>
              </w:tcPr>
              <w:p w14:paraId="705F398D">
                <w:pPr>
                  <w:widowControl w:val="0"/>
                  <w:jc w:val="center"/>
                  <w:rPr>
                    <w:rStyle w:val="49"/>
                    <w:rFonts w:asciiTheme="minorEastAsia" w:hAnsiTheme="minorEastAsia" w:eastAsiaTheme="minorEastAsia"/>
                    <w:b w:val="0"/>
                    <w:bCs w:val="0"/>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本期期末数占总资产的比例（%）</w:t>
                </w:r>
              </w:p>
            </w:tc>
          </w:sdtContent>
        </w:sdt>
        <w:sdt>
          <w:sdtPr>
            <w:tag w:val="_PLD_56ec8d815a204f39816e77d18cf2ac7e"/>
            <w:id w:val="-602574243"/>
          </w:sdtPr>
          <w:sdtContent>
            <w:tc>
              <w:tcPr>
                <w:tcW w:w="1015" w:type="pct"/>
                <w:vAlign w:val="center"/>
              </w:tcPr>
              <w:p w14:paraId="2F1AE246">
                <w:pPr>
                  <w:widowControl w:val="0"/>
                  <w:jc w:val="center"/>
                  <w:rPr>
                    <w:rStyle w:val="49"/>
                    <w:rFonts w:asciiTheme="minorEastAsia" w:hAnsiTheme="minorEastAsia" w:eastAsiaTheme="minorEastAsia"/>
                    <w:b w:val="0"/>
                    <w:bCs w:val="0"/>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上</w:t>
                </w:r>
                <w:r>
                  <w:rPr>
                    <w:rFonts w:hint="eastAsia" w:asciiTheme="minorEastAsia" w:hAnsiTheme="minorEastAsia" w:eastAsiaTheme="minorEastAsia"/>
                    <w:color w:val="000000" w:themeColor="text1"/>
                    <w14:textFill>
                      <w14:solidFill>
                        <w14:schemeClr w14:val="tx1"/>
                      </w14:solidFill>
                    </w14:textFill>
                  </w:rPr>
                  <w:t>年</w:t>
                </w:r>
                <w:r>
                  <w:rPr>
                    <w:rFonts w:asciiTheme="minorEastAsia" w:hAnsiTheme="minorEastAsia" w:eastAsiaTheme="minorEastAsia"/>
                    <w:color w:val="000000" w:themeColor="text1"/>
                    <w14:textFill>
                      <w14:solidFill>
                        <w14:schemeClr w14:val="tx1"/>
                      </w14:solidFill>
                    </w14:textFill>
                  </w:rPr>
                  <w:t>期末数</w:t>
                </w:r>
              </w:p>
            </w:tc>
          </w:sdtContent>
        </w:sdt>
        <w:sdt>
          <w:sdtPr>
            <w:tag w:val="_PLD_4bc2806364aa476db7b5ac96d585ad18"/>
            <w:id w:val="-1568032407"/>
          </w:sdtPr>
          <w:sdtContent>
            <w:tc>
              <w:tcPr>
                <w:tcW w:w="393" w:type="pct"/>
                <w:vAlign w:val="center"/>
              </w:tcPr>
              <w:p w14:paraId="5FD3521A">
                <w:pPr>
                  <w:widowControl w:val="0"/>
                  <w:jc w:val="center"/>
                  <w:rPr>
                    <w:rStyle w:val="49"/>
                    <w:rFonts w:asciiTheme="minorEastAsia" w:hAnsiTheme="minorEastAsia" w:eastAsiaTheme="minorEastAsia"/>
                    <w:b w:val="0"/>
                    <w:bCs w:val="0"/>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上</w:t>
                </w:r>
                <w:r>
                  <w:rPr>
                    <w:rFonts w:hint="eastAsia" w:asciiTheme="minorEastAsia" w:hAnsiTheme="minorEastAsia" w:eastAsiaTheme="minorEastAsia"/>
                    <w:color w:val="000000" w:themeColor="text1"/>
                    <w14:textFill>
                      <w14:solidFill>
                        <w14:schemeClr w14:val="tx1"/>
                      </w14:solidFill>
                    </w14:textFill>
                  </w:rPr>
                  <w:t>年</w:t>
                </w:r>
                <w:r>
                  <w:rPr>
                    <w:rFonts w:asciiTheme="minorEastAsia" w:hAnsiTheme="minorEastAsia" w:eastAsiaTheme="minorEastAsia"/>
                    <w:color w:val="000000" w:themeColor="text1"/>
                    <w14:textFill>
                      <w14:solidFill>
                        <w14:schemeClr w14:val="tx1"/>
                      </w14:solidFill>
                    </w14:textFill>
                  </w:rPr>
                  <w:t>期末数占总资产的比例（%）</w:t>
                </w:r>
              </w:p>
            </w:tc>
          </w:sdtContent>
        </w:sdt>
        <w:sdt>
          <w:sdtPr>
            <w:tag w:val="_PLD_4cfcbfaae8d94f2d87cb33b122df7a82"/>
            <w:id w:val="1183014788"/>
          </w:sdtPr>
          <w:sdtContent>
            <w:tc>
              <w:tcPr>
                <w:tcW w:w="702" w:type="pct"/>
                <w:vAlign w:val="center"/>
              </w:tcPr>
              <w:p w14:paraId="3DF22C24">
                <w:pPr>
                  <w:widowControl w:val="0"/>
                  <w:jc w:val="center"/>
                  <w:rPr>
                    <w:rStyle w:val="49"/>
                    <w:rFonts w:asciiTheme="minorEastAsia" w:hAnsiTheme="minorEastAsia" w:eastAsiaTheme="minorEastAsia"/>
                    <w:b w:val="0"/>
                    <w:bCs w:val="0"/>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本期期末金额较上</w:t>
                </w:r>
                <w:r>
                  <w:rPr>
                    <w:rFonts w:hint="eastAsia" w:asciiTheme="minorEastAsia" w:hAnsiTheme="minorEastAsia" w:eastAsiaTheme="minorEastAsia"/>
                    <w:color w:val="000000" w:themeColor="text1"/>
                    <w14:textFill>
                      <w14:solidFill>
                        <w14:schemeClr w14:val="tx1"/>
                      </w14:solidFill>
                    </w14:textFill>
                  </w:rPr>
                  <w:t>年</w:t>
                </w:r>
                <w:r>
                  <w:rPr>
                    <w:rFonts w:asciiTheme="minorEastAsia" w:hAnsiTheme="minorEastAsia" w:eastAsiaTheme="minorEastAsia"/>
                    <w:color w:val="000000" w:themeColor="text1"/>
                    <w14:textFill>
                      <w14:solidFill>
                        <w14:schemeClr w14:val="tx1"/>
                      </w14:solidFill>
                    </w14:textFill>
                  </w:rPr>
                  <w:t>期末变动比例（%）</w:t>
                </w:r>
              </w:p>
            </w:tc>
          </w:sdtContent>
        </w:sdt>
        <w:sdt>
          <w:sdtPr>
            <w:tag w:val="_PLD_2acc4b359fa846d5bfb9939daf2ce46b"/>
            <w:id w:val="-1681036220"/>
          </w:sdtPr>
          <w:sdtContent>
            <w:tc>
              <w:tcPr>
                <w:tcW w:w="469" w:type="pct"/>
                <w:vAlign w:val="center"/>
              </w:tcPr>
              <w:p w14:paraId="4E2CD7B2">
                <w:pPr>
                  <w:widowControl w:val="0"/>
                  <w:jc w:val="center"/>
                  <w:rPr>
                    <w:rStyle w:val="49"/>
                    <w:rFonts w:asciiTheme="minorEastAsia" w:hAnsiTheme="minorEastAsia" w:eastAsiaTheme="minorEastAsia"/>
                    <w:b w:val="0"/>
                    <w:bCs w:val="0"/>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情况说明</w:t>
                </w:r>
              </w:p>
            </w:tc>
          </w:sdtContent>
        </w:sdt>
      </w:tr>
      <w:tr w14:paraId="02CC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tcPr>
          <w:p w14:paraId="48D2FCC0">
            <w:pPr>
              <w:widowControl w:val="0"/>
              <w:jc w:val="both"/>
              <w:rPr>
                <w:rStyle w:val="49"/>
                <w:rFonts w:ascii="宋体" w:hAnsi="宋体"/>
                <w:b w:val="0"/>
                <w:szCs w:val="21"/>
              </w:rPr>
            </w:pPr>
            <w:r>
              <w:rPr>
                <w:rFonts w:ascii="宋体" w:hAnsi="宋体"/>
              </w:rPr>
              <w:t>应收款项融资</w:t>
            </w:r>
          </w:p>
        </w:tc>
        <w:tc>
          <w:tcPr>
            <w:tcW w:w="1094" w:type="pct"/>
            <w:vAlign w:val="center"/>
          </w:tcPr>
          <w:p w14:paraId="57DE9150">
            <w:pPr>
              <w:widowControl w:val="0"/>
              <w:jc w:val="right"/>
              <w:rPr>
                <w:rFonts w:asciiTheme="minorEastAsia" w:hAnsiTheme="minorEastAsia" w:eastAsiaTheme="minorEastAsia"/>
              </w:rPr>
            </w:pPr>
            <w:r>
              <w:rPr>
                <w:rFonts w:asciiTheme="minorEastAsia" w:hAnsiTheme="minorEastAsia" w:eastAsiaTheme="minorEastAsia"/>
              </w:rPr>
              <w:t>248,761,333.31</w:t>
            </w:r>
          </w:p>
        </w:tc>
        <w:tc>
          <w:tcPr>
            <w:tcW w:w="391" w:type="pct"/>
            <w:vAlign w:val="center"/>
          </w:tcPr>
          <w:p w14:paraId="29C47F2B">
            <w:pPr>
              <w:widowControl w:val="0"/>
              <w:jc w:val="right"/>
              <w:rPr>
                <w:rFonts w:asciiTheme="minorEastAsia" w:hAnsiTheme="minorEastAsia" w:eastAsiaTheme="minorEastAsia"/>
              </w:rPr>
            </w:pPr>
            <w:r>
              <w:rPr>
                <w:rFonts w:asciiTheme="minorEastAsia" w:hAnsiTheme="minorEastAsia" w:eastAsiaTheme="minorEastAsia"/>
              </w:rPr>
              <w:t>1.11</w:t>
            </w:r>
          </w:p>
        </w:tc>
        <w:tc>
          <w:tcPr>
            <w:tcW w:w="1015" w:type="pct"/>
            <w:vAlign w:val="center"/>
          </w:tcPr>
          <w:p w14:paraId="77B149AB">
            <w:pPr>
              <w:widowControl w:val="0"/>
              <w:jc w:val="right"/>
              <w:rPr>
                <w:rFonts w:asciiTheme="minorEastAsia" w:hAnsiTheme="minorEastAsia" w:eastAsiaTheme="minorEastAsia"/>
              </w:rPr>
            </w:pPr>
            <w:r>
              <w:rPr>
                <w:rFonts w:asciiTheme="minorEastAsia" w:hAnsiTheme="minorEastAsia" w:eastAsiaTheme="minorEastAsia"/>
              </w:rPr>
              <w:t>24,235,235.08</w:t>
            </w:r>
          </w:p>
        </w:tc>
        <w:tc>
          <w:tcPr>
            <w:tcW w:w="393" w:type="pct"/>
            <w:vAlign w:val="center"/>
          </w:tcPr>
          <w:p w14:paraId="025973F2">
            <w:pPr>
              <w:widowControl w:val="0"/>
              <w:jc w:val="right"/>
              <w:rPr>
                <w:rFonts w:asciiTheme="minorEastAsia" w:hAnsiTheme="minorEastAsia" w:eastAsiaTheme="minorEastAsia"/>
              </w:rPr>
            </w:pPr>
            <w:r>
              <w:rPr>
                <w:rFonts w:asciiTheme="minorEastAsia" w:hAnsiTheme="minorEastAsia" w:eastAsiaTheme="minorEastAsia"/>
              </w:rPr>
              <w:t>0.11</w:t>
            </w:r>
          </w:p>
        </w:tc>
        <w:tc>
          <w:tcPr>
            <w:tcW w:w="702" w:type="pct"/>
            <w:vAlign w:val="center"/>
          </w:tcPr>
          <w:p w14:paraId="5B19D8BF">
            <w:pPr>
              <w:widowControl w:val="0"/>
              <w:jc w:val="right"/>
              <w:rPr>
                <w:rFonts w:asciiTheme="minorEastAsia" w:hAnsiTheme="minorEastAsia" w:eastAsiaTheme="minorEastAsia"/>
              </w:rPr>
            </w:pPr>
            <w:r>
              <w:rPr>
                <w:rFonts w:asciiTheme="minorEastAsia" w:hAnsiTheme="minorEastAsia" w:eastAsiaTheme="minorEastAsia"/>
              </w:rPr>
              <w:t>926.44</w:t>
            </w:r>
          </w:p>
        </w:tc>
        <w:tc>
          <w:tcPr>
            <w:tcW w:w="469" w:type="pct"/>
            <w:vAlign w:val="center"/>
          </w:tcPr>
          <w:p w14:paraId="673D2104">
            <w:pPr>
              <w:widowControl w:val="0"/>
              <w:jc w:val="center"/>
              <w:rPr>
                <w:rFonts w:asciiTheme="minorEastAsia" w:hAnsiTheme="minorEastAsia" w:eastAsiaTheme="minorEastAsia"/>
              </w:rPr>
            </w:pPr>
            <w:r>
              <w:rPr>
                <w:rFonts w:asciiTheme="minorEastAsia" w:hAnsiTheme="minorEastAsia" w:eastAsiaTheme="minorEastAsia"/>
              </w:rPr>
              <w:t>(1)</w:t>
            </w:r>
          </w:p>
        </w:tc>
      </w:tr>
      <w:tr w14:paraId="0285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tcPr>
          <w:p w14:paraId="3D175935">
            <w:pPr>
              <w:widowControl w:val="0"/>
              <w:jc w:val="both"/>
              <w:rPr>
                <w:rStyle w:val="49"/>
                <w:rFonts w:ascii="宋体" w:hAnsi="宋体"/>
                <w:b w:val="0"/>
                <w:szCs w:val="21"/>
              </w:rPr>
            </w:pPr>
            <w:r>
              <w:rPr>
                <w:rFonts w:ascii="宋体" w:hAnsi="宋体"/>
              </w:rPr>
              <w:t>其他应收款</w:t>
            </w:r>
          </w:p>
        </w:tc>
        <w:tc>
          <w:tcPr>
            <w:tcW w:w="1094" w:type="pct"/>
            <w:vAlign w:val="center"/>
          </w:tcPr>
          <w:p w14:paraId="1FF18535">
            <w:pPr>
              <w:widowControl w:val="0"/>
              <w:jc w:val="right"/>
              <w:rPr>
                <w:rFonts w:asciiTheme="minorEastAsia" w:hAnsiTheme="minorEastAsia" w:eastAsiaTheme="minorEastAsia"/>
              </w:rPr>
            </w:pPr>
            <w:r>
              <w:rPr>
                <w:rFonts w:asciiTheme="minorEastAsia" w:hAnsiTheme="minorEastAsia" w:eastAsiaTheme="minorEastAsia"/>
              </w:rPr>
              <w:t>184,651,601.17</w:t>
            </w:r>
          </w:p>
        </w:tc>
        <w:tc>
          <w:tcPr>
            <w:tcW w:w="391" w:type="pct"/>
            <w:vAlign w:val="center"/>
          </w:tcPr>
          <w:p w14:paraId="2282C7D5">
            <w:pPr>
              <w:widowControl w:val="0"/>
              <w:jc w:val="right"/>
              <w:rPr>
                <w:rFonts w:asciiTheme="minorEastAsia" w:hAnsiTheme="minorEastAsia" w:eastAsiaTheme="minorEastAsia"/>
              </w:rPr>
            </w:pPr>
            <w:r>
              <w:rPr>
                <w:rFonts w:asciiTheme="minorEastAsia" w:hAnsiTheme="minorEastAsia" w:eastAsiaTheme="minorEastAsia"/>
              </w:rPr>
              <w:t>0.82</w:t>
            </w:r>
          </w:p>
        </w:tc>
        <w:tc>
          <w:tcPr>
            <w:tcW w:w="1015" w:type="pct"/>
            <w:vAlign w:val="center"/>
          </w:tcPr>
          <w:p w14:paraId="22E00412">
            <w:pPr>
              <w:widowControl w:val="0"/>
              <w:jc w:val="right"/>
              <w:rPr>
                <w:rFonts w:asciiTheme="minorEastAsia" w:hAnsiTheme="minorEastAsia" w:eastAsiaTheme="minorEastAsia"/>
              </w:rPr>
            </w:pPr>
            <w:r>
              <w:rPr>
                <w:rFonts w:asciiTheme="minorEastAsia" w:hAnsiTheme="minorEastAsia" w:eastAsiaTheme="minorEastAsia"/>
              </w:rPr>
              <w:t>297,068,762.66</w:t>
            </w:r>
          </w:p>
        </w:tc>
        <w:tc>
          <w:tcPr>
            <w:tcW w:w="393" w:type="pct"/>
            <w:vAlign w:val="center"/>
          </w:tcPr>
          <w:p w14:paraId="269A25B9">
            <w:pPr>
              <w:widowControl w:val="0"/>
              <w:jc w:val="right"/>
              <w:rPr>
                <w:rFonts w:asciiTheme="minorEastAsia" w:hAnsiTheme="minorEastAsia" w:eastAsiaTheme="minorEastAsia"/>
              </w:rPr>
            </w:pPr>
            <w:r>
              <w:rPr>
                <w:rFonts w:asciiTheme="minorEastAsia" w:hAnsiTheme="minorEastAsia" w:eastAsiaTheme="minorEastAsia"/>
              </w:rPr>
              <w:t>1.37</w:t>
            </w:r>
          </w:p>
        </w:tc>
        <w:tc>
          <w:tcPr>
            <w:tcW w:w="702" w:type="pct"/>
            <w:vAlign w:val="center"/>
          </w:tcPr>
          <w:p w14:paraId="53DDD0AE">
            <w:pPr>
              <w:widowControl w:val="0"/>
              <w:jc w:val="right"/>
              <w:rPr>
                <w:rFonts w:asciiTheme="minorEastAsia" w:hAnsiTheme="minorEastAsia" w:eastAsiaTheme="minorEastAsia"/>
              </w:rPr>
            </w:pPr>
            <w:r>
              <w:rPr>
                <w:rFonts w:asciiTheme="minorEastAsia" w:hAnsiTheme="minorEastAsia" w:eastAsiaTheme="minorEastAsia"/>
              </w:rPr>
              <w:t>-37.84</w:t>
            </w:r>
          </w:p>
        </w:tc>
        <w:tc>
          <w:tcPr>
            <w:tcW w:w="469" w:type="pct"/>
            <w:vAlign w:val="center"/>
          </w:tcPr>
          <w:p w14:paraId="2829CB22">
            <w:pPr>
              <w:widowControl w:val="0"/>
              <w:jc w:val="center"/>
              <w:rPr>
                <w:rFonts w:asciiTheme="minorEastAsia" w:hAnsiTheme="minorEastAsia" w:eastAsiaTheme="minorEastAsia"/>
              </w:rPr>
            </w:pPr>
            <w:r>
              <w:rPr>
                <w:rFonts w:asciiTheme="minorEastAsia" w:hAnsiTheme="minorEastAsia" w:eastAsiaTheme="minorEastAsia"/>
              </w:rPr>
              <w:t>(2)</w:t>
            </w:r>
          </w:p>
        </w:tc>
      </w:tr>
      <w:tr w14:paraId="0DA8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vAlign w:val="center"/>
          </w:tcPr>
          <w:p w14:paraId="71DE2ADD">
            <w:pPr>
              <w:widowControl w:val="0"/>
              <w:jc w:val="both"/>
              <w:rPr>
                <w:rStyle w:val="49"/>
                <w:rFonts w:ascii="宋体" w:hAnsi="宋体"/>
                <w:b w:val="0"/>
                <w:color w:val="000000" w:themeColor="text1"/>
                <w:szCs w:val="21"/>
                <w14:textFill>
                  <w14:solidFill>
                    <w14:schemeClr w14:val="tx1"/>
                  </w14:solidFill>
                </w14:textFill>
              </w:rPr>
            </w:pPr>
            <w:r>
              <w:rPr>
                <w:rFonts w:hint="eastAsia"/>
                <w:color w:val="000000"/>
              </w:rPr>
              <w:t>其他流动资产</w:t>
            </w:r>
          </w:p>
        </w:tc>
        <w:tc>
          <w:tcPr>
            <w:tcW w:w="1094" w:type="pct"/>
            <w:vAlign w:val="center"/>
          </w:tcPr>
          <w:p w14:paraId="731F6641">
            <w:pPr>
              <w:widowControl w:val="0"/>
              <w:jc w:val="right"/>
              <w:rPr>
                <w:rFonts w:asciiTheme="minorEastAsia" w:hAnsiTheme="minorEastAsia" w:eastAsiaTheme="minorEastAsia"/>
              </w:rPr>
            </w:pPr>
            <w:r>
              <w:rPr>
                <w:rFonts w:asciiTheme="minorEastAsia" w:hAnsiTheme="minorEastAsia" w:eastAsiaTheme="minorEastAsia"/>
              </w:rPr>
              <w:t>466,969,207.95</w:t>
            </w:r>
          </w:p>
        </w:tc>
        <w:tc>
          <w:tcPr>
            <w:tcW w:w="391" w:type="pct"/>
            <w:vAlign w:val="center"/>
          </w:tcPr>
          <w:p w14:paraId="16A2C320">
            <w:pPr>
              <w:widowControl w:val="0"/>
              <w:jc w:val="right"/>
              <w:rPr>
                <w:rFonts w:asciiTheme="minorEastAsia" w:hAnsiTheme="minorEastAsia" w:eastAsiaTheme="minorEastAsia"/>
              </w:rPr>
            </w:pPr>
            <w:r>
              <w:rPr>
                <w:rFonts w:asciiTheme="minorEastAsia" w:hAnsiTheme="minorEastAsia" w:eastAsiaTheme="minorEastAsia"/>
              </w:rPr>
              <w:t>2.09</w:t>
            </w:r>
          </w:p>
        </w:tc>
        <w:tc>
          <w:tcPr>
            <w:tcW w:w="1015" w:type="pct"/>
            <w:vAlign w:val="center"/>
          </w:tcPr>
          <w:p w14:paraId="7D2471AC">
            <w:pPr>
              <w:widowControl w:val="0"/>
              <w:jc w:val="right"/>
              <w:rPr>
                <w:rFonts w:asciiTheme="minorEastAsia" w:hAnsiTheme="minorEastAsia" w:eastAsiaTheme="minorEastAsia"/>
              </w:rPr>
            </w:pPr>
            <w:r>
              <w:rPr>
                <w:rFonts w:asciiTheme="minorEastAsia" w:hAnsiTheme="minorEastAsia" w:eastAsiaTheme="minorEastAsia"/>
              </w:rPr>
              <w:t>312,221,517.80</w:t>
            </w:r>
          </w:p>
        </w:tc>
        <w:tc>
          <w:tcPr>
            <w:tcW w:w="393" w:type="pct"/>
            <w:vAlign w:val="center"/>
          </w:tcPr>
          <w:p w14:paraId="7A29C586">
            <w:pPr>
              <w:widowControl w:val="0"/>
              <w:jc w:val="right"/>
              <w:rPr>
                <w:rFonts w:asciiTheme="minorEastAsia" w:hAnsiTheme="minorEastAsia" w:eastAsiaTheme="minorEastAsia"/>
              </w:rPr>
            </w:pPr>
            <w:r>
              <w:rPr>
                <w:rFonts w:asciiTheme="minorEastAsia" w:hAnsiTheme="minorEastAsia" w:eastAsiaTheme="minorEastAsia"/>
              </w:rPr>
              <w:t>1.44</w:t>
            </w:r>
          </w:p>
        </w:tc>
        <w:tc>
          <w:tcPr>
            <w:tcW w:w="702" w:type="pct"/>
            <w:vAlign w:val="center"/>
          </w:tcPr>
          <w:p w14:paraId="2F8B9134">
            <w:pPr>
              <w:widowControl w:val="0"/>
              <w:jc w:val="right"/>
              <w:rPr>
                <w:rFonts w:asciiTheme="minorEastAsia" w:hAnsiTheme="minorEastAsia" w:eastAsiaTheme="minorEastAsia"/>
              </w:rPr>
            </w:pPr>
            <w:r>
              <w:rPr>
                <w:rFonts w:asciiTheme="minorEastAsia" w:hAnsiTheme="minorEastAsia" w:eastAsiaTheme="minorEastAsia"/>
              </w:rPr>
              <w:t>49.56</w:t>
            </w:r>
          </w:p>
        </w:tc>
        <w:tc>
          <w:tcPr>
            <w:tcW w:w="469" w:type="pct"/>
            <w:vAlign w:val="center"/>
          </w:tcPr>
          <w:p w14:paraId="184E448C">
            <w:pPr>
              <w:widowControl w:val="0"/>
              <w:jc w:val="center"/>
              <w:rPr>
                <w:rFonts w:asciiTheme="minorEastAsia" w:hAnsiTheme="minorEastAsia" w:eastAsiaTheme="minorEastAsia"/>
              </w:rPr>
            </w:pPr>
            <w:r>
              <w:rPr>
                <w:rFonts w:hint="eastAsia" w:asciiTheme="minorEastAsia" w:hAnsiTheme="minorEastAsia" w:eastAsiaTheme="minorEastAsia"/>
              </w:rPr>
              <w:t>（3）</w:t>
            </w:r>
          </w:p>
        </w:tc>
      </w:tr>
      <w:tr w14:paraId="5B89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tcPr>
          <w:p w14:paraId="2E238C9B">
            <w:pPr>
              <w:widowControl w:val="0"/>
              <w:jc w:val="both"/>
              <w:rPr>
                <w:rStyle w:val="49"/>
                <w:rFonts w:ascii="宋体" w:hAnsi="宋体"/>
                <w:b w:val="0"/>
                <w:bCs w:val="0"/>
                <w:color w:val="000000" w:themeColor="text1"/>
                <w:szCs w:val="21"/>
                <w14:textFill>
                  <w14:solidFill>
                    <w14:schemeClr w14:val="tx1"/>
                  </w14:solidFill>
                </w14:textFill>
              </w:rPr>
            </w:pPr>
            <w:r>
              <w:rPr>
                <w:rStyle w:val="49"/>
                <w:rFonts w:hint="eastAsia" w:ascii="宋体" w:hAnsi="宋体"/>
                <w:b w:val="0"/>
                <w:color w:val="000000" w:themeColor="text1"/>
                <w:szCs w:val="21"/>
                <w14:textFill>
                  <w14:solidFill>
                    <w14:schemeClr w14:val="tx1"/>
                  </w14:solidFill>
                </w14:textFill>
              </w:rPr>
              <w:t>在建工程</w:t>
            </w:r>
          </w:p>
        </w:tc>
        <w:tc>
          <w:tcPr>
            <w:tcW w:w="1094" w:type="pct"/>
            <w:vAlign w:val="center"/>
          </w:tcPr>
          <w:p w14:paraId="23EE0A46">
            <w:pPr>
              <w:widowControl w:val="0"/>
              <w:jc w:val="right"/>
              <w:rPr>
                <w:rFonts w:asciiTheme="minorEastAsia" w:hAnsiTheme="minorEastAsia" w:eastAsiaTheme="minorEastAsia"/>
              </w:rPr>
            </w:pPr>
            <w:r>
              <w:rPr>
                <w:rFonts w:asciiTheme="minorEastAsia" w:hAnsiTheme="minorEastAsia" w:eastAsiaTheme="minorEastAsia"/>
              </w:rPr>
              <w:t>68,330,725.93</w:t>
            </w:r>
          </w:p>
        </w:tc>
        <w:tc>
          <w:tcPr>
            <w:tcW w:w="391" w:type="pct"/>
            <w:vAlign w:val="center"/>
          </w:tcPr>
          <w:p w14:paraId="71D0F037">
            <w:pPr>
              <w:widowControl w:val="0"/>
              <w:jc w:val="right"/>
              <w:rPr>
                <w:rFonts w:asciiTheme="minorEastAsia" w:hAnsiTheme="minorEastAsia" w:eastAsiaTheme="minorEastAsia"/>
              </w:rPr>
            </w:pPr>
            <w:r>
              <w:rPr>
                <w:rFonts w:asciiTheme="minorEastAsia" w:hAnsiTheme="minorEastAsia" w:eastAsiaTheme="minorEastAsia"/>
              </w:rPr>
              <w:t>0.31</w:t>
            </w:r>
          </w:p>
        </w:tc>
        <w:tc>
          <w:tcPr>
            <w:tcW w:w="1015" w:type="pct"/>
            <w:vAlign w:val="center"/>
          </w:tcPr>
          <w:p w14:paraId="0D16A77C">
            <w:pPr>
              <w:widowControl w:val="0"/>
              <w:jc w:val="right"/>
              <w:rPr>
                <w:rFonts w:asciiTheme="minorEastAsia" w:hAnsiTheme="minorEastAsia" w:eastAsiaTheme="minorEastAsia"/>
              </w:rPr>
            </w:pPr>
            <w:r>
              <w:rPr>
                <w:rFonts w:asciiTheme="minorEastAsia" w:hAnsiTheme="minorEastAsia" w:eastAsiaTheme="minorEastAsia"/>
              </w:rPr>
              <w:t>32,939,674.43</w:t>
            </w:r>
          </w:p>
        </w:tc>
        <w:tc>
          <w:tcPr>
            <w:tcW w:w="393" w:type="pct"/>
            <w:vAlign w:val="center"/>
          </w:tcPr>
          <w:p w14:paraId="72D610C4">
            <w:pPr>
              <w:widowControl w:val="0"/>
              <w:jc w:val="right"/>
              <w:rPr>
                <w:rFonts w:asciiTheme="minorEastAsia" w:hAnsiTheme="minorEastAsia" w:eastAsiaTheme="minorEastAsia"/>
              </w:rPr>
            </w:pPr>
            <w:r>
              <w:rPr>
                <w:rFonts w:asciiTheme="minorEastAsia" w:hAnsiTheme="minorEastAsia" w:eastAsiaTheme="minorEastAsia"/>
              </w:rPr>
              <w:t>0.15</w:t>
            </w:r>
          </w:p>
        </w:tc>
        <w:tc>
          <w:tcPr>
            <w:tcW w:w="702" w:type="pct"/>
            <w:vAlign w:val="center"/>
          </w:tcPr>
          <w:p w14:paraId="69875F06">
            <w:pPr>
              <w:widowControl w:val="0"/>
              <w:jc w:val="right"/>
              <w:rPr>
                <w:rFonts w:asciiTheme="minorEastAsia" w:hAnsiTheme="minorEastAsia" w:eastAsiaTheme="minorEastAsia"/>
              </w:rPr>
            </w:pPr>
            <w:r>
              <w:rPr>
                <w:rFonts w:asciiTheme="minorEastAsia" w:hAnsiTheme="minorEastAsia" w:eastAsiaTheme="minorEastAsia"/>
              </w:rPr>
              <w:t>107.44</w:t>
            </w:r>
          </w:p>
        </w:tc>
        <w:tc>
          <w:tcPr>
            <w:tcW w:w="469" w:type="pct"/>
            <w:vAlign w:val="center"/>
          </w:tcPr>
          <w:p w14:paraId="0A530911">
            <w:pPr>
              <w:widowControl w:val="0"/>
              <w:jc w:val="center"/>
              <w:rPr>
                <w:rFonts w:asciiTheme="minorEastAsia" w:hAnsiTheme="minorEastAsia" w:eastAsiaTheme="minorEastAsia"/>
              </w:rPr>
            </w:pPr>
            <w:r>
              <w:rPr>
                <w:rFonts w:asciiTheme="minorEastAsia" w:hAnsiTheme="minorEastAsia" w:eastAsiaTheme="minorEastAsia"/>
              </w:rPr>
              <w:t>(4)</w:t>
            </w:r>
          </w:p>
        </w:tc>
      </w:tr>
      <w:tr w14:paraId="6DBD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tcPr>
          <w:p w14:paraId="44CAB050">
            <w:pPr>
              <w:widowControl w:val="0"/>
              <w:jc w:val="both"/>
              <w:rPr>
                <w:rStyle w:val="49"/>
                <w:rFonts w:ascii="宋体" w:hAnsi="宋体"/>
                <w:b w:val="0"/>
                <w:bCs w:val="0"/>
                <w:color w:val="000000" w:themeColor="text1"/>
                <w:szCs w:val="21"/>
                <w14:textFill>
                  <w14:solidFill>
                    <w14:schemeClr w14:val="tx1"/>
                  </w14:solidFill>
                </w14:textFill>
              </w:rPr>
            </w:pPr>
            <w:r>
              <w:rPr>
                <w:rStyle w:val="49"/>
                <w:rFonts w:hint="eastAsia" w:ascii="宋体" w:hAnsi="宋体"/>
                <w:b w:val="0"/>
                <w:color w:val="000000" w:themeColor="text1"/>
                <w:szCs w:val="21"/>
                <w14:textFill>
                  <w14:solidFill>
                    <w14:schemeClr w14:val="tx1"/>
                  </w14:solidFill>
                </w14:textFill>
              </w:rPr>
              <w:t>使用权资产</w:t>
            </w:r>
          </w:p>
        </w:tc>
        <w:tc>
          <w:tcPr>
            <w:tcW w:w="1094" w:type="pct"/>
            <w:vAlign w:val="center"/>
          </w:tcPr>
          <w:p w14:paraId="41E8E60C">
            <w:pPr>
              <w:widowControl w:val="0"/>
              <w:jc w:val="right"/>
              <w:rPr>
                <w:rFonts w:asciiTheme="minorEastAsia" w:hAnsiTheme="minorEastAsia" w:eastAsiaTheme="minorEastAsia"/>
              </w:rPr>
            </w:pPr>
            <w:r>
              <w:rPr>
                <w:rFonts w:asciiTheme="minorEastAsia" w:hAnsiTheme="minorEastAsia" w:eastAsiaTheme="minorEastAsia"/>
              </w:rPr>
              <w:t>369,620.39</w:t>
            </w:r>
          </w:p>
        </w:tc>
        <w:tc>
          <w:tcPr>
            <w:tcW w:w="391" w:type="pct"/>
            <w:vAlign w:val="center"/>
          </w:tcPr>
          <w:p w14:paraId="78BFDFC7">
            <w:pPr>
              <w:widowControl w:val="0"/>
              <w:jc w:val="right"/>
              <w:rPr>
                <w:rFonts w:asciiTheme="minorEastAsia" w:hAnsiTheme="minorEastAsia" w:eastAsiaTheme="minorEastAsia"/>
              </w:rPr>
            </w:pPr>
            <w:r>
              <w:rPr>
                <w:rFonts w:asciiTheme="minorEastAsia" w:hAnsiTheme="minorEastAsia" w:eastAsiaTheme="minorEastAsia"/>
              </w:rPr>
              <w:t>0.00</w:t>
            </w:r>
          </w:p>
        </w:tc>
        <w:tc>
          <w:tcPr>
            <w:tcW w:w="1015" w:type="pct"/>
            <w:vAlign w:val="center"/>
          </w:tcPr>
          <w:p w14:paraId="487AA312">
            <w:pPr>
              <w:widowControl w:val="0"/>
              <w:jc w:val="right"/>
              <w:rPr>
                <w:rFonts w:asciiTheme="minorEastAsia" w:hAnsiTheme="minorEastAsia" w:eastAsiaTheme="minorEastAsia"/>
              </w:rPr>
            </w:pPr>
            <w:r>
              <w:rPr>
                <w:rFonts w:asciiTheme="minorEastAsia" w:hAnsiTheme="minorEastAsia" w:eastAsiaTheme="minorEastAsia"/>
              </w:rPr>
              <w:t>943,341.64</w:t>
            </w:r>
          </w:p>
        </w:tc>
        <w:tc>
          <w:tcPr>
            <w:tcW w:w="393" w:type="pct"/>
            <w:vAlign w:val="center"/>
          </w:tcPr>
          <w:p w14:paraId="14B03F37">
            <w:pPr>
              <w:widowControl w:val="0"/>
              <w:jc w:val="right"/>
              <w:rPr>
                <w:rFonts w:asciiTheme="minorEastAsia" w:hAnsiTheme="minorEastAsia" w:eastAsiaTheme="minorEastAsia"/>
              </w:rPr>
            </w:pPr>
            <w:r>
              <w:rPr>
                <w:rFonts w:asciiTheme="minorEastAsia" w:hAnsiTheme="minorEastAsia" w:eastAsiaTheme="minorEastAsia"/>
              </w:rPr>
              <w:t>0.00</w:t>
            </w:r>
          </w:p>
        </w:tc>
        <w:tc>
          <w:tcPr>
            <w:tcW w:w="702" w:type="pct"/>
            <w:vAlign w:val="center"/>
          </w:tcPr>
          <w:p w14:paraId="429A8D28">
            <w:pPr>
              <w:widowControl w:val="0"/>
              <w:jc w:val="right"/>
              <w:rPr>
                <w:rFonts w:asciiTheme="minorEastAsia" w:hAnsiTheme="minorEastAsia" w:eastAsiaTheme="minorEastAsia"/>
              </w:rPr>
            </w:pPr>
            <w:r>
              <w:rPr>
                <w:rFonts w:asciiTheme="minorEastAsia" w:hAnsiTheme="minorEastAsia" w:eastAsiaTheme="minorEastAsia"/>
              </w:rPr>
              <w:t>-60.82</w:t>
            </w:r>
          </w:p>
        </w:tc>
        <w:tc>
          <w:tcPr>
            <w:tcW w:w="469" w:type="pct"/>
            <w:vAlign w:val="center"/>
          </w:tcPr>
          <w:p w14:paraId="4B72415A">
            <w:pPr>
              <w:widowControl w:val="0"/>
              <w:jc w:val="center"/>
              <w:rPr>
                <w:rFonts w:asciiTheme="minorEastAsia" w:hAnsiTheme="minorEastAsia" w:eastAsiaTheme="minorEastAsia"/>
              </w:rPr>
            </w:pPr>
            <w:r>
              <w:rPr>
                <w:rFonts w:asciiTheme="minorEastAsia" w:hAnsiTheme="minorEastAsia" w:eastAsiaTheme="minorEastAsia"/>
              </w:rPr>
              <w:t>(5)</w:t>
            </w:r>
          </w:p>
        </w:tc>
      </w:tr>
      <w:tr w14:paraId="0FC9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vAlign w:val="center"/>
          </w:tcPr>
          <w:p w14:paraId="551E80D0">
            <w:pPr>
              <w:widowControl w:val="0"/>
              <w:jc w:val="both"/>
              <w:rPr>
                <w:rStyle w:val="49"/>
                <w:rFonts w:ascii="宋体" w:hAnsi="宋体"/>
                <w:b w:val="0"/>
                <w:color w:val="000000" w:themeColor="text1"/>
                <w:szCs w:val="21"/>
                <w14:textFill>
                  <w14:solidFill>
                    <w14:schemeClr w14:val="tx1"/>
                  </w14:solidFill>
                </w14:textFill>
              </w:rPr>
            </w:pPr>
            <w:r>
              <w:rPr>
                <w:rFonts w:hint="eastAsia"/>
                <w:color w:val="000000"/>
              </w:rPr>
              <w:t>其他非流动资产</w:t>
            </w:r>
          </w:p>
        </w:tc>
        <w:tc>
          <w:tcPr>
            <w:tcW w:w="1094" w:type="pct"/>
            <w:vAlign w:val="center"/>
          </w:tcPr>
          <w:p w14:paraId="0E407CDD">
            <w:pPr>
              <w:widowControl w:val="0"/>
              <w:jc w:val="right"/>
              <w:rPr>
                <w:rFonts w:asciiTheme="minorEastAsia" w:hAnsiTheme="minorEastAsia" w:eastAsiaTheme="minorEastAsia"/>
              </w:rPr>
            </w:pPr>
            <w:r>
              <w:rPr>
                <w:rFonts w:hint="eastAsia" w:asciiTheme="minorEastAsia" w:hAnsiTheme="minorEastAsia" w:eastAsiaTheme="minorEastAsia"/>
                <w:color w:val="000000"/>
              </w:rPr>
              <w:t>1,232,419,264.31</w:t>
            </w:r>
          </w:p>
        </w:tc>
        <w:tc>
          <w:tcPr>
            <w:tcW w:w="391" w:type="pct"/>
            <w:vAlign w:val="center"/>
          </w:tcPr>
          <w:p w14:paraId="5B02E0D5">
            <w:pPr>
              <w:widowControl w:val="0"/>
              <w:jc w:val="right"/>
              <w:rPr>
                <w:rFonts w:asciiTheme="minorEastAsia" w:hAnsiTheme="minorEastAsia" w:eastAsiaTheme="minorEastAsia"/>
              </w:rPr>
            </w:pPr>
            <w:r>
              <w:rPr>
                <w:rFonts w:hint="eastAsia" w:asciiTheme="minorEastAsia" w:hAnsiTheme="minorEastAsia" w:eastAsiaTheme="minorEastAsia"/>
                <w:color w:val="000000"/>
              </w:rPr>
              <w:t>5.</w:t>
            </w:r>
            <w:r>
              <w:rPr>
                <w:rFonts w:asciiTheme="minorEastAsia" w:hAnsiTheme="minorEastAsia" w:eastAsiaTheme="minorEastAsia"/>
                <w:color w:val="000000"/>
              </w:rPr>
              <w:t>50</w:t>
            </w:r>
          </w:p>
        </w:tc>
        <w:tc>
          <w:tcPr>
            <w:tcW w:w="1015" w:type="pct"/>
            <w:vAlign w:val="center"/>
          </w:tcPr>
          <w:p w14:paraId="18782E36">
            <w:pPr>
              <w:widowControl w:val="0"/>
              <w:jc w:val="right"/>
              <w:rPr>
                <w:rFonts w:asciiTheme="minorEastAsia" w:hAnsiTheme="minorEastAsia" w:eastAsiaTheme="minorEastAsia"/>
              </w:rPr>
            </w:pPr>
            <w:r>
              <w:rPr>
                <w:rFonts w:hint="eastAsia" w:asciiTheme="minorEastAsia" w:hAnsiTheme="minorEastAsia" w:eastAsiaTheme="minorEastAsia"/>
                <w:color w:val="000000"/>
              </w:rPr>
              <w:t>5,647,530.22</w:t>
            </w:r>
          </w:p>
        </w:tc>
        <w:tc>
          <w:tcPr>
            <w:tcW w:w="393" w:type="pct"/>
            <w:vAlign w:val="center"/>
          </w:tcPr>
          <w:p w14:paraId="5591977F">
            <w:pPr>
              <w:widowControl w:val="0"/>
              <w:jc w:val="right"/>
              <w:rPr>
                <w:rFonts w:asciiTheme="minorEastAsia" w:hAnsiTheme="minorEastAsia" w:eastAsiaTheme="minorEastAsia"/>
              </w:rPr>
            </w:pPr>
            <w:r>
              <w:rPr>
                <w:rFonts w:hint="eastAsia" w:asciiTheme="minorEastAsia" w:hAnsiTheme="minorEastAsia" w:eastAsiaTheme="minorEastAsia"/>
                <w:color w:val="000000"/>
              </w:rPr>
              <w:t>0.03</w:t>
            </w:r>
          </w:p>
        </w:tc>
        <w:tc>
          <w:tcPr>
            <w:tcW w:w="702" w:type="pct"/>
            <w:vAlign w:val="center"/>
          </w:tcPr>
          <w:p w14:paraId="4D6DC0B9">
            <w:pPr>
              <w:widowControl w:val="0"/>
              <w:jc w:val="right"/>
              <w:rPr>
                <w:rFonts w:asciiTheme="minorEastAsia" w:hAnsiTheme="minorEastAsia" w:eastAsiaTheme="minorEastAsia"/>
              </w:rPr>
            </w:pPr>
            <w:r>
              <w:rPr>
                <w:rFonts w:hint="eastAsia" w:asciiTheme="minorEastAsia" w:hAnsiTheme="minorEastAsia" w:eastAsiaTheme="minorEastAsia"/>
                <w:color w:val="000000"/>
              </w:rPr>
              <w:t>21,722.27</w:t>
            </w:r>
          </w:p>
        </w:tc>
        <w:tc>
          <w:tcPr>
            <w:tcW w:w="469" w:type="pct"/>
            <w:vAlign w:val="center"/>
          </w:tcPr>
          <w:p w14:paraId="06874E08">
            <w:pPr>
              <w:widowControl w:val="0"/>
              <w:jc w:val="center"/>
              <w:rPr>
                <w:rFonts w:asciiTheme="minorEastAsia" w:hAnsiTheme="minorEastAsia" w:eastAsiaTheme="minorEastAsia"/>
              </w:rPr>
            </w:pPr>
            <w:r>
              <w:rPr>
                <w:rFonts w:hint="eastAsia" w:asciiTheme="minorEastAsia" w:hAnsiTheme="minorEastAsia" w:eastAsiaTheme="minorEastAsia"/>
              </w:rPr>
              <w:t>（6）</w:t>
            </w:r>
          </w:p>
        </w:tc>
      </w:tr>
      <w:tr w14:paraId="41B9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tcPr>
          <w:p w14:paraId="6E215AD7">
            <w:pPr>
              <w:widowControl w:val="0"/>
              <w:jc w:val="both"/>
              <w:rPr>
                <w:rStyle w:val="49"/>
                <w:rFonts w:ascii="宋体" w:hAnsi="宋体"/>
                <w:b w:val="0"/>
                <w:bCs w:val="0"/>
                <w:color w:val="000000" w:themeColor="text1"/>
                <w:szCs w:val="21"/>
                <w14:textFill>
                  <w14:solidFill>
                    <w14:schemeClr w14:val="tx1"/>
                  </w14:solidFill>
                </w14:textFill>
              </w:rPr>
            </w:pPr>
            <w:r>
              <w:rPr>
                <w:rStyle w:val="49"/>
                <w:rFonts w:hint="eastAsia" w:ascii="宋体" w:hAnsi="宋体"/>
                <w:b w:val="0"/>
                <w:color w:val="000000" w:themeColor="text1"/>
                <w:szCs w:val="21"/>
                <w14:textFill>
                  <w14:solidFill>
                    <w14:schemeClr w14:val="tx1"/>
                  </w14:solidFill>
                </w14:textFill>
              </w:rPr>
              <w:t>合同负债</w:t>
            </w:r>
          </w:p>
        </w:tc>
        <w:tc>
          <w:tcPr>
            <w:tcW w:w="1094" w:type="pct"/>
            <w:vAlign w:val="center"/>
          </w:tcPr>
          <w:p w14:paraId="30936D4D">
            <w:pPr>
              <w:widowControl w:val="0"/>
              <w:jc w:val="right"/>
              <w:rPr>
                <w:rFonts w:asciiTheme="minorEastAsia" w:hAnsiTheme="minorEastAsia" w:eastAsiaTheme="minorEastAsia"/>
              </w:rPr>
            </w:pPr>
            <w:r>
              <w:rPr>
                <w:rFonts w:asciiTheme="minorEastAsia" w:hAnsiTheme="minorEastAsia" w:eastAsiaTheme="minorEastAsia"/>
              </w:rPr>
              <w:t>490,837,211.31</w:t>
            </w:r>
          </w:p>
        </w:tc>
        <w:tc>
          <w:tcPr>
            <w:tcW w:w="391" w:type="pct"/>
            <w:vAlign w:val="center"/>
          </w:tcPr>
          <w:p w14:paraId="1C8B9742">
            <w:pPr>
              <w:widowControl w:val="0"/>
              <w:jc w:val="right"/>
              <w:rPr>
                <w:rFonts w:asciiTheme="minorEastAsia" w:hAnsiTheme="minorEastAsia" w:eastAsiaTheme="minorEastAsia"/>
              </w:rPr>
            </w:pPr>
            <w:r>
              <w:rPr>
                <w:rFonts w:asciiTheme="minorEastAsia" w:hAnsiTheme="minorEastAsia" w:eastAsiaTheme="minorEastAsia"/>
              </w:rPr>
              <w:t>2.19</w:t>
            </w:r>
          </w:p>
        </w:tc>
        <w:tc>
          <w:tcPr>
            <w:tcW w:w="1015" w:type="pct"/>
            <w:vAlign w:val="center"/>
          </w:tcPr>
          <w:p w14:paraId="3DB6C8CA">
            <w:pPr>
              <w:widowControl w:val="0"/>
              <w:jc w:val="right"/>
              <w:rPr>
                <w:rFonts w:asciiTheme="minorEastAsia" w:hAnsiTheme="minorEastAsia" w:eastAsiaTheme="minorEastAsia"/>
              </w:rPr>
            </w:pPr>
            <w:r>
              <w:rPr>
                <w:rFonts w:asciiTheme="minorEastAsia" w:hAnsiTheme="minorEastAsia" w:eastAsiaTheme="minorEastAsia"/>
              </w:rPr>
              <w:t>243,780,257.36</w:t>
            </w:r>
          </w:p>
        </w:tc>
        <w:tc>
          <w:tcPr>
            <w:tcW w:w="393" w:type="pct"/>
            <w:vAlign w:val="center"/>
          </w:tcPr>
          <w:p w14:paraId="6AA1D7FC">
            <w:pPr>
              <w:widowControl w:val="0"/>
              <w:jc w:val="right"/>
              <w:rPr>
                <w:rFonts w:asciiTheme="minorEastAsia" w:hAnsiTheme="minorEastAsia" w:eastAsiaTheme="minorEastAsia"/>
              </w:rPr>
            </w:pPr>
            <w:r>
              <w:rPr>
                <w:rFonts w:asciiTheme="minorEastAsia" w:hAnsiTheme="minorEastAsia" w:eastAsiaTheme="minorEastAsia"/>
              </w:rPr>
              <w:t>1.12</w:t>
            </w:r>
          </w:p>
        </w:tc>
        <w:tc>
          <w:tcPr>
            <w:tcW w:w="702" w:type="pct"/>
            <w:vAlign w:val="center"/>
          </w:tcPr>
          <w:p w14:paraId="526ECC57">
            <w:pPr>
              <w:widowControl w:val="0"/>
              <w:jc w:val="right"/>
              <w:rPr>
                <w:rFonts w:asciiTheme="minorEastAsia" w:hAnsiTheme="minorEastAsia" w:eastAsiaTheme="minorEastAsia"/>
              </w:rPr>
            </w:pPr>
            <w:r>
              <w:rPr>
                <w:rFonts w:asciiTheme="minorEastAsia" w:hAnsiTheme="minorEastAsia" w:eastAsiaTheme="minorEastAsia"/>
              </w:rPr>
              <w:t>101.34</w:t>
            </w:r>
          </w:p>
        </w:tc>
        <w:tc>
          <w:tcPr>
            <w:tcW w:w="469" w:type="pct"/>
            <w:vAlign w:val="center"/>
          </w:tcPr>
          <w:p w14:paraId="7D89EEAE">
            <w:pPr>
              <w:widowControl w:val="0"/>
              <w:jc w:val="center"/>
              <w:rPr>
                <w:rFonts w:asciiTheme="minorEastAsia" w:hAnsiTheme="minorEastAsia" w:eastAsiaTheme="minorEastAsia"/>
              </w:rPr>
            </w:pPr>
            <w:r>
              <w:rPr>
                <w:rFonts w:asciiTheme="minorEastAsia" w:hAnsiTheme="minorEastAsia" w:eastAsiaTheme="minorEastAsia"/>
              </w:rPr>
              <w:t>(7)</w:t>
            </w:r>
          </w:p>
        </w:tc>
      </w:tr>
      <w:tr w14:paraId="5BFC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tcPr>
          <w:p w14:paraId="2FE53AB0">
            <w:pPr>
              <w:widowControl w:val="0"/>
              <w:jc w:val="both"/>
              <w:rPr>
                <w:rStyle w:val="49"/>
                <w:b w:val="0"/>
                <w:bCs w:val="0"/>
                <w:color w:val="000000"/>
                <w:kern w:val="0"/>
                <w:szCs w:val="21"/>
              </w:rPr>
            </w:pPr>
            <w:r>
              <w:rPr>
                <w:rFonts w:hint="eastAsia"/>
                <w:color w:val="000000"/>
              </w:rPr>
              <w:t>应付职工薪酬</w:t>
            </w:r>
          </w:p>
        </w:tc>
        <w:tc>
          <w:tcPr>
            <w:tcW w:w="1094" w:type="pct"/>
            <w:vAlign w:val="center"/>
          </w:tcPr>
          <w:p w14:paraId="08094A35">
            <w:pPr>
              <w:widowControl w:val="0"/>
              <w:jc w:val="right"/>
              <w:rPr>
                <w:rFonts w:asciiTheme="minorEastAsia" w:hAnsiTheme="minorEastAsia" w:eastAsiaTheme="minorEastAsia"/>
              </w:rPr>
            </w:pPr>
            <w:r>
              <w:rPr>
                <w:rFonts w:asciiTheme="minorEastAsia" w:hAnsiTheme="minorEastAsia" w:eastAsiaTheme="minorEastAsia"/>
              </w:rPr>
              <w:t>111,678,669.82</w:t>
            </w:r>
          </w:p>
        </w:tc>
        <w:tc>
          <w:tcPr>
            <w:tcW w:w="391" w:type="pct"/>
            <w:vAlign w:val="center"/>
          </w:tcPr>
          <w:p w14:paraId="677085AE">
            <w:pPr>
              <w:widowControl w:val="0"/>
              <w:jc w:val="right"/>
              <w:rPr>
                <w:rFonts w:asciiTheme="minorEastAsia" w:hAnsiTheme="minorEastAsia" w:eastAsiaTheme="minorEastAsia"/>
              </w:rPr>
            </w:pPr>
            <w:r>
              <w:rPr>
                <w:rFonts w:asciiTheme="minorEastAsia" w:hAnsiTheme="minorEastAsia" w:eastAsiaTheme="minorEastAsia"/>
              </w:rPr>
              <w:t>0.50</w:t>
            </w:r>
          </w:p>
        </w:tc>
        <w:tc>
          <w:tcPr>
            <w:tcW w:w="1015" w:type="pct"/>
            <w:vAlign w:val="center"/>
          </w:tcPr>
          <w:p w14:paraId="62C5476A">
            <w:pPr>
              <w:widowControl w:val="0"/>
              <w:jc w:val="right"/>
              <w:rPr>
                <w:rFonts w:asciiTheme="minorEastAsia" w:hAnsiTheme="minorEastAsia" w:eastAsiaTheme="minorEastAsia"/>
              </w:rPr>
            </w:pPr>
            <w:r>
              <w:rPr>
                <w:rFonts w:asciiTheme="minorEastAsia" w:hAnsiTheme="minorEastAsia" w:eastAsiaTheme="minorEastAsia"/>
              </w:rPr>
              <w:t>76,105,904.00</w:t>
            </w:r>
          </w:p>
        </w:tc>
        <w:tc>
          <w:tcPr>
            <w:tcW w:w="393" w:type="pct"/>
            <w:vAlign w:val="center"/>
          </w:tcPr>
          <w:p w14:paraId="45519A3B">
            <w:pPr>
              <w:widowControl w:val="0"/>
              <w:jc w:val="right"/>
              <w:rPr>
                <w:rFonts w:asciiTheme="minorEastAsia" w:hAnsiTheme="minorEastAsia" w:eastAsiaTheme="minorEastAsia"/>
              </w:rPr>
            </w:pPr>
            <w:r>
              <w:rPr>
                <w:rFonts w:asciiTheme="minorEastAsia" w:hAnsiTheme="minorEastAsia" w:eastAsiaTheme="minorEastAsia"/>
              </w:rPr>
              <w:t>0.35</w:t>
            </w:r>
          </w:p>
        </w:tc>
        <w:tc>
          <w:tcPr>
            <w:tcW w:w="702" w:type="pct"/>
            <w:vAlign w:val="center"/>
          </w:tcPr>
          <w:p w14:paraId="66969269">
            <w:pPr>
              <w:widowControl w:val="0"/>
              <w:jc w:val="right"/>
              <w:rPr>
                <w:rFonts w:asciiTheme="minorEastAsia" w:hAnsiTheme="minorEastAsia" w:eastAsiaTheme="minorEastAsia"/>
              </w:rPr>
            </w:pPr>
            <w:r>
              <w:rPr>
                <w:rFonts w:asciiTheme="minorEastAsia" w:hAnsiTheme="minorEastAsia" w:eastAsiaTheme="minorEastAsia"/>
              </w:rPr>
              <w:t>46.74</w:t>
            </w:r>
          </w:p>
        </w:tc>
        <w:tc>
          <w:tcPr>
            <w:tcW w:w="469" w:type="pct"/>
            <w:vAlign w:val="center"/>
          </w:tcPr>
          <w:p w14:paraId="397BC333">
            <w:pPr>
              <w:widowControl w:val="0"/>
              <w:jc w:val="center"/>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8</w:t>
            </w:r>
            <w:r>
              <w:rPr>
                <w:rFonts w:hint="eastAsia" w:asciiTheme="minorEastAsia" w:hAnsiTheme="minorEastAsia" w:eastAsiaTheme="minorEastAsia"/>
              </w:rPr>
              <w:t>）</w:t>
            </w:r>
          </w:p>
        </w:tc>
      </w:tr>
      <w:tr w14:paraId="5877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tcPr>
          <w:p w14:paraId="1C12429F">
            <w:pPr>
              <w:widowControl w:val="0"/>
              <w:jc w:val="both"/>
              <w:rPr>
                <w:rStyle w:val="49"/>
                <w:rFonts w:ascii="宋体" w:hAnsi="宋体"/>
                <w:b w:val="0"/>
                <w:color w:val="000000" w:themeColor="text1"/>
                <w:szCs w:val="21"/>
                <w14:textFill>
                  <w14:solidFill>
                    <w14:schemeClr w14:val="tx1"/>
                  </w14:solidFill>
                </w14:textFill>
              </w:rPr>
            </w:pPr>
            <w:r>
              <w:rPr>
                <w:rStyle w:val="49"/>
                <w:rFonts w:hint="eastAsia" w:ascii="宋体" w:hAnsi="宋体"/>
                <w:b w:val="0"/>
                <w:color w:val="000000" w:themeColor="text1"/>
                <w:szCs w:val="21"/>
                <w14:textFill>
                  <w14:solidFill>
                    <w14:schemeClr w14:val="tx1"/>
                  </w14:solidFill>
                </w14:textFill>
              </w:rPr>
              <w:t>应交税费</w:t>
            </w:r>
          </w:p>
        </w:tc>
        <w:tc>
          <w:tcPr>
            <w:tcW w:w="1094" w:type="pct"/>
            <w:vAlign w:val="center"/>
          </w:tcPr>
          <w:p w14:paraId="7621BAF8">
            <w:pPr>
              <w:widowControl w:val="0"/>
              <w:jc w:val="right"/>
              <w:rPr>
                <w:rFonts w:asciiTheme="minorEastAsia" w:hAnsiTheme="minorEastAsia" w:eastAsiaTheme="minorEastAsia"/>
              </w:rPr>
            </w:pPr>
            <w:r>
              <w:rPr>
                <w:rFonts w:asciiTheme="minorEastAsia" w:hAnsiTheme="minorEastAsia" w:eastAsiaTheme="minorEastAsia"/>
              </w:rPr>
              <w:t>27,750,507.75</w:t>
            </w:r>
          </w:p>
        </w:tc>
        <w:tc>
          <w:tcPr>
            <w:tcW w:w="391" w:type="pct"/>
            <w:vAlign w:val="center"/>
          </w:tcPr>
          <w:p w14:paraId="4AE26BAC">
            <w:pPr>
              <w:widowControl w:val="0"/>
              <w:jc w:val="right"/>
              <w:rPr>
                <w:rFonts w:asciiTheme="minorEastAsia" w:hAnsiTheme="minorEastAsia" w:eastAsiaTheme="minorEastAsia"/>
              </w:rPr>
            </w:pPr>
            <w:r>
              <w:rPr>
                <w:rFonts w:asciiTheme="minorEastAsia" w:hAnsiTheme="minorEastAsia" w:eastAsiaTheme="minorEastAsia"/>
              </w:rPr>
              <w:t>0.12</w:t>
            </w:r>
          </w:p>
        </w:tc>
        <w:tc>
          <w:tcPr>
            <w:tcW w:w="1015" w:type="pct"/>
            <w:vAlign w:val="center"/>
          </w:tcPr>
          <w:p w14:paraId="39B8F4DC">
            <w:pPr>
              <w:widowControl w:val="0"/>
              <w:jc w:val="right"/>
              <w:rPr>
                <w:rFonts w:asciiTheme="minorEastAsia" w:hAnsiTheme="minorEastAsia" w:eastAsiaTheme="minorEastAsia"/>
              </w:rPr>
            </w:pPr>
            <w:r>
              <w:rPr>
                <w:rFonts w:asciiTheme="minorEastAsia" w:hAnsiTheme="minorEastAsia" w:eastAsiaTheme="minorEastAsia"/>
              </w:rPr>
              <w:t>83,760,312.35</w:t>
            </w:r>
          </w:p>
        </w:tc>
        <w:tc>
          <w:tcPr>
            <w:tcW w:w="393" w:type="pct"/>
            <w:vAlign w:val="center"/>
          </w:tcPr>
          <w:p w14:paraId="68036B08">
            <w:pPr>
              <w:widowControl w:val="0"/>
              <w:jc w:val="right"/>
              <w:rPr>
                <w:rFonts w:asciiTheme="minorEastAsia" w:hAnsiTheme="minorEastAsia" w:eastAsiaTheme="minorEastAsia"/>
              </w:rPr>
            </w:pPr>
            <w:r>
              <w:rPr>
                <w:rFonts w:asciiTheme="minorEastAsia" w:hAnsiTheme="minorEastAsia" w:eastAsiaTheme="minorEastAsia"/>
              </w:rPr>
              <w:t>0.39</w:t>
            </w:r>
          </w:p>
        </w:tc>
        <w:tc>
          <w:tcPr>
            <w:tcW w:w="702" w:type="pct"/>
            <w:vAlign w:val="center"/>
          </w:tcPr>
          <w:p w14:paraId="16C3CA61">
            <w:pPr>
              <w:widowControl w:val="0"/>
              <w:jc w:val="right"/>
              <w:rPr>
                <w:rFonts w:asciiTheme="minorEastAsia" w:hAnsiTheme="minorEastAsia" w:eastAsiaTheme="minorEastAsia"/>
              </w:rPr>
            </w:pPr>
            <w:r>
              <w:rPr>
                <w:rFonts w:asciiTheme="minorEastAsia" w:hAnsiTheme="minorEastAsia" w:eastAsiaTheme="minorEastAsia"/>
              </w:rPr>
              <w:t>-66.87</w:t>
            </w:r>
          </w:p>
        </w:tc>
        <w:tc>
          <w:tcPr>
            <w:tcW w:w="469" w:type="pct"/>
            <w:vAlign w:val="center"/>
          </w:tcPr>
          <w:p w14:paraId="5386B56A">
            <w:pPr>
              <w:widowControl w:val="0"/>
              <w:jc w:val="center"/>
              <w:rPr>
                <w:rFonts w:asciiTheme="minorEastAsia" w:hAnsiTheme="minorEastAsia" w:eastAsiaTheme="minorEastAsia"/>
              </w:rPr>
            </w:pPr>
            <w:r>
              <w:rPr>
                <w:rFonts w:asciiTheme="minorEastAsia" w:hAnsiTheme="minorEastAsia" w:eastAsiaTheme="minorEastAsia"/>
              </w:rPr>
              <w:t>(9)</w:t>
            </w:r>
          </w:p>
        </w:tc>
      </w:tr>
      <w:tr w14:paraId="03F9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tcPr>
          <w:p w14:paraId="3E6E3B91">
            <w:pPr>
              <w:widowControl w:val="0"/>
              <w:jc w:val="both"/>
              <w:rPr>
                <w:rStyle w:val="49"/>
                <w:rFonts w:ascii="宋体" w:hAnsi="宋体"/>
                <w:b w:val="0"/>
                <w:bCs w:val="0"/>
                <w:color w:val="000000" w:themeColor="text1"/>
                <w:szCs w:val="21"/>
                <w14:textFill>
                  <w14:solidFill>
                    <w14:schemeClr w14:val="tx1"/>
                  </w14:solidFill>
                </w14:textFill>
              </w:rPr>
            </w:pPr>
            <w:r>
              <w:rPr>
                <w:rStyle w:val="49"/>
                <w:rFonts w:hint="eastAsia" w:ascii="宋体" w:hAnsi="宋体"/>
                <w:b w:val="0"/>
                <w:color w:val="000000" w:themeColor="text1"/>
                <w:szCs w:val="21"/>
                <w14:textFill>
                  <w14:solidFill>
                    <w14:schemeClr w14:val="tx1"/>
                  </w14:solidFill>
                </w14:textFill>
              </w:rPr>
              <w:t>租赁负债</w:t>
            </w:r>
          </w:p>
        </w:tc>
        <w:tc>
          <w:tcPr>
            <w:tcW w:w="1094" w:type="pct"/>
            <w:vAlign w:val="center"/>
          </w:tcPr>
          <w:p w14:paraId="7BD8A986">
            <w:pPr>
              <w:widowControl w:val="0"/>
              <w:jc w:val="right"/>
              <w:rPr>
                <w:rFonts w:asciiTheme="minorEastAsia" w:hAnsiTheme="minorEastAsia" w:eastAsiaTheme="minorEastAsia"/>
              </w:rPr>
            </w:pPr>
          </w:p>
        </w:tc>
        <w:tc>
          <w:tcPr>
            <w:tcW w:w="391" w:type="pct"/>
            <w:vAlign w:val="center"/>
          </w:tcPr>
          <w:p w14:paraId="0DA99E74">
            <w:pPr>
              <w:widowControl w:val="0"/>
              <w:jc w:val="right"/>
              <w:rPr>
                <w:rFonts w:asciiTheme="minorEastAsia" w:hAnsiTheme="minorEastAsia" w:eastAsiaTheme="minorEastAsia"/>
              </w:rPr>
            </w:pPr>
          </w:p>
        </w:tc>
        <w:tc>
          <w:tcPr>
            <w:tcW w:w="1015" w:type="pct"/>
            <w:vAlign w:val="center"/>
          </w:tcPr>
          <w:p w14:paraId="39461C8E">
            <w:pPr>
              <w:widowControl w:val="0"/>
              <w:jc w:val="right"/>
              <w:rPr>
                <w:rFonts w:asciiTheme="minorEastAsia" w:hAnsiTheme="minorEastAsia" w:eastAsiaTheme="minorEastAsia"/>
              </w:rPr>
            </w:pPr>
            <w:r>
              <w:rPr>
                <w:rFonts w:asciiTheme="minorEastAsia" w:hAnsiTheme="minorEastAsia" w:eastAsiaTheme="minorEastAsia"/>
              </w:rPr>
              <w:t>90,596.77</w:t>
            </w:r>
          </w:p>
        </w:tc>
        <w:tc>
          <w:tcPr>
            <w:tcW w:w="393" w:type="pct"/>
            <w:vAlign w:val="center"/>
          </w:tcPr>
          <w:p w14:paraId="25ACC1BA">
            <w:pPr>
              <w:widowControl w:val="0"/>
              <w:jc w:val="right"/>
              <w:rPr>
                <w:rFonts w:asciiTheme="minorEastAsia" w:hAnsiTheme="minorEastAsia" w:eastAsiaTheme="minorEastAsia"/>
              </w:rPr>
            </w:pPr>
            <w:r>
              <w:rPr>
                <w:rFonts w:asciiTheme="minorEastAsia" w:hAnsiTheme="minorEastAsia" w:eastAsiaTheme="minorEastAsia"/>
              </w:rPr>
              <w:t>0.00</w:t>
            </w:r>
          </w:p>
        </w:tc>
        <w:tc>
          <w:tcPr>
            <w:tcW w:w="702" w:type="pct"/>
            <w:vAlign w:val="center"/>
          </w:tcPr>
          <w:p w14:paraId="0FEA8692">
            <w:pPr>
              <w:widowControl w:val="0"/>
              <w:jc w:val="right"/>
              <w:rPr>
                <w:rFonts w:asciiTheme="minorEastAsia" w:hAnsiTheme="minorEastAsia" w:eastAsiaTheme="minorEastAsia"/>
              </w:rPr>
            </w:pPr>
            <w:r>
              <w:rPr>
                <w:rFonts w:asciiTheme="minorEastAsia" w:hAnsiTheme="minorEastAsia" w:eastAsiaTheme="minorEastAsia"/>
              </w:rPr>
              <w:t>-100.00</w:t>
            </w:r>
          </w:p>
        </w:tc>
        <w:tc>
          <w:tcPr>
            <w:tcW w:w="469" w:type="pct"/>
            <w:vAlign w:val="center"/>
          </w:tcPr>
          <w:p w14:paraId="4AA0F072">
            <w:pPr>
              <w:widowControl w:val="0"/>
              <w:jc w:val="center"/>
              <w:rPr>
                <w:rFonts w:asciiTheme="minorEastAsia" w:hAnsiTheme="minorEastAsia" w:eastAsiaTheme="minorEastAsia"/>
              </w:rPr>
            </w:pPr>
            <w:r>
              <w:rPr>
                <w:rFonts w:asciiTheme="minorEastAsia" w:hAnsiTheme="minorEastAsia" w:eastAsiaTheme="minorEastAsia"/>
              </w:rPr>
              <w:t>(10)</w:t>
            </w:r>
          </w:p>
        </w:tc>
      </w:tr>
      <w:tr w14:paraId="20CB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936" w:type="pct"/>
            <w:vAlign w:val="center"/>
          </w:tcPr>
          <w:p w14:paraId="5609949B">
            <w:pPr>
              <w:widowControl w:val="0"/>
              <w:jc w:val="both"/>
              <w:rPr>
                <w:rFonts w:ascii="宋体" w:hAnsi="宋体"/>
                <w:color w:val="000000"/>
              </w:rPr>
            </w:pPr>
            <w:r>
              <w:rPr>
                <w:rFonts w:hint="eastAsia" w:ascii="宋体" w:hAnsi="宋体"/>
                <w:color w:val="000000"/>
              </w:rPr>
              <w:t>递延收益</w:t>
            </w:r>
          </w:p>
        </w:tc>
        <w:tc>
          <w:tcPr>
            <w:tcW w:w="1094" w:type="pct"/>
            <w:vAlign w:val="center"/>
          </w:tcPr>
          <w:p w14:paraId="339EF61D">
            <w:pPr>
              <w:widowControl w:val="0"/>
              <w:jc w:val="right"/>
              <w:rPr>
                <w:rFonts w:asciiTheme="minorEastAsia" w:hAnsiTheme="minorEastAsia" w:eastAsiaTheme="minorEastAsia"/>
              </w:rPr>
            </w:pPr>
            <w:r>
              <w:rPr>
                <w:rFonts w:asciiTheme="minorEastAsia" w:hAnsiTheme="minorEastAsia" w:eastAsiaTheme="minorEastAsia"/>
              </w:rPr>
              <w:t>336,273,523.78</w:t>
            </w:r>
          </w:p>
        </w:tc>
        <w:tc>
          <w:tcPr>
            <w:tcW w:w="391" w:type="pct"/>
            <w:vAlign w:val="center"/>
          </w:tcPr>
          <w:p w14:paraId="53BFBDC4">
            <w:pPr>
              <w:widowControl w:val="0"/>
              <w:jc w:val="right"/>
              <w:rPr>
                <w:rFonts w:asciiTheme="minorEastAsia" w:hAnsiTheme="minorEastAsia" w:eastAsiaTheme="minorEastAsia"/>
              </w:rPr>
            </w:pPr>
            <w:r>
              <w:rPr>
                <w:rFonts w:asciiTheme="minorEastAsia" w:hAnsiTheme="minorEastAsia" w:eastAsiaTheme="minorEastAsia"/>
              </w:rPr>
              <w:t>1.50</w:t>
            </w:r>
          </w:p>
        </w:tc>
        <w:tc>
          <w:tcPr>
            <w:tcW w:w="1015" w:type="pct"/>
            <w:vAlign w:val="center"/>
          </w:tcPr>
          <w:p w14:paraId="7F2E4D98">
            <w:pPr>
              <w:widowControl w:val="0"/>
              <w:jc w:val="right"/>
              <w:rPr>
                <w:rFonts w:asciiTheme="minorEastAsia" w:hAnsiTheme="minorEastAsia" w:eastAsiaTheme="minorEastAsia"/>
              </w:rPr>
            </w:pPr>
            <w:r>
              <w:rPr>
                <w:rFonts w:asciiTheme="minorEastAsia" w:hAnsiTheme="minorEastAsia" w:eastAsiaTheme="minorEastAsia"/>
              </w:rPr>
              <w:t>11,361,475.85</w:t>
            </w:r>
          </w:p>
        </w:tc>
        <w:tc>
          <w:tcPr>
            <w:tcW w:w="393" w:type="pct"/>
            <w:vAlign w:val="center"/>
          </w:tcPr>
          <w:p w14:paraId="7514FBF9">
            <w:pPr>
              <w:widowControl w:val="0"/>
              <w:jc w:val="right"/>
              <w:rPr>
                <w:rFonts w:asciiTheme="minorEastAsia" w:hAnsiTheme="minorEastAsia" w:eastAsiaTheme="minorEastAsia"/>
              </w:rPr>
            </w:pPr>
            <w:r>
              <w:rPr>
                <w:rFonts w:asciiTheme="minorEastAsia" w:hAnsiTheme="minorEastAsia" w:eastAsiaTheme="minorEastAsia"/>
              </w:rPr>
              <w:t>0.05</w:t>
            </w:r>
          </w:p>
        </w:tc>
        <w:tc>
          <w:tcPr>
            <w:tcW w:w="702" w:type="pct"/>
            <w:vAlign w:val="center"/>
          </w:tcPr>
          <w:p w14:paraId="0D12FD61">
            <w:pPr>
              <w:widowControl w:val="0"/>
              <w:jc w:val="right"/>
              <w:rPr>
                <w:rFonts w:asciiTheme="minorEastAsia" w:hAnsiTheme="minorEastAsia" w:eastAsiaTheme="minorEastAsia"/>
              </w:rPr>
            </w:pPr>
            <w:r>
              <w:rPr>
                <w:rFonts w:asciiTheme="minorEastAsia" w:hAnsiTheme="minorEastAsia" w:eastAsiaTheme="minorEastAsia"/>
              </w:rPr>
              <w:t>2,859.77</w:t>
            </w:r>
          </w:p>
        </w:tc>
        <w:tc>
          <w:tcPr>
            <w:tcW w:w="469" w:type="pct"/>
            <w:vAlign w:val="center"/>
          </w:tcPr>
          <w:p w14:paraId="122DF9F0">
            <w:pPr>
              <w:widowControl w:val="0"/>
              <w:jc w:val="center"/>
              <w:rPr>
                <w:rFonts w:asciiTheme="minorEastAsia" w:hAnsiTheme="minorEastAsia" w:eastAsiaTheme="minorEastAsia"/>
              </w:rPr>
            </w:pPr>
            <w:r>
              <w:rPr>
                <w:rFonts w:asciiTheme="minorEastAsia" w:hAnsiTheme="minorEastAsia" w:eastAsiaTheme="minorEastAsia"/>
              </w:rPr>
              <w:t>(11)</w:t>
            </w:r>
          </w:p>
        </w:tc>
      </w:tr>
    </w:tbl>
    <w:p w14:paraId="0E6FFC4C"/>
    <w:p w14:paraId="2D0F04D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资产及负债状况的其他说明"/>
        <w:tag w:val="_GBC_cb3eda90e3e24589a444c633ca113f7e"/>
        <w:id w:val="-768771880"/>
        <w:placeholder>
          <w:docPart w:val="GBC22222222222222222222222222222"/>
        </w:placeholder>
      </w:sdtPr>
      <w:sdtEndPr>
        <w:rPr>
          <w:rFonts w:hint="eastAsia"/>
          <w:color w:val="auto"/>
        </w:rPr>
      </w:sdtEndPr>
      <w:sdtContent>
        <w:p w14:paraId="4557ACE8">
          <w:pPr>
            <w:rPr>
              <w:color w:val="000000" w:themeColor="text1"/>
              <w14:textFill>
                <w14:solidFill>
                  <w14:schemeClr w14:val="tx1"/>
                </w14:solidFill>
              </w14:textFill>
            </w:rPr>
          </w:pPr>
          <w:r>
            <w:rPr>
              <w:rFonts w:hint="eastAsia"/>
              <w:color w:val="000000" w:themeColor="text1"/>
              <w14:textFill>
                <w14:solidFill>
                  <w14:schemeClr w14:val="tx1"/>
                </w14:solidFill>
              </w14:textFill>
            </w:rPr>
            <w:t>（1）应收款项融资：期末余额较年初增加主要系回款增加以及用于质押开具票据。</w:t>
          </w:r>
        </w:p>
        <w:p w14:paraId="49B2FAD5">
          <w:pPr>
            <w:rPr>
              <w:color w:val="000000" w:themeColor="text1"/>
              <w14:textFill>
                <w14:solidFill>
                  <w14:schemeClr w14:val="tx1"/>
                </w14:solidFill>
              </w14:textFill>
            </w:rPr>
          </w:pPr>
          <w:r>
            <w:rPr>
              <w:rFonts w:hint="eastAsia"/>
              <w:color w:val="000000" w:themeColor="text1"/>
              <w14:textFill>
                <w14:solidFill>
                  <w14:schemeClr w14:val="tx1"/>
                </w14:solidFill>
              </w14:textFill>
            </w:rPr>
            <w:t>（2）其他应收款：期末余额较年初减少主要系收到新能源补贴款和出口退税款。</w:t>
          </w:r>
        </w:p>
        <w:p w14:paraId="482DF4B9">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rPr>
            <w:t>其他流动资产：期末余额较年初增加主要系一年内银行定期存款及利息增加。</w:t>
          </w:r>
        </w:p>
        <w:p w14:paraId="7450E2AA">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）在建工程：期末余额较年初增加主要系汽车工厂基建技改投入增加。</w:t>
          </w:r>
        </w:p>
        <w:p w14:paraId="6F7AA82B">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）使用权资产：期末余额较年初减少系计提折旧，账面价值减少。</w:t>
          </w:r>
        </w:p>
        <w:p w14:paraId="4904DFD4">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rPr>
            <w:t>其他非流动资产：</w:t>
          </w:r>
          <w:r>
            <w:rPr>
              <w:rFonts w:hint="eastAsia"/>
              <w:color w:val="000000" w:themeColor="text1"/>
              <w14:textFill>
                <w14:solidFill>
                  <w14:schemeClr w14:val="tx1"/>
                </w14:solidFill>
              </w14:textFill>
            </w:rPr>
            <w:t>期末余额较年初增加主要系定期存单增加。</w:t>
          </w:r>
        </w:p>
        <w:p w14:paraId="7AE50C8E">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rStyle w:val="49"/>
              <w:rFonts w:hint="eastAsia" w:asciiTheme="minorEastAsia" w:hAnsiTheme="minorEastAsia" w:eastAsiaTheme="minorEastAsia"/>
              <w:b w:val="0"/>
              <w:color w:val="000000" w:themeColor="text1"/>
              <w14:textFill>
                <w14:solidFill>
                  <w14:schemeClr w14:val="tx1"/>
                </w14:solidFill>
              </w14:textFill>
            </w:rPr>
            <w:t>合同负债：期末余额较年初增加主要系预收客户货款和房款增加。</w:t>
          </w:r>
        </w:p>
        <w:p w14:paraId="5255BBAF">
          <w:pPr>
            <w:rPr>
              <w:rStyle w:val="49"/>
              <w:rFonts w:asciiTheme="minorEastAsia" w:hAnsiTheme="minorEastAsia" w:eastAsiaTheme="minorEastAsia"/>
              <w:b w:val="0"/>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w:t>
          </w:r>
          <w:r>
            <w:rPr>
              <w:rFonts w:hint="eastAsia"/>
              <w:color w:val="000000"/>
            </w:rPr>
            <w:t>应付职工薪酬：期末余额较年初增加主要系公司业务发展，新增业务板块使得人员规模扩大，相应的职工薪酬增加。</w:t>
          </w:r>
        </w:p>
        <w:p w14:paraId="5DE4B119">
          <w:pPr>
            <w:rPr>
              <w:color w:val="000000" w:themeColor="text1"/>
              <w14:textFill>
                <w14:solidFill>
                  <w14:schemeClr w14:val="tx1"/>
                </w14:solidFill>
              </w14:textFill>
            </w:rPr>
          </w:pPr>
          <w:r>
            <w:rPr>
              <w:rStyle w:val="49"/>
              <w:rFonts w:hint="eastAsia" w:asciiTheme="minorEastAsia" w:hAnsiTheme="minorEastAsia" w:eastAsiaTheme="minorEastAsia"/>
              <w:b w:val="0"/>
              <w:color w:val="000000" w:themeColor="text1"/>
              <w14:textFill>
                <w14:solidFill>
                  <w14:schemeClr w14:val="tx1"/>
                </w14:solidFill>
              </w14:textFill>
            </w:rPr>
            <w:t>（</w:t>
          </w:r>
          <w:r>
            <w:rPr>
              <w:rStyle w:val="49"/>
              <w:rFonts w:asciiTheme="minorEastAsia" w:hAnsiTheme="minorEastAsia" w:eastAsiaTheme="minorEastAsia"/>
              <w:b w:val="0"/>
              <w:color w:val="000000" w:themeColor="text1"/>
              <w14:textFill>
                <w14:solidFill>
                  <w14:schemeClr w14:val="tx1"/>
                </w14:solidFill>
              </w14:textFill>
            </w:rPr>
            <w:t>9</w:t>
          </w:r>
          <w:r>
            <w:rPr>
              <w:rStyle w:val="49"/>
              <w:rFonts w:hint="eastAsia" w:asciiTheme="minorEastAsia" w:hAnsiTheme="minorEastAsia" w:eastAsiaTheme="minorEastAsia"/>
              <w:b w:val="0"/>
              <w:color w:val="000000" w:themeColor="text1"/>
              <w14:textFill>
                <w14:solidFill>
                  <w14:schemeClr w14:val="tx1"/>
                </w14:solidFill>
              </w14:textFill>
            </w:rPr>
            <w:t>）应交税费：期末余额较年初减少主要系本期缴纳税费。</w:t>
          </w:r>
        </w:p>
        <w:p w14:paraId="1CC37EA6">
          <w:pPr>
            <w:rPr>
              <w:rStyle w:val="49"/>
              <w:rFonts w:asciiTheme="minorEastAsia" w:hAnsiTheme="minorEastAsia" w:eastAsiaTheme="minorEastAsia"/>
              <w:b w:val="0"/>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r>
            <w:rPr>
              <w:rStyle w:val="49"/>
              <w:rFonts w:hint="eastAsia" w:asciiTheme="minorEastAsia" w:hAnsiTheme="minorEastAsia" w:eastAsiaTheme="minorEastAsia"/>
              <w:b w:val="0"/>
              <w:color w:val="000000" w:themeColor="text1"/>
              <w14:textFill>
                <w14:solidFill>
                  <w14:schemeClr w14:val="tx1"/>
                </w14:solidFill>
              </w14:textFill>
            </w:rPr>
            <w:t>租赁负债：期末余额较年初减少主要系租赁负债按流动性重分类到一年内到期的非流动负债。</w:t>
          </w:r>
        </w:p>
        <w:p w14:paraId="357353FF">
          <w:pPr>
            <w:rPr>
              <w:rStyle w:val="49"/>
              <w:rFonts w:asciiTheme="minorEastAsia" w:hAnsiTheme="minorEastAsia" w:eastAsiaTheme="minorEastAsia"/>
              <w:b w:val="0"/>
              <w:color w:val="000000" w:themeColor="text1"/>
              <w14:textFill>
                <w14:solidFill>
                  <w14:schemeClr w14:val="tx1"/>
                </w14:solidFill>
              </w14:textFill>
            </w:rPr>
          </w:pPr>
          <w:r>
            <w:rPr>
              <w:rStyle w:val="49"/>
              <w:rFonts w:hint="eastAsia" w:asciiTheme="minorEastAsia" w:hAnsiTheme="minorEastAsia" w:eastAsiaTheme="minorEastAsia"/>
              <w:b w:val="0"/>
              <w:color w:val="000000" w:themeColor="text1"/>
              <w14:textFill>
                <w14:solidFill>
                  <w14:schemeClr w14:val="tx1"/>
                </w14:solidFill>
              </w14:textFill>
            </w:rPr>
            <w:t>（</w:t>
          </w:r>
          <w:r>
            <w:rPr>
              <w:rStyle w:val="49"/>
              <w:rFonts w:asciiTheme="minorEastAsia" w:hAnsiTheme="minorEastAsia" w:eastAsiaTheme="minorEastAsia"/>
              <w:b w:val="0"/>
              <w:color w:val="000000" w:themeColor="text1"/>
              <w14:textFill>
                <w14:solidFill>
                  <w14:schemeClr w14:val="tx1"/>
                </w14:solidFill>
              </w14:textFill>
            </w:rPr>
            <w:t>11</w:t>
          </w:r>
          <w:r>
            <w:rPr>
              <w:rStyle w:val="49"/>
              <w:rFonts w:hint="eastAsia" w:asciiTheme="minorEastAsia" w:hAnsiTheme="minorEastAsia" w:eastAsiaTheme="minorEastAsia"/>
              <w:b w:val="0"/>
              <w:color w:val="000000" w:themeColor="text1"/>
              <w14:textFill>
                <w14:solidFill>
                  <w14:schemeClr w14:val="tx1"/>
                </w14:solidFill>
              </w14:textFill>
            </w:rPr>
            <w:t>）递延收益：期末余额较年初增加，主要系本期收到与资产相关的政府补助增加。</w:t>
          </w:r>
        </w:p>
        <w:p w14:paraId="366F8B4F">
          <w:pPr>
            <w:rPr>
              <w:color w:val="000000" w:themeColor="text1"/>
              <w14:textFill>
                <w14:solidFill>
                  <w14:schemeClr w14:val="tx1"/>
                </w14:solidFill>
              </w14:textFill>
            </w:rPr>
          </w:pPr>
        </w:p>
      </w:sdtContent>
    </w:sdt>
    <w:bookmarkEnd w:id="42"/>
    <w:p w14:paraId="596CB1B9">
      <w:pPr>
        <w:pStyle w:val="5"/>
        <w:numPr>
          <w:ilvl w:val="0"/>
          <w:numId w:val="10"/>
        </w:numPr>
        <w:rPr>
          <w:rFonts w:ascii="宋体" w:hAnsi="宋体"/>
          <w:b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t>境外资产情况</w:t>
      </w:r>
    </w:p>
    <w:sdt>
      <w:sdtPr>
        <w:rPr>
          <w:color w:val="000000" w:themeColor="text1"/>
          <w14:textFill>
            <w14:solidFill>
              <w14:schemeClr w14:val="tx1"/>
            </w14:solidFill>
          </w14:textFill>
        </w:rPr>
        <w:alias w:val="是否适用：境外资产情况 [双击切换]"/>
        <w:tag w:val="_GBC_95d71e9a9dcd4966863ba2859a3bf0b7"/>
        <w:id w:val="1361310253"/>
        <w:placeholder>
          <w:docPart w:val="GBC22222222222222222222222222222"/>
        </w:placeholder>
      </w:sdtPr>
      <w:sdtEndPr>
        <w:rPr>
          <w:color w:val="000000" w:themeColor="text1"/>
          <w14:textFill>
            <w14:solidFill>
              <w14:schemeClr w14:val="tx1"/>
            </w14:solidFill>
          </w14:textFill>
        </w:rPr>
      </w:sdtEndPr>
      <w:sdtContent>
        <w:p w14:paraId="12FA674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361466E">
      <w:pPr>
        <w:rPr>
          <w:color w:val="000000" w:themeColor="text1"/>
          <w14:textFill>
            <w14:solidFill>
              <w14:schemeClr w14:val="tx1"/>
            </w14:solidFill>
          </w14:textFill>
        </w:rPr>
      </w:pPr>
      <w:bookmarkStart w:id="43" w:name="_Hlk105685192"/>
    </w:p>
    <w:p w14:paraId="67B1C694">
      <w:pPr>
        <w:rPr>
          <w:color w:val="000000" w:themeColor="text1"/>
          <w14:textFill>
            <w14:solidFill>
              <w14:schemeClr w14:val="tx1"/>
            </w14:solidFill>
          </w14:textFill>
        </w:rPr>
      </w:pPr>
    </w:p>
    <w:bookmarkEnd w:id="43"/>
    <w:p w14:paraId="3AC7FAAB">
      <w:pPr>
        <w:pStyle w:val="5"/>
        <w:numPr>
          <w:ilvl w:val="0"/>
          <w:numId w:val="10"/>
        </w:numPr>
        <w:rPr>
          <w:rFonts w:ascii="宋体" w:hAnsi="宋体"/>
          <w:b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t>截至报告期末主要资产受限情况</w:t>
      </w:r>
    </w:p>
    <w:sdt>
      <w:sdtPr>
        <w:rPr>
          <w:rFonts w:hint="eastAsia"/>
          <w:color w:val="000000" w:themeColor="text1"/>
          <w14:textFill>
            <w14:solidFill>
              <w14:schemeClr w14:val="tx1"/>
            </w14:solidFill>
          </w14:textFill>
        </w:rPr>
        <w:alias w:val="是否适用：主要资产受限情况[双击切换]"/>
        <w:tag w:val="_GBC_e9f1a2b3f13345eaac848c40837fffbb"/>
        <w:id w:val="368655128"/>
        <w:placeholder>
          <w:docPart w:val="GBC22222222222222222222222222222"/>
        </w:placeholder>
      </w:sdtPr>
      <w:sdtEndPr>
        <w:rPr>
          <w:rFonts w:hint="eastAsia"/>
          <w:color w:val="000000" w:themeColor="text1"/>
          <w14:textFill>
            <w14:solidFill>
              <w14:schemeClr w14:val="tx1"/>
            </w14:solidFill>
          </w14:textFill>
        </w:rPr>
      </w:sdtEndPr>
      <w:sdtContent>
        <w:p w14:paraId="720F710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主要资产受限情况"/>
        <w:tag w:val="_GBC_a45de9537ca94b758cc1d9c201a60b53"/>
        <w:id w:val="1391082063"/>
        <w:placeholder>
          <w:docPart w:val="GBC22222222222222222222222222222"/>
        </w:placeholder>
      </w:sdtPr>
      <w:sdtEndPr>
        <w:rPr>
          <w:color w:val="000000" w:themeColor="text1"/>
          <w14:textFill>
            <w14:solidFill>
              <w14:schemeClr w14:val="tx1"/>
            </w14:solidFill>
          </w14:textFill>
        </w:rPr>
      </w:sdtEndPr>
      <w:sdtContent>
        <w:p w14:paraId="7C1ED0EA">
          <w:pPr>
            <w:ind w:firstLine="6300" w:firstLineChars="3000"/>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：元</w:t>
          </w:r>
        </w:p>
        <w:tbl>
          <w:tblPr>
            <w:tblStyle w:val="74"/>
            <w:tblW w:w="5000" w:type="pct"/>
            <w:tblInd w:w="0" w:type="dxa"/>
            <w:tblLayout w:type="autofit"/>
            <w:tblCellMar>
              <w:top w:w="0" w:type="dxa"/>
              <w:left w:w="0" w:type="dxa"/>
              <w:bottom w:w="0" w:type="dxa"/>
              <w:right w:w="0" w:type="dxa"/>
            </w:tblCellMar>
          </w:tblPr>
          <w:tblGrid>
            <w:gridCol w:w="2413"/>
            <w:gridCol w:w="3130"/>
            <w:gridCol w:w="3310"/>
          </w:tblGrid>
          <w:tr w14:paraId="2BB5116C">
            <w:tblPrEx>
              <w:tblCellMar>
                <w:top w:w="0" w:type="dxa"/>
                <w:left w:w="0" w:type="dxa"/>
                <w:bottom w:w="0" w:type="dxa"/>
                <w:right w:w="0" w:type="dxa"/>
              </w:tblCellMar>
            </w:tblPrEx>
            <w:trPr>
              <w:trHeight w:val="340" w:hRule="atLeast"/>
            </w:trPr>
            <w:tc>
              <w:tcPr>
                <w:tcW w:w="1363"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DC35049">
                <w:pPr>
                  <w:jc w:val="center"/>
                  <w:textAlignment w:val="center"/>
                  <w:rPr>
                    <w:rFonts w:ascii="宋体" w:hAnsi="宋体"/>
                  </w:rPr>
                </w:pPr>
                <w:r>
                  <w:rPr>
                    <w:rFonts w:hint="eastAsia" w:ascii="宋体" w:hAnsi="宋体"/>
                    <w:lang w:bidi="ar"/>
                  </w:rPr>
                  <w:t>项目</w:t>
                </w:r>
              </w:p>
            </w:tc>
            <w:tc>
              <w:tcPr>
                <w:tcW w:w="1768"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8EBF58F">
                <w:pPr>
                  <w:jc w:val="center"/>
                  <w:textAlignment w:val="top"/>
                  <w:rPr>
                    <w:rFonts w:ascii="宋体" w:hAnsi="宋体"/>
                  </w:rPr>
                </w:pPr>
                <w:r>
                  <w:rPr>
                    <w:rFonts w:hint="eastAsia" w:ascii="宋体" w:hAnsi="宋体"/>
                    <w:lang w:bidi="ar"/>
                  </w:rPr>
                  <w:t>金额</w:t>
                </w:r>
              </w:p>
            </w:tc>
            <w:tc>
              <w:tcPr>
                <w:tcW w:w="1870"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7F383E25">
                <w:pPr>
                  <w:jc w:val="center"/>
                  <w:textAlignment w:val="top"/>
                  <w:rPr>
                    <w:rFonts w:ascii="宋体" w:hAnsi="宋体"/>
                  </w:rPr>
                </w:pPr>
                <w:r>
                  <w:rPr>
                    <w:rFonts w:hint="eastAsia" w:ascii="宋体" w:hAnsi="宋体"/>
                    <w:lang w:bidi="ar"/>
                  </w:rPr>
                  <w:t>受限原因</w:t>
                </w:r>
              </w:p>
            </w:tc>
          </w:tr>
          <w:tr w14:paraId="147E9360">
            <w:tblPrEx>
              <w:tblCellMar>
                <w:top w:w="0" w:type="dxa"/>
                <w:left w:w="0" w:type="dxa"/>
                <w:bottom w:w="0" w:type="dxa"/>
                <w:right w:w="0" w:type="dxa"/>
              </w:tblCellMar>
            </w:tblPrEx>
            <w:trPr>
              <w:trHeight w:val="340" w:hRule="atLeast"/>
            </w:trPr>
            <w:tc>
              <w:tcPr>
                <w:tcW w:w="136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C6A1900">
                <w:pPr>
                  <w:jc w:val="center"/>
                  <w:textAlignment w:val="top"/>
                  <w:rPr>
                    <w:rFonts w:ascii="宋体" w:hAnsi="宋体"/>
                  </w:rPr>
                </w:pPr>
                <w:r>
                  <w:rPr>
                    <w:rFonts w:hint="eastAsia" w:ascii="宋体" w:hAnsi="宋体"/>
                    <w:lang w:bidi="ar"/>
                  </w:rPr>
                  <w:t>货币资金</w:t>
                </w:r>
              </w:p>
            </w:tc>
            <w:tc>
              <w:tcPr>
                <w:tcW w:w="17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D4DFAC0">
                <w:pPr>
                  <w:ind w:right="105" w:rightChars="50"/>
                  <w:jc w:val="right"/>
                  <w:textAlignment w:val="center"/>
                  <w:rPr>
                    <w:rFonts w:ascii="宋体" w:hAnsi="宋体"/>
                  </w:rPr>
                </w:pPr>
                <w:r>
                  <w:rPr>
                    <w:rFonts w:ascii="宋体" w:hAnsi="宋体"/>
                  </w:rPr>
                  <w:t>1,337,418,935.01</w:t>
                </w:r>
              </w:p>
            </w:tc>
            <w:tc>
              <w:tcPr>
                <w:tcW w:w="187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3998B36">
                <w:pPr>
                  <w:jc w:val="center"/>
                  <w:textAlignment w:val="center"/>
                  <w:rPr>
                    <w:rFonts w:ascii="宋体" w:hAnsi="宋体"/>
                  </w:rPr>
                </w:pPr>
                <w:r>
                  <w:rPr>
                    <w:rFonts w:hint="eastAsia" w:ascii="宋体" w:hAnsi="宋体"/>
                    <w:lang w:bidi="ar"/>
                  </w:rPr>
                  <w:t>冻结、保证金</w:t>
                </w:r>
              </w:p>
            </w:tc>
          </w:tr>
          <w:tr w14:paraId="0CB53B2C">
            <w:tblPrEx>
              <w:tblCellMar>
                <w:top w:w="0" w:type="dxa"/>
                <w:left w:w="0" w:type="dxa"/>
                <w:bottom w:w="0" w:type="dxa"/>
                <w:right w:w="0" w:type="dxa"/>
              </w:tblCellMar>
            </w:tblPrEx>
            <w:trPr>
              <w:trHeight w:val="340" w:hRule="atLeast"/>
            </w:trPr>
            <w:tc>
              <w:tcPr>
                <w:tcW w:w="136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56E88DE9">
                <w:pPr>
                  <w:jc w:val="center"/>
                  <w:textAlignment w:val="top"/>
                  <w:rPr>
                    <w:rFonts w:ascii="宋体" w:hAnsi="宋体"/>
                    <w:lang w:bidi="ar"/>
                  </w:rPr>
                </w:pPr>
                <w:r>
                  <w:rPr>
                    <w:rFonts w:ascii="宋体" w:hAnsi="宋体"/>
                  </w:rPr>
                  <w:t>应收票据</w:t>
                </w:r>
              </w:p>
            </w:tc>
            <w:tc>
              <w:tcPr>
                <w:tcW w:w="17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298FACA">
                <w:pPr>
                  <w:ind w:right="105" w:rightChars="50"/>
                  <w:jc w:val="right"/>
                  <w:textAlignment w:val="center"/>
                  <w:rPr>
                    <w:rFonts w:ascii="宋体" w:hAnsi="宋体"/>
                  </w:rPr>
                </w:pPr>
                <w:r>
                  <w:rPr>
                    <w:rFonts w:ascii="宋体" w:hAnsi="宋体"/>
                  </w:rPr>
                  <w:t>37,799,162.67</w:t>
                </w:r>
              </w:p>
            </w:tc>
            <w:tc>
              <w:tcPr>
                <w:tcW w:w="187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1D9D460">
                <w:pPr>
                  <w:jc w:val="center"/>
                  <w:textAlignment w:val="center"/>
                  <w:rPr>
                    <w:rFonts w:ascii="宋体" w:hAnsi="宋体"/>
                    <w:lang w:bidi="ar"/>
                  </w:rPr>
                </w:pPr>
                <w:r>
                  <w:t>为开具银行承兑汇票提供质押担保</w:t>
                </w:r>
              </w:p>
            </w:tc>
          </w:tr>
          <w:tr w14:paraId="1D3983CC">
            <w:tblPrEx>
              <w:tblCellMar>
                <w:top w:w="0" w:type="dxa"/>
                <w:left w:w="0" w:type="dxa"/>
                <w:bottom w:w="0" w:type="dxa"/>
                <w:right w:w="0" w:type="dxa"/>
              </w:tblCellMar>
            </w:tblPrEx>
            <w:trPr>
              <w:trHeight w:val="340" w:hRule="atLeast"/>
            </w:trPr>
            <w:tc>
              <w:tcPr>
                <w:tcW w:w="136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FABC7BA">
                <w:pPr>
                  <w:jc w:val="center"/>
                  <w:textAlignment w:val="top"/>
                  <w:rPr>
                    <w:rFonts w:ascii="宋体" w:hAnsi="宋体"/>
                  </w:rPr>
                </w:pPr>
                <w:r>
                  <w:t>应收款项融资</w:t>
                </w:r>
              </w:p>
            </w:tc>
            <w:tc>
              <w:tcPr>
                <w:tcW w:w="17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C19DBA7">
                <w:pPr>
                  <w:ind w:right="105" w:rightChars="50"/>
                  <w:jc w:val="right"/>
                  <w:textAlignment w:val="center"/>
                  <w:rPr>
                    <w:rFonts w:ascii="宋体" w:hAnsi="宋体"/>
                  </w:rPr>
                </w:pPr>
                <w:r>
                  <w:rPr>
                    <w:rFonts w:ascii="宋体" w:hAnsi="宋体"/>
                  </w:rPr>
                  <w:t>234,968,596.32</w:t>
                </w:r>
              </w:p>
            </w:tc>
            <w:tc>
              <w:tcPr>
                <w:tcW w:w="187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0C482C">
                <w:pPr>
                  <w:jc w:val="center"/>
                  <w:textAlignment w:val="center"/>
                  <w:rPr>
                    <w:rFonts w:ascii="宋体" w:hAnsi="宋体"/>
                  </w:rPr>
                </w:pPr>
                <w:r>
                  <w:t>为开具银行承兑汇票提供质押担保</w:t>
                </w:r>
              </w:p>
            </w:tc>
          </w:tr>
          <w:tr w14:paraId="78677279">
            <w:tblPrEx>
              <w:tblCellMar>
                <w:top w:w="0" w:type="dxa"/>
                <w:left w:w="0" w:type="dxa"/>
                <w:bottom w:w="0" w:type="dxa"/>
                <w:right w:w="0" w:type="dxa"/>
              </w:tblCellMar>
            </w:tblPrEx>
            <w:trPr>
              <w:trHeight w:val="340" w:hRule="atLeast"/>
            </w:trPr>
            <w:tc>
              <w:tcPr>
                <w:tcW w:w="136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281EB59">
                <w:pPr>
                  <w:jc w:val="center"/>
                  <w:textAlignment w:val="top"/>
                  <w:rPr>
                    <w:rFonts w:ascii="宋体" w:hAnsi="宋体"/>
                  </w:rPr>
                </w:pPr>
                <w:r>
                  <w:rPr>
                    <w:rFonts w:hint="eastAsia" w:ascii="宋体" w:hAnsi="宋体"/>
                    <w:lang w:bidi="ar"/>
                  </w:rPr>
                  <w:t>固定资产</w:t>
                </w:r>
              </w:p>
            </w:tc>
            <w:tc>
              <w:tcPr>
                <w:tcW w:w="17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D2E7EB1">
                <w:pPr>
                  <w:ind w:right="105" w:rightChars="50"/>
                  <w:jc w:val="right"/>
                  <w:textAlignment w:val="center"/>
                  <w:rPr>
                    <w:rFonts w:ascii="宋体" w:hAnsi="宋体"/>
                  </w:rPr>
                </w:pPr>
                <w:r>
                  <w:rPr>
                    <w:rFonts w:ascii="宋体" w:hAnsi="宋体"/>
                  </w:rPr>
                  <w:t>403,993,813.22</w:t>
                </w:r>
              </w:p>
            </w:tc>
            <w:tc>
              <w:tcPr>
                <w:tcW w:w="187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BBEF91C">
                <w:pPr>
                  <w:jc w:val="center"/>
                  <w:textAlignment w:val="center"/>
                  <w:rPr>
                    <w:rFonts w:ascii="宋体" w:hAnsi="宋体"/>
                  </w:rPr>
                </w:pPr>
                <w:r>
                  <w:rPr>
                    <w:rFonts w:hint="eastAsia" w:ascii="宋体" w:hAnsi="宋体"/>
                    <w:lang w:bidi="ar"/>
                  </w:rPr>
                  <w:t>借款抵押</w:t>
                </w:r>
              </w:p>
            </w:tc>
          </w:tr>
          <w:tr w14:paraId="75B9A18F">
            <w:tblPrEx>
              <w:tblCellMar>
                <w:top w:w="0" w:type="dxa"/>
                <w:left w:w="0" w:type="dxa"/>
                <w:bottom w:w="0" w:type="dxa"/>
                <w:right w:w="0" w:type="dxa"/>
              </w:tblCellMar>
            </w:tblPrEx>
            <w:trPr>
              <w:trHeight w:val="340" w:hRule="atLeast"/>
            </w:trPr>
            <w:tc>
              <w:tcPr>
                <w:tcW w:w="136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39F7ADA">
                <w:pPr>
                  <w:jc w:val="center"/>
                  <w:textAlignment w:val="top"/>
                  <w:rPr>
                    <w:rFonts w:ascii="宋体" w:hAnsi="宋体"/>
                  </w:rPr>
                </w:pPr>
                <w:r>
                  <w:rPr>
                    <w:rFonts w:hint="eastAsia" w:ascii="宋体" w:hAnsi="宋体"/>
                    <w:lang w:bidi="ar"/>
                  </w:rPr>
                  <w:t>无形资产</w:t>
                </w:r>
              </w:p>
            </w:tc>
            <w:tc>
              <w:tcPr>
                <w:tcW w:w="17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838D072">
                <w:pPr>
                  <w:ind w:right="105" w:rightChars="50"/>
                  <w:jc w:val="right"/>
                  <w:textAlignment w:val="center"/>
                  <w:rPr>
                    <w:rFonts w:ascii="宋体" w:hAnsi="宋体"/>
                  </w:rPr>
                </w:pPr>
                <w:r>
                  <w:rPr>
                    <w:rFonts w:ascii="宋体" w:hAnsi="宋体"/>
                  </w:rPr>
                  <w:t>444,102,687.67</w:t>
                </w:r>
              </w:p>
            </w:tc>
            <w:tc>
              <w:tcPr>
                <w:tcW w:w="187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6A15153">
                <w:pPr>
                  <w:jc w:val="center"/>
                  <w:textAlignment w:val="center"/>
                  <w:rPr>
                    <w:rFonts w:ascii="宋体" w:hAnsi="宋体"/>
                  </w:rPr>
                </w:pPr>
                <w:r>
                  <w:rPr>
                    <w:rFonts w:hint="eastAsia" w:ascii="宋体" w:hAnsi="宋体"/>
                  </w:rPr>
                  <w:t>借款抵押</w:t>
                </w:r>
              </w:p>
            </w:tc>
          </w:tr>
          <w:tr w14:paraId="3CA52A67">
            <w:tblPrEx>
              <w:tblCellMar>
                <w:top w:w="0" w:type="dxa"/>
                <w:left w:w="0" w:type="dxa"/>
                <w:bottom w:w="0" w:type="dxa"/>
                <w:right w:w="0" w:type="dxa"/>
              </w:tblCellMar>
            </w:tblPrEx>
            <w:trPr>
              <w:trHeight w:val="340" w:hRule="atLeast"/>
            </w:trPr>
            <w:tc>
              <w:tcPr>
                <w:tcW w:w="136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D77E4EE">
                <w:pPr>
                  <w:jc w:val="center"/>
                  <w:textAlignment w:val="top"/>
                  <w:rPr>
                    <w:rFonts w:ascii="宋体" w:hAnsi="宋体"/>
                  </w:rPr>
                </w:pPr>
                <w:r>
                  <w:rPr>
                    <w:rFonts w:hint="eastAsia" w:ascii="宋体" w:hAnsi="宋体"/>
                    <w:lang w:bidi="ar"/>
                  </w:rPr>
                  <w:t>长期股权投资</w:t>
                </w:r>
              </w:p>
            </w:tc>
            <w:tc>
              <w:tcPr>
                <w:tcW w:w="17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B967393">
                <w:pPr>
                  <w:ind w:right="105" w:rightChars="50"/>
                  <w:jc w:val="right"/>
                  <w:textAlignment w:val="center"/>
                  <w:rPr>
                    <w:rFonts w:ascii="宋体" w:hAnsi="宋体"/>
                  </w:rPr>
                </w:pPr>
                <w:r>
                  <w:rPr>
                    <w:rFonts w:hint="eastAsia" w:ascii="宋体" w:hAnsi="宋体"/>
                  </w:rPr>
                  <w:t>2</w:t>
                </w:r>
                <w:r>
                  <w:rPr>
                    <w:rFonts w:ascii="宋体" w:hAnsi="宋体"/>
                  </w:rPr>
                  <w:t>,049,922,645.87</w:t>
                </w:r>
              </w:p>
            </w:tc>
            <w:tc>
              <w:tcPr>
                <w:tcW w:w="187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5DCA4A5">
                <w:pPr>
                  <w:jc w:val="center"/>
                  <w:textAlignment w:val="center"/>
                  <w:rPr>
                    <w:rFonts w:ascii="宋体" w:hAnsi="宋体"/>
                  </w:rPr>
                </w:pPr>
                <w:r>
                  <w:rPr>
                    <w:rFonts w:hint="eastAsia" w:ascii="宋体" w:hAnsi="宋体"/>
                    <w:lang w:bidi="ar"/>
                  </w:rPr>
                  <w:t>借款质押</w:t>
                </w:r>
              </w:p>
            </w:tc>
          </w:tr>
          <w:tr w14:paraId="1B28B2E6">
            <w:tblPrEx>
              <w:tblCellMar>
                <w:top w:w="0" w:type="dxa"/>
                <w:left w:w="0" w:type="dxa"/>
                <w:bottom w:w="0" w:type="dxa"/>
                <w:right w:w="0" w:type="dxa"/>
              </w:tblCellMar>
            </w:tblPrEx>
            <w:trPr>
              <w:trHeight w:val="340" w:hRule="atLeast"/>
            </w:trPr>
            <w:tc>
              <w:tcPr>
                <w:tcW w:w="136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275890CE">
                <w:pPr>
                  <w:jc w:val="center"/>
                  <w:textAlignment w:val="top"/>
                  <w:rPr>
                    <w:rFonts w:ascii="宋体" w:hAnsi="宋体"/>
                  </w:rPr>
                </w:pPr>
                <w:r>
                  <w:rPr>
                    <w:rFonts w:hint="eastAsia" w:ascii="宋体" w:hAnsi="宋体"/>
                    <w:lang w:bidi="ar"/>
                  </w:rPr>
                  <w:t>投资性房地产</w:t>
                </w:r>
              </w:p>
            </w:tc>
            <w:tc>
              <w:tcPr>
                <w:tcW w:w="17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BB7EB15">
                <w:pPr>
                  <w:ind w:right="105" w:rightChars="50"/>
                  <w:jc w:val="right"/>
                  <w:textAlignment w:val="center"/>
                  <w:rPr>
                    <w:rFonts w:ascii="宋体" w:hAnsi="宋体"/>
                  </w:rPr>
                </w:pPr>
                <w:r>
                  <w:rPr>
                    <w:rFonts w:ascii="宋体" w:hAnsi="宋体"/>
                  </w:rPr>
                  <w:t>2,608,517,076.28</w:t>
                </w:r>
              </w:p>
            </w:tc>
            <w:tc>
              <w:tcPr>
                <w:tcW w:w="187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9C2399B">
                <w:pPr>
                  <w:jc w:val="center"/>
                  <w:textAlignment w:val="center"/>
                  <w:rPr>
                    <w:rFonts w:ascii="宋体" w:hAnsi="宋体"/>
                  </w:rPr>
                </w:pPr>
                <w:r>
                  <w:rPr>
                    <w:rFonts w:hint="eastAsia" w:ascii="宋体" w:hAnsi="宋体"/>
                    <w:lang w:bidi="ar"/>
                  </w:rPr>
                  <w:t>借款抵押</w:t>
                </w:r>
              </w:p>
            </w:tc>
          </w:tr>
          <w:tr w14:paraId="4CB4F421">
            <w:tblPrEx>
              <w:tblCellMar>
                <w:top w:w="0" w:type="dxa"/>
                <w:left w:w="0" w:type="dxa"/>
                <w:bottom w:w="0" w:type="dxa"/>
                <w:right w:w="0" w:type="dxa"/>
              </w:tblCellMar>
            </w:tblPrEx>
            <w:trPr>
              <w:trHeight w:val="340" w:hRule="atLeast"/>
            </w:trPr>
            <w:tc>
              <w:tcPr>
                <w:tcW w:w="1363" w:type="pct"/>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363CEE4">
                <w:pPr>
                  <w:jc w:val="center"/>
                  <w:textAlignment w:val="top"/>
                  <w:rPr>
                    <w:rFonts w:ascii="宋体" w:hAnsi="宋体"/>
                  </w:rPr>
                </w:pPr>
                <w:r>
                  <w:rPr>
                    <w:rFonts w:hint="eastAsia" w:ascii="宋体" w:hAnsi="宋体"/>
                    <w:lang w:bidi="ar"/>
                  </w:rPr>
                  <w:t>合计</w:t>
                </w:r>
              </w:p>
            </w:tc>
            <w:tc>
              <w:tcPr>
                <w:tcW w:w="17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04B02F">
                <w:pPr>
                  <w:ind w:right="105" w:rightChars="50"/>
                  <w:jc w:val="right"/>
                  <w:textAlignment w:val="center"/>
                  <w:rPr>
                    <w:rFonts w:ascii="宋体" w:hAnsi="宋体"/>
                  </w:rPr>
                </w:pPr>
                <w:r>
                  <w:rPr>
                    <w:rFonts w:ascii="宋体" w:hAnsi="宋体"/>
                  </w:rPr>
                  <w:t>7,116,722,917.04</w:t>
                </w:r>
              </w:p>
            </w:tc>
            <w:tc>
              <w:tcPr>
                <w:tcW w:w="1870"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tcPr>
              <w:p w14:paraId="79E7CD1E">
                <w:pPr>
                  <w:jc w:val="center"/>
                  <w:textAlignment w:val="top"/>
                  <w:rPr>
                    <w:rFonts w:ascii="宋体" w:hAnsi="宋体"/>
                  </w:rPr>
                </w:pPr>
              </w:p>
            </w:tc>
          </w:tr>
        </w:tbl>
        <w:p w14:paraId="5500CFD6">
          <w:pPr>
            <w:rPr>
              <w:color w:val="000000" w:themeColor="text1"/>
              <w14:textFill>
                <w14:solidFill>
                  <w14:schemeClr w14:val="tx1"/>
                </w14:solidFill>
              </w14:textFill>
            </w:rPr>
          </w:pPr>
        </w:p>
      </w:sdtContent>
    </w:sdt>
    <w:p w14:paraId="56B02C4F">
      <w:pPr>
        <w:pStyle w:val="5"/>
        <w:numPr>
          <w:ilvl w:val="0"/>
          <w:numId w:val="10"/>
        </w:numPr>
        <w:rPr>
          <w:rFonts w:ascii="宋体" w:hAnsi="宋体"/>
          <w:b w:val="0"/>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是否适用：资产及负债状况的其他说明[双击切换]"/>
        <w:tag w:val="_GBC_ba674147d80648fba521aedf33ce0b27"/>
        <w:id w:val="997769679"/>
        <w:placeholder>
          <w:docPart w:val="GBC22222222222222222222222222222"/>
        </w:placeholder>
      </w:sdtPr>
      <w:sdtEndPr>
        <w:rPr>
          <w:rFonts w:hint="eastAsia"/>
          <w:color w:val="000000" w:themeColor="text1"/>
          <w14:textFill>
            <w14:solidFill>
              <w14:schemeClr w14:val="tx1"/>
            </w14:solidFill>
          </w14:textFill>
        </w:rPr>
      </w:sdtEndPr>
      <w:sdtContent>
        <w:p w14:paraId="06E2242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2C9663">
      <w:pPr>
        <w:pStyle w:val="4"/>
        <w:numPr>
          <w:ilvl w:val="0"/>
          <w:numId w:val="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投资状况分析</w:t>
      </w:r>
    </w:p>
    <w:p w14:paraId="37739BEF">
      <w:pPr>
        <w:pStyle w:val="5"/>
        <w:numPr>
          <w:ilvl w:val="0"/>
          <w:numId w:val="11"/>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对外股权投资总体分析</w:t>
      </w:r>
    </w:p>
    <w:p w14:paraId="5CF9A78D">
      <w:pPr>
        <w:spacing w:line="360" w:lineRule="auto"/>
        <w:rPr>
          <w:color w:val="000000" w:themeColor="text1"/>
          <w14:textFill>
            <w14:solidFill>
              <w14:schemeClr w14:val="tx1"/>
            </w14:solidFill>
          </w14:textFill>
        </w:rPr>
      </w:pPr>
      <w:sdt>
        <w:sdtPr>
          <w:rPr>
            <w:color w:val="000000" w:themeColor="text1"/>
            <w14:textFill>
              <w14:solidFill>
                <w14:schemeClr w14:val="tx1"/>
              </w14:solidFill>
            </w14:textFill>
          </w:rPr>
          <w:alias w:val="是否适用：对外股权投资总体分析[双击切换]"/>
          <w:tag w:val="_GBC_d1852fb41d2a420f9f1d78c35235341a"/>
          <w:id w:val="2064674154"/>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sdt>
      <w:sdtPr>
        <w:rPr>
          <w:color w:val="000000" w:themeColor="text1"/>
          <w14:textFill>
            <w14:solidFill>
              <w14:schemeClr w14:val="tx1"/>
            </w14:solidFill>
          </w14:textFill>
        </w:rPr>
        <w:alias w:val="对外股权投资总体分析"/>
        <w:tag w:val="_GBC_cef6637b11fc44ed960eb269931b50e8"/>
        <w:id w:val="-806010505"/>
        <w:placeholder>
          <w:docPart w:val="GBC22222222222222222222222222222"/>
        </w:placeholder>
      </w:sdtPr>
      <w:sdtEndPr>
        <w:rPr>
          <w:color w:val="000000" w:themeColor="text1"/>
          <w14:textFill>
            <w14:solidFill>
              <w14:schemeClr w14:val="tx1"/>
            </w14:solidFill>
          </w14:textFill>
        </w:rPr>
      </w:sdtEndPr>
      <w:sdtContent>
        <w:p w14:paraId="6C0E8E0F">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报告期内，本公司股权投资总额为30</w:t>
          </w:r>
          <w:r>
            <w:rPr>
              <w:color w:val="000000" w:themeColor="text1"/>
              <w14:textFill>
                <w14:solidFill>
                  <w14:schemeClr w14:val="tx1"/>
                </w14:solidFill>
              </w14:textFill>
            </w:rPr>
            <w:t>0.00</w:t>
          </w:r>
          <w:r>
            <w:rPr>
              <w:rFonts w:hint="eastAsia"/>
              <w:color w:val="000000" w:themeColor="text1"/>
              <w14:textFill>
                <w14:solidFill>
                  <w14:schemeClr w14:val="tx1"/>
                </w14:solidFill>
              </w14:textFill>
            </w:rPr>
            <w:t>万元，上年同期无股权投资，股权投资总额同比增长100% 。</w:t>
          </w:r>
        </w:p>
      </w:sdtContent>
    </w:sdt>
    <w:p w14:paraId="31E568D7">
      <w:pPr>
        <w:spacing w:line="360" w:lineRule="auto"/>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p w14:paraId="7B0FA6F8">
      <w:pPr>
        <w:pStyle w:val="6"/>
        <w:numPr>
          <w:ilvl w:val="0"/>
          <w:numId w:val="12"/>
        </w:numPr>
        <w:tabs>
          <w:tab w:val="left" w:pos="360"/>
        </w:tabs>
        <w:ind w:left="0" w:firstLine="0"/>
        <w:rPr>
          <w:color w:val="000000" w:themeColor="text1"/>
          <w:szCs w:val="21"/>
          <w14:textFill>
            <w14:solidFill>
              <w14:schemeClr w14:val="tx1"/>
            </w14:solidFill>
          </w14:textFill>
        </w:rPr>
      </w:pPr>
      <w:bookmarkStart w:id="44" w:name="_Hlk137045665"/>
      <w:r>
        <w:rPr>
          <w:rFonts w:hint="eastAsia"/>
          <w:color w:val="000000" w:themeColor="text1"/>
          <w:szCs w:val="21"/>
          <w14:textFill>
            <w14:solidFill>
              <w14:schemeClr w14:val="tx1"/>
            </w14:solidFill>
          </w14:textFill>
        </w:rPr>
        <w:t>重大的股权投资</w:t>
      </w:r>
    </w:p>
    <w:sdt>
      <w:sdtPr>
        <w:rPr>
          <w:rFonts w:hint="eastAsia"/>
          <w:color w:val="000000" w:themeColor="text1"/>
          <w14:textFill>
            <w14:solidFill>
              <w14:schemeClr w14:val="tx1"/>
            </w14:solidFill>
          </w14:textFill>
        </w:rPr>
        <w:alias w:val="是否适用：重大的股权投资[双击切换]"/>
        <w:tag w:val="_GBC_9d4d997d9f994cccbb938afa207cfaf2"/>
        <w:id w:val="-1009287607"/>
        <w:placeholder>
          <w:docPart w:val="GBC22222222222222222222222222222"/>
        </w:placeholder>
      </w:sdtPr>
      <w:sdtEndPr>
        <w:rPr>
          <w:rFonts w:hint="eastAsia"/>
          <w:color w:val="000000" w:themeColor="text1"/>
          <w14:textFill>
            <w14:solidFill>
              <w14:schemeClr w14:val="tx1"/>
            </w14:solidFill>
          </w14:textFill>
        </w:rPr>
      </w:sdtEndPr>
      <w:sdtContent>
        <w:p w14:paraId="218C275B">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4"/>
    <w:p w14:paraId="6027510C">
      <w:pPr>
        <w:rPr>
          <w:color w:val="000000" w:themeColor="text1"/>
          <w14:textFill>
            <w14:solidFill>
              <w14:schemeClr w14:val="tx1"/>
            </w14:solidFill>
          </w14:textFill>
        </w:rPr>
      </w:pPr>
    </w:p>
    <w:p w14:paraId="6CEF9050">
      <w:pPr>
        <w:pStyle w:val="6"/>
        <w:numPr>
          <w:ilvl w:val="0"/>
          <w:numId w:val="12"/>
        </w:numPr>
        <w:tabs>
          <w:tab w:val="left" w:pos="360"/>
        </w:tabs>
        <w:ind w:left="0" w:firstLine="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重大的非股权投资</w:t>
      </w:r>
    </w:p>
    <w:sdt>
      <w:sdtPr>
        <w:rPr>
          <w:rFonts w:hint="eastAsia"/>
          <w:color w:val="000000" w:themeColor="text1"/>
          <w14:textFill>
            <w14:solidFill>
              <w14:schemeClr w14:val="tx1"/>
            </w14:solidFill>
          </w14:textFill>
        </w:rPr>
        <w:alias w:val="是否适用：重大的非股权投资[双击切换]"/>
        <w:tag w:val="_GBC_ea7fdcb7583549f38c0db41e73af0a8b"/>
        <w:id w:val="201129854"/>
        <w:placeholder>
          <w:docPart w:val="GBC22222222222222222222222222222"/>
        </w:placeholder>
      </w:sdtPr>
      <w:sdtEndPr>
        <w:rPr>
          <w:rFonts w:hint="eastAsia"/>
          <w:color w:val="000000" w:themeColor="text1"/>
          <w14:textFill>
            <w14:solidFill>
              <w14:schemeClr w14:val="tx1"/>
            </w14:solidFill>
          </w14:textFill>
        </w:rPr>
      </w:sdtEndPr>
      <w:sdtContent>
        <w:p w14:paraId="0FB37C1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E6BF290">
      <w:pPr>
        <w:rPr>
          <w:color w:val="000000" w:themeColor="text1"/>
          <w14:textFill>
            <w14:solidFill>
              <w14:schemeClr w14:val="tx1"/>
            </w14:solidFill>
          </w14:textFill>
        </w:rPr>
      </w:pPr>
    </w:p>
    <w:p w14:paraId="3C67F53B">
      <w:pPr>
        <w:pStyle w:val="6"/>
        <w:numPr>
          <w:ilvl w:val="0"/>
          <w:numId w:val="12"/>
        </w:numPr>
        <w:tabs>
          <w:tab w:val="left" w:pos="360"/>
        </w:tabs>
        <w:ind w:left="0" w:firstLine="0"/>
        <w:rPr>
          <w:color w:val="000000" w:themeColor="text1"/>
          <w:szCs w:val="21"/>
          <w14:textFill>
            <w14:solidFill>
              <w14:schemeClr w14:val="tx1"/>
            </w14:solidFill>
          </w14:textFill>
        </w:rPr>
      </w:pPr>
      <w:bookmarkStart w:id="45" w:name="_Hlk40532846"/>
      <w:bookmarkStart w:id="46" w:name="_Hlk137045755"/>
      <w:r>
        <w:rPr>
          <w:rFonts w:hint="eastAsia"/>
          <w:color w:val="000000" w:themeColor="text1"/>
          <w:szCs w:val="21"/>
          <w14:textFill>
            <w14:solidFill>
              <w14:schemeClr w14:val="tx1"/>
            </w14:solidFill>
          </w14:textFill>
        </w:rPr>
        <w:t>以公允价值计量的金融资产</w:t>
      </w:r>
    </w:p>
    <w:sdt>
      <w:sdtPr>
        <w:rPr>
          <w:rFonts w:hint="eastAsia"/>
          <w:color w:val="000000" w:themeColor="text1"/>
          <w14:textFill>
            <w14:solidFill>
              <w14:schemeClr w14:val="tx1"/>
            </w14:solidFill>
          </w14:textFill>
        </w:rPr>
        <w:alias w:val="是否适用：以公允价值计量的金融资产[双击切换]"/>
        <w:tag w:val="_GBC_541ff98e64424f46b08f9f3687c1ea7a"/>
        <w:id w:val="-263924399"/>
        <w:placeholder>
          <w:docPart w:val="GBC22222222222222222222222222222"/>
        </w:placeholder>
      </w:sdtPr>
      <w:sdtEndPr>
        <w:rPr>
          <w:rFonts w:hint="eastAsia"/>
          <w:color w:val="000000" w:themeColor="text1"/>
          <w14:textFill>
            <w14:solidFill>
              <w14:schemeClr w14:val="tx1"/>
            </w14:solidFill>
          </w14:textFill>
        </w:rPr>
      </w:sdtEndPr>
      <w:sdtContent>
        <w:p w14:paraId="78EA5CD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BED287">
      <w:pPr>
        <w:pStyle w:val="57"/>
        <w:wordWrap w:val="0"/>
        <w:ind w:left="360"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以公允价值计量的金融资产"/>
          <w:tag w:val="_GBC_1c2aaa623bd0423791ad9edf7fcfb564"/>
          <w:id w:val="-1939299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以公允价值计量的金融资产"/>
          <w:tag w:val="_GBC_7946a1d9804e4752a8d28bb04a1c1fe2"/>
          <w:id w:val="-4081645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45"/>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1"/>
        <w:gridCol w:w="1694"/>
        <w:gridCol w:w="1268"/>
        <w:gridCol w:w="1675"/>
        <w:gridCol w:w="885"/>
        <w:gridCol w:w="1474"/>
        <w:gridCol w:w="1474"/>
        <w:gridCol w:w="1686"/>
        <w:gridCol w:w="1686"/>
      </w:tblGrid>
      <w:tr w14:paraId="7283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b4279fe84ffd49f892f0e4236d8485e0"/>
            <w:id w:val="-111203436"/>
          </w:sdtPr>
          <w:sdtEndPr>
            <w:rPr>
              <w:rFonts w:asciiTheme="minorEastAsia" w:hAnsiTheme="minorEastAsia" w:eastAsiaTheme="minorEastAsia"/>
            </w:rPr>
          </w:sdtEndPr>
          <w:sdtContent>
            <w:tc>
              <w:tcPr>
                <w:tcW w:w="2021" w:type="dxa"/>
                <w:vAlign w:val="center"/>
              </w:tcPr>
              <w:p w14:paraId="2ED2CCCD">
                <w:pPr>
                  <w:jc w:val="center"/>
                  <w:rPr>
                    <w:rFonts w:asciiTheme="minorEastAsia" w:hAnsiTheme="minorEastAsia" w:eastAsiaTheme="minorEastAsia"/>
                    <w:color w:val="000000" w:themeColor="text1"/>
                    <w14:textFill>
                      <w14:solidFill>
                        <w14:schemeClr w14:val="tx1"/>
                      </w14:solidFill>
                    </w14:textFill>
                  </w:rPr>
                </w:pPr>
                <w:r>
                  <w:rPr>
                    <w:rFonts w:hint="eastAsia" w:cs="Times New Roman" w:asciiTheme="minorEastAsia" w:hAnsiTheme="minorEastAsia" w:eastAsiaTheme="minorEastAsia"/>
                    <w:color w:val="000000" w:themeColor="text1"/>
                    <w14:textFill>
                      <w14:solidFill>
                        <w14:schemeClr w14:val="tx1"/>
                      </w14:solidFill>
                    </w14:textFill>
                  </w:rPr>
                  <w:t>资产类别</w:t>
                </w:r>
              </w:p>
            </w:tc>
          </w:sdtContent>
        </w:sdt>
        <w:sdt>
          <w:sdtPr>
            <w:rPr>
              <w:rFonts w:asciiTheme="minorEastAsia" w:hAnsiTheme="minorEastAsia" w:eastAsiaTheme="minorEastAsia"/>
            </w:rPr>
            <w:tag w:val="_PLD_8c2e4dc1bb324e79bc03b22ad26f792e"/>
            <w:id w:val="456461061"/>
          </w:sdtPr>
          <w:sdtEndPr>
            <w:rPr>
              <w:rFonts w:asciiTheme="minorEastAsia" w:hAnsiTheme="minorEastAsia" w:eastAsiaTheme="minorEastAsia"/>
            </w:rPr>
          </w:sdtEndPr>
          <w:sdtContent>
            <w:tc>
              <w:tcPr>
                <w:tcW w:w="1694" w:type="dxa"/>
                <w:vAlign w:val="center"/>
              </w:tcPr>
              <w:p w14:paraId="1013EE13">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期初数</w:t>
                </w:r>
              </w:p>
            </w:tc>
          </w:sdtContent>
        </w:sdt>
        <w:sdt>
          <w:sdtPr>
            <w:rPr>
              <w:rFonts w:asciiTheme="minorEastAsia" w:hAnsiTheme="minorEastAsia" w:eastAsiaTheme="minorEastAsia"/>
            </w:rPr>
            <w:tag w:val="_PLD_7f931a153d8147eda6f368a9567bc298"/>
            <w:id w:val="212554863"/>
          </w:sdtPr>
          <w:sdtEndPr>
            <w:rPr>
              <w:rFonts w:asciiTheme="minorEastAsia" w:hAnsiTheme="minorEastAsia" w:eastAsiaTheme="minorEastAsia"/>
            </w:rPr>
          </w:sdtEndPr>
          <w:sdtContent>
            <w:tc>
              <w:tcPr>
                <w:tcW w:w="1268" w:type="dxa"/>
                <w:vAlign w:val="center"/>
              </w:tcPr>
              <w:p w14:paraId="751188FC">
                <w:pPr>
                  <w:jc w:val="center"/>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本期公允价值变动损益</w:t>
                </w:r>
              </w:p>
            </w:tc>
          </w:sdtContent>
        </w:sdt>
        <w:sdt>
          <w:sdtPr>
            <w:rPr>
              <w:rFonts w:asciiTheme="minorEastAsia" w:hAnsiTheme="minorEastAsia" w:eastAsiaTheme="minorEastAsia"/>
            </w:rPr>
            <w:tag w:val="_PLD_27da79c178c64f67a920ab85f142ffda"/>
            <w:id w:val="-2013906115"/>
          </w:sdtPr>
          <w:sdtEndPr>
            <w:rPr>
              <w:rFonts w:asciiTheme="minorEastAsia" w:hAnsiTheme="minorEastAsia" w:eastAsiaTheme="minorEastAsia"/>
            </w:rPr>
          </w:sdtEndPr>
          <w:sdtContent>
            <w:tc>
              <w:tcPr>
                <w:tcW w:w="1675" w:type="dxa"/>
                <w:vAlign w:val="center"/>
              </w:tcPr>
              <w:p w14:paraId="0A9851BB">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计入权益的累计公允价值变动</w:t>
                </w:r>
              </w:p>
            </w:tc>
          </w:sdtContent>
        </w:sdt>
        <w:sdt>
          <w:sdtPr>
            <w:rPr>
              <w:rFonts w:asciiTheme="minorEastAsia" w:hAnsiTheme="minorEastAsia" w:eastAsiaTheme="minorEastAsia"/>
            </w:rPr>
            <w:tag w:val="_PLD_0fad7d8c41374a0d890f4c32253b8649"/>
            <w:id w:val="-459187193"/>
          </w:sdtPr>
          <w:sdtEndPr>
            <w:rPr>
              <w:rFonts w:asciiTheme="minorEastAsia" w:hAnsiTheme="minorEastAsia" w:eastAsiaTheme="minorEastAsia"/>
            </w:rPr>
          </w:sdtEndPr>
          <w:sdtContent>
            <w:tc>
              <w:tcPr>
                <w:tcW w:w="885" w:type="dxa"/>
                <w:vAlign w:val="center"/>
              </w:tcPr>
              <w:p w14:paraId="577BE68F">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本期计提的减值</w:t>
                </w:r>
              </w:p>
            </w:tc>
          </w:sdtContent>
        </w:sdt>
        <w:sdt>
          <w:sdtPr>
            <w:rPr>
              <w:rFonts w:asciiTheme="minorEastAsia" w:hAnsiTheme="minorEastAsia" w:eastAsiaTheme="minorEastAsia"/>
            </w:rPr>
            <w:tag w:val="_PLD_8ff680d02d9d41dca633590f5d9750a8"/>
            <w:id w:val="-606725681"/>
          </w:sdtPr>
          <w:sdtEndPr>
            <w:rPr>
              <w:rFonts w:asciiTheme="minorEastAsia" w:hAnsiTheme="minorEastAsia" w:eastAsiaTheme="minorEastAsia"/>
            </w:rPr>
          </w:sdtEndPr>
          <w:sdtContent>
            <w:tc>
              <w:tcPr>
                <w:tcW w:w="1474" w:type="dxa"/>
                <w:vAlign w:val="center"/>
              </w:tcPr>
              <w:p w14:paraId="4091DEFE">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本期购买金额</w:t>
                </w:r>
              </w:p>
            </w:tc>
          </w:sdtContent>
        </w:sdt>
        <w:sdt>
          <w:sdtPr>
            <w:rPr>
              <w:rFonts w:asciiTheme="minorEastAsia" w:hAnsiTheme="minorEastAsia" w:eastAsiaTheme="minorEastAsia"/>
            </w:rPr>
            <w:tag w:val="_PLD_e83492f8af03443b91d02a1661f56291"/>
            <w:id w:val="1458676363"/>
          </w:sdtPr>
          <w:sdtEndPr>
            <w:rPr>
              <w:rFonts w:asciiTheme="minorEastAsia" w:hAnsiTheme="minorEastAsia" w:eastAsiaTheme="minorEastAsia"/>
            </w:rPr>
          </w:sdtEndPr>
          <w:sdtContent>
            <w:tc>
              <w:tcPr>
                <w:tcW w:w="1474" w:type="dxa"/>
                <w:vAlign w:val="center"/>
              </w:tcPr>
              <w:p w14:paraId="1315680A">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本期出售/赎回金额</w:t>
                </w:r>
              </w:p>
            </w:tc>
          </w:sdtContent>
        </w:sdt>
        <w:sdt>
          <w:sdtPr>
            <w:rPr>
              <w:rFonts w:asciiTheme="minorEastAsia" w:hAnsiTheme="minorEastAsia" w:eastAsiaTheme="minorEastAsia"/>
            </w:rPr>
            <w:tag w:val="_PLD_7aaffff291e240b5adc74b8ad3728c6e"/>
            <w:id w:val="359948911"/>
          </w:sdtPr>
          <w:sdtEndPr>
            <w:rPr>
              <w:rFonts w:asciiTheme="minorEastAsia" w:hAnsiTheme="minorEastAsia" w:eastAsiaTheme="minorEastAsia"/>
            </w:rPr>
          </w:sdtEndPr>
          <w:sdtContent>
            <w:tc>
              <w:tcPr>
                <w:tcW w:w="1686" w:type="dxa"/>
                <w:vAlign w:val="center"/>
              </w:tcPr>
              <w:p w14:paraId="0DC1798B">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其他变动</w:t>
                </w:r>
              </w:p>
            </w:tc>
          </w:sdtContent>
        </w:sdt>
        <w:sdt>
          <w:sdtPr>
            <w:rPr>
              <w:rFonts w:asciiTheme="minorEastAsia" w:hAnsiTheme="minorEastAsia" w:eastAsiaTheme="minorEastAsia"/>
            </w:rPr>
            <w:tag w:val="_PLD_d765878830274571b732d6e366f7811e"/>
            <w:id w:val="-1828818302"/>
          </w:sdtPr>
          <w:sdtEndPr>
            <w:rPr>
              <w:rFonts w:asciiTheme="minorEastAsia" w:hAnsiTheme="minorEastAsia" w:eastAsiaTheme="minorEastAsia"/>
            </w:rPr>
          </w:sdtEndPr>
          <w:sdtContent>
            <w:tc>
              <w:tcPr>
                <w:tcW w:w="1686" w:type="dxa"/>
                <w:vAlign w:val="center"/>
              </w:tcPr>
              <w:p w14:paraId="0F455E25">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期末数</w:t>
                </w:r>
              </w:p>
            </w:tc>
          </w:sdtContent>
        </w:sdt>
      </w:tr>
      <w:tr w14:paraId="03F9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tcPr>
          <w:p w14:paraId="32A8E4FC">
            <w:pPr>
              <w:rPr>
                <w:rFonts w:asciiTheme="minorEastAsia" w:hAnsiTheme="minorEastAsia" w:eastAsiaTheme="minorEastAsia"/>
              </w:rPr>
            </w:pPr>
            <w:r>
              <w:rPr>
                <w:rFonts w:asciiTheme="minorEastAsia" w:hAnsiTheme="minorEastAsia" w:eastAsiaTheme="minorEastAsia"/>
              </w:rPr>
              <w:t>其他权益工具投资</w:t>
            </w:r>
          </w:p>
        </w:tc>
        <w:tc>
          <w:tcPr>
            <w:tcW w:w="1694" w:type="dxa"/>
          </w:tcPr>
          <w:p w14:paraId="6AE46626">
            <w:pPr>
              <w:jc w:val="right"/>
              <w:rPr>
                <w:rFonts w:asciiTheme="minorEastAsia" w:hAnsiTheme="minorEastAsia" w:eastAsiaTheme="minorEastAsia"/>
              </w:rPr>
            </w:pPr>
            <w:r>
              <w:rPr>
                <w:rFonts w:asciiTheme="minorEastAsia" w:hAnsiTheme="minorEastAsia" w:eastAsiaTheme="minorEastAsia"/>
              </w:rPr>
              <w:t>6,727,715.07</w:t>
            </w:r>
          </w:p>
        </w:tc>
        <w:tc>
          <w:tcPr>
            <w:tcW w:w="1268" w:type="dxa"/>
          </w:tcPr>
          <w:p w14:paraId="74D026B8">
            <w:pPr>
              <w:jc w:val="right"/>
              <w:rPr>
                <w:rFonts w:asciiTheme="minorEastAsia" w:hAnsiTheme="minorEastAsia" w:eastAsiaTheme="minorEastAsia"/>
              </w:rPr>
            </w:pPr>
            <w:r>
              <w:rPr>
                <w:rFonts w:asciiTheme="minorEastAsia" w:hAnsiTheme="minorEastAsia" w:eastAsiaTheme="minorEastAsia"/>
              </w:rPr>
              <w:t>27,890.20</w:t>
            </w:r>
          </w:p>
        </w:tc>
        <w:tc>
          <w:tcPr>
            <w:tcW w:w="1675" w:type="dxa"/>
          </w:tcPr>
          <w:p w14:paraId="1B2D9B89">
            <w:pPr>
              <w:jc w:val="right"/>
              <w:rPr>
                <w:rFonts w:asciiTheme="minorEastAsia" w:hAnsiTheme="minorEastAsia" w:eastAsiaTheme="minorEastAsia"/>
              </w:rPr>
            </w:pPr>
            <w:r>
              <w:rPr>
                <w:rFonts w:asciiTheme="minorEastAsia" w:hAnsiTheme="minorEastAsia" w:eastAsiaTheme="minorEastAsia"/>
              </w:rPr>
              <w:t>-6,510,556.61</w:t>
            </w:r>
          </w:p>
        </w:tc>
        <w:tc>
          <w:tcPr>
            <w:tcW w:w="885" w:type="dxa"/>
          </w:tcPr>
          <w:p w14:paraId="19A55634">
            <w:pPr>
              <w:jc w:val="right"/>
              <w:rPr>
                <w:rFonts w:asciiTheme="minorEastAsia" w:hAnsiTheme="minorEastAsia" w:eastAsiaTheme="minorEastAsia"/>
              </w:rPr>
            </w:pPr>
          </w:p>
        </w:tc>
        <w:tc>
          <w:tcPr>
            <w:tcW w:w="1474" w:type="dxa"/>
          </w:tcPr>
          <w:p w14:paraId="08C4517F">
            <w:pPr>
              <w:jc w:val="right"/>
              <w:rPr>
                <w:rFonts w:asciiTheme="minorEastAsia" w:hAnsiTheme="minorEastAsia" w:eastAsiaTheme="minorEastAsia"/>
              </w:rPr>
            </w:pPr>
          </w:p>
        </w:tc>
        <w:tc>
          <w:tcPr>
            <w:tcW w:w="1474" w:type="dxa"/>
          </w:tcPr>
          <w:p w14:paraId="382A9CC4">
            <w:pPr>
              <w:jc w:val="right"/>
              <w:rPr>
                <w:rFonts w:asciiTheme="minorEastAsia" w:hAnsiTheme="minorEastAsia" w:eastAsiaTheme="minorEastAsia"/>
              </w:rPr>
            </w:pPr>
          </w:p>
        </w:tc>
        <w:tc>
          <w:tcPr>
            <w:tcW w:w="1686" w:type="dxa"/>
          </w:tcPr>
          <w:p w14:paraId="3CBB9AA2">
            <w:pPr>
              <w:jc w:val="right"/>
              <w:rPr>
                <w:rFonts w:asciiTheme="minorEastAsia" w:hAnsiTheme="minorEastAsia" w:eastAsiaTheme="minorEastAsia"/>
              </w:rPr>
            </w:pPr>
          </w:p>
        </w:tc>
        <w:tc>
          <w:tcPr>
            <w:tcW w:w="1686" w:type="dxa"/>
          </w:tcPr>
          <w:p w14:paraId="3FCDDCE6">
            <w:pPr>
              <w:jc w:val="right"/>
              <w:rPr>
                <w:rFonts w:asciiTheme="minorEastAsia" w:hAnsiTheme="minorEastAsia" w:eastAsiaTheme="minorEastAsia"/>
              </w:rPr>
            </w:pPr>
            <w:r>
              <w:rPr>
                <w:rFonts w:asciiTheme="minorEastAsia" w:hAnsiTheme="minorEastAsia" w:eastAsiaTheme="minorEastAsia"/>
              </w:rPr>
              <w:t>6,755,605.27</w:t>
            </w:r>
          </w:p>
        </w:tc>
      </w:tr>
      <w:tr w14:paraId="36D4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tcPr>
          <w:p w14:paraId="38A24A0E">
            <w:pPr>
              <w:rPr>
                <w:rFonts w:asciiTheme="minorEastAsia" w:hAnsiTheme="minorEastAsia" w:eastAsiaTheme="minorEastAsia"/>
              </w:rPr>
            </w:pPr>
            <w:r>
              <w:rPr>
                <w:rFonts w:asciiTheme="minorEastAsia" w:hAnsiTheme="minorEastAsia" w:eastAsiaTheme="minorEastAsia"/>
              </w:rPr>
              <w:t>应收款项融资</w:t>
            </w:r>
          </w:p>
        </w:tc>
        <w:tc>
          <w:tcPr>
            <w:tcW w:w="1694" w:type="dxa"/>
          </w:tcPr>
          <w:p w14:paraId="3BF701E3">
            <w:pPr>
              <w:jc w:val="right"/>
              <w:rPr>
                <w:rFonts w:asciiTheme="minorEastAsia" w:hAnsiTheme="minorEastAsia" w:eastAsiaTheme="minorEastAsia"/>
              </w:rPr>
            </w:pPr>
            <w:r>
              <w:rPr>
                <w:rFonts w:asciiTheme="minorEastAsia" w:hAnsiTheme="minorEastAsia" w:eastAsiaTheme="minorEastAsia"/>
              </w:rPr>
              <w:t>24,235,235.08</w:t>
            </w:r>
          </w:p>
        </w:tc>
        <w:tc>
          <w:tcPr>
            <w:tcW w:w="1268" w:type="dxa"/>
          </w:tcPr>
          <w:p w14:paraId="52D207C7">
            <w:pPr>
              <w:jc w:val="right"/>
              <w:rPr>
                <w:rFonts w:asciiTheme="minorEastAsia" w:hAnsiTheme="minorEastAsia" w:eastAsiaTheme="minorEastAsia"/>
              </w:rPr>
            </w:pPr>
          </w:p>
        </w:tc>
        <w:tc>
          <w:tcPr>
            <w:tcW w:w="1675" w:type="dxa"/>
          </w:tcPr>
          <w:p w14:paraId="2A23E202">
            <w:pPr>
              <w:jc w:val="right"/>
              <w:rPr>
                <w:rFonts w:asciiTheme="minorEastAsia" w:hAnsiTheme="minorEastAsia" w:eastAsiaTheme="minorEastAsia"/>
              </w:rPr>
            </w:pPr>
          </w:p>
        </w:tc>
        <w:tc>
          <w:tcPr>
            <w:tcW w:w="885" w:type="dxa"/>
          </w:tcPr>
          <w:p w14:paraId="36D7C224">
            <w:pPr>
              <w:jc w:val="right"/>
              <w:rPr>
                <w:rFonts w:asciiTheme="minorEastAsia" w:hAnsiTheme="minorEastAsia" w:eastAsiaTheme="minorEastAsia"/>
              </w:rPr>
            </w:pPr>
          </w:p>
        </w:tc>
        <w:tc>
          <w:tcPr>
            <w:tcW w:w="1474" w:type="dxa"/>
          </w:tcPr>
          <w:p w14:paraId="108DFDEC">
            <w:pPr>
              <w:jc w:val="right"/>
              <w:rPr>
                <w:rFonts w:asciiTheme="minorEastAsia" w:hAnsiTheme="minorEastAsia" w:eastAsiaTheme="minorEastAsia"/>
              </w:rPr>
            </w:pPr>
          </w:p>
        </w:tc>
        <w:tc>
          <w:tcPr>
            <w:tcW w:w="1474" w:type="dxa"/>
          </w:tcPr>
          <w:p w14:paraId="690D33F6">
            <w:pPr>
              <w:jc w:val="right"/>
              <w:rPr>
                <w:rFonts w:asciiTheme="minorEastAsia" w:hAnsiTheme="minorEastAsia" w:eastAsiaTheme="minorEastAsia"/>
              </w:rPr>
            </w:pPr>
          </w:p>
        </w:tc>
        <w:tc>
          <w:tcPr>
            <w:tcW w:w="1686" w:type="dxa"/>
          </w:tcPr>
          <w:p w14:paraId="5EEE291E">
            <w:pPr>
              <w:jc w:val="right"/>
              <w:rPr>
                <w:rFonts w:asciiTheme="minorEastAsia" w:hAnsiTheme="minorEastAsia" w:eastAsiaTheme="minorEastAsia"/>
              </w:rPr>
            </w:pPr>
            <w:r>
              <w:rPr>
                <w:rFonts w:asciiTheme="minorEastAsia" w:hAnsiTheme="minorEastAsia" w:eastAsiaTheme="minorEastAsia"/>
              </w:rPr>
              <w:t>224,526,098.23</w:t>
            </w:r>
          </w:p>
        </w:tc>
        <w:tc>
          <w:tcPr>
            <w:tcW w:w="1686" w:type="dxa"/>
          </w:tcPr>
          <w:p w14:paraId="69EA3A0C">
            <w:pPr>
              <w:jc w:val="right"/>
              <w:rPr>
                <w:rFonts w:asciiTheme="minorEastAsia" w:hAnsiTheme="minorEastAsia" w:eastAsiaTheme="minorEastAsia"/>
              </w:rPr>
            </w:pPr>
            <w:r>
              <w:rPr>
                <w:rFonts w:asciiTheme="minorEastAsia" w:hAnsiTheme="minorEastAsia" w:eastAsiaTheme="minorEastAsia"/>
              </w:rPr>
              <w:t>248,761,333.31</w:t>
            </w:r>
          </w:p>
        </w:tc>
      </w:tr>
      <w:tr w14:paraId="4FDD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1" w:type="dxa"/>
          </w:tcPr>
          <w:p w14:paraId="516708D2">
            <w:pPr>
              <w:jc w:val="cente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合计</w:t>
            </w:r>
          </w:p>
        </w:tc>
        <w:tc>
          <w:tcPr>
            <w:tcW w:w="1694" w:type="dxa"/>
            <w:vAlign w:val="center"/>
          </w:tcPr>
          <w:p w14:paraId="4049BEBB">
            <w:pPr>
              <w:jc w:val="right"/>
              <w:rPr>
                <w:rFonts w:asciiTheme="minorEastAsia" w:hAnsiTheme="minorEastAsia" w:eastAsiaTheme="minorEastAsia"/>
              </w:rPr>
            </w:pPr>
            <w:r>
              <w:rPr>
                <w:rFonts w:asciiTheme="minorEastAsia" w:hAnsiTheme="minorEastAsia" w:eastAsiaTheme="minorEastAsia"/>
              </w:rPr>
              <w:t>30,962,950.15</w:t>
            </w:r>
          </w:p>
        </w:tc>
        <w:tc>
          <w:tcPr>
            <w:tcW w:w="1268" w:type="dxa"/>
            <w:vAlign w:val="center"/>
          </w:tcPr>
          <w:p w14:paraId="6CC017D2">
            <w:pPr>
              <w:jc w:val="right"/>
              <w:rPr>
                <w:rFonts w:asciiTheme="minorEastAsia" w:hAnsiTheme="minorEastAsia" w:eastAsiaTheme="minorEastAsia"/>
              </w:rPr>
            </w:pPr>
            <w:r>
              <w:rPr>
                <w:rFonts w:asciiTheme="minorEastAsia" w:hAnsiTheme="minorEastAsia" w:eastAsiaTheme="minorEastAsia"/>
              </w:rPr>
              <w:t>27,890.20</w:t>
            </w:r>
          </w:p>
        </w:tc>
        <w:tc>
          <w:tcPr>
            <w:tcW w:w="1675" w:type="dxa"/>
            <w:vAlign w:val="center"/>
          </w:tcPr>
          <w:p w14:paraId="272AFF88">
            <w:pPr>
              <w:jc w:val="right"/>
              <w:rPr>
                <w:rFonts w:asciiTheme="minorEastAsia" w:hAnsiTheme="minorEastAsia" w:eastAsiaTheme="minorEastAsia"/>
              </w:rPr>
            </w:pPr>
            <w:r>
              <w:rPr>
                <w:rFonts w:asciiTheme="minorEastAsia" w:hAnsiTheme="minorEastAsia" w:eastAsiaTheme="minorEastAsia"/>
              </w:rPr>
              <w:t>-6,510,556.61</w:t>
            </w:r>
          </w:p>
        </w:tc>
        <w:tc>
          <w:tcPr>
            <w:tcW w:w="885" w:type="dxa"/>
            <w:vAlign w:val="center"/>
          </w:tcPr>
          <w:p w14:paraId="51D00D76">
            <w:pPr>
              <w:jc w:val="right"/>
              <w:rPr>
                <w:rFonts w:asciiTheme="minorEastAsia" w:hAnsiTheme="minorEastAsia" w:eastAsiaTheme="minorEastAsia"/>
              </w:rPr>
            </w:pPr>
          </w:p>
        </w:tc>
        <w:tc>
          <w:tcPr>
            <w:tcW w:w="1474" w:type="dxa"/>
            <w:vAlign w:val="center"/>
          </w:tcPr>
          <w:p w14:paraId="58B2CBF0">
            <w:pPr>
              <w:jc w:val="right"/>
              <w:rPr>
                <w:rFonts w:cs="Times New Roman" w:asciiTheme="minorEastAsia" w:hAnsiTheme="minorEastAsia" w:eastAsiaTheme="minorEastAsia"/>
                <w:sz w:val="20"/>
                <w:szCs w:val="20"/>
              </w:rPr>
            </w:pPr>
          </w:p>
        </w:tc>
        <w:tc>
          <w:tcPr>
            <w:tcW w:w="1474" w:type="dxa"/>
            <w:vAlign w:val="center"/>
          </w:tcPr>
          <w:p w14:paraId="5ED6FD50">
            <w:pPr>
              <w:jc w:val="right"/>
              <w:rPr>
                <w:rFonts w:cs="Times New Roman" w:asciiTheme="minorEastAsia" w:hAnsiTheme="minorEastAsia" w:eastAsiaTheme="minorEastAsia"/>
                <w:sz w:val="20"/>
                <w:szCs w:val="20"/>
              </w:rPr>
            </w:pPr>
          </w:p>
        </w:tc>
        <w:tc>
          <w:tcPr>
            <w:tcW w:w="1686" w:type="dxa"/>
            <w:vAlign w:val="center"/>
          </w:tcPr>
          <w:p w14:paraId="13678B38">
            <w:pPr>
              <w:jc w:val="right"/>
              <w:rPr>
                <w:rFonts w:asciiTheme="minorEastAsia" w:hAnsiTheme="minorEastAsia" w:eastAsiaTheme="minorEastAsia"/>
                <w:sz w:val="24"/>
                <w:szCs w:val="24"/>
              </w:rPr>
            </w:pPr>
            <w:r>
              <w:rPr>
                <w:rFonts w:asciiTheme="minorEastAsia" w:hAnsiTheme="minorEastAsia" w:eastAsiaTheme="minorEastAsia"/>
              </w:rPr>
              <w:t>224,526,098.23</w:t>
            </w:r>
          </w:p>
        </w:tc>
        <w:tc>
          <w:tcPr>
            <w:tcW w:w="1686" w:type="dxa"/>
            <w:vAlign w:val="center"/>
          </w:tcPr>
          <w:p w14:paraId="2173CB1E">
            <w:pPr>
              <w:jc w:val="right"/>
              <w:rPr>
                <w:rFonts w:asciiTheme="minorEastAsia" w:hAnsiTheme="minorEastAsia" w:eastAsiaTheme="minorEastAsia"/>
              </w:rPr>
            </w:pPr>
            <w:r>
              <w:rPr>
                <w:rFonts w:asciiTheme="minorEastAsia" w:hAnsiTheme="minorEastAsia" w:eastAsiaTheme="minorEastAsia"/>
              </w:rPr>
              <w:t>255,516,938.58</w:t>
            </w:r>
          </w:p>
        </w:tc>
      </w:tr>
    </w:tbl>
    <w:p w14:paraId="4E9FECC8"/>
    <w:p w14:paraId="2B19A36E">
      <w:pPr>
        <w:rPr>
          <w:color w:val="000000" w:themeColor="text1"/>
          <w14:textFill>
            <w14:solidFill>
              <w14:schemeClr w14:val="tx1"/>
            </w14:solidFill>
          </w14:textFill>
        </w:rPr>
      </w:pPr>
      <w:r>
        <w:rPr>
          <w:rFonts w:hint="eastAsia"/>
          <w:color w:val="000000" w:themeColor="text1"/>
          <w14:textFill>
            <w14:solidFill>
              <w14:schemeClr w14:val="tx1"/>
            </w14:solidFill>
          </w14:textFill>
        </w:rPr>
        <w:t>证券投资情况</w:t>
      </w:r>
    </w:p>
    <w:sdt>
      <w:sdtPr>
        <w:rPr>
          <w:color w:val="000000" w:themeColor="text1"/>
          <w14:textFill>
            <w14:solidFill>
              <w14:schemeClr w14:val="tx1"/>
            </w14:solidFill>
          </w14:textFill>
        </w:rPr>
        <w:alias w:val="是否适用：证券投资情况[双击切换]"/>
        <w:tag w:val="_GBC_5a8828b10b2a437a9b496037ef93ad06"/>
        <w:id w:val="1145237531"/>
        <w:placeholder>
          <w:docPart w:val="GBC22222222222222222222222222222"/>
        </w:placeholder>
      </w:sdtPr>
      <w:sdtEndPr>
        <w:rPr>
          <w:color w:val="000000" w:themeColor="text1"/>
          <w14:textFill>
            <w14:solidFill>
              <w14:schemeClr w14:val="tx1"/>
            </w14:solidFill>
          </w14:textFill>
        </w:rPr>
      </w:sdtEndPr>
      <w:sdtContent>
        <w:p w14:paraId="05BDDAD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DDCF8D9">
      <w:pPr>
        <w:rPr>
          <w:color w:val="000000" w:themeColor="text1"/>
          <w14:textFill>
            <w14:solidFill>
              <w14:schemeClr w14:val="tx1"/>
            </w14:solidFill>
          </w14:textFill>
        </w:rPr>
      </w:pPr>
      <w:bookmarkStart w:id="47" w:name="_Hlk40533881"/>
    </w:p>
    <w:bookmarkEnd w:id="47"/>
    <w:p w14:paraId="48A0BBB5">
      <w:pPr>
        <w:rPr>
          <w:color w:val="000000" w:themeColor="text1"/>
          <w14:textFill>
            <w14:solidFill>
              <w14:schemeClr w14:val="tx1"/>
            </w14:solidFill>
          </w14:textFill>
        </w:rPr>
      </w:pPr>
      <w:r>
        <w:rPr>
          <w:rFonts w:hint="eastAsia"/>
          <w:color w:val="000000" w:themeColor="text1"/>
          <w14:textFill>
            <w14:solidFill>
              <w14:schemeClr w14:val="tx1"/>
            </w14:solidFill>
          </w14:textFill>
        </w:rPr>
        <w:t>证券投资情况的说明</w:t>
      </w:r>
    </w:p>
    <w:sdt>
      <w:sdtPr>
        <w:rPr>
          <w:color w:val="000000" w:themeColor="text1"/>
          <w14:textFill>
            <w14:solidFill>
              <w14:schemeClr w14:val="tx1"/>
            </w14:solidFill>
          </w14:textFill>
        </w:rPr>
        <w:alias w:val="是否适用：证券投资情况的说明[双击切换]"/>
        <w:tag w:val="_GBC_8d1fa1a2f7a54e699abfdd630205bd35"/>
        <w:id w:val="-1601409780"/>
        <w:placeholder>
          <w:docPart w:val="GBC22222222222222222222222222222"/>
        </w:placeholder>
      </w:sdtPr>
      <w:sdtEndPr>
        <w:rPr>
          <w:color w:val="000000" w:themeColor="text1"/>
          <w14:textFill>
            <w14:solidFill>
              <w14:schemeClr w14:val="tx1"/>
            </w14:solidFill>
          </w14:textFill>
        </w:rPr>
      </w:sdtEndPr>
      <w:sdtContent>
        <w:p w14:paraId="3D6B021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353E482">
      <w:pPr>
        <w:rPr>
          <w:color w:val="000000" w:themeColor="text1"/>
          <w14:textFill>
            <w14:solidFill>
              <w14:schemeClr w14:val="tx1"/>
            </w14:solidFill>
          </w14:textFill>
        </w:rPr>
      </w:pPr>
    </w:p>
    <w:p w14:paraId="6341B08B">
      <w:pPr>
        <w:rPr>
          <w:color w:val="000000" w:themeColor="text1"/>
          <w14:textFill>
            <w14:solidFill>
              <w14:schemeClr w14:val="tx1"/>
            </w14:solidFill>
          </w14:textFill>
        </w:rPr>
      </w:pPr>
      <w:bookmarkStart w:id="48" w:name="_Hlk40534809"/>
      <w:r>
        <w:rPr>
          <w:rFonts w:hint="eastAsia"/>
          <w:color w:val="000000" w:themeColor="text1"/>
          <w14:textFill>
            <w14:solidFill>
              <w14:schemeClr w14:val="tx1"/>
            </w14:solidFill>
          </w14:textFill>
        </w:rPr>
        <w:t>私募基金投资情况</w:t>
      </w:r>
    </w:p>
    <w:sdt>
      <w:sdtPr>
        <w:rPr>
          <w:color w:val="000000" w:themeColor="text1"/>
          <w14:textFill>
            <w14:solidFill>
              <w14:schemeClr w14:val="tx1"/>
            </w14:solidFill>
          </w14:textFill>
        </w:rPr>
        <w:alias w:val="是否适用：私募基金投资情况[双击切换]"/>
        <w:tag w:val="_GBC_56fccff6af834e4e8e9f8aea6f269d2f"/>
        <w:id w:val="-847247726"/>
        <w:placeholder>
          <w:docPart w:val="GBC22222222222222222222222222222"/>
        </w:placeholder>
      </w:sdtPr>
      <w:sdtEndPr>
        <w:rPr>
          <w:color w:val="000000" w:themeColor="text1"/>
          <w14:textFill>
            <w14:solidFill>
              <w14:schemeClr w14:val="tx1"/>
            </w14:solidFill>
          </w14:textFill>
        </w:rPr>
      </w:sdtEndPr>
      <w:sdtContent>
        <w:p w14:paraId="2B55529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6F7320">
      <w:pPr>
        <w:rPr>
          <w:color w:val="000000" w:themeColor="text1"/>
          <w14:textFill>
            <w14:solidFill>
              <w14:schemeClr w14:val="tx1"/>
            </w14:solidFill>
          </w14:textFill>
        </w:rPr>
      </w:pPr>
    </w:p>
    <w:bookmarkEnd w:id="48"/>
    <w:p w14:paraId="4A5F6DFE">
      <w:pPr>
        <w:rPr>
          <w:color w:val="000000" w:themeColor="text1"/>
          <w14:textFill>
            <w14:solidFill>
              <w14:schemeClr w14:val="tx1"/>
            </w14:solidFill>
          </w14:textFill>
        </w:rPr>
      </w:pPr>
      <w:r>
        <w:rPr>
          <w:rFonts w:hint="eastAsia"/>
          <w:color w:val="000000" w:themeColor="text1"/>
          <w14:textFill>
            <w14:solidFill>
              <w14:schemeClr w14:val="tx1"/>
            </w14:solidFill>
          </w14:textFill>
        </w:rPr>
        <w:t>衍生品投资情况</w:t>
      </w:r>
    </w:p>
    <w:sdt>
      <w:sdtPr>
        <w:rPr>
          <w:rFonts w:hint="eastAsia"/>
          <w:color w:val="000000" w:themeColor="text1"/>
          <w14:textFill>
            <w14:solidFill>
              <w14:schemeClr w14:val="tx1"/>
            </w14:solidFill>
          </w14:textFill>
        </w:rPr>
        <w:alias w:val="是否适用：衍生品投资情况  [双击切换]"/>
        <w:tag w:val="_GBC_bfd154b38b804edbb19ff4896b6b9c42"/>
        <w:id w:val="1567063470"/>
        <w:placeholder>
          <w:docPart w:val="GBC22222222222222222222222222222"/>
        </w:placeholder>
      </w:sdtPr>
      <w:sdtEndPr>
        <w:rPr>
          <w:rFonts w:hint="eastAsia"/>
          <w:color w:val="000000" w:themeColor="text1"/>
          <w14:textFill>
            <w14:solidFill>
              <w14:schemeClr w14:val="tx1"/>
            </w14:solidFill>
          </w14:textFill>
        </w:rPr>
      </w:sdtEndPr>
      <w:sdtContent>
        <w:p w14:paraId="30623CF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4D50E9A">
      <w:pPr>
        <w:rPr>
          <w:color w:val="000000" w:themeColor="text1"/>
          <w14:textFill>
            <w14:solidFill>
              <w14:schemeClr w14:val="tx1"/>
            </w14:solidFill>
          </w14:textFill>
        </w:rPr>
      </w:pPr>
      <w:bookmarkStart w:id="49" w:name="_Hlk167797508"/>
      <w:bookmarkStart w:id="50" w:name="_Hlk155617745"/>
    </w:p>
    <w:p w14:paraId="494160A3">
      <w:pPr>
        <w:rPr>
          <w:color w:val="000000" w:themeColor="text1"/>
          <w14:textFill>
            <w14:solidFill>
              <w14:schemeClr w14:val="tx1"/>
            </w14:solidFill>
          </w14:textFill>
        </w:rPr>
      </w:pPr>
    </w:p>
    <w:bookmarkEnd w:id="46"/>
    <w:bookmarkEnd w:id="49"/>
    <w:bookmarkEnd w:id="50"/>
    <w:p w14:paraId="0C79CA7F">
      <w:pPr>
        <w:rPr>
          <w:color w:val="000000" w:themeColor="text1"/>
          <w14:textFill>
            <w14:solidFill>
              <w14:schemeClr w14:val="tx1"/>
            </w14:solidFill>
          </w14:textFill>
        </w:rPr>
      </w:pPr>
    </w:p>
    <w:p w14:paraId="50EA0194">
      <w:pPr>
        <w:pStyle w:val="4"/>
        <w:numPr>
          <w:ilvl w:val="0"/>
          <w:numId w:val="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重大资产和股权出售</w:t>
      </w:r>
    </w:p>
    <w:sdt>
      <w:sdtPr>
        <w:rPr>
          <w:rFonts w:hint="eastAsia"/>
          <w:color w:val="000000" w:themeColor="text1"/>
          <w14:textFill>
            <w14:solidFill>
              <w14:schemeClr w14:val="tx1"/>
            </w14:solidFill>
          </w14:textFill>
        </w:rPr>
        <w:alias w:val="是否适用：重大资产和股权出售[双击切换]"/>
        <w:tag w:val="_GBC_f566f251245e49238092032f065852be"/>
        <w:id w:val="-571887376"/>
        <w:placeholder>
          <w:docPart w:val="GBC22222222222222222222222222222"/>
        </w:placeholder>
      </w:sdtPr>
      <w:sdtEndPr>
        <w:rPr>
          <w:rFonts w:hint="eastAsia"/>
          <w:color w:val="000000" w:themeColor="text1"/>
          <w14:textFill>
            <w14:solidFill>
              <w14:schemeClr w14:val="tx1"/>
            </w14:solidFill>
          </w14:textFill>
        </w:rPr>
      </w:sdtEndPr>
      <w:sdtContent>
        <w:p w14:paraId="6DE4AD6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113ACAC">
      <w:pPr>
        <w:rPr>
          <w:color w:val="000000" w:themeColor="text1"/>
          <w14:textFill>
            <w14:solidFill>
              <w14:schemeClr w14:val="tx1"/>
            </w14:solidFill>
          </w14:textFill>
        </w:rPr>
      </w:pPr>
    </w:p>
    <w:p w14:paraId="4E703E5B">
      <w:pPr>
        <w:pStyle w:val="4"/>
        <w:numPr>
          <w:ilvl w:val="0"/>
          <w:numId w:val="8"/>
        </w:numPr>
        <w:rPr>
          <w:rFonts w:ascii="宋体" w:hAnsi="宋体"/>
          <w:color w:val="000000" w:themeColor="text1"/>
          <w14:textFill>
            <w14:solidFill>
              <w14:schemeClr w14:val="tx1"/>
            </w14:solidFill>
          </w14:textFill>
        </w:rPr>
      </w:pPr>
      <w:bookmarkStart w:id="51" w:name="_Hlk200011206"/>
      <w:r>
        <w:rPr>
          <w:rFonts w:hint="eastAsia" w:ascii="宋体" w:hAnsi="宋体"/>
          <w:color w:val="000000" w:themeColor="text1"/>
          <w14:textFill>
            <w14:solidFill>
              <w14:schemeClr w14:val="tx1"/>
            </w14:solidFill>
          </w14:textFill>
        </w:rPr>
        <w:t>主要控股参股公司分析</w:t>
      </w:r>
    </w:p>
    <w:sdt>
      <w:sdtPr>
        <w:rPr>
          <w:color w:val="000000" w:themeColor="text1"/>
          <w14:textFill>
            <w14:solidFill>
              <w14:schemeClr w14:val="tx1"/>
            </w14:solidFill>
          </w14:textFill>
        </w:rPr>
        <w:alias w:val="是否适用：主要控股参股公司分析[双击切换]"/>
        <w:tag w:val="_GBC_3f3bd67865a44413bcd1143c0df7558d"/>
        <w:id w:val="1578324876"/>
        <w:placeholder>
          <w:docPart w:val="GBC22222222222222222222222222222"/>
        </w:placeholder>
      </w:sdtPr>
      <w:sdtEndPr>
        <w:rPr>
          <w:color w:val="000000" w:themeColor="text1"/>
          <w14:textFill>
            <w14:solidFill>
              <w14:schemeClr w14:val="tx1"/>
            </w14:solidFill>
          </w14:textFill>
        </w:rPr>
      </w:sdtEndPr>
      <w:sdtContent>
        <w:p w14:paraId="56D4545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28338A9"/>
    <w:p w14:paraId="049E715E">
      <w:r>
        <w:rPr>
          <w:rFonts w:hint="eastAsia"/>
        </w:rPr>
        <w:t>主要子公司及对公司净利润影响达10%以上的参股公司情况</w:t>
      </w:r>
    </w:p>
    <w:sdt>
      <w:sdtPr>
        <w:rPr>
          <w:rFonts w:hint="eastAsia"/>
          <w:color w:val="000000"/>
        </w:rPr>
        <w:alias w:val="是否适用：主要子公司及对公司净利润影响达10%以上的参股公司情况[双击切换]"/>
        <w:tag w:val="_GBC_4b9f7b6cc7ff4175a466417ec956e9a1"/>
        <w:id w:val="-2034572569"/>
        <w:placeholder>
          <w:docPart w:val="GBC22222222222222222222222222222"/>
        </w:placeholder>
      </w:sdtPr>
      <w:sdtEndPr>
        <w:rPr>
          <w:rFonts w:hint="eastAsia"/>
          <w:color w:val="000000"/>
        </w:rPr>
      </w:sdtEndPr>
      <w:sdtContent>
        <w:p w14:paraId="7CB228F5">
          <w:pPr>
            <w:rPr>
              <w:color w:val="000000"/>
            </w:rPr>
          </w:pPr>
          <w:r>
            <w:rPr>
              <w:rFonts w:hint="eastAsia" w:ascii="宋体" w:hAnsi="宋体"/>
              <w:color w:val="000000"/>
            </w:rPr>
            <w:fldChar w:fldCharType="begin"/>
          </w:r>
          <w:r>
            <w:rPr>
              <w:rFonts w:hint="eastAsia"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hint="eastAsia" w:ascii="宋体" w:hAnsi="宋体"/>
              <w:color w:val="000000"/>
            </w:rPr>
            <w:instrText xml:space="preserve"> MACROBUTTON  SnrToggleCheckbox □不适用 </w:instrText>
          </w:r>
          <w:r>
            <w:rPr>
              <w:rFonts w:hint="eastAsia" w:ascii="宋体" w:hAnsi="宋体"/>
              <w:color w:val="000000"/>
            </w:rPr>
            <w:fldChar w:fldCharType="end"/>
          </w:r>
        </w:p>
      </w:sdtContent>
    </w:sdt>
    <w:p w14:paraId="7A8A2230">
      <w:pPr>
        <w:jc w:val="right"/>
        <w:rPr>
          <w:color w:val="000000"/>
        </w:rPr>
      </w:pPr>
      <w:r>
        <w:rPr>
          <w:rFonts w:hint="eastAsia"/>
          <w:color w:val="000000"/>
        </w:rPr>
        <w:t>单位：</w:t>
      </w:r>
      <w:sdt>
        <w:sdtPr>
          <w:rPr>
            <w:rFonts w:hint="eastAsia"/>
            <w:color w:val="000000"/>
          </w:rPr>
          <w:alias w:val="单位：主要控股参股公司分析"/>
          <w:tag w:val="_GBC_ce7ca356e78b431aa58669bcbfe4f636"/>
          <w:id w:val="7954088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rPr>
        </w:sdtEndPr>
        <w:sdtContent>
          <w:r>
            <w:rPr>
              <w:rFonts w:hint="eastAsia"/>
              <w:color w:val="000000"/>
            </w:rPr>
            <w:t>万元</w:t>
          </w:r>
        </w:sdtContent>
      </w:sdt>
      <w:r>
        <w:rPr>
          <w:rFonts w:hint="eastAsia"/>
          <w:color w:val="000000"/>
        </w:rPr>
        <w:t xml:space="preserve">  币种：</w:t>
      </w:r>
      <w:sdt>
        <w:sdtPr>
          <w:rPr>
            <w:rFonts w:hint="eastAsia"/>
            <w:color w:val="000000"/>
          </w:rPr>
          <w:alias w:val="币种：主要控股参股公司分析"/>
          <w:tag w:val="_GBC_d54cbb72b883465cb4a40fd97ee74139"/>
          <w:id w:val="-5304931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rPr>
        </w:sdtEndPr>
        <w:sdtContent>
          <w:r>
            <w:rPr>
              <w:rFonts w:hint="eastAsia"/>
              <w:color w:val="000000"/>
            </w:rPr>
            <w:t>人民币</w:t>
          </w:r>
        </w:sdtContent>
      </w:sdt>
      <w:r>
        <w:rPr>
          <w:rFonts w:hint="eastAsia"/>
          <w:color w:val="000000"/>
        </w:rPr>
        <w:t xml:space="preserve"> </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541"/>
        <w:gridCol w:w="1627"/>
        <w:gridCol w:w="1524"/>
        <w:gridCol w:w="1524"/>
        <w:gridCol w:w="1524"/>
        <w:gridCol w:w="1524"/>
        <w:gridCol w:w="1524"/>
        <w:gridCol w:w="1522"/>
        <w:gridCol w:w="1623"/>
      </w:tblGrid>
      <w:tr w14:paraId="6C74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rFonts w:asciiTheme="minorEastAsia" w:hAnsiTheme="minorEastAsia" w:eastAsiaTheme="minorEastAsia"/>
            </w:rPr>
            <w:tag w:val="_PLD_511822bad18243ca984a448b1d5e9c6d"/>
            <w:id w:val="568081395"/>
          </w:sdtPr>
          <w:sdtEndPr>
            <w:rPr>
              <w:rFonts w:asciiTheme="minorEastAsia" w:hAnsiTheme="minorEastAsia" w:eastAsiaTheme="minorEastAsia"/>
            </w:rPr>
          </w:sdtEndPr>
          <w:sdtContent>
            <w:tc>
              <w:tcPr>
                <w:tcW w:w="553" w:type="pct"/>
              </w:tcPr>
              <w:p w14:paraId="72555E32">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公司名称</w:t>
                </w:r>
              </w:p>
            </w:tc>
          </w:sdtContent>
        </w:sdt>
        <w:sdt>
          <w:sdtPr>
            <w:rPr>
              <w:rFonts w:asciiTheme="minorEastAsia" w:hAnsiTheme="minorEastAsia" w:eastAsiaTheme="minorEastAsia"/>
            </w:rPr>
            <w:tag w:val="_PLD_d832e7bea43d415e86e5df292e30861d"/>
            <w:id w:val="550035510"/>
          </w:sdtPr>
          <w:sdtEndPr>
            <w:rPr>
              <w:rFonts w:asciiTheme="minorEastAsia" w:hAnsiTheme="minorEastAsia" w:eastAsiaTheme="minorEastAsia"/>
            </w:rPr>
          </w:sdtEndPr>
          <w:sdtContent>
            <w:tc>
              <w:tcPr>
                <w:tcW w:w="584" w:type="pct"/>
                <w:vAlign w:val="center"/>
              </w:tcPr>
              <w:p w14:paraId="1719CBCC">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公司类型</w:t>
                </w:r>
              </w:p>
            </w:tc>
          </w:sdtContent>
        </w:sdt>
        <w:sdt>
          <w:sdtPr>
            <w:rPr>
              <w:rFonts w:asciiTheme="minorEastAsia" w:hAnsiTheme="minorEastAsia" w:eastAsiaTheme="minorEastAsia"/>
            </w:rPr>
            <w:tag w:val="_PLD_504000c87b6441849362fe7fcd841ffd"/>
            <w:id w:val="-652443287"/>
          </w:sdtPr>
          <w:sdtEndPr>
            <w:rPr>
              <w:rFonts w:asciiTheme="minorEastAsia" w:hAnsiTheme="minorEastAsia" w:eastAsiaTheme="minorEastAsia"/>
            </w:rPr>
          </w:sdtEndPr>
          <w:sdtContent>
            <w:tc>
              <w:tcPr>
                <w:tcW w:w="547" w:type="pct"/>
              </w:tcPr>
              <w:p w14:paraId="649F8D58">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主要业务</w:t>
                </w:r>
              </w:p>
            </w:tc>
          </w:sdtContent>
        </w:sdt>
        <w:sdt>
          <w:sdtPr>
            <w:rPr>
              <w:rFonts w:asciiTheme="minorEastAsia" w:hAnsiTheme="minorEastAsia" w:eastAsiaTheme="minorEastAsia"/>
            </w:rPr>
            <w:tag w:val="_PLD_4e755197acd74c7c8f261f7362539fe2"/>
            <w:id w:val="21754966"/>
          </w:sdtPr>
          <w:sdtEndPr>
            <w:rPr>
              <w:rFonts w:asciiTheme="minorEastAsia" w:hAnsiTheme="minorEastAsia" w:eastAsiaTheme="minorEastAsia"/>
            </w:rPr>
          </w:sdtEndPr>
          <w:sdtContent>
            <w:tc>
              <w:tcPr>
                <w:tcW w:w="547" w:type="pct"/>
              </w:tcPr>
              <w:p w14:paraId="5E662FFC">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注册资本</w:t>
                </w:r>
              </w:p>
            </w:tc>
          </w:sdtContent>
        </w:sdt>
        <w:sdt>
          <w:sdtPr>
            <w:rPr>
              <w:rFonts w:asciiTheme="minorEastAsia" w:hAnsiTheme="minorEastAsia" w:eastAsiaTheme="minorEastAsia"/>
            </w:rPr>
            <w:tag w:val="_PLD_198557953dd6417b8383682dc2f22f88"/>
            <w:id w:val="-53552267"/>
          </w:sdtPr>
          <w:sdtEndPr>
            <w:rPr>
              <w:rFonts w:asciiTheme="minorEastAsia" w:hAnsiTheme="minorEastAsia" w:eastAsiaTheme="minorEastAsia"/>
            </w:rPr>
          </w:sdtEndPr>
          <w:sdtContent>
            <w:tc>
              <w:tcPr>
                <w:tcW w:w="547" w:type="pct"/>
              </w:tcPr>
              <w:p w14:paraId="3EA22357">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总资产</w:t>
                </w:r>
              </w:p>
            </w:tc>
          </w:sdtContent>
        </w:sdt>
        <w:sdt>
          <w:sdtPr>
            <w:rPr>
              <w:rFonts w:asciiTheme="minorEastAsia" w:hAnsiTheme="minorEastAsia" w:eastAsiaTheme="minorEastAsia"/>
            </w:rPr>
            <w:tag w:val="_PLD_970ef0a1e0e447cebd29209c05ba1fc2"/>
            <w:id w:val="2050943220"/>
          </w:sdtPr>
          <w:sdtEndPr>
            <w:rPr>
              <w:rFonts w:asciiTheme="minorEastAsia" w:hAnsiTheme="minorEastAsia" w:eastAsiaTheme="minorEastAsia"/>
            </w:rPr>
          </w:sdtEndPr>
          <w:sdtContent>
            <w:tc>
              <w:tcPr>
                <w:tcW w:w="547" w:type="pct"/>
              </w:tcPr>
              <w:p w14:paraId="6F52E2C1">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净资产</w:t>
                </w:r>
              </w:p>
            </w:tc>
          </w:sdtContent>
        </w:sdt>
        <w:sdt>
          <w:sdtPr>
            <w:rPr>
              <w:rFonts w:asciiTheme="minorEastAsia" w:hAnsiTheme="minorEastAsia" w:eastAsiaTheme="minorEastAsia"/>
            </w:rPr>
            <w:tag w:val="_PLD_0181251db664423ba29eb5f6a1e81eec"/>
            <w:id w:val="1388459058"/>
          </w:sdtPr>
          <w:sdtEndPr>
            <w:rPr>
              <w:rFonts w:asciiTheme="minorEastAsia" w:hAnsiTheme="minorEastAsia" w:eastAsiaTheme="minorEastAsia"/>
            </w:rPr>
          </w:sdtEndPr>
          <w:sdtContent>
            <w:tc>
              <w:tcPr>
                <w:tcW w:w="547" w:type="pct"/>
              </w:tcPr>
              <w:p w14:paraId="71FAA83F">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营业收入</w:t>
                </w:r>
              </w:p>
            </w:tc>
          </w:sdtContent>
        </w:sdt>
        <w:sdt>
          <w:sdtPr>
            <w:rPr>
              <w:rFonts w:asciiTheme="minorEastAsia" w:hAnsiTheme="minorEastAsia" w:eastAsiaTheme="minorEastAsia"/>
            </w:rPr>
            <w:tag w:val="_PLD_a3b6a5568dbe49adac1f2f6a8954c8d8"/>
            <w:id w:val="-1461872551"/>
          </w:sdtPr>
          <w:sdtEndPr>
            <w:rPr>
              <w:rFonts w:asciiTheme="minorEastAsia" w:hAnsiTheme="minorEastAsia" w:eastAsiaTheme="minorEastAsia"/>
            </w:rPr>
          </w:sdtEndPr>
          <w:sdtContent>
            <w:tc>
              <w:tcPr>
                <w:tcW w:w="546" w:type="pct"/>
              </w:tcPr>
              <w:p w14:paraId="24A9FC1F">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营业利润</w:t>
                </w:r>
              </w:p>
            </w:tc>
          </w:sdtContent>
        </w:sdt>
        <w:sdt>
          <w:sdtPr>
            <w:rPr>
              <w:rFonts w:asciiTheme="minorEastAsia" w:hAnsiTheme="minorEastAsia" w:eastAsiaTheme="minorEastAsia"/>
            </w:rPr>
            <w:tag w:val="_PLD_a6776b47f9a845978fbed08d37050d0e"/>
            <w:id w:val="-340404083"/>
          </w:sdtPr>
          <w:sdtEndPr>
            <w:rPr>
              <w:rFonts w:asciiTheme="minorEastAsia" w:hAnsiTheme="minorEastAsia" w:eastAsiaTheme="minorEastAsia"/>
            </w:rPr>
          </w:sdtEndPr>
          <w:sdtContent>
            <w:tc>
              <w:tcPr>
                <w:tcW w:w="582" w:type="pct"/>
              </w:tcPr>
              <w:p w14:paraId="012ED9F7">
                <w:pPr>
                  <w:kinsoku w:val="0"/>
                  <w:overflowPunct w:val="0"/>
                  <w:autoSpaceDE w:val="0"/>
                  <w:autoSpaceDN w:val="0"/>
                  <w:adjustRightInd w:val="0"/>
                  <w:snapToGrid w:val="0"/>
                  <w:jc w:val="center"/>
                  <w:rPr>
                    <w:rFonts w:asciiTheme="minorEastAsia" w:hAnsiTheme="minorEastAsia" w:eastAsiaTheme="minorEastAsia"/>
                  </w:rPr>
                </w:pPr>
                <w:r>
                  <w:rPr>
                    <w:rFonts w:asciiTheme="minorEastAsia" w:hAnsiTheme="minorEastAsia" w:eastAsiaTheme="minorEastAsia"/>
                  </w:rPr>
                  <w:t>净利润</w:t>
                </w:r>
              </w:p>
            </w:tc>
          </w:sdtContent>
        </w:sdt>
      </w:tr>
      <w:tr w14:paraId="2385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72F701CB">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重庆力帆瑞驰摩托车有限公司</w:t>
            </w:r>
          </w:p>
        </w:tc>
        <w:sdt>
          <w:sdtPr>
            <w:rPr>
              <w:rFonts w:hint="eastAsia" w:asciiTheme="minorEastAsia" w:hAnsiTheme="minorEastAsia" w:eastAsiaTheme="minorEastAsia"/>
            </w:rPr>
            <w:alias w:val="主要控股参股公司分析明细_公司类型"/>
            <w:tag w:val="_GBC_b63dea9292ad4cfe8575aac30c468aa9"/>
            <w:id w:val="-36199559"/>
            <w:comboBox>
              <w:listItem w:displayText="子公司" w:value="子公司"/>
              <w:listItem w:displayText="参股公司" w:value="参股公司"/>
            </w:comboBox>
          </w:sdtPr>
          <w:sdtEndPr>
            <w:rPr>
              <w:rFonts w:hint="eastAsia" w:asciiTheme="minorEastAsia" w:hAnsiTheme="minorEastAsia" w:eastAsiaTheme="minorEastAsia"/>
            </w:rPr>
          </w:sdtEndPr>
          <w:sdtContent>
            <w:tc>
              <w:tcPr>
                <w:tcW w:w="584" w:type="pct"/>
                <w:vAlign w:val="center"/>
              </w:tcPr>
              <w:p w14:paraId="1E573991">
                <w:pPr>
                  <w:kinsoku w:val="0"/>
                  <w:overflowPunct w:val="0"/>
                  <w:autoSpaceDE w:val="0"/>
                  <w:autoSpaceDN w:val="0"/>
                  <w:adjustRightInd w:val="0"/>
                  <w:snapToGrid w:val="0"/>
                  <w:jc w:val="center"/>
                  <w:rPr>
                    <w:rFonts w:asciiTheme="minorEastAsia" w:hAnsiTheme="minorEastAsia" w:eastAsiaTheme="minorEastAsia"/>
                  </w:rPr>
                </w:pPr>
                <w:r>
                  <w:rPr>
                    <w:rFonts w:hint="eastAsia" w:asciiTheme="minorEastAsia" w:hAnsiTheme="minorEastAsia" w:eastAsiaTheme="minorEastAsia"/>
                  </w:rPr>
                  <w:t>子公司</w:t>
                </w:r>
              </w:p>
            </w:tc>
          </w:sdtContent>
        </w:sdt>
        <w:tc>
          <w:tcPr>
            <w:tcW w:w="547" w:type="pct"/>
            <w:vAlign w:val="center"/>
          </w:tcPr>
          <w:p w14:paraId="68CB0578">
            <w:pPr>
              <w:rPr>
                <w:rFonts w:asciiTheme="minorEastAsia" w:hAnsiTheme="minorEastAsia" w:eastAsiaTheme="minorEastAsia"/>
              </w:rPr>
            </w:pPr>
            <w:r>
              <w:rPr>
                <w:rFonts w:asciiTheme="minorEastAsia" w:hAnsiTheme="minorEastAsia" w:eastAsiaTheme="minorEastAsia"/>
              </w:rPr>
              <w:t>摩托车发动机、摩托车整车制造</w:t>
            </w:r>
          </w:p>
        </w:tc>
        <w:tc>
          <w:tcPr>
            <w:tcW w:w="547" w:type="pct"/>
            <w:vAlign w:val="center"/>
          </w:tcPr>
          <w:p w14:paraId="2E34DCB4">
            <w:pPr>
              <w:jc w:val="right"/>
              <w:rPr>
                <w:rFonts w:asciiTheme="minorEastAsia" w:hAnsiTheme="minorEastAsia" w:eastAsiaTheme="minorEastAsia"/>
              </w:rPr>
            </w:pPr>
            <w:r>
              <w:rPr>
                <w:rFonts w:asciiTheme="minorEastAsia" w:hAnsiTheme="minorEastAsia" w:eastAsiaTheme="minorEastAsia"/>
              </w:rPr>
              <w:t>2,000</w:t>
            </w:r>
          </w:p>
        </w:tc>
        <w:tc>
          <w:tcPr>
            <w:tcW w:w="547" w:type="pct"/>
            <w:vAlign w:val="center"/>
          </w:tcPr>
          <w:p w14:paraId="7205EFE6">
            <w:pPr>
              <w:jc w:val="right"/>
              <w:rPr>
                <w:rFonts w:asciiTheme="minorEastAsia" w:hAnsiTheme="minorEastAsia" w:eastAsiaTheme="minorEastAsia"/>
              </w:rPr>
            </w:pPr>
            <w:r>
              <w:rPr>
                <w:rFonts w:asciiTheme="minorEastAsia" w:hAnsiTheme="minorEastAsia" w:eastAsiaTheme="minorEastAsia"/>
              </w:rPr>
              <w:t>90,514.49</w:t>
            </w:r>
          </w:p>
        </w:tc>
        <w:tc>
          <w:tcPr>
            <w:tcW w:w="547" w:type="pct"/>
            <w:vAlign w:val="center"/>
          </w:tcPr>
          <w:p w14:paraId="5C9205F2">
            <w:pPr>
              <w:jc w:val="right"/>
              <w:rPr>
                <w:rFonts w:asciiTheme="minorEastAsia" w:hAnsiTheme="minorEastAsia" w:eastAsiaTheme="minorEastAsia"/>
              </w:rPr>
            </w:pPr>
            <w:r>
              <w:rPr>
                <w:rFonts w:asciiTheme="minorEastAsia" w:hAnsiTheme="minorEastAsia" w:eastAsiaTheme="minorEastAsia"/>
              </w:rPr>
              <w:t>6,608.99</w:t>
            </w:r>
          </w:p>
        </w:tc>
        <w:tc>
          <w:tcPr>
            <w:tcW w:w="547" w:type="pct"/>
            <w:vAlign w:val="center"/>
          </w:tcPr>
          <w:p w14:paraId="4E5BAF58">
            <w:pPr>
              <w:jc w:val="right"/>
              <w:rPr>
                <w:rFonts w:asciiTheme="minorEastAsia" w:hAnsiTheme="minorEastAsia" w:eastAsiaTheme="minorEastAsia"/>
              </w:rPr>
            </w:pPr>
            <w:r>
              <w:rPr>
                <w:rFonts w:asciiTheme="minorEastAsia" w:hAnsiTheme="minorEastAsia" w:eastAsiaTheme="minorEastAsia"/>
              </w:rPr>
              <w:t>74,275.11</w:t>
            </w:r>
          </w:p>
        </w:tc>
        <w:tc>
          <w:tcPr>
            <w:tcW w:w="546" w:type="pct"/>
            <w:vAlign w:val="center"/>
          </w:tcPr>
          <w:p w14:paraId="45CB384B">
            <w:pPr>
              <w:jc w:val="center"/>
              <w:rPr>
                <w:rFonts w:asciiTheme="minorEastAsia" w:hAnsiTheme="minorEastAsia" w:eastAsiaTheme="minorEastAsia"/>
              </w:rPr>
            </w:pPr>
            <w:r>
              <w:rPr>
                <w:rFonts w:asciiTheme="minorEastAsia" w:hAnsiTheme="minorEastAsia" w:eastAsiaTheme="minorEastAsia"/>
              </w:rPr>
              <w:t>2,837.00</w:t>
            </w:r>
          </w:p>
        </w:tc>
        <w:tc>
          <w:tcPr>
            <w:tcW w:w="582" w:type="pct"/>
            <w:vAlign w:val="center"/>
          </w:tcPr>
          <w:p w14:paraId="661F9746">
            <w:pPr>
              <w:jc w:val="center"/>
              <w:rPr>
                <w:rFonts w:asciiTheme="minorEastAsia" w:hAnsiTheme="minorEastAsia" w:eastAsiaTheme="minorEastAsia"/>
              </w:rPr>
            </w:pPr>
            <w:r>
              <w:rPr>
                <w:rFonts w:asciiTheme="minorEastAsia" w:hAnsiTheme="minorEastAsia" w:eastAsiaTheme="minorEastAsia"/>
              </w:rPr>
              <w:t>2,835.20</w:t>
            </w:r>
          </w:p>
        </w:tc>
      </w:tr>
      <w:tr w14:paraId="0AA7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7C723DE8">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重庆力帆喜生活摩托车销售有限公司</w:t>
            </w:r>
          </w:p>
        </w:tc>
        <w:tc>
          <w:tcPr>
            <w:tcW w:w="584" w:type="pct"/>
            <w:vAlign w:val="center"/>
          </w:tcPr>
          <w:p w14:paraId="3E5102AE">
            <w:pPr>
              <w:jc w:val="center"/>
              <w:rPr>
                <w:rFonts w:asciiTheme="minorEastAsia" w:hAnsiTheme="minorEastAsia" w:eastAsiaTheme="minorEastAsia"/>
              </w:rPr>
            </w:pPr>
            <w:r>
              <w:rPr>
                <w:rFonts w:asciiTheme="minorEastAsia" w:hAnsiTheme="minorEastAsia" w:eastAsiaTheme="minorEastAsia"/>
              </w:rPr>
              <w:t>子公司</w:t>
            </w:r>
          </w:p>
        </w:tc>
        <w:tc>
          <w:tcPr>
            <w:tcW w:w="547" w:type="pct"/>
            <w:vAlign w:val="center"/>
          </w:tcPr>
          <w:p w14:paraId="52CCF4E7">
            <w:pPr>
              <w:rPr>
                <w:rFonts w:asciiTheme="minorEastAsia" w:hAnsiTheme="minorEastAsia" w:eastAsiaTheme="minorEastAsia"/>
              </w:rPr>
            </w:pPr>
            <w:r>
              <w:rPr>
                <w:rFonts w:asciiTheme="minorEastAsia" w:hAnsiTheme="minorEastAsia" w:eastAsiaTheme="minorEastAsia"/>
              </w:rPr>
              <w:t>摩托车发动机、摩托车整车销售</w:t>
            </w:r>
          </w:p>
        </w:tc>
        <w:tc>
          <w:tcPr>
            <w:tcW w:w="547" w:type="pct"/>
            <w:vAlign w:val="center"/>
          </w:tcPr>
          <w:p w14:paraId="69CB3F16">
            <w:pPr>
              <w:jc w:val="right"/>
              <w:rPr>
                <w:rFonts w:asciiTheme="minorEastAsia" w:hAnsiTheme="minorEastAsia" w:eastAsiaTheme="minorEastAsia"/>
              </w:rPr>
            </w:pPr>
            <w:r>
              <w:rPr>
                <w:rFonts w:asciiTheme="minorEastAsia" w:hAnsiTheme="minorEastAsia" w:eastAsiaTheme="minorEastAsia"/>
              </w:rPr>
              <w:t>400</w:t>
            </w:r>
          </w:p>
        </w:tc>
        <w:tc>
          <w:tcPr>
            <w:tcW w:w="547" w:type="pct"/>
            <w:vAlign w:val="center"/>
          </w:tcPr>
          <w:p w14:paraId="4B37555A">
            <w:pPr>
              <w:jc w:val="right"/>
              <w:rPr>
                <w:rFonts w:asciiTheme="minorEastAsia" w:hAnsiTheme="minorEastAsia" w:eastAsiaTheme="minorEastAsia"/>
              </w:rPr>
            </w:pPr>
            <w:r>
              <w:rPr>
                <w:rFonts w:asciiTheme="minorEastAsia" w:hAnsiTheme="minorEastAsia" w:eastAsiaTheme="minorEastAsia"/>
              </w:rPr>
              <w:t>26,130.55</w:t>
            </w:r>
          </w:p>
        </w:tc>
        <w:tc>
          <w:tcPr>
            <w:tcW w:w="547" w:type="pct"/>
            <w:vAlign w:val="center"/>
          </w:tcPr>
          <w:p w14:paraId="44278EF4">
            <w:pPr>
              <w:jc w:val="right"/>
              <w:rPr>
                <w:rFonts w:asciiTheme="minorEastAsia" w:hAnsiTheme="minorEastAsia" w:eastAsiaTheme="minorEastAsia"/>
              </w:rPr>
            </w:pPr>
            <w:r>
              <w:rPr>
                <w:rFonts w:asciiTheme="minorEastAsia" w:hAnsiTheme="minorEastAsia" w:eastAsiaTheme="minorEastAsia"/>
              </w:rPr>
              <w:t>-19,816.43</w:t>
            </w:r>
          </w:p>
        </w:tc>
        <w:tc>
          <w:tcPr>
            <w:tcW w:w="547" w:type="pct"/>
            <w:vAlign w:val="center"/>
          </w:tcPr>
          <w:p w14:paraId="42E3B7E4">
            <w:pPr>
              <w:jc w:val="right"/>
              <w:rPr>
                <w:rFonts w:asciiTheme="minorEastAsia" w:hAnsiTheme="minorEastAsia" w:eastAsiaTheme="minorEastAsia"/>
              </w:rPr>
            </w:pPr>
            <w:r>
              <w:rPr>
                <w:rFonts w:asciiTheme="minorEastAsia" w:hAnsiTheme="minorEastAsia" w:eastAsiaTheme="minorEastAsia"/>
              </w:rPr>
              <w:t>25,465.74</w:t>
            </w:r>
          </w:p>
        </w:tc>
        <w:tc>
          <w:tcPr>
            <w:tcW w:w="546" w:type="pct"/>
            <w:vAlign w:val="center"/>
          </w:tcPr>
          <w:p w14:paraId="7A8E9F7F">
            <w:pPr>
              <w:jc w:val="center"/>
              <w:rPr>
                <w:rFonts w:asciiTheme="minorEastAsia" w:hAnsiTheme="minorEastAsia" w:eastAsiaTheme="minorEastAsia"/>
              </w:rPr>
            </w:pPr>
            <w:r>
              <w:rPr>
                <w:rFonts w:asciiTheme="minorEastAsia" w:hAnsiTheme="minorEastAsia" w:eastAsiaTheme="minorEastAsia"/>
              </w:rPr>
              <w:t>279.42</w:t>
            </w:r>
          </w:p>
        </w:tc>
        <w:tc>
          <w:tcPr>
            <w:tcW w:w="582" w:type="pct"/>
            <w:vAlign w:val="center"/>
          </w:tcPr>
          <w:p w14:paraId="5446CD8C">
            <w:pPr>
              <w:jc w:val="center"/>
              <w:rPr>
                <w:rFonts w:asciiTheme="minorEastAsia" w:hAnsiTheme="minorEastAsia" w:eastAsiaTheme="minorEastAsia"/>
              </w:rPr>
            </w:pPr>
            <w:r>
              <w:rPr>
                <w:rFonts w:asciiTheme="minorEastAsia" w:hAnsiTheme="minorEastAsia" w:eastAsiaTheme="minorEastAsia"/>
              </w:rPr>
              <w:t>81.27</w:t>
            </w:r>
          </w:p>
        </w:tc>
      </w:tr>
      <w:tr w14:paraId="14F8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7BAC0B00">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重庆力帆实业(集团)进出口有限公司</w:t>
            </w:r>
          </w:p>
        </w:tc>
        <w:tc>
          <w:tcPr>
            <w:tcW w:w="584" w:type="pct"/>
            <w:vAlign w:val="center"/>
          </w:tcPr>
          <w:p w14:paraId="5DD14661">
            <w:pPr>
              <w:jc w:val="center"/>
              <w:rPr>
                <w:rFonts w:asciiTheme="minorEastAsia" w:hAnsiTheme="minorEastAsia" w:eastAsiaTheme="minorEastAsia"/>
              </w:rPr>
            </w:pPr>
            <w:r>
              <w:rPr>
                <w:rFonts w:asciiTheme="minorEastAsia" w:hAnsiTheme="minorEastAsia" w:eastAsiaTheme="minorEastAsia"/>
              </w:rPr>
              <w:t>子公司</w:t>
            </w:r>
          </w:p>
        </w:tc>
        <w:tc>
          <w:tcPr>
            <w:tcW w:w="547" w:type="pct"/>
            <w:vAlign w:val="center"/>
          </w:tcPr>
          <w:p w14:paraId="4F221B52">
            <w:pPr>
              <w:rPr>
                <w:rFonts w:asciiTheme="minorEastAsia" w:hAnsiTheme="minorEastAsia" w:eastAsiaTheme="minorEastAsia"/>
              </w:rPr>
            </w:pPr>
            <w:r>
              <w:rPr>
                <w:rFonts w:asciiTheme="minorEastAsia" w:hAnsiTheme="minorEastAsia" w:eastAsiaTheme="minorEastAsia"/>
              </w:rPr>
              <w:t>摩托车发动机、摩托车整车销售</w:t>
            </w:r>
          </w:p>
        </w:tc>
        <w:tc>
          <w:tcPr>
            <w:tcW w:w="547" w:type="pct"/>
            <w:vAlign w:val="center"/>
          </w:tcPr>
          <w:p w14:paraId="72AD25F4">
            <w:pPr>
              <w:jc w:val="right"/>
              <w:rPr>
                <w:rFonts w:asciiTheme="minorEastAsia" w:hAnsiTheme="minorEastAsia" w:eastAsiaTheme="minorEastAsia"/>
              </w:rPr>
            </w:pPr>
            <w:r>
              <w:rPr>
                <w:rFonts w:asciiTheme="minorEastAsia" w:hAnsiTheme="minorEastAsia" w:eastAsiaTheme="minorEastAsia"/>
              </w:rPr>
              <w:t>200</w:t>
            </w:r>
            <w:r>
              <w:rPr>
                <w:rFonts w:hint="eastAsia" w:asciiTheme="minorEastAsia" w:hAnsiTheme="minorEastAsia" w:eastAsiaTheme="minorEastAsia"/>
              </w:rPr>
              <w:t>,</w:t>
            </w:r>
            <w:r>
              <w:rPr>
                <w:rFonts w:asciiTheme="minorEastAsia" w:hAnsiTheme="minorEastAsia" w:eastAsiaTheme="minorEastAsia"/>
              </w:rPr>
              <w:t>000</w:t>
            </w:r>
          </w:p>
        </w:tc>
        <w:tc>
          <w:tcPr>
            <w:tcW w:w="547" w:type="pct"/>
            <w:vAlign w:val="center"/>
          </w:tcPr>
          <w:p w14:paraId="21D3C15A">
            <w:pPr>
              <w:jc w:val="right"/>
              <w:rPr>
                <w:rFonts w:asciiTheme="minorEastAsia" w:hAnsiTheme="minorEastAsia" w:eastAsiaTheme="minorEastAsia"/>
              </w:rPr>
            </w:pPr>
            <w:r>
              <w:rPr>
                <w:rFonts w:asciiTheme="minorEastAsia" w:hAnsiTheme="minorEastAsia" w:eastAsiaTheme="minorEastAsia"/>
              </w:rPr>
              <w:t>153,700.15</w:t>
            </w:r>
          </w:p>
        </w:tc>
        <w:tc>
          <w:tcPr>
            <w:tcW w:w="547" w:type="pct"/>
            <w:vAlign w:val="center"/>
          </w:tcPr>
          <w:p w14:paraId="503567EF">
            <w:pPr>
              <w:jc w:val="right"/>
              <w:rPr>
                <w:rFonts w:asciiTheme="minorEastAsia" w:hAnsiTheme="minorEastAsia" w:eastAsiaTheme="minorEastAsia"/>
              </w:rPr>
            </w:pPr>
            <w:r>
              <w:rPr>
                <w:rFonts w:asciiTheme="minorEastAsia" w:hAnsiTheme="minorEastAsia" w:eastAsiaTheme="minorEastAsia"/>
              </w:rPr>
              <w:t>9,766.24</w:t>
            </w:r>
          </w:p>
        </w:tc>
        <w:tc>
          <w:tcPr>
            <w:tcW w:w="547" w:type="pct"/>
            <w:vAlign w:val="center"/>
          </w:tcPr>
          <w:p w14:paraId="4CCCCEAD">
            <w:pPr>
              <w:jc w:val="right"/>
              <w:rPr>
                <w:rFonts w:asciiTheme="minorEastAsia" w:hAnsiTheme="minorEastAsia" w:eastAsiaTheme="minorEastAsia"/>
              </w:rPr>
            </w:pPr>
            <w:r>
              <w:rPr>
                <w:rFonts w:asciiTheme="minorEastAsia" w:hAnsiTheme="minorEastAsia" w:eastAsiaTheme="minorEastAsia"/>
              </w:rPr>
              <w:t>102,384.98</w:t>
            </w:r>
          </w:p>
        </w:tc>
        <w:tc>
          <w:tcPr>
            <w:tcW w:w="546" w:type="pct"/>
            <w:vAlign w:val="center"/>
          </w:tcPr>
          <w:p w14:paraId="0544FDD5">
            <w:pPr>
              <w:jc w:val="center"/>
              <w:rPr>
                <w:rFonts w:asciiTheme="minorEastAsia" w:hAnsiTheme="minorEastAsia" w:eastAsiaTheme="minorEastAsia"/>
              </w:rPr>
            </w:pPr>
            <w:r>
              <w:rPr>
                <w:rFonts w:asciiTheme="minorEastAsia" w:hAnsiTheme="minorEastAsia" w:eastAsiaTheme="minorEastAsia"/>
              </w:rPr>
              <w:t>4,362.59</w:t>
            </w:r>
          </w:p>
        </w:tc>
        <w:tc>
          <w:tcPr>
            <w:tcW w:w="582" w:type="pct"/>
            <w:vAlign w:val="center"/>
          </w:tcPr>
          <w:p w14:paraId="3B96182C">
            <w:pPr>
              <w:jc w:val="center"/>
              <w:rPr>
                <w:rFonts w:asciiTheme="minorEastAsia" w:hAnsiTheme="minorEastAsia" w:eastAsiaTheme="minorEastAsia"/>
              </w:rPr>
            </w:pPr>
            <w:r>
              <w:rPr>
                <w:rFonts w:asciiTheme="minorEastAsia" w:hAnsiTheme="minorEastAsia" w:eastAsiaTheme="minorEastAsia"/>
              </w:rPr>
              <w:t>4,329.76</w:t>
            </w:r>
          </w:p>
        </w:tc>
      </w:tr>
      <w:tr w14:paraId="004E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508B07B9">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重庆力帆内燃机有限公司</w:t>
            </w:r>
          </w:p>
        </w:tc>
        <w:tc>
          <w:tcPr>
            <w:tcW w:w="584" w:type="pct"/>
            <w:vAlign w:val="center"/>
          </w:tcPr>
          <w:p w14:paraId="5815F018">
            <w:pPr>
              <w:jc w:val="center"/>
              <w:rPr>
                <w:rFonts w:asciiTheme="minorEastAsia" w:hAnsiTheme="minorEastAsia" w:eastAsiaTheme="minorEastAsia"/>
              </w:rPr>
            </w:pPr>
            <w:r>
              <w:rPr>
                <w:rFonts w:asciiTheme="minorEastAsia" w:hAnsiTheme="minorEastAsia" w:eastAsiaTheme="minorEastAsia"/>
              </w:rPr>
              <w:t>子公司</w:t>
            </w:r>
          </w:p>
        </w:tc>
        <w:tc>
          <w:tcPr>
            <w:tcW w:w="547" w:type="pct"/>
            <w:vAlign w:val="center"/>
          </w:tcPr>
          <w:p w14:paraId="29B9B6AF">
            <w:pPr>
              <w:rPr>
                <w:rFonts w:asciiTheme="minorEastAsia" w:hAnsiTheme="minorEastAsia" w:eastAsiaTheme="minorEastAsia"/>
              </w:rPr>
            </w:pPr>
            <w:r>
              <w:rPr>
                <w:rFonts w:asciiTheme="minorEastAsia" w:hAnsiTheme="minorEastAsia" w:eastAsiaTheme="minorEastAsia"/>
              </w:rPr>
              <w:t>通用机械制造、销售</w:t>
            </w:r>
          </w:p>
        </w:tc>
        <w:tc>
          <w:tcPr>
            <w:tcW w:w="547" w:type="pct"/>
            <w:vAlign w:val="center"/>
          </w:tcPr>
          <w:p w14:paraId="39495E04">
            <w:pPr>
              <w:jc w:val="right"/>
              <w:rPr>
                <w:rFonts w:asciiTheme="minorEastAsia" w:hAnsiTheme="minorEastAsia" w:eastAsiaTheme="minorEastAsia"/>
              </w:rPr>
            </w:pPr>
            <w:r>
              <w:rPr>
                <w:rFonts w:asciiTheme="minorEastAsia" w:hAnsiTheme="minorEastAsia" w:eastAsiaTheme="minorEastAsia"/>
              </w:rPr>
              <w:t>10</w:t>
            </w:r>
            <w:r>
              <w:rPr>
                <w:rFonts w:hint="eastAsia" w:asciiTheme="minorEastAsia" w:hAnsiTheme="minorEastAsia" w:eastAsiaTheme="minorEastAsia"/>
              </w:rPr>
              <w:t>,</w:t>
            </w:r>
            <w:r>
              <w:rPr>
                <w:rFonts w:asciiTheme="minorEastAsia" w:hAnsiTheme="minorEastAsia" w:eastAsiaTheme="minorEastAsia"/>
              </w:rPr>
              <w:t>000</w:t>
            </w:r>
          </w:p>
        </w:tc>
        <w:tc>
          <w:tcPr>
            <w:tcW w:w="547" w:type="pct"/>
            <w:vAlign w:val="center"/>
          </w:tcPr>
          <w:p w14:paraId="7DC33C34">
            <w:pPr>
              <w:jc w:val="right"/>
              <w:rPr>
                <w:rFonts w:asciiTheme="minorEastAsia" w:hAnsiTheme="minorEastAsia" w:eastAsiaTheme="minorEastAsia"/>
              </w:rPr>
            </w:pPr>
            <w:r>
              <w:rPr>
                <w:rFonts w:asciiTheme="minorEastAsia" w:hAnsiTheme="minorEastAsia" w:eastAsiaTheme="minorEastAsia"/>
              </w:rPr>
              <w:t>47,415.68</w:t>
            </w:r>
          </w:p>
        </w:tc>
        <w:tc>
          <w:tcPr>
            <w:tcW w:w="547" w:type="pct"/>
            <w:vAlign w:val="center"/>
          </w:tcPr>
          <w:p w14:paraId="2693F1E1">
            <w:pPr>
              <w:jc w:val="right"/>
              <w:rPr>
                <w:rFonts w:asciiTheme="minorEastAsia" w:hAnsiTheme="minorEastAsia" w:eastAsiaTheme="minorEastAsia"/>
              </w:rPr>
            </w:pPr>
            <w:r>
              <w:rPr>
                <w:rFonts w:asciiTheme="minorEastAsia" w:hAnsiTheme="minorEastAsia" w:eastAsiaTheme="minorEastAsia"/>
              </w:rPr>
              <w:t>31,899.82</w:t>
            </w:r>
          </w:p>
        </w:tc>
        <w:tc>
          <w:tcPr>
            <w:tcW w:w="547" w:type="pct"/>
            <w:vAlign w:val="center"/>
          </w:tcPr>
          <w:p w14:paraId="1F6BCC59">
            <w:pPr>
              <w:jc w:val="right"/>
              <w:rPr>
                <w:rFonts w:asciiTheme="minorEastAsia" w:hAnsiTheme="minorEastAsia" w:eastAsiaTheme="minorEastAsia"/>
              </w:rPr>
            </w:pPr>
            <w:r>
              <w:rPr>
                <w:rFonts w:asciiTheme="minorEastAsia" w:hAnsiTheme="minorEastAsia" w:eastAsiaTheme="minorEastAsia"/>
              </w:rPr>
              <w:t>19,397.84</w:t>
            </w:r>
          </w:p>
        </w:tc>
        <w:tc>
          <w:tcPr>
            <w:tcW w:w="546" w:type="pct"/>
            <w:vAlign w:val="center"/>
          </w:tcPr>
          <w:p w14:paraId="5B70DCB0">
            <w:pPr>
              <w:jc w:val="center"/>
              <w:rPr>
                <w:rFonts w:asciiTheme="minorEastAsia" w:hAnsiTheme="minorEastAsia" w:eastAsiaTheme="minorEastAsia"/>
              </w:rPr>
            </w:pPr>
            <w:r>
              <w:rPr>
                <w:rFonts w:asciiTheme="minorEastAsia" w:hAnsiTheme="minorEastAsia" w:eastAsiaTheme="minorEastAsia"/>
              </w:rPr>
              <w:t>2,397.70</w:t>
            </w:r>
          </w:p>
        </w:tc>
        <w:tc>
          <w:tcPr>
            <w:tcW w:w="582" w:type="pct"/>
            <w:vAlign w:val="center"/>
          </w:tcPr>
          <w:p w14:paraId="7F0A030B">
            <w:pPr>
              <w:jc w:val="center"/>
              <w:rPr>
                <w:rFonts w:asciiTheme="minorEastAsia" w:hAnsiTheme="minorEastAsia" w:eastAsiaTheme="minorEastAsia"/>
              </w:rPr>
            </w:pPr>
            <w:r>
              <w:rPr>
                <w:rFonts w:asciiTheme="minorEastAsia" w:hAnsiTheme="minorEastAsia" w:eastAsiaTheme="minorEastAsia"/>
              </w:rPr>
              <w:t>2,103.24</w:t>
            </w:r>
          </w:p>
        </w:tc>
      </w:tr>
      <w:tr w14:paraId="164F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7D250F4A">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重庆力帆速骓进出口贸易有限公司</w:t>
            </w:r>
          </w:p>
        </w:tc>
        <w:tc>
          <w:tcPr>
            <w:tcW w:w="584" w:type="pct"/>
            <w:vAlign w:val="center"/>
          </w:tcPr>
          <w:p w14:paraId="43700DE3">
            <w:pPr>
              <w:jc w:val="center"/>
              <w:rPr>
                <w:rFonts w:asciiTheme="minorEastAsia" w:hAnsiTheme="minorEastAsia" w:eastAsiaTheme="minorEastAsia"/>
              </w:rPr>
            </w:pPr>
            <w:r>
              <w:rPr>
                <w:rFonts w:asciiTheme="minorEastAsia" w:hAnsiTheme="minorEastAsia" w:eastAsiaTheme="minorEastAsia"/>
              </w:rPr>
              <w:t>子公司</w:t>
            </w:r>
          </w:p>
        </w:tc>
        <w:tc>
          <w:tcPr>
            <w:tcW w:w="547" w:type="pct"/>
            <w:vAlign w:val="center"/>
          </w:tcPr>
          <w:p w14:paraId="456BF3EC">
            <w:pPr>
              <w:rPr>
                <w:rFonts w:asciiTheme="minorEastAsia" w:hAnsiTheme="minorEastAsia" w:eastAsiaTheme="minorEastAsia"/>
              </w:rPr>
            </w:pPr>
            <w:r>
              <w:rPr>
                <w:rFonts w:asciiTheme="minorEastAsia" w:hAnsiTheme="minorEastAsia" w:eastAsiaTheme="minorEastAsia"/>
              </w:rPr>
              <w:t>通用机械销售</w:t>
            </w:r>
          </w:p>
        </w:tc>
        <w:tc>
          <w:tcPr>
            <w:tcW w:w="547" w:type="pct"/>
            <w:vAlign w:val="center"/>
          </w:tcPr>
          <w:p w14:paraId="7DEE51E1">
            <w:pPr>
              <w:jc w:val="right"/>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300</w:t>
            </w:r>
          </w:p>
        </w:tc>
        <w:tc>
          <w:tcPr>
            <w:tcW w:w="547" w:type="pct"/>
            <w:vAlign w:val="center"/>
          </w:tcPr>
          <w:p w14:paraId="56893F47">
            <w:pPr>
              <w:jc w:val="right"/>
              <w:rPr>
                <w:rFonts w:asciiTheme="minorEastAsia" w:hAnsiTheme="minorEastAsia" w:eastAsiaTheme="minorEastAsia"/>
              </w:rPr>
            </w:pPr>
            <w:r>
              <w:rPr>
                <w:rFonts w:asciiTheme="minorEastAsia" w:hAnsiTheme="minorEastAsia" w:eastAsiaTheme="minorEastAsia"/>
              </w:rPr>
              <w:t>27,665.82</w:t>
            </w:r>
          </w:p>
        </w:tc>
        <w:tc>
          <w:tcPr>
            <w:tcW w:w="547" w:type="pct"/>
            <w:vAlign w:val="center"/>
          </w:tcPr>
          <w:p w14:paraId="168AA141">
            <w:pPr>
              <w:jc w:val="right"/>
              <w:rPr>
                <w:rFonts w:asciiTheme="minorEastAsia" w:hAnsiTheme="minorEastAsia" w:eastAsiaTheme="minorEastAsia"/>
              </w:rPr>
            </w:pPr>
            <w:r>
              <w:rPr>
                <w:rFonts w:asciiTheme="minorEastAsia" w:hAnsiTheme="minorEastAsia" w:eastAsiaTheme="minorEastAsia"/>
              </w:rPr>
              <w:t>3,769.57</w:t>
            </w:r>
          </w:p>
        </w:tc>
        <w:tc>
          <w:tcPr>
            <w:tcW w:w="547" w:type="pct"/>
            <w:vAlign w:val="center"/>
          </w:tcPr>
          <w:p w14:paraId="2396D194">
            <w:pPr>
              <w:jc w:val="right"/>
              <w:rPr>
                <w:rFonts w:asciiTheme="minorEastAsia" w:hAnsiTheme="minorEastAsia" w:eastAsiaTheme="minorEastAsia"/>
              </w:rPr>
            </w:pPr>
            <w:r>
              <w:rPr>
                <w:rFonts w:asciiTheme="minorEastAsia" w:hAnsiTheme="minorEastAsia" w:eastAsiaTheme="minorEastAsia"/>
              </w:rPr>
              <w:t>15,131.55</w:t>
            </w:r>
          </w:p>
        </w:tc>
        <w:tc>
          <w:tcPr>
            <w:tcW w:w="546" w:type="pct"/>
            <w:vAlign w:val="center"/>
          </w:tcPr>
          <w:p w14:paraId="4667CB1C">
            <w:pPr>
              <w:jc w:val="center"/>
              <w:rPr>
                <w:rFonts w:asciiTheme="minorEastAsia" w:hAnsiTheme="minorEastAsia" w:eastAsiaTheme="minorEastAsia"/>
              </w:rPr>
            </w:pPr>
            <w:r>
              <w:rPr>
                <w:rFonts w:asciiTheme="minorEastAsia" w:hAnsiTheme="minorEastAsia" w:eastAsiaTheme="minorEastAsia"/>
              </w:rPr>
              <w:t>123.39</w:t>
            </w:r>
          </w:p>
        </w:tc>
        <w:tc>
          <w:tcPr>
            <w:tcW w:w="582" w:type="pct"/>
            <w:vAlign w:val="center"/>
          </w:tcPr>
          <w:p w14:paraId="774E1012">
            <w:pPr>
              <w:jc w:val="center"/>
              <w:rPr>
                <w:rFonts w:asciiTheme="minorEastAsia" w:hAnsiTheme="minorEastAsia" w:eastAsiaTheme="minorEastAsia"/>
              </w:rPr>
            </w:pPr>
            <w:r>
              <w:rPr>
                <w:rFonts w:asciiTheme="minorEastAsia" w:hAnsiTheme="minorEastAsia" w:eastAsiaTheme="minorEastAsia"/>
              </w:rPr>
              <w:t>102.86</w:t>
            </w:r>
          </w:p>
        </w:tc>
      </w:tr>
      <w:tr w14:paraId="434A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4CAA66F7">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重庆睿蓝汽车制造有限公司</w:t>
            </w:r>
          </w:p>
        </w:tc>
        <w:tc>
          <w:tcPr>
            <w:tcW w:w="584" w:type="pct"/>
            <w:vAlign w:val="center"/>
          </w:tcPr>
          <w:p w14:paraId="01F363F9">
            <w:pPr>
              <w:jc w:val="center"/>
              <w:rPr>
                <w:rFonts w:asciiTheme="minorEastAsia" w:hAnsiTheme="minorEastAsia" w:eastAsiaTheme="minorEastAsia"/>
              </w:rPr>
            </w:pPr>
            <w:r>
              <w:rPr>
                <w:rFonts w:asciiTheme="minorEastAsia" w:hAnsiTheme="minorEastAsia" w:eastAsiaTheme="minorEastAsia"/>
              </w:rPr>
              <w:t>子公司</w:t>
            </w:r>
          </w:p>
        </w:tc>
        <w:tc>
          <w:tcPr>
            <w:tcW w:w="547" w:type="pct"/>
            <w:vAlign w:val="center"/>
          </w:tcPr>
          <w:p w14:paraId="1B86F48B">
            <w:pPr>
              <w:rPr>
                <w:rFonts w:asciiTheme="minorEastAsia" w:hAnsiTheme="minorEastAsia" w:eastAsiaTheme="minorEastAsia"/>
              </w:rPr>
            </w:pPr>
            <w:r>
              <w:rPr>
                <w:rFonts w:asciiTheme="minorEastAsia" w:hAnsiTheme="minorEastAsia" w:eastAsiaTheme="minorEastAsia"/>
              </w:rPr>
              <w:t>汽车整车制造、销售</w:t>
            </w:r>
          </w:p>
        </w:tc>
        <w:tc>
          <w:tcPr>
            <w:tcW w:w="547" w:type="pct"/>
            <w:vAlign w:val="center"/>
          </w:tcPr>
          <w:p w14:paraId="6121B7F8">
            <w:pPr>
              <w:jc w:val="right"/>
              <w:rPr>
                <w:rFonts w:asciiTheme="minorEastAsia" w:hAnsiTheme="minorEastAsia" w:eastAsiaTheme="minorEastAsia"/>
              </w:rPr>
            </w:pPr>
            <w:r>
              <w:rPr>
                <w:rFonts w:asciiTheme="minorEastAsia" w:hAnsiTheme="minorEastAsia" w:eastAsiaTheme="minorEastAsia"/>
              </w:rPr>
              <w:t>518</w:t>
            </w:r>
            <w:r>
              <w:rPr>
                <w:rFonts w:hint="eastAsia" w:asciiTheme="minorEastAsia" w:hAnsiTheme="minorEastAsia" w:eastAsiaTheme="minorEastAsia"/>
              </w:rPr>
              <w:t>,</w:t>
            </w:r>
            <w:r>
              <w:rPr>
                <w:rFonts w:asciiTheme="minorEastAsia" w:hAnsiTheme="minorEastAsia" w:eastAsiaTheme="minorEastAsia"/>
              </w:rPr>
              <w:t>000</w:t>
            </w:r>
          </w:p>
        </w:tc>
        <w:tc>
          <w:tcPr>
            <w:tcW w:w="547" w:type="pct"/>
            <w:vAlign w:val="center"/>
          </w:tcPr>
          <w:p w14:paraId="56EDC750">
            <w:pPr>
              <w:jc w:val="right"/>
              <w:rPr>
                <w:rFonts w:asciiTheme="minorEastAsia" w:hAnsiTheme="minorEastAsia" w:eastAsiaTheme="minorEastAsia"/>
              </w:rPr>
            </w:pPr>
            <w:r>
              <w:rPr>
                <w:rFonts w:asciiTheme="minorEastAsia" w:hAnsiTheme="minorEastAsia" w:eastAsiaTheme="minorEastAsia"/>
              </w:rPr>
              <w:t>545,608.35</w:t>
            </w:r>
          </w:p>
        </w:tc>
        <w:tc>
          <w:tcPr>
            <w:tcW w:w="547" w:type="pct"/>
            <w:vAlign w:val="center"/>
          </w:tcPr>
          <w:p w14:paraId="7FAFD1D5">
            <w:pPr>
              <w:jc w:val="right"/>
              <w:rPr>
                <w:rFonts w:asciiTheme="minorEastAsia" w:hAnsiTheme="minorEastAsia" w:eastAsiaTheme="minorEastAsia"/>
              </w:rPr>
            </w:pPr>
            <w:r>
              <w:rPr>
                <w:rFonts w:asciiTheme="minorEastAsia" w:hAnsiTheme="minorEastAsia" w:eastAsiaTheme="minorEastAsia"/>
              </w:rPr>
              <w:t>205,867.50</w:t>
            </w:r>
          </w:p>
        </w:tc>
        <w:tc>
          <w:tcPr>
            <w:tcW w:w="547" w:type="pct"/>
            <w:vAlign w:val="center"/>
          </w:tcPr>
          <w:p w14:paraId="47A68563">
            <w:pPr>
              <w:jc w:val="right"/>
              <w:rPr>
                <w:rFonts w:asciiTheme="minorEastAsia" w:hAnsiTheme="minorEastAsia" w:eastAsiaTheme="minorEastAsia"/>
              </w:rPr>
            </w:pPr>
            <w:r>
              <w:rPr>
                <w:rFonts w:asciiTheme="minorEastAsia" w:hAnsiTheme="minorEastAsia" w:eastAsiaTheme="minorEastAsia"/>
              </w:rPr>
              <w:t>183,154.40</w:t>
            </w:r>
          </w:p>
        </w:tc>
        <w:tc>
          <w:tcPr>
            <w:tcW w:w="546" w:type="pct"/>
            <w:vAlign w:val="center"/>
          </w:tcPr>
          <w:p w14:paraId="68871001">
            <w:pPr>
              <w:jc w:val="center"/>
              <w:rPr>
                <w:rFonts w:asciiTheme="minorEastAsia" w:hAnsiTheme="minorEastAsia" w:eastAsiaTheme="minorEastAsia"/>
              </w:rPr>
            </w:pPr>
            <w:r>
              <w:rPr>
                <w:rFonts w:asciiTheme="minorEastAsia" w:hAnsiTheme="minorEastAsia" w:eastAsiaTheme="minorEastAsia"/>
              </w:rPr>
              <w:t>-5,652.24</w:t>
            </w:r>
          </w:p>
        </w:tc>
        <w:tc>
          <w:tcPr>
            <w:tcW w:w="582" w:type="pct"/>
            <w:vAlign w:val="center"/>
          </w:tcPr>
          <w:p w14:paraId="195E8D73">
            <w:pPr>
              <w:jc w:val="center"/>
              <w:rPr>
                <w:rFonts w:asciiTheme="minorEastAsia" w:hAnsiTheme="minorEastAsia" w:eastAsiaTheme="minorEastAsia"/>
              </w:rPr>
            </w:pPr>
            <w:r>
              <w:rPr>
                <w:rFonts w:asciiTheme="minorEastAsia" w:hAnsiTheme="minorEastAsia" w:eastAsiaTheme="minorEastAsia"/>
              </w:rPr>
              <w:t>-15,154.77</w:t>
            </w:r>
          </w:p>
        </w:tc>
      </w:tr>
      <w:tr w14:paraId="276B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03E274A0">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重庆睿蓝汽车科技有限公司</w:t>
            </w:r>
          </w:p>
        </w:tc>
        <w:tc>
          <w:tcPr>
            <w:tcW w:w="584" w:type="pct"/>
            <w:vAlign w:val="center"/>
          </w:tcPr>
          <w:p w14:paraId="7DB88B2D">
            <w:pPr>
              <w:jc w:val="center"/>
              <w:rPr>
                <w:rFonts w:asciiTheme="minorEastAsia" w:hAnsiTheme="minorEastAsia" w:eastAsiaTheme="minorEastAsia"/>
              </w:rPr>
            </w:pPr>
            <w:r>
              <w:rPr>
                <w:rFonts w:asciiTheme="minorEastAsia" w:hAnsiTheme="minorEastAsia" w:eastAsiaTheme="minorEastAsia"/>
              </w:rPr>
              <w:t>子公司</w:t>
            </w:r>
          </w:p>
        </w:tc>
        <w:tc>
          <w:tcPr>
            <w:tcW w:w="547" w:type="pct"/>
            <w:vAlign w:val="center"/>
          </w:tcPr>
          <w:p w14:paraId="1E82E6CF">
            <w:pPr>
              <w:rPr>
                <w:rFonts w:asciiTheme="minorEastAsia" w:hAnsiTheme="minorEastAsia" w:eastAsiaTheme="minorEastAsia"/>
              </w:rPr>
            </w:pPr>
            <w:r>
              <w:rPr>
                <w:rFonts w:asciiTheme="minorEastAsia" w:hAnsiTheme="minorEastAsia" w:eastAsiaTheme="minorEastAsia"/>
              </w:rPr>
              <w:t>汽车整车研发、销售</w:t>
            </w:r>
          </w:p>
        </w:tc>
        <w:tc>
          <w:tcPr>
            <w:tcW w:w="547" w:type="pct"/>
            <w:vAlign w:val="center"/>
          </w:tcPr>
          <w:p w14:paraId="56A17341">
            <w:pPr>
              <w:jc w:val="right"/>
              <w:rPr>
                <w:rFonts w:asciiTheme="minorEastAsia" w:hAnsiTheme="minorEastAsia" w:eastAsiaTheme="minorEastAsia"/>
              </w:rPr>
            </w:pPr>
            <w:r>
              <w:rPr>
                <w:rFonts w:asciiTheme="minorEastAsia" w:hAnsiTheme="minorEastAsia" w:eastAsiaTheme="minorEastAsia"/>
              </w:rPr>
              <w:t>145</w:t>
            </w:r>
            <w:r>
              <w:rPr>
                <w:rFonts w:hint="eastAsia" w:asciiTheme="minorEastAsia" w:hAnsiTheme="minorEastAsia" w:eastAsiaTheme="minorEastAsia"/>
              </w:rPr>
              <w:t>,</w:t>
            </w:r>
            <w:r>
              <w:rPr>
                <w:rFonts w:asciiTheme="minorEastAsia" w:hAnsiTheme="minorEastAsia" w:eastAsiaTheme="minorEastAsia"/>
              </w:rPr>
              <w:t>000</w:t>
            </w:r>
          </w:p>
        </w:tc>
        <w:tc>
          <w:tcPr>
            <w:tcW w:w="547" w:type="pct"/>
            <w:vAlign w:val="center"/>
          </w:tcPr>
          <w:p w14:paraId="63CB4CDB">
            <w:pPr>
              <w:jc w:val="right"/>
              <w:rPr>
                <w:rFonts w:asciiTheme="minorEastAsia" w:hAnsiTheme="minorEastAsia" w:eastAsiaTheme="minorEastAsia"/>
              </w:rPr>
            </w:pPr>
            <w:r>
              <w:rPr>
                <w:rFonts w:asciiTheme="minorEastAsia" w:hAnsiTheme="minorEastAsia" w:eastAsiaTheme="minorEastAsia"/>
              </w:rPr>
              <w:t>536,350.35</w:t>
            </w:r>
          </w:p>
        </w:tc>
        <w:tc>
          <w:tcPr>
            <w:tcW w:w="547" w:type="pct"/>
            <w:vAlign w:val="center"/>
          </w:tcPr>
          <w:p w14:paraId="38251A25">
            <w:pPr>
              <w:jc w:val="right"/>
              <w:rPr>
                <w:rFonts w:asciiTheme="minorEastAsia" w:hAnsiTheme="minorEastAsia" w:eastAsiaTheme="minorEastAsia"/>
              </w:rPr>
            </w:pPr>
            <w:r>
              <w:rPr>
                <w:rFonts w:asciiTheme="minorEastAsia" w:hAnsiTheme="minorEastAsia" w:eastAsiaTheme="minorEastAsia"/>
              </w:rPr>
              <w:t>-8,496.29</w:t>
            </w:r>
          </w:p>
        </w:tc>
        <w:tc>
          <w:tcPr>
            <w:tcW w:w="547" w:type="pct"/>
            <w:vAlign w:val="center"/>
          </w:tcPr>
          <w:p w14:paraId="2CB2FB88">
            <w:pPr>
              <w:jc w:val="right"/>
              <w:rPr>
                <w:rFonts w:asciiTheme="minorEastAsia" w:hAnsiTheme="minorEastAsia" w:eastAsiaTheme="minorEastAsia"/>
              </w:rPr>
            </w:pPr>
            <w:r>
              <w:rPr>
                <w:rFonts w:asciiTheme="minorEastAsia" w:hAnsiTheme="minorEastAsia" w:eastAsiaTheme="minorEastAsia"/>
              </w:rPr>
              <w:t>228,080.28</w:t>
            </w:r>
          </w:p>
        </w:tc>
        <w:tc>
          <w:tcPr>
            <w:tcW w:w="546" w:type="pct"/>
            <w:vAlign w:val="center"/>
          </w:tcPr>
          <w:p w14:paraId="0030DEF1">
            <w:pPr>
              <w:jc w:val="center"/>
              <w:rPr>
                <w:rFonts w:asciiTheme="minorEastAsia" w:hAnsiTheme="minorEastAsia" w:eastAsiaTheme="minorEastAsia"/>
              </w:rPr>
            </w:pPr>
            <w:r>
              <w:rPr>
                <w:rFonts w:asciiTheme="minorEastAsia" w:hAnsiTheme="minorEastAsia" w:eastAsiaTheme="minorEastAsia"/>
              </w:rPr>
              <w:t>-20,244.82</w:t>
            </w:r>
          </w:p>
        </w:tc>
        <w:tc>
          <w:tcPr>
            <w:tcW w:w="582" w:type="pct"/>
            <w:vAlign w:val="center"/>
          </w:tcPr>
          <w:p w14:paraId="21D95E8D">
            <w:pPr>
              <w:jc w:val="center"/>
              <w:rPr>
                <w:rFonts w:asciiTheme="minorEastAsia" w:hAnsiTheme="minorEastAsia" w:eastAsiaTheme="minorEastAsia"/>
              </w:rPr>
            </w:pPr>
            <w:r>
              <w:rPr>
                <w:rFonts w:asciiTheme="minorEastAsia" w:hAnsiTheme="minorEastAsia" w:eastAsiaTheme="minorEastAsia"/>
              </w:rPr>
              <w:t>-27,740.67</w:t>
            </w:r>
          </w:p>
        </w:tc>
      </w:tr>
      <w:tr w14:paraId="3727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5EFBE46E">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重庆力帆车辆研究院有限公司</w:t>
            </w:r>
          </w:p>
        </w:tc>
        <w:tc>
          <w:tcPr>
            <w:tcW w:w="584" w:type="pct"/>
            <w:vAlign w:val="center"/>
          </w:tcPr>
          <w:p w14:paraId="5416C462">
            <w:pPr>
              <w:jc w:val="center"/>
              <w:rPr>
                <w:rFonts w:asciiTheme="minorEastAsia" w:hAnsiTheme="minorEastAsia" w:eastAsiaTheme="minorEastAsia"/>
              </w:rPr>
            </w:pPr>
            <w:r>
              <w:rPr>
                <w:rFonts w:asciiTheme="minorEastAsia" w:hAnsiTheme="minorEastAsia" w:eastAsiaTheme="minorEastAsia"/>
              </w:rPr>
              <w:t>子公司</w:t>
            </w:r>
          </w:p>
        </w:tc>
        <w:tc>
          <w:tcPr>
            <w:tcW w:w="547" w:type="pct"/>
            <w:vAlign w:val="center"/>
          </w:tcPr>
          <w:p w14:paraId="44949D25">
            <w:pPr>
              <w:rPr>
                <w:rFonts w:asciiTheme="minorEastAsia" w:hAnsiTheme="minorEastAsia" w:eastAsiaTheme="minorEastAsia"/>
              </w:rPr>
            </w:pPr>
            <w:r>
              <w:rPr>
                <w:rFonts w:asciiTheme="minorEastAsia" w:hAnsiTheme="minorEastAsia" w:eastAsiaTheme="minorEastAsia"/>
              </w:rPr>
              <w:t>汽车及汽车配件的设计、研发</w:t>
            </w:r>
          </w:p>
        </w:tc>
        <w:tc>
          <w:tcPr>
            <w:tcW w:w="547" w:type="pct"/>
            <w:vAlign w:val="center"/>
          </w:tcPr>
          <w:p w14:paraId="65ABD1A1">
            <w:pPr>
              <w:jc w:val="right"/>
              <w:rPr>
                <w:rFonts w:asciiTheme="minorEastAsia" w:hAnsiTheme="minorEastAsia" w:eastAsiaTheme="minorEastAsia"/>
              </w:rPr>
            </w:pPr>
            <w:r>
              <w:rPr>
                <w:rFonts w:asciiTheme="minorEastAsia" w:hAnsiTheme="minorEastAsia" w:eastAsiaTheme="minorEastAsia"/>
              </w:rPr>
              <w:t>10,000</w:t>
            </w:r>
          </w:p>
        </w:tc>
        <w:tc>
          <w:tcPr>
            <w:tcW w:w="547" w:type="pct"/>
            <w:vAlign w:val="center"/>
          </w:tcPr>
          <w:p w14:paraId="46EB8B06">
            <w:pPr>
              <w:jc w:val="right"/>
              <w:rPr>
                <w:rFonts w:asciiTheme="minorEastAsia" w:hAnsiTheme="minorEastAsia" w:eastAsiaTheme="minorEastAsia"/>
              </w:rPr>
            </w:pPr>
            <w:r>
              <w:rPr>
                <w:rFonts w:asciiTheme="minorEastAsia" w:hAnsiTheme="minorEastAsia" w:eastAsiaTheme="minorEastAsia"/>
              </w:rPr>
              <w:t>3,182.48</w:t>
            </w:r>
          </w:p>
        </w:tc>
        <w:tc>
          <w:tcPr>
            <w:tcW w:w="547" w:type="pct"/>
            <w:vAlign w:val="center"/>
          </w:tcPr>
          <w:p w14:paraId="4DB5D1D9">
            <w:pPr>
              <w:jc w:val="right"/>
              <w:rPr>
                <w:rFonts w:asciiTheme="minorEastAsia" w:hAnsiTheme="minorEastAsia" w:eastAsiaTheme="minorEastAsia"/>
              </w:rPr>
            </w:pPr>
            <w:r>
              <w:rPr>
                <w:rFonts w:asciiTheme="minorEastAsia" w:hAnsiTheme="minorEastAsia" w:eastAsiaTheme="minorEastAsia"/>
              </w:rPr>
              <w:t>-88.26</w:t>
            </w:r>
          </w:p>
        </w:tc>
        <w:tc>
          <w:tcPr>
            <w:tcW w:w="547" w:type="pct"/>
            <w:vAlign w:val="center"/>
          </w:tcPr>
          <w:p w14:paraId="7066338C">
            <w:pPr>
              <w:jc w:val="right"/>
              <w:rPr>
                <w:rFonts w:asciiTheme="minorEastAsia" w:hAnsiTheme="minorEastAsia" w:eastAsiaTheme="minorEastAsia"/>
              </w:rPr>
            </w:pPr>
            <w:r>
              <w:rPr>
                <w:rFonts w:asciiTheme="minorEastAsia" w:hAnsiTheme="minorEastAsia" w:eastAsiaTheme="minorEastAsia"/>
              </w:rPr>
              <w:t>18.94</w:t>
            </w:r>
          </w:p>
        </w:tc>
        <w:tc>
          <w:tcPr>
            <w:tcW w:w="546" w:type="pct"/>
            <w:vAlign w:val="center"/>
          </w:tcPr>
          <w:p w14:paraId="47902264">
            <w:pPr>
              <w:jc w:val="center"/>
              <w:rPr>
                <w:rFonts w:asciiTheme="minorEastAsia" w:hAnsiTheme="minorEastAsia" w:eastAsiaTheme="minorEastAsia"/>
              </w:rPr>
            </w:pPr>
            <w:r>
              <w:rPr>
                <w:rFonts w:asciiTheme="minorEastAsia" w:hAnsiTheme="minorEastAsia" w:eastAsiaTheme="minorEastAsia"/>
              </w:rPr>
              <w:t>-6,948.06</w:t>
            </w:r>
          </w:p>
        </w:tc>
        <w:tc>
          <w:tcPr>
            <w:tcW w:w="582" w:type="pct"/>
            <w:vAlign w:val="center"/>
          </w:tcPr>
          <w:p w14:paraId="05859A58">
            <w:pPr>
              <w:jc w:val="center"/>
              <w:rPr>
                <w:rFonts w:asciiTheme="minorEastAsia" w:hAnsiTheme="minorEastAsia" w:eastAsiaTheme="minorEastAsia"/>
              </w:rPr>
            </w:pPr>
            <w:r>
              <w:rPr>
                <w:rFonts w:asciiTheme="minorEastAsia" w:hAnsiTheme="minorEastAsia" w:eastAsiaTheme="minorEastAsia"/>
              </w:rPr>
              <w:t>-6,948.06</w:t>
            </w:r>
          </w:p>
        </w:tc>
      </w:tr>
      <w:tr w14:paraId="6D2C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10A2F10D">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重庆润田房地产开发有限公司</w:t>
            </w:r>
          </w:p>
        </w:tc>
        <w:tc>
          <w:tcPr>
            <w:tcW w:w="584" w:type="pct"/>
            <w:vAlign w:val="center"/>
          </w:tcPr>
          <w:p w14:paraId="087E15B5">
            <w:pPr>
              <w:jc w:val="center"/>
              <w:rPr>
                <w:rFonts w:asciiTheme="minorEastAsia" w:hAnsiTheme="minorEastAsia" w:eastAsiaTheme="minorEastAsia"/>
              </w:rPr>
            </w:pPr>
            <w:r>
              <w:rPr>
                <w:rFonts w:asciiTheme="minorEastAsia" w:hAnsiTheme="minorEastAsia" w:eastAsiaTheme="minorEastAsia"/>
              </w:rPr>
              <w:t>子公司</w:t>
            </w:r>
          </w:p>
        </w:tc>
        <w:tc>
          <w:tcPr>
            <w:tcW w:w="547" w:type="pct"/>
            <w:vAlign w:val="center"/>
          </w:tcPr>
          <w:p w14:paraId="1C7BFA27">
            <w:pPr>
              <w:rPr>
                <w:rFonts w:asciiTheme="minorEastAsia" w:hAnsiTheme="minorEastAsia" w:eastAsiaTheme="minorEastAsia"/>
              </w:rPr>
            </w:pPr>
            <w:r>
              <w:t>房地产开发、房屋租赁</w:t>
            </w:r>
          </w:p>
        </w:tc>
        <w:tc>
          <w:tcPr>
            <w:tcW w:w="547" w:type="pct"/>
            <w:vAlign w:val="center"/>
          </w:tcPr>
          <w:p w14:paraId="49CFEC5B">
            <w:pPr>
              <w:jc w:val="right"/>
              <w:rPr>
                <w:rFonts w:asciiTheme="minorEastAsia" w:hAnsiTheme="minorEastAsia" w:eastAsiaTheme="minorEastAsia"/>
              </w:rPr>
            </w:pPr>
            <w:r>
              <w:rPr>
                <w:rFonts w:asciiTheme="minorEastAsia" w:hAnsiTheme="minorEastAsia" w:eastAsiaTheme="minorEastAsia"/>
              </w:rPr>
              <w:t>30</w:t>
            </w:r>
            <w:r>
              <w:rPr>
                <w:rFonts w:hint="eastAsia" w:asciiTheme="minorEastAsia" w:hAnsiTheme="minorEastAsia" w:eastAsiaTheme="minorEastAsia"/>
              </w:rPr>
              <w:t>,</w:t>
            </w:r>
            <w:r>
              <w:rPr>
                <w:rFonts w:asciiTheme="minorEastAsia" w:hAnsiTheme="minorEastAsia" w:eastAsiaTheme="minorEastAsia"/>
              </w:rPr>
              <w:t>000</w:t>
            </w:r>
          </w:p>
        </w:tc>
        <w:tc>
          <w:tcPr>
            <w:tcW w:w="547" w:type="pct"/>
            <w:vAlign w:val="center"/>
          </w:tcPr>
          <w:p w14:paraId="6FB767E5">
            <w:pPr>
              <w:jc w:val="right"/>
              <w:rPr>
                <w:rFonts w:asciiTheme="minorEastAsia" w:hAnsiTheme="minorEastAsia" w:eastAsiaTheme="minorEastAsia"/>
              </w:rPr>
            </w:pPr>
            <w:r>
              <w:rPr>
                <w:rFonts w:asciiTheme="minorEastAsia" w:hAnsiTheme="minorEastAsia" w:eastAsiaTheme="minorEastAsia"/>
              </w:rPr>
              <w:t>434,738.21</w:t>
            </w:r>
          </w:p>
        </w:tc>
        <w:tc>
          <w:tcPr>
            <w:tcW w:w="547" w:type="pct"/>
            <w:vAlign w:val="center"/>
          </w:tcPr>
          <w:p w14:paraId="0F68E4F6">
            <w:pPr>
              <w:jc w:val="right"/>
              <w:rPr>
                <w:rFonts w:asciiTheme="minorEastAsia" w:hAnsiTheme="minorEastAsia" w:eastAsiaTheme="minorEastAsia"/>
              </w:rPr>
            </w:pPr>
            <w:r>
              <w:rPr>
                <w:rFonts w:asciiTheme="minorEastAsia" w:hAnsiTheme="minorEastAsia" w:eastAsiaTheme="minorEastAsia"/>
              </w:rPr>
              <w:t>206,932.52</w:t>
            </w:r>
          </w:p>
        </w:tc>
        <w:tc>
          <w:tcPr>
            <w:tcW w:w="547" w:type="pct"/>
            <w:vAlign w:val="center"/>
          </w:tcPr>
          <w:p w14:paraId="47B86683">
            <w:pPr>
              <w:jc w:val="right"/>
              <w:rPr>
                <w:rFonts w:asciiTheme="minorEastAsia" w:hAnsiTheme="minorEastAsia" w:eastAsiaTheme="minorEastAsia"/>
              </w:rPr>
            </w:pPr>
            <w:r>
              <w:rPr>
                <w:rFonts w:asciiTheme="minorEastAsia" w:hAnsiTheme="minorEastAsia" w:eastAsiaTheme="minorEastAsia"/>
              </w:rPr>
              <w:t>4,173.01</w:t>
            </w:r>
          </w:p>
        </w:tc>
        <w:tc>
          <w:tcPr>
            <w:tcW w:w="546" w:type="pct"/>
            <w:vAlign w:val="center"/>
          </w:tcPr>
          <w:p w14:paraId="7302ECED">
            <w:pPr>
              <w:jc w:val="center"/>
              <w:rPr>
                <w:rFonts w:asciiTheme="minorEastAsia" w:hAnsiTheme="minorEastAsia" w:eastAsiaTheme="minorEastAsia"/>
              </w:rPr>
            </w:pPr>
            <w:r>
              <w:rPr>
                <w:rFonts w:asciiTheme="minorEastAsia" w:hAnsiTheme="minorEastAsia" w:eastAsiaTheme="minorEastAsia"/>
              </w:rPr>
              <w:t>-2,802.61</w:t>
            </w:r>
          </w:p>
        </w:tc>
        <w:tc>
          <w:tcPr>
            <w:tcW w:w="582" w:type="pct"/>
            <w:vAlign w:val="center"/>
          </w:tcPr>
          <w:p w14:paraId="256D366B">
            <w:pPr>
              <w:jc w:val="center"/>
              <w:rPr>
                <w:rFonts w:asciiTheme="minorEastAsia" w:hAnsiTheme="minorEastAsia" w:eastAsiaTheme="minorEastAsia"/>
              </w:rPr>
            </w:pPr>
            <w:r>
              <w:rPr>
                <w:rFonts w:asciiTheme="minorEastAsia" w:hAnsiTheme="minorEastAsia" w:eastAsiaTheme="minorEastAsia"/>
              </w:rPr>
              <w:t>-2,496.61</w:t>
            </w:r>
          </w:p>
        </w:tc>
      </w:tr>
      <w:tr w14:paraId="3A1F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3" w:type="pct"/>
          </w:tcPr>
          <w:p w14:paraId="68F8998B">
            <w:pPr>
              <w:kinsoku w:val="0"/>
              <w:overflowPunct w:val="0"/>
              <w:autoSpaceDE w:val="0"/>
              <w:autoSpaceDN w:val="0"/>
              <w:adjustRightInd w:val="0"/>
              <w:snapToGrid w:val="0"/>
              <w:rPr>
                <w:rFonts w:asciiTheme="minorEastAsia" w:hAnsiTheme="minorEastAsia" w:eastAsiaTheme="minorEastAsia"/>
              </w:rPr>
            </w:pPr>
            <w:r>
              <w:rPr>
                <w:rFonts w:asciiTheme="minorEastAsia" w:hAnsiTheme="minorEastAsia" w:eastAsiaTheme="minorEastAsia"/>
              </w:rPr>
              <w:t>重庆银行股份有限公司</w:t>
            </w:r>
          </w:p>
        </w:tc>
        <w:tc>
          <w:tcPr>
            <w:tcW w:w="584" w:type="pct"/>
            <w:vAlign w:val="center"/>
          </w:tcPr>
          <w:p w14:paraId="52C99C5F">
            <w:pPr>
              <w:jc w:val="center"/>
              <w:rPr>
                <w:rFonts w:asciiTheme="minorEastAsia" w:hAnsiTheme="minorEastAsia" w:eastAsiaTheme="minorEastAsia"/>
              </w:rPr>
            </w:pPr>
            <w:r>
              <w:rPr>
                <w:rFonts w:asciiTheme="minorEastAsia" w:hAnsiTheme="minorEastAsia" w:eastAsiaTheme="minorEastAsia"/>
              </w:rPr>
              <w:t>参股公司</w:t>
            </w:r>
          </w:p>
        </w:tc>
        <w:tc>
          <w:tcPr>
            <w:tcW w:w="547" w:type="pct"/>
            <w:vAlign w:val="center"/>
          </w:tcPr>
          <w:p w14:paraId="6ED2AE4E">
            <w:pPr>
              <w:rPr>
                <w:rFonts w:asciiTheme="minorEastAsia" w:hAnsiTheme="minorEastAsia" w:eastAsiaTheme="minorEastAsia"/>
              </w:rPr>
            </w:pPr>
            <w:r>
              <w:rPr>
                <w:rFonts w:asciiTheme="minorEastAsia" w:hAnsiTheme="minorEastAsia" w:eastAsiaTheme="minorEastAsia"/>
              </w:rPr>
              <w:t>金融服务</w:t>
            </w:r>
          </w:p>
        </w:tc>
        <w:tc>
          <w:tcPr>
            <w:tcW w:w="547" w:type="pct"/>
            <w:vAlign w:val="center"/>
          </w:tcPr>
          <w:p w14:paraId="70B885CD">
            <w:pPr>
              <w:jc w:val="right"/>
              <w:rPr>
                <w:rFonts w:asciiTheme="minorEastAsia" w:hAnsiTheme="minorEastAsia" w:eastAsiaTheme="minorEastAsia"/>
              </w:rPr>
            </w:pPr>
            <w:r>
              <w:rPr>
                <w:rFonts w:asciiTheme="minorEastAsia" w:hAnsiTheme="minorEastAsia" w:eastAsiaTheme="minorEastAsia"/>
              </w:rPr>
              <w:t>347,458.32</w:t>
            </w:r>
          </w:p>
        </w:tc>
        <w:tc>
          <w:tcPr>
            <w:tcW w:w="547" w:type="pct"/>
            <w:vAlign w:val="center"/>
          </w:tcPr>
          <w:p w14:paraId="6D2799BE">
            <w:pPr>
              <w:jc w:val="right"/>
              <w:rPr>
                <w:rFonts w:asciiTheme="minorEastAsia" w:hAnsiTheme="minorEastAsia" w:eastAsiaTheme="minorEastAsia"/>
              </w:rPr>
            </w:pPr>
            <w:r>
              <w:rPr>
                <w:rFonts w:asciiTheme="minorEastAsia" w:hAnsiTheme="minorEastAsia" w:eastAsiaTheme="minorEastAsia"/>
              </w:rPr>
              <w:t>98,336,533.80</w:t>
            </w:r>
          </w:p>
        </w:tc>
        <w:tc>
          <w:tcPr>
            <w:tcW w:w="547" w:type="pct"/>
            <w:vAlign w:val="center"/>
          </w:tcPr>
          <w:p w14:paraId="55D100C6">
            <w:pPr>
              <w:jc w:val="right"/>
              <w:rPr>
                <w:rFonts w:cs="Times New Roman" w:asciiTheme="minorEastAsia" w:hAnsiTheme="minorEastAsia" w:eastAsiaTheme="minorEastAsia"/>
                <w:sz w:val="20"/>
                <w:szCs w:val="20"/>
              </w:rPr>
            </w:pPr>
            <w:r>
              <w:rPr>
                <w:rFonts w:asciiTheme="minorEastAsia" w:hAnsiTheme="minorEastAsia" w:eastAsiaTheme="minorEastAsia"/>
              </w:rPr>
              <w:t>6,549,223.10</w:t>
            </w:r>
          </w:p>
        </w:tc>
        <w:tc>
          <w:tcPr>
            <w:tcW w:w="547" w:type="pct"/>
            <w:vAlign w:val="center"/>
          </w:tcPr>
          <w:p w14:paraId="2E5F5C05">
            <w:pPr>
              <w:jc w:val="right"/>
              <w:rPr>
                <w:rFonts w:cs="Times New Roman" w:asciiTheme="minorEastAsia" w:hAnsiTheme="minorEastAsia" w:eastAsiaTheme="minorEastAsia"/>
                <w:sz w:val="20"/>
                <w:szCs w:val="20"/>
              </w:rPr>
            </w:pPr>
            <w:r>
              <w:rPr>
                <w:rFonts w:asciiTheme="minorEastAsia" w:hAnsiTheme="minorEastAsia" w:eastAsiaTheme="minorEastAsia"/>
              </w:rPr>
              <w:t>765,940.70</w:t>
            </w:r>
          </w:p>
        </w:tc>
        <w:tc>
          <w:tcPr>
            <w:tcW w:w="546" w:type="pct"/>
            <w:vAlign w:val="center"/>
          </w:tcPr>
          <w:p w14:paraId="6C907BD2">
            <w:pPr>
              <w:jc w:val="center"/>
              <w:rPr>
                <w:rFonts w:cs="Times New Roman" w:asciiTheme="minorEastAsia" w:hAnsiTheme="minorEastAsia" w:eastAsiaTheme="minorEastAsia"/>
                <w:sz w:val="20"/>
                <w:szCs w:val="20"/>
              </w:rPr>
            </w:pPr>
            <w:r>
              <w:rPr>
                <w:rFonts w:asciiTheme="minorEastAsia" w:hAnsiTheme="minorEastAsia" w:eastAsiaTheme="minorEastAsia"/>
              </w:rPr>
              <w:t>378,414.00</w:t>
            </w:r>
          </w:p>
        </w:tc>
        <w:tc>
          <w:tcPr>
            <w:tcW w:w="582" w:type="pct"/>
            <w:vAlign w:val="center"/>
          </w:tcPr>
          <w:p w14:paraId="14CC5251">
            <w:pPr>
              <w:jc w:val="center"/>
              <w:rPr>
                <w:rFonts w:cs="Times New Roman" w:asciiTheme="minorEastAsia" w:hAnsiTheme="minorEastAsia" w:eastAsiaTheme="minorEastAsia"/>
                <w:sz w:val="20"/>
                <w:szCs w:val="20"/>
              </w:rPr>
            </w:pPr>
            <w:r>
              <w:rPr>
                <w:rFonts w:asciiTheme="minorEastAsia" w:hAnsiTheme="minorEastAsia" w:eastAsiaTheme="minorEastAsia"/>
              </w:rPr>
              <w:t>318,950.30</w:t>
            </w:r>
          </w:p>
        </w:tc>
      </w:tr>
    </w:tbl>
    <w:p w14:paraId="365376B7"/>
    <w:p w14:paraId="68FECD88">
      <w:r>
        <w:rPr>
          <w:rFonts w:hint="eastAsia"/>
        </w:rPr>
        <w:t>报告期内取得和处置子公司的情况</w:t>
      </w:r>
    </w:p>
    <w:sdt>
      <w:sdtPr>
        <w:rPr>
          <w:rFonts w:hint="eastAsia"/>
          <w:color w:val="000000"/>
        </w:rPr>
        <w:alias w:val="是否适用：报告期内取得和处置子公司的情况[双击切换]"/>
        <w:tag w:val="_GBC_317312bfb3a94aa5a285111b44182c04"/>
        <w:id w:val="454690349"/>
        <w:placeholder>
          <w:docPart w:val="GBC22222222222222222222222222222"/>
        </w:placeholder>
      </w:sdtPr>
      <w:sdtEndPr>
        <w:rPr>
          <w:rFonts w:hint="eastAsia"/>
          <w:color w:val="000000"/>
        </w:rPr>
      </w:sdtEndPr>
      <w:sdtContent>
        <w:p w14:paraId="56DF5AC4">
          <w:pPr>
            <w:rPr>
              <w:color w:val="000000"/>
            </w:rPr>
          </w:pPr>
          <w:r>
            <w:rPr>
              <w:rFonts w:hint="eastAsia" w:ascii="宋体" w:hAnsi="宋体"/>
              <w:color w:val="000000"/>
            </w:rPr>
            <w:fldChar w:fldCharType="begin"/>
          </w:r>
          <w:r>
            <w:rPr>
              <w:rFonts w:hint="eastAsia"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hint="eastAsia" w:ascii="宋体" w:hAnsi="宋体"/>
              <w:color w:val="000000"/>
            </w:rPr>
            <w:instrText xml:space="preserve"> MACROBUTTON  SnrToggleCheckbox □不适用 </w:instrText>
          </w:r>
          <w:r>
            <w:rPr>
              <w:rFonts w:hint="eastAsia" w:ascii="宋体" w:hAnsi="宋体"/>
              <w:color w:val="000000"/>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4578"/>
        <w:gridCol w:w="4826"/>
        <w:gridCol w:w="4529"/>
      </w:tblGrid>
      <w:tr w14:paraId="532B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74f30a5095f344d5857a80d2723d3eda"/>
            <w:id w:val="-176879099"/>
          </w:sdtPr>
          <w:sdtContent>
            <w:tc>
              <w:tcPr>
                <w:tcW w:w="1643" w:type="pct"/>
              </w:tcPr>
              <w:p w14:paraId="533AB24A">
                <w:pPr>
                  <w:kinsoku w:val="0"/>
                  <w:overflowPunct w:val="0"/>
                  <w:autoSpaceDE w:val="0"/>
                  <w:autoSpaceDN w:val="0"/>
                  <w:adjustRightInd w:val="0"/>
                  <w:snapToGrid w:val="0"/>
                  <w:jc w:val="center"/>
                </w:pPr>
                <w:r>
                  <w:t>公司名称</w:t>
                </w:r>
              </w:p>
            </w:tc>
          </w:sdtContent>
        </w:sdt>
        <w:sdt>
          <w:sdtPr>
            <w:tag w:val="_PLD_e0ed6823345841f79490591489dae385"/>
            <w:id w:val="-1676797184"/>
          </w:sdtPr>
          <w:sdtContent>
            <w:tc>
              <w:tcPr>
                <w:tcW w:w="1732" w:type="pct"/>
              </w:tcPr>
              <w:p w14:paraId="1B052601">
                <w:pPr>
                  <w:kinsoku w:val="0"/>
                  <w:overflowPunct w:val="0"/>
                  <w:autoSpaceDE w:val="0"/>
                  <w:autoSpaceDN w:val="0"/>
                  <w:adjustRightInd w:val="0"/>
                  <w:snapToGrid w:val="0"/>
                  <w:jc w:val="center"/>
                </w:pPr>
                <w:r>
                  <w:t>报告期内取得和处置子公司方式</w:t>
                </w:r>
              </w:p>
            </w:tc>
          </w:sdtContent>
        </w:sdt>
        <w:sdt>
          <w:sdtPr>
            <w:tag w:val="_PLD_2710e160ceda4828ac03b78ac25f8ef5"/>
            <w:id w:val="706911259"/>
          </w:sdtPr>
          <w:sdtContent>
            <w:tc>
              <w:tcPr>
                <w:tcW w:w="1625" w:type="pct"/>
              </w:tcPr>
              <w:p w14:paraId="04D04447">
                <w:pPr>
                  <w:kinsoku w:val="0"/>
                  <w:overflowPunct w:val="0"/>
                  <w:autoSpaceDE w:val="0"/>
                  <w:autoSpaceDN w:val="0"/>
                  <w:adjustRightInd w:val="0"/>
                  <w:snapToGrid w:val="0"/>
                  <w:jc w:val="center"/>
                  <w:rPr>
                    <w:highlight w:val="cyan"/>
                  </w:rPr>
                </w:pPr>
                <w:r>
                  <w:t>对整体生产经营和业绩的影响</w:t>
                </w:r>
              </w:p>
            </w:tc>
          </w:sdtContent>
        </w:sdt>
      </w:tr>
      <w:tr w14:paraId="1C11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14:paraId="7DE8CD9E">
            <w:pPr>
              <w:kinsoku w:val="0"/>
              <w:overflowPunct w:val="0"/>
              <w:autoSpaceDE w:val="0"/>
              <w:autoSpaceDN w:val="0"/>
              <w:adjustRightInd w:val="0"/>
              <w:snapToGrid w:val="0"/>
            </w:pPr>
            <w:r>
              <w:t>重庆智骐鑫旺企业管理有限公司</w:t>
            </w:r>
          </w:p>
        </w:tc>
        <w:tc>
          <w:tcPr>
            <w:tcW w:w="1732" w:type="pct"/>
          </w:tcPr>
          <w:p w14:paraId="5A23A07A">
            <w:pPr>
              <w:kinsoku w:val="0"/>
              <w:overflowPunct w:val="0"/>
              <w:autoSpaceDE w:val="0"/>
              <w:autoSpaceDN w:val="0"/>
              <w:adjustRightInd w:val="0"/>
              <w:snapToGrid w:val="0"/>
              <w:jc w:val="center"/>
            </w:pPr>
            <w:r>
              <w:t>设立</w:t>
            </w:r>
          </w:p>
        </w:tc>
        <w:tc>
          <w:tcPr>
            <w:tcW w:w="1625" w:type="pct"/>
          </w:tcPr>
          <w:p w14:paraId="1CEDB6F4">
            <w:pPr>
              <w:kinsoku w:val="0"/>
              <w:overflowPunct w:val="0"/>
              <w:autoSpaceDE w:val="0"/>
              <w:autoSpaceDN w:val="0"/>
              <w:adjustRightInd w:val="0"/>
              <w:snapToGrid w:val="0"/>
            </w:pPr>
            <w:r>
              <w:t>无影响</w:t>
            </w:r>
          </w:p>
        </w:tc>
      </w:tr>
      <w:tr w14:paraId="5679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vAlign w:val="center"/>
          </w:tcPr>
          <w:p w14:paraId="0AD308B1">
            <w:pPr>
              <w:kinsoku w:val="0"/>
              <w:overflowPunct w:val="0"/>
              <w:autoSpaceDE w:val="0"/>
              <w:autoSpaceDN w:val="0"/>
              <w:adjustRightInd w:val="0"/>
              <w:snapToGrid w:val="0"/>
              <w:jc w:val="both"/>
            </w:pPr>
            <w:r>
              <w:t>海博瑞德（重庆）汽车动力控制系统有限公司</w:t>
            </w:r>
          </w:p>
        </w:tc>
        <w:tc>
          <w:tcPr>
            <w:tcW w:w="1732" w:type="pct"/>
            <w:vAlign w:val="center"/>
          </w:tcPr>
          <w:p w14:paraId="178C4438">
            <w:pPr>
              <w:kinsoku w:val="0"/>
              <w:overflowPunct w:val="0"/>
              <w:autoSpaceDE w:val="0"/>
              <w:autoSpaceDN w:val="0"/>
              <w:adjustRightInd w:val="0"/>
              <w:snapToGrid w:val="0"/>
              <w:jc w:val="center"/>
            </w:pPr>
            <w:r>
              <w:t>股权变更</w:t>
            </w:r>
          </w:p>
        </w:tc>
        <w:tc>
          <w:tcPr>
            <w:tcW w:w="1625" w:type="pct"/>
          </w:tcPr>
          <w:p w14:paraId="482B94FA">
            <w:pPr>
              <w:kinsoku w:val="0"/>
              <w:overflowPunct w:val="0"/>
              <w:autoSpaceDE w:val="0"/>
              <w:autoSpaceDN w:val="0"/>
              <w:adjustRightInd w:val="0"/>
              <w:snapToGrid w:val="0"/>
            </w:pPr>
            <w:r>
              <w:t>股权变更后不再纳入公司合并财务报表范围，增加2025年度归属于上市公司股东的净利润3,212万元</w:t>
            </w:r>
          </w:p>
        </w:tc>
      </w:tr>
    </w:tbl>
    <w:p w14:paraId="38B0CA4A"/>
    <w:p w14:paraId="3A63F9B6">
      <w:r>
        <w:rPr>
          <w:rFonts w:hint="eastAsia"/>
        </w:rPr>
        <w:t>其他说明</w:t>
      </w:r>
    </w:p>
    <w:sdt>
      <w:sdtPr>
        <w:rPr>
          <w:rFonts w:hint="eastAsia"/>
          <w:color w:val="000000"/>
        </w:rPr>
        <w:alias w:val="是否适用：主要控股参股公司分析其他说明[双击切换]"/>
        <w:tag w:val="_GBC_97a87b72cb0240beb3adbde0107adfd5"/>
        <w:id w:val="1588644529"/>
        <w:placeholder>
          <w:docPart w:val="GBC22222222222222222222222222222"/>
        </w:placeholder>
      </w:sdtPr>
      <w:sdtEndPr>
        <w:rPr>
          <w:rFonts w:hint="eastAsia"/>
          <w:color w:val="000000"/>
        </w:rPr>
      </w:sdtEndPr>
      <w:sdtContent>
        <w:p w14:paraId="1F331320">
          <w:pPr>
            <w:rPr>
              <w:color w:val="000000"/>
            </w:rPr>
          </w:pPr>
          <w:r>
            <w:rPr>
              <w:rFonts w:hint="eastAsia" w:ascii="宋体" w:hAnsi="宋体"/>
              <w:color w:val="000000"/>
            </w:rPr>
            <w:fldChar w:fldCharType="begin"/>
          </w:r>
          <w:r>
            <w:rPr>
              <w:rFonts w:hint="eastAsia"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hint="eastAsia" w:ascii="宋体" w:hAnsi="宋体"/>
              <w:color w:val="000000"/>
            </w:rPr>
            <w:instrText xml:space="preserve"> MACROBUTTON  SnrToggleCheckbox □不适用 </w:instrText>
          </w:r>
          <w:r>
            <w:rPr>
              <w:rFonts w:hint="eastAsia" w:ascii="宋体" w:hAnsi="宋体"/>
              <w:color w:val="000000"/>
            </w:rPr>
            <w:fldChar w:fldCharType="end"/>
          </w:r>
        </w:p>
      </w:sdtContent>
    </w:sdt>
    <w:sdt>
      <w:sdtPr>
        <w:rPr>
          <w:rFonts w:hint="eastAsia"/>
          <w:color w:val="000000" w:themeColor="text1"/>
          <w14:textFill>
            <w14:solidFill>
              <w14:schemeClr w14:val="tx1"/>
            </w14:solidFill>
          </w14:textFill>
        </w:rPr>
        <w:alias w:val="主要子公司、参股公司分析"/>
        <w:tag w:val="_GBC_839e73df2f5d460cbcde577c1623d15c"/>
        <w:id w:val="1235972381"/>
        <w:placeholder>
          <w:docPart w:val="GBC22222222222222222222222222222"/>
        </w:placeholder>
      </w:sdtPr>
      <w:sdtEndPr>
        <w:rPr>
          <w:rFonts w:hint="eastAsia"/>
          <w:color w:val="000000" w:themeColor="text1"/>
          <w14:textFill>
            <w14:solidFill>
              <w14:schemeClr w14:val="tx1"/>
            </w14:solidFill>
          </w14:textFill>
        </w:rPr>
      </w:sdtEndPr>
      <w:sdtContent>
        <w:p w14:paraId="665F739F">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51"/>
    <w:p w14:paraId="188D4CCC">
      <w:pPr>
        <w:rPr>
          <w:color w:val="000000" w:themeColor="text1"/>
          <w14:textFill>
            <w14:solidFill>
              <w14:schemeClr w14:val="tx1"/>
            </w14:solidFill>
          </w14:textFill>
        </w:rPr>
      </w:pPr>
    </w:p>
    <w:p w14:paraId="6C362D08">
      <w:pPr>
        <w:pStyle w:val="4"/>
        <w:numPr>
          <w:ilvl w:val="0"/>
          <w:numId w:val="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公司控制的结构化主体情况</w:t>
      </w:r>
    </w:p>
    <w:sdt>
      <w:sdtPr>
        <w:rPr>
          <w:rFonts w:hint="eastAsia"/>
          <w:color w:val="000000" w:themeColor="text1"/>
          <w14:textFill>
            <w14:solidFill>
              <w14:schemeClr w14:val="tx1"/>
            </w14:solidFill>
          </w14:textFill>
        </w:rPr>
        <w:alias w:val="是否适用：公司控制的结构化主体情况[双击切换]"/>
        <w:tag w:val="_GBC_6dee8f13bc9a4596ad3e5af6f90f0b8b"/>
        <w:id w:val="-1126077984"/>
        <w:placeholder>
          <w:docPart w:val="GBC22222222222222222222222222222"/>
        </w:placeholder>
      </w:sdtPr>
      <w:sdtEndPr>
        <w:rPr>
          <w:rFonts w:hint="eastAsia"/>
          <w:color w:val="000000" w:themeColor="text1"/>
          <w14:textFill>
            <w14:solidFill>
              <w14:schemeClr w14:val="tx1"/>
            </w14:solidFill>
          </w14:textFill>
        </w:rPr>
      </w:sdtEndPr>
      <w:sdtContent>
        <w:p w14:paraId="61F0A5C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C99F5F8">
      <w:pPr>
        <w:rPr>
          <w:color w:val="000000" w:themeColor="text1"/>
          <w14:textFill>
            <w14:solidFill>
              <w14:schemeClr w14:val="tx1"/>
            </w14:solidFill>
          </w14:textFill>
        </w:rPr>
      </w:pPr>
    </w:p>
    <w:p w14:paraId="261C8E2E">
      <w:pPr>
        <w:pStyle w:val="3"/>
        <w:numPr>
          <w:ilvl w:val="0"/>
          <w:numId w:val="7"/>
        </w:numPr>
        <w:tabs>
          <w:tab w:val="left" w:pos="426"/>
        </w:tabs>
        <w:ind w:left="0" w:firstLine="0"/>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其他披露事项</w:t>
      </w:r>
    </w:p>
    <w:p w14:paraId="0602CC70">
      <w:pPr>
        <w:pStyle w:val="4"/>
        <w:numPr>
          <w:ilvl w:val="0"/>
          <w:numId w:val="1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可能面对的风险</w:t>
      </w:r>
    </w:p>
    <w:sdt>
      <w:sdtPr>
        <w:rPr>
          <w:rFonts w:hint="eastAsia"/>
          <w:color w:val="000000" w:themeColor="text1"/>
          <w14:textFill>
            <w14:solidFill>
              <w14:schemeClr w14:val="tx1"/>
            </w14:solidFill>
          </w14:textFill>
        </w:rPr>
        <w:alias w:val="是否适用：可能面对的风险[双击切换]"/>
        <w:tag w:val="_GBC_2a971d8ab5884d3eb5547ede4e1e17c9"/>
        <w:id w:val="376817423"/>
        <w:placeholder>
          <w:docPart w:val="GBC22222222222222222222222222222"/>
        </w:placeholder>
      </w:sdtPr>
      <w:sdtEndPr>
        <w:rPr>
          <w:rFonts w:hint="eastAsia"/>
          <w:color w:val="000000" w:themeColor="text1"/>
          <w14:textFill>
            <w14:solidFill>
              <w14:schemeClr w14:val="tx1"/>
            </w14:solidFill>
          </w14:textFill>
        </w:rPr>
      </w:sdtEndPr>
      <w:sdtContent>
        <w:p w14:paraId="30267EB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b/>
          <w:color w:val="000000" w:themeColor="text1"/>
          <w14:textFill>
            <w14:solidFill>
              <w14:schemeClr w14:val="tx1"/>
            </w14:solidFill>
          </w14:textFill>
        </w:rPr>
        <w:alias w:val="公司可能面对的风险"/>
        <w:tag w:val="_GBC_6e03b01ba4f1453dbc563404b41bfdbc"/>
        <w:id w:val="-270555328"/>
        <w:placeholder>
          <w:docPart w:val="GBC22222222222222222222222222222"/>
        </w:placeholder>
      </w:sdtPr>
      <w:sdtEndPr>
        <w:rPr>
          <w:rFonts w:hint="eastAsia" w:ascii="宋体" w:hAnsi="宋体" w:cs="Segoe UI"/>
          <w:b w:val="0"/>
          <w:color w:val="404040"/>
          <w:shd w:val="clear" w:color="auto" w:fill="FFFFFF"/>
        </w:rPr>
      </w:sdtEndPr>
      <w:sdtContent>
        <w:sdt>
          <w:sdtPr>
            <w:rPr>
              <w:rFonts w:hint="eastAsia"/>
              <w:b/>
              <w:color w:val="000000" w:themeColor="text1"/>
              <w14:textFill>
                <w14:solidFill>
                  <w14:schemeClr w14:val="tx1"/>
                </w14:solidFill>
              </w14:textFill>
            </w:rPr>
            <w:alias w:val="公司可能面对的风险"/>
            <w:tag w:val="_GBC_6e03b01ba4f1453dbc563404b41bfdbc"/>
            <w:id w:val="147462787"/>
            <w:placeholder>
              <w:docPart w:val="{c74ea67a-698c-49e3-858e-008636dc9b65}"/>
            </w:placeholder>
          </w:sdtPr>
          <w:sdtEndPr>
            <w:rPr>
              <w:rFonts w:hint="eastAsia" w:ascii="宋体" w:hAnsi="宋体" w:cs="Segoe UI"/>
              <w:b w:val="0"/>
              <w:color w:val="404040"/>
              <w:shd w:val="clear" w:color="auto" w:fill="FFFFFF"/>
            </w:rPr>
          </w:sdtEndPr>
          <w:sdtContent>
            <w:sdt>
              <w:sdtPr>
                <w:rPr>
                  <w:rFonts w:hint="eastAsia"/>
                  <w:b/>
                  <w:color w:val="000000" w:themeColor="text1"/>
                  <w14:textFill>
                    <w14:solidFill>
                      <w14:schemeClr w14:val="tx1"/>
                    </w14:solidFill>
                  </w14:textFill>
                </w:rPr>
                <w:alias w:val="公司可能面对的风险"/>
                <w:tag w:val="_GBC_6e03b01ba4f1453dbc563404b41bfdbc"/>
                <w:id w:val="147451321"/>
                <w:placeholder>
                  <w:docPart w:val="{7d081782-a38f-4574-9ede-e761a3b98f51}"/>
                </w:placeholder>
              </w:sdtPr>
              <w:sdtEndPr>
                <w:rPr>
                  <w:rFonts w:hint="eastAsia" w:ascii="宋体" w:hAnsi="宋体" w:cs="Segoe UI"/>
                  <w:b w:val="0"/>
                  <w:color w:val="000000" w:themeColor="text1"/>
                  <w:shd w:val="clear" w:color="auto" w:fill="FFFFFF"/>
                  <w14:textFill>
                    <w14:solidFill>
                      <w14:schemeClr w14:val="tx1"/>
                    </w14:solidFill>
                  </w14:textFill>
                </w:rPr>
              </w:sdtEndPr>
              <w:sdtContent>
                <w:p w14:paraId="7249168B">
                  <w:pPr>
                    <w:spacing w:line="480" w:lineRule="exact"/>
                    <w:ind w:firstLine="422" w:firstLineChars="200"/>
                    <w:jc w:val="both"/>
                    <w:rPr>
                      <w:rFonts w:ascii="宋体" w:hAnsi="宋体" w:cs="Segoe UI"/>
                      <w:b/>
                      <w:color w:val="000000" w:themeColor="text1"/>
                      <w:shd w:val="clear" w:color="auto" w:fill="FFFFFF"/>
                      <w14:textFill>
                        <w14:solidFill>
                          <w14:schemeClr w14:val="tx1"/>
                        </w14:solidFill>
                      </w14:textFill>
                    </w:rPr>
                  </w:pPr>
                  <w:r>
                    <w:rPr>
                      <w:rFonts w:hint="eastAsia" w:ascii="宋体" w:hAnsi="宋体" w:cs="Segoe UI"/>
                      <w:b/>
                      <w:bCs/>
                      <w:color w:val="000000" w:themeColor="text1"/>
                      <w:shd w:val="clear" w:color="auto" w:fill="FFFFFF"/>
                      <w14:textFill>
                        <w14:solidFill>
                          <w14:schemeClr w14:val="tx1"/>
                        </w14:solidFill>
                      </w14:textFill>
                    </w:rPr>
                    <w:t>1.宏观经济与地缘政治风险</w:t>
                  </w:r>
                </w:p>
                <w:p w14:paraId="78F2D41E">
                  <w:pPr>
                    <w:spacing w:line="480" w:lineRule="exact"/>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全球经济格局深度调整与地缘政治格局的复杂变化，给公司经营带来系统性挑战。国际贸易环境不确定性增加，贸易摩擦升级、关税壁垒强化及区域性制裁措施等，可能提高出口业务成本，限制市场准入，进而制约海外市场拓展。</w:t>
                  </w:r>
                </w:p>
                <w:p w14:paraId="16C08C65">
                  <w:pPr>
                    <w:spacing w:line="480" w:lineRule="exact"/>
                    <w:ind w:firstLine="422" w:firstLineChars="200"/>
                    <w:jc w:val="both"/>
                    <w:rPr>
                      <w:rFonts w:ascii="宋体" w:hAnsi="宋体" w:cs="Segoe UI"/>
                      <w:b/>
                      <w:color w:val="000000" w:themeColor="text1"/>
                      <w:shd w:val="clear" w:color="auto" w:fill="FFFFFF"/>
                      <w14:textFill>
                        <w14:solidFill>
                          <w14:schemeClr w14:val="tx1"/>
                        </w14:solidFill>
                      </w14:textFill>
                    </w:rPr>
                  </w:pPr>
                  <w:r>
                    <w:rPr>
                      <w:rFonts w:hint="eastAsia" w:ascii="宋体" w:hAnsi="宋体" w:cs="Segoe UI"/>
                      <w:b/>
                      <w:bCs/>
                      <w:color w:val="000000" w:themeColor="text1"/>
                      <w:shd w:val="clear" w:color="auto" w:fill="FFFFFF"/>
                      <w14:textFill>
                        <w14:solidFill>
                          <w14:schemeClr w14:val="tx1"/>
                        </w14:solidFill>
                      </w14:textFill>
                    </w:rPr>
                    <w:t>2.行业竞争与技术迭代风险</w:t>
                  </w:r>
                </w:p>
                <w:p w14:paraId="73D6BE27">
                  <w:pPr>
                    <w:spacing w:line="480" w:lineRule="exact"/>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汽车产业已进入技术壁垒高筑、竞争维度多元的新阶段。传统车企转型进程提速，科技企业深度跨界参与，行业竞争呈现白热化态势。公司在智能辅助驾驶算法、智能座舱交互系统等核心技术领域若未能保持迭代速度与突破力度，可能导致产品竞争力弱化，错失技术标准制定话语权。</w:t>
                  </w:r>
                </w:p>
                <w:p w14:paraId="1049D89B">
                  <w:pPr>
                    <w:spacing w:line="480" w:lineRule="exact"/>
                    <w:ind w:firstLine="422" w:firstLineChars="200"/>
                    <w:jc w:val="both"/>
                    <w:rPr>
                      <w:rFonts w:ascii="宋体" w:hAnsi="宋体" w:cs="Segoe UI"/>
                      <w:b/>
                      <w:color w:val="000000" w:themeColor="text1"/>
                      <w:shd w:val="clear" w:color="auto" w:fill="FFFFFF"/>
                      <w14:textFill>
                        <w14:solidFill>
                          <w14:schemeClr w14:val="tx1"/>
                        </w14:solidFill>
                      </w14:textFill>
                    </w:rPr>
                  </w:pPr>
                  <w:r>
                    <w:rPr>
                      <w:rFonts w:hint="eastAsia" w:ascii="宋体" w:hAnsi="宋体" w:cs="Segoe UI"/>
                      <w:b/>
                      <w:bCs/>
                      <w:color w:val="000000" w:themeColor="text1"/>
                      <w:shd w:val="clear" w:color="auto" w:fill="FFFFFF"/>
                      <w14:textFill>
                        <w14:solidFill>
                          <w14:schemeClr w14:val="tx1"/>
                        </w14:solidFill>
                      </w14:textFill>
                    </w:rPr>
                    <w:t>3.标准规范变动风险</w:t>
                  </w:r>
                </w:p>
                <w:p w14:paraId="7C075E4A">
                  <w:pPr>
                    <w:spacing w:line="480" w:lineRule="exact"/>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汽车行业作为国家重点监管领域，政策法规体系持续完善，尤其是智能辅助驾驶、智能座舱等新兴板块，相关标准规范正处于动态演进过程中。从自动驾驶功能分级、道路测试认证规程到数据安全与隐私保护条例，政策调整可能要求公司对现有产品进行技术升级、合规性改造及重新认证，由此增加研发投入与运营成本，对产品上市节奏产生潜在影响。</w:t>
                  </w:r>
                </w:p>
                <w:p w14:paraId="10ECC14A">
                  <w:pPr>
                    <w:spacing w:line="480" w:lineRule="exact"/>
                    <w:ind w:firstLine="420" w:firstLineChars="200"/>
                    <w:jc w:val="both"/>
                    <w:rPr>
                      <w:rFonts w:ascii="宋体" w:hAnsi="宋体" w:cs="Segoe UI"/>
                      <w:color w:val="000000" w:themeColor="text1"/>
                      <w:shd w:val="clear" w:color="auto" w:fill="FFFFFF"/>
                      <w14:textFill>
                        <w14:solidFill>
                          <w14:schemeClr w14:val="tx1"/>
                        </w14:solidFill>
                      </w14:textFill>
                    </w:rPr>
                  </w:pPr>
                  <w:r>
                    <w:rPr>
                      <w:rFonts w:hint="eastAsia" w:ascii="宋体" w:hAnsi="宋体" w:cs="Segoe UI"/>
                      <w:color w:val="000000" w:themeColor="text1"/>
                      <w:shd w:val="clear" w:color="auto" w:fill="FFFFFF"/>
                      <w14:textFill>
                        <w14:solidFill>
                          <w14:schemeClr w14:val="tx1"/>
                        </w14:solidFill>
                      </w14:textFill>
                    </w:rPr>
                    <w:t>针对上述风险，公司将持续跟踪全球经济与行业政策动态，构建以客户需求为导向的柔性经营体系；优化研发资源配置，聚焦智能辅助驾驶、智能座舱等关键技术突破，强化知识产权布局，通过系统性举措增强风险抵御能力，保障经营质量稳步提升。</w:t>
                  </w:r>
                </w:p>
              </w:sdtContent>
            </w:sdt>
          </w:sdtContent>
        </w:sdt>
        <w:p w14:paraId="1D4D33E3">
          <w:pPr>
            <w:spacing w:line="480" w:lineRule="exact"/>
            <w:ind w:firstLine="420" w:firstLineChars="200"/>
            <w:jc w:val="both"/>
            <w:rPr>
              <w:color w:val="000000" w:themeColor="text1"/>
              <w14:textFill>
                <w14:solidFill>
                  <w14:schemeClr w14:val="tx1"/>
                </w14:solidFill>
              </w14:textFill>
            </w:rPr>
          </w:pPr>
        </w:p>
      </w:sdtContent>
    </w:sdt>
    <w:p w14:paraId="446494E8">
      <w:pPr>
        <w:pStyle w:val="4"/>
        <w:numPr>
          <w:ilvl w:val="0"/>
          <w:numId w:val="1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其他披露事项</w:t>
      </w:r>
    </w:p>
    <w:sdt>
      <w:sdtPr>
        <w:rPr>
          <w:rFonts w:hint="eastAsia"/>
          <w:color w:val="000000" w:themeColor="text1"/>
          <w14:textFill>
            <w14:solidFill>
              <w14:schemeClr w14:val="tx1"/>
            </w14:solidFill>
          </w14:textFill>
        </w:rPr>
        <w:alias w:val="是否适用：董事会其他需要披露的事项[双击切换]"/>
        <w:tag w:val="_GBC_4bd5ba6bf4044aee9ecd40a0c2fc29bf"/>
        <w:id w:val="-1331284991"/>
        <w:placeholder>
          <w:docPart w:val="GBC22222222222222222222222222222"/>
        </w:placeholder>
      </w:sdtPr>
      <w:sdtEndPr>
        <w:rPr>
          <w:rFonts w:hint="eastAsia"/>
          <w:color w:val="000000" w:themeColor="text1"/>
          <w14:textFill>
            <w14:solidFill>
              <w14:schemeClr w14:val="tx1"/>
            </w14:solidFill>
          </w14:textFill>
        </w:rPr>
      </w:sdtEndPr>
      <w:sdtContent>
        <w:p w14:paraId="129EA88E">
          <w:pPr>
            <w:jc w:val="both"/>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asciiTheme="minorEastAsia" w:hAnsiTheme="minorEastAsia" w:eastAsiaTheme="minorEastAsia"/>
          <w:color w:val="000000" w:themeColor="text1"/>
          <w14:textFill>
            <w14:solidFill>
              <w14:schemeClr w14:val="tx1"/>
            </w14:solidFill>
          </w14:textFill>
        </w:rPr>
        <w:alias w:val="董事会其他需要披露的事项"/>
        <w:tag w:val="_GBC_1751869900474e38a4456794ea384b7e"/>
        <w:id w:val="1486753567"/>
        <w:placeholder>
          <w:docPart w:val="GBC22222222222222222222222222222"/>
        </w:placeholder>
      </w:sdtPr>
      <w:sdtEndPr>
        <w:rPr>
          <w:rFonts w:asciiTheme="minorEastAsia" w:hAnsiTheme="minorEastAsia" w:eastAsiaTheme="minorEastAsia"/>
          <w:color w:val="000000" w:themeColor="text1"/>
          <w14:textFill>
            <w14:solidFill>
              <w14:schemeClr w14:val="tx1"/>
            </w14:solidFill>
          </w14:textFill>
        </w:rPr>
      </w:sdtEndPr>
      <w:sdtContent>
        <w:p w14:paraId="66FE61F5">
          <w:pPr>
            <w:spacing w:line="360" w:lineRule="auto"/>
            <w:ind w:firstLine="420" w:firstLineChars="20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为深入贯彻党的二十大和中央金融工作会议精神，落实国务院《关于进一步提高上市公司质量的意见》的要求，响应上海证券交易所《关于开展沪市公司“提质增效重回报”专项行动的倡议》，积极推动公司高质量发展，增强投资者回报，提升投资者获得感，公司于2025年3月11日披露了《2025年度“提质增效重回报”行动方案》。2025年上半年，公司根据行动方案内容积极开展并落实相关工作，具体执行情况如下：</w:t>
          </w:r>
        </w:p>
        <w:p w14:paraId="4800E8BE">
          <w:pPr>
            <w:spacing w:line="360" w:lineRule="auto"/>
            <w:ind w:firstLine="422" w:firstLineChars="200"/>
            <w:jc w:val="both"/>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1</w:t>
          </w:r>
          <w:r>
            <w:rPr>
              <w:rFonts w:asciiTheme="minorEastAsia" w:hAnsiTheme="minorEastAsia" w:eastAsiaTheme="minorEastAsia"/>
              <w:b/>
              <w:bCs/>
              <w:color w:val="000000" w:themeColor="text1"/>
              <w14:textFill>
                <w14:solidFill>
                  <w14:schemeClr w14:val="tx1"/>
                </w14:solidFill>
              </w14:textFill>
            </w:rPr>
            <w:t>.</w:t>
          </w:r>
          <w:r>
            <w:rPr>
              <w:rFonts w:hint="eastAsia" w:asciiTheme="minorEastAsia" w:hAnsiTheme="minorEastAsia" w:eastAsiaTheme="minorEastAsia"/>
              <w:b/>
              <w:bCs/>
              <w:color w:val="000000" w:themeColor="text1"/>
              <w14:textFill>
                <w14:solidFill>
                  <w14:schemeClr w14:val="tx1"/>
                </w14:solidFill>
              </w14:textFill>
            </w:rPr>
            <w:t>坚持战略引领，提升经营质量</w:t>
          </w:r>
        </w:p>
        <w:p w14:paraId="65ED9AB6">
          <w:pPr>
            <w:spacing w:line="360" w:lineRule="auto"/>
            <w:ind w:firstLine="420" w:firstLineChars="20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报告期内，公司深化“AI+车”战略主线，着力构建“终端+科技”双业务生态，科技业务板块聚焦于提供面向未来的汽车智能化整体解决方案，构建技术壁垒与生态优势；终端业务板块深耕乘用车（含新能源汽车）、摩托车、摩托车发动机及通用机械等领域，持续巩固市场地位与规模优势，两大业务板块协同并进，共同驱动公司高质量发展。</w:t>
          </w:r>
        </w:p>
        <w:p w14:paraId="67552237">
          <w:pPr>
            <w:spacing w:line="360" w:lineRule="auto"/>
            <w:ind w:firstLine="420" w:firstLineChars="20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报告期内，公司通过技术突破、市场拓展、供应链优化、管理提效等举措，实现了经营质量的稳步提升。科技业务聚焦智驾与智舱赛道，强化智驾算法、传感器融合、交互体验等关键领域攻关，并发布了智能辅助驾驶解决方案；市场拓展成效显著，国内渠道持续优化，国际业务加速布局，汽车业务在欧洲市场超额完成目标，</w:t>
          </w:r>
          <w:r>
            <w:rPr>
              <w:rFonts w:hint="eastAsia"/>
              <w:color w:val="000000" w:themeColor="text1"/>
              <w14:textFill>
                <w14:solidFill>
                  <w14:schemeClr w14:val="tx1"/>
                </w14:solidFill>
              </w14:textFill>
            </w:rPr>
            <w:t>摩托车覆盖全球87个国家，新增巴西、埃及、乍得、南非等新兴国家市场</w:t>
          </w:r>
          <w:r>
            <w:rPr>
              <w:rFonts w:hint="eastAsia" w:asciiTheme="minorEastAsia" w:hAnsiTheme="minorEastAsia" w:eastAsiaTheme="minorEastAsia"/>
              <w:color w:val="000000" w:themeColor="text1"/>
              <w14:textFill>
                <w14:solidFill>
                  <w14:schemeClr w14:val="tx1"/>
                </w14:solidFill>
              </w14:textFill>
            </w:rPr>
            <w:t>；供应链协同降本成效突出，依托重庆本地化生态提升采购效率，通过战略合作与精益改善实现千万元级降本；管理效能持续提升，数字化系统迭代推动业务流程自动化，风控与合规体系进一步完善。</w:t>
          </w:r>
        </w:p>
        <w:p w14:paraId="480E799D">
          <w:pPr>
            <w:spacing w:line="360" w:lineRule="auto"/>
            <w:ind w:firstLine="422" w:firstLineChars="200"/>
            <w:jc w:val="both"/>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2</w:t>
          </w:r>
          <w:r>
            <w:rPr>
              <w:rFonts w:asciiTheme="minorEastAsia" w:hAnsiTheme="minorEastAsia" w:eastAsiaTheme="minorEastAsia"/>
              <w:b/>
              <w:bCs/>
              <w:color w:val="000000" w:themeColor="text1"/>
              <w14:textFill>
                <w14:solidFill>
                  <w14:schemeClr w14:val="tx1"/>
                </w14:solidFill>
              </w14:textFill>
            </w:rPr>
            <w:t>.</w:t>
          </w:r>
          <w:r>
            <w:rPr>
              <w:rFonts w:hint="eastAsia" w:asciiTheme="minorEastAsia" w:hAnsiTheme="minorEastAsia" w:eastAsiaTheme="minorEastAsia"/>
              <w:b/>
              <w:bCs/>
              <w:color w:val="000000" w:themeColor="text1"/>
              <w14:textFill>
                <w14:solidFill>
                  <w14:schemeClr w14:val="tx1"/>
                </w14:solidFill>
              </w14:textFill>
            </w:rPr>
            <w:t>强化AI赋能，助推新质生产力</w:t>
          </w:r>
        </w:p>
        <w:p w14:paraId="72E63EC7">
          <w:pPr>
            <w:spacing w:line="360" w:lineRule="auto"/>
            <w:ind w:firstLine="420" w:firstLineChars="200"/>
            <w:jc w:val="both"/>
            <w:rPr>
              <w:rFonts w:hint="eastAsia"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报告期内，公司以科技业务为核心增长引擎，深度赋能汽车智能化发展，在技术研发、产品创新和产业协同方面取得显著突破，充分展现了AI技术赋能下新质生产力的快速发展。在智能驾驶领域，发布了“千里智驾1.0”智能辅助驾驶解决方案，提供基础版、专业版和旗舰版三大产品矩阵，全面覆盖不同价位车型需求。在智能座舱领域，公司与合作伙伴联合推出Agent OS系统（预览版）,能够为AI Agent的运行、调用与协作提供底层基础设施与服务。公司贯彻“科技与终端双轮驱动，AI化与国际化双化牵引”的核心发展战略，协同战略资源合作伙伴，共同打造面向整车制造企业的“AI 智行开放平台”，持续完善汽车智能化整体解决方案，为高质量发展注入创新动能。</w:t>
          </w:r>
        </w:p>
        <w:p w14:paraId="657CF962">
          <w:pPr>
            <w:spacing w:line="360" w:lineRule="auto"/>
            <w:ind w:firstLine="422" w:firstLineChars="200"/>
            <w:jc w:val="both"/>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3</w:t>
          </w:r>
          <w:r>
            <w:rPr>
              <w:rFonts w:asciiTheme="minorEastAsia" w:hAnsiTheme="minorEastAsia" w:eastAsiaTheme="minorEastAsia"/>
              <w:b/>
              <w:bCs/>
              <w:color w:val="000000" w:themeColor="text1"/>
              <w14:textFill>
                <w14:solidFill>
                  <w14:schemeClr w14:val="tx1"/>
                </w14:solidFill>
              </w14:textFill>
            </w:rPr>
            <w:t>.</w:t>
          </w:r>
          <w:r>
            <w:rPr>
              <w:rFonts w:hint="eastAsia" w:asciiTheme="minorEastAsia" w:hAnsiTheme="minorEastAsia" w:eastAsiaTheme="minorEastAsia"/>
              <w:b/>
              <w:bCs/>
              <w:color w:val="000000" w:themeColor="text1"/>
              <w14:textFill>
                <w14:solidFill>
                  <w14:schemeClr w14:val="tx1"/>
                </w14:solidFill>
              </w14:textFill>
            </w:rPr>
            <w:t>重视投资者回报，推动价值提升</w:t>
          </w:r>
        </w:p>
        <w:p w14:paraId="067819DE">
          <w:pPr>
            <w:spacing w:line="360" w:lineRule="auto"/>
            <w:ind w:firstLine="420" w:firstLineChars="20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鉴于公司2024年末及2025年中期可供分配利润为负数，根据《公司法》《公司章程》等有关规定，暂不具备现金分红的前提条件。报告期内，公司聚焦主营业务提升，加速科技业务板块布局，提升科技创新能力及核心竞争力，努力实现稳健经营、业绩增长与股东回报的动态平衡，打造可持续发展的股东价值回报机制，实现公司与股东的共赢发展。</w:t>
          </w:r>
        </w:p>
        <w:p w14:paraId="48851764">
          <w:pPr>
            <w:spacing w:line="360" w:lineRule="auto"/>
            <w:ind w:firstLine="422" w:firstLineChars="200"/>
            <w:jc w:val="both"/>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4</w:t>
          </w:r>
          <w:r>
            <w:rPr>
              <w:rFonts w:asciiTheme="minorEastAsia" w:hAnsiTheme="minorEastAsia" w:eastAsiaTheme="minorEastAsia"/>
              <w:b/>
              <w:bCs/>
              <w:color w:val="000000" w:themeColor="text1"/>
              <w14:textFill>
                <w14:solidFill>
                  <w14:schemeClr w14:val="tx1"/>
                </w14:solidFill>
              </w14:textFill>
            </w:rPr>
            <w:t>.</w:t>
          </w:r>
          <w:r>
            <w:rPr>
              <w:rFonts w:hint="eastAsia" w:asciiTheme="minorEastAsia" w:hAnsiTheme="minorEastAsia" w:eastAsiaTheme="minorEastAsia"/>
              <w:b/>
              <w:bCs/>
              <w:color w:val="000000" w:themeColor="text1"/>
              <w14:textFill>
                <w14:solidFill>
                  <w14:schemeClr w14:val="tx1"/>
                </w14:solidFill>
              </w14:textFill>
            </w:rPr>
            <w:t>提升信披质量，优化投资者关系</w:t>
          </w:r>
        </w:p>
        <w:p w14:paraId="34DF2495">
          <w:pPr>
            <w:spacing w:line="360" w:lineRule="auto"/>
            <w:ind w:firstLine="420" w:firstLineChars="20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报告期内，公司严格遵循《公司法》《证券法》《上海证券交易所股票上市规则》等法律法规、规范性文件及《公司章程》的要求，履行信息披露义务，坚持真实、准确、完整地披露信息，加强信披文件的易读性、有效性。</w:t>
          </w:r>
        </w:p>
        <w:p w14:paraId="6F8B2604">
          <w:pPr>
            <w:spacing w:line="360" w:lineRule="auto"/>
            <w:ind w:firstLine="420" w:firstLineChars="20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报告期内，公司共计披露50份公告正文（含定期报告），确保投资者能及时准确地了解公司经营成果、财务状况、发展战略及重大事项等重要信息</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此外，公司持续推进多层次、多平台投资者交流渠道的构建，通过接待投资者来访、接听投资者热线电话、上证e互动平台问答、召开业绩说明会等多种方式，主动加强与投资者特别是中小投资者的联系与沟通，及时回应投资者提问，向投资者传递公司的生产经营情况，与投资者保持良好的互动沟通关系。</w:t>
          </w:r>
        </w:p>
        <w:p w14:paraId="483E6901">
          <w:pPr>
            <w:spacing w:line="360" w:lineRule="auto"/>
            <w:ind w:firstLine="422" w:firstLineChars="200"/>
            <w:jc w:val="both"/>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5</w:t>
          </w:r>
          <w:r>
            <w:rPr>
              <w:rFonts w:asciiTheme="minorEastAsia" w:hAnsiTheme="minorEastAsia" w:eastAsiaTheme="minorEastAsia"/>
              <w:b/>
              <w:bCs/>
              <w:color w:val="000000" w:themeColor="text1"/>
              <w14:textFill>
                <w14:solidFill>
                  <w14:schemeClr w14:val="tx1"/>
                </w14:solidFill>
              </w14:textFill>
            </w:rPr>
            <w:t>.</w:t>
          </w:r>
          <w:r>
            <w:rPr>
              <w:rFonts w:hint="eastAsia" w:asciiTheme="minorEastAsia" w:hAnsiTheme="minorEastAsia" w:eastAsiaTheme="minorEastAsia"/>
              <w:b/>
              <w:bCs/>
              <w:color w:val="000000" w:themeColor="text1"/>
              <w14:textFill>
                <w14:solidFill>
                  <w14:schemeClr w14:val="tx1"/>
                </w14:solidFill>
              </w14:textFill>
            </w:rPr>
            <w:t>坚持规范运作，提升治理效能</w:t>
          </w:r>
        </w:p>
        <w:p w14:paraId="1D4F2774">
          <w:pPr>
            <w:spacing w:line="360" w:lineRule="auto"/>
            <w:ind w:firstLine="420" w:firstLineChars="200"/>
            <w:jc w:val="both"/>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报告期内，公司严格遵循《公司法》《证券法》等法律法规和中国证监会、上海证券交易所发布的有关公司治理的规范性文件的要求，结合公司实际情况，继续开展内部控制梳理及优化工作，进一步完善内部治理制度体系，确保公司内部管理的制度化、规范化水平稳步提升。公司确保三会运行合规，提高决策有效性，同时积极支持中小投资者参加股东大会，使用上证所信息网络有限公司提供的股东大会“一键通”服务，丰富网络投票途径，为各类投资主体参与公司重大事项决策创造便利条件。公司进一步落实独立董事新规，推动独立董事履职与公司内部决策流程有效融合，强化履职支撑，充分发挥独立董事在上市公司治理中参与决策、监督制衡以及专业咨询的作用，切实维护全体投资者尤其是中小投资者的合法权益。</w:t>
          </w:r>
        </w:p>
        <w:p w14:paraId="00A949B0">
          <w:pPr>
            <w:spacing w:line="360" w:lineRule="auto"/>
            <w:ind w:firstLine="422" w:firstLineChars="200"/>
            <w:jc w:val="both"/>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b/>
              <w:bCs/>
              <w:color w:val="000000" w:themeColor="text1"/>
              <w14:textFill>
                <w14:solidFill>
                  <w14:schemeClr w14:val="tx1"/>
                </w14:solidFill>
              </w14:textFill>
            </w:rPr>
            <w:t>6</w:t>
          </w:r>
          <w:r>
            <w:rPr>
              <w:rFonts w:asciiTheme="minorEastAsia" w:hAnsiTheme="minorEastAsia" w:eastAsiaTheme="minorEastAsia"/>
              <w:b/>
              <w:bCs/>
              <w:color w:val="000000" w:themeColor="text1"/>
              <w14:textFill>
                <w14:solidFill>
                  <w14:schemeClr w14:val="tx1"/>
                </w14:solidFill>
              </w14:textFill>
            </w:rPr>
            <w:t>.</w:t>
          </w:r>
          <w:r>
            <w:rPr>
              <w:rFonts w:hint="eastAsia" w:asciiTheme="minorEastAsia" w:hAnsiTheme="minorEastAsia" w:eastAsiaTheme="minorEastAsia"/>
              <w:b/>
              <w:bCs/>
              <w:color w:val="000000" w:themeColor="text1"/>
              <w14:textFill>
                <w14:solidFill>
                  <w14:schemeClr w14:val="tx1"/>
                </w14:solidFill>
              </w14:textFill>
            </w:rPr>
            <w:t>强化“关键少数”责任，提升合规意识</w:t>
          </w:r>
        </w:p>
        <w:p w14:paraId="166D4FC3">
          <w:pPr>
            <w:spacing w:line="360" w:lineRule="auto"/>
            <w:ind w:firstLine="420" w:firstLineChars="200"/>
            <w:jc w:val="both"/>
            <w:rPr>
              <w:color w:val="000000" w:themeColor="text1"/>
              <w14:textFill>
                <w14:solidFill>
                  <w14:schemeClr w14:val="tx1"/>
                </w14:solidFill>
              </w14:textFill>
            </w:rPr>
            <w:sectPr>
              <w:pgSz w:w="16838" w:h="11906" w:orient="landscape"/>
              <w:pgMar w:top="1797" w:right="1525" w:bottom="1276" w:left="1440" w:header="851" w:footer="992" w:gutter="0"/>
              <w:cols w:space="425" w:num="1"/>
              <w:docGrid w:linePitch="312" w:charSpace="0"/>
            </w:sectPr>
          </w:pPr>
          <w:r>
            <w:rPr>
              <w:rFonts w:hint="eastAsia" w:asciiTheme="minorEastAsia" w:hAnsiTheme="minorEastAsia" w:eastAsiaTheme="minorEastAsia"/>
              <w:color w:val="000000" w:themeColor="text1"/>
              <w14:textFill>
                <w14:solidFill>
                  <w14:schemeClr w14:val="tx1"/>
                </w14:solidFill>
              </w14:textFill>
            </w:rPr>
            <w:t>报告期内，公司一如既往高度重视“关键少数”在生产经营过程中的重要作用，持续强化“关键少数”的履职责任。公司组织全体董监高参加上海证券交易所举办的合规履职培训，并全力支持董监高积极参加各类提升任职能力的相关培训；及时掌握监管动态，收集相关法律法规、典型案例，定期发送给董监高学习，确保监管精神理解准确、执行有效，切实提升董监高的履职能力和规范运作意识。公司累计召开</w:t>
          </w:r>
          <w:r>
            <w:rPr>
              <w:rFonts w:asciiTheme="minorEastAsia" w:hAnsiTheme="minorEastAsia" w:eastAsiaTheme="minorEastAsia"/>
              <w:color w:val="000000" w:themeColor="text1"/>
              <w14:textFill>
                <w14:solidFill>
                  <w14:schemeClr w14:val="tx1"/>
                </w14:solidFill>
              </w14:textFill>
            </w:rPr>
            <w:t>董事会10次、</w:t>
          </w:r>
          <w:r>
            <w:rPr>
              <w:rFonts w:hint="eastAsia" w:asciiTheme="minorEastAsia" w:hAnsiTheme="minorEastAsia" w:eastAsiaTheme="minorEastAsia"/>
              <w:color w:val="000000" w:themeColor="text1"/>
              <w14:textFill>
                <w14:solidFill>
                  <w14:schemeClr w14:val="tx1"/>
                </w14:solidFill>
              </w14:textFill>
            </w:rPr>
            <w:t>监事会2次、审计委员会4次、独立董事专门会议3次，对关联交易、定期报告、内部控制等核心重点领域加强监督管控，严格履行决策程序，切实防范资金占用、违规担保等违法违规行为。</w:t>
          </w:r>
        </w:p>
      </w:sdtContent>
    </w:sdt>
    <w:bookmarkEnd w:id="40"/>
    <w:bookmarkEnd w:id="41"/>
    <w:p w14:paraId="0D5D60AA">
      <w:pPr>
        <w:rPr>
          <w:color w:val="000000" w:themeColor="text1"/>
          <w14:textFill>
            <w14:solidFill>
              <w14:schemeClr w14:val="tx1"/>
            </w14:solidFill>
          </w14:textFill>
        </w:rPr>
      </w:pPr>
    </w:p>
    <w:p w14:paraId="5F0D0709">
      <w:pPr>
        <w:pStyle w:val="2"/>
        <w:numPr>
          <w:ilvl w:val="0"/>
          <w:numId w:val="3"/>
        </w:numPr>
        <w:rPr>
          <w:rFonts w:ascii="黑体" w:hAnsi="黑体"/>
          <w:color w:val="000000" w:themeColor="text1"/>
          <w14:textFill>
            <w14:solidFill>
              <w14:schemeClr w14:val="tx1"/>
            </w14:solidFill>
          </w14:textFill>
        </w:rPr>
      </w:pPr>
      <w:bookmarkStart w:id="52" w:name="_Toc76114275"/>
      <w:bookmarkStart w:id="53" w:name="_Toc200030542"/>
      <w:r>
        <w:rPr>
          <w:rFonts w:hint="eastAsia" w:ascii="黑体" w:hAnsi="黑体"/>
          <w:color w:val="000000" w:themeColor="text1"/>
          <w14:textFill>
            <w14:solidFill>
              <w14:schemeClr w14:val="tx1"/>
            </w14:solidFill>
          </w14:textFill>
        </w:rPr>
        <w:t>公司治理</w:t>
      </w:r>
      <w:bookmarkEnd w:id="52"/>
      <w:r>
        <w:rPr>
          <w:rFonts w:hint="eastAsia" w:ascii="黑体" w:hAnsi="黑体"/>
          <w:color w:val="000000" w:themeColor="text1"/>
          <w14:textFill>
            <w14:solidFill>
              <w14:schemeClr w14:val="tx1"/>
            </w14:solidFill>
          </w14:textFill>
        </w:rPr>
        <w:t>、环境和社会</w:t>
      </w:r>
    </w:p>
    <w:bookmarkEnd w:id="53"/>
    <w:p w14:paraId="364C5D08">
      <w:pPr>
        <w:pStyle w:val="3"/>
        <w:numPr>
          <w:ilvl w:val="0"/>
          <w:numId w:val="14"/>
        </w:numPr>
        <w:tabs>
          <w:tab w:val="left" w:pos="426"/>
        </w:tabs>
        <w:jc w:val="left"/>
        <w:rPr>
          <w:rFonts w:ascii="宋体" w:hAnsi="宋体"/>
          <w:color w:val="000000" w:themeColor="text1"/>
          <w14:textFill>
            <w14:solidFill>
              <w14:schemeClr w14:val="tx1"/>
            </w14:solidFill>
          </w14:textFill>
        </w:rPr>
      </w:pPr>
      <w:bookmarkStart w:id="54" w:name="_Toc342057949"/>
      <w:bookmarkStart w:id="55" w:name="_Toc342566009"/>
      <w:r>
        <w:rPr>
          <w:rFonts w:hint="eastAsia" w:ascii="宋体" w:hAnsi="宋体"/>
          <w:color w:val="000000" w:themeColor="text1"/>
          <w14:textFill>
            <w14:solidFill>
              <w14:schemeClr w14:val="tx1"/>
            </w14:solidFill>
          </w14:textFill>
        </w:rPr>
        <w:t>公司董事</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高级管理人员变动情况</w:t>
      </w:r>
      <w:bookmarkEnd w:id="54"/>
      <w:bookmarkEnd w:id="55"/>
    </w:p>
    <w:sdt>
      <w:sdtPr>
        <w:rPr>
          <w:color w:val="000000" w:themeColor="text1"/>
          <w14:textFill>
            <w14:solidFill>
              <w14:schemeClr w14:val="tx1"/>
            </w14:solidFill>
          </w14:textFill>
        </w:rPr>
        <w:alias w:val="是否适用：公司董事、监事、高级管理人员变动情况[双击切换]"/>
        <w:tag w:val="_GBC_001d837207464f1aaa52a7fb8cd9d226"/>
        <w:id w:val="1362544377"/>
        <w:placeholder>
          <w:docPart w:val="GBC22222222222222222222222222222"/>
        </w:placeholder>
      </w:sdtPr>
      <w:sdtEndPr>
        <w:rPr>
          <w:color w:val="000000" w:themeColor="text1"/>
          <w14:textFill>
            <w14:solidFill>
              <w14:schemeClr w14:val="tx1"/>
            </w14:solidFill>
          </w14:textFill>
        </w:rPr>
      </w:sdtEndPr>
      <w:sdtContent>
        <w:p w14:paraId="4534F2B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22"/>
        <w:gridCol w:w="3081"/>
        <w:gridCol w:w="2890"/>
      </w:tblGrid>
      <w:tr w14:paraId="1E1A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8d21520223e04755b8822b634d237604"/>
            <w:id w:val="-1744943819"/>
          </w:sdtPr>
          <w:sdtContent>
            <w:tc>
              <w:tcPr>
                <w:tcW w:w="1643" w:type="pct"/>
              </w:tcPr>
              <w:p w14:paraId="65A3194D">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姓名</w:t>
                </w:r>
              </w:p>
            </w:tc>
          </w:sdtContent>
        </w:sdt>
        <w:sdt>
          <w:sdtPr>
            <w:tag w:val="_PLD_fbd3bf633b6f43caac5e618a32167462"/>
            <w:id w:val="1659881337"/>
          </w:sdtPr>
          <w:sdtContent>
            <w:tc>
              <w:tcPr>
                <w:tcW w:w="1732" w:type="pct"/>
              </w:tcPr>
              <w:p w14:paraId="745CC2CB">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担任的职务</w:t>
                </w:r>
              </w:p>
            </w:tc>
          </w:sdtContent>
        </w:sdt>
        <w:sdt>
          <w:sdtPr>
            <w:tag w:val="_PLD_32b7efb7e5ea42b9a9c73ad4470b3d12"/>
            <w:id w:val="-1091007018"/>
          </w:sdtPr>
          <w:sdtContent>
            <w:tc>
              <w:tcPr>
                <w:tcW w:w="1625" w:type="pct"/>
              </w:tcPr>
              <w:p w14:paraId="2A6640F2">
                <w:pPr>
                  <w:kinsoku w:val="0"/>
                  <w:overflowPunct w:val="0"/>
                  <w:autoSpaceDE w:val="0"/>
                  <w:autoSpaceDN w:val="0"/>
                  <w:adjustRightInd w:val="0"/>
                  <w:snapToGrid w:val="0"/>
                  <w:jc w:val="center"/>
                  <w:rPr>
                    <w:color w:val="000000" w:themeColor="text1"/>
                    <w:highlight w:val="cyan"/>
                    <w14:textFill>
                      <w14:solidFill>
                        <w14:schemeClr w14:val="tx1"/>
                      </w14:solidFill>
                    </w14:textFill>
                  </w:rPr>
                </w:pPr>
                <w:r>
                  <w:rPr>
                    <w:rFonts w:hint="eastAsia"/>
                    <w:color w:val="000000" w:themeColor="text1"/>
                    <w14:textFill>
                      <w14:solidFill>
                        <w14:schemeClr w14:val="tx1"/>
                      </w14:solidFill>
                    </w14:textFill>
                  </w:rPr>
                  <w:t>变动情形</w:t>
                </w:r>
              </w:p>
            </w:tc>
          </w:sdtContent>
        </w:sdt>
      </w:tr>
      <w:tr w14:paraId="1731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14:paraId="7AB3DCD9">
            <w:pPr>
              <w:kinsoku w:val="0"/>
              <w:overflowPunct w:val="0"/>
              <w:autoSpaceDE w:val="0"/>
              <w:autoSpaceDN w:val="0"/>
              <w:adjustRightInd w:val="0"/>
              <w:snapToGrid w:val="0"/>
              <w:jc w:val="center"/>
            </w:pPr>
            <w:r>
              <w:rPr>
                <w:rFonts w:hint="eastAsia"/>
              </w:rPr>
              <w:t xml:space="preserve">鲍 </w:t>
            </w:r>
            <w:r>
              <w:t xml:space="preserve"> </w:t>
            </w:r>
            <w:r>
              <w:rPr>
                <w:rFonts w:hint="eastAsia"/>
              </w:rPr>
              <w:t>毅</w:t>
            </w:r>
          </w:p>
        </w:tc>
        <w:tc>
          <w:tcPr>
            <w:tcW w:w="1732" w:type="pct"/>
          </w:tcPr>
          <w:p w14:paraId="5779DB97">
            <w:pPr>
              <w:kinsoku w:val="0"/>
              <w:overflowPunct w:val="0"/>
              <w:autoSpaceDE w:val="0"/>
              <w:autoSpaceDN w:val="0"/>
              <w:adjustRightInd w:val="0"/>
              <w:snapToGrid w:val="0"/>
              <w:jc w:val="center"/>
            </w:pPr>
            <w:r>
              <w:rPr>
                <w:rFonts w:hint="eastAsia"/>
              </w:rPr>
              <w:t>副董事长</w:t>
            </w:r>
          </w:p>
        </w:tc>
        <w:sdt>
          <w:sdtPr>
            <w:rPr>
              <w:color w:val="000000" w:themeColor="text1"/>
              <w14:textFill>
                <w14:solidFill>
                  <w14:schemeClr w14:val="tx1"/>
                </w14:solidFill>
              </w14:textFill>
            </w:rPr>
            <w:alias w:val="公司董事、监事、高级管理人员的变动情形"/>
            <w:tag w:val="_GBC_466f24fb36cc4d949be4225fed8d37c7"/>
            <w:id w:val="-1215803278"/>
            <w:comboBox>
              <w:listItem w:displayText="聘任" w:value="聘任"/>
              <w:listItem w:displayText="离任" w:value="离任"/>
              <w:listItem w:displayText="解任" w:value="解任"/>
              <w:listItem w:displayText="选举" w:value="选举"/>
            </w:comboBox>
          </w:sdtPr>
          <w:sdtEndPr>
            <w:rPr>
              <w:color w:val="000000" w:themeColor="text1"/>
              <w14:textFill>
                <w14:solidFill>
                  <w14:schemeClr w14:val="tx1"/>
                </w14:solidFill>
              </w14:textFill>
            </w:rPr>
          </w:sdtEndPr>
          <w:sdtContent>
            <w:tc>
              <w:tcPr>
                <w:tcW w:w="1625" w:type="pct"/>
              </w:tcPr>
              <w:p w14:paraId="278ADED5">
                <w:pPr>
                  <w:kinsoku w:val="0"/>
                  <w:overflowPunct w:val="0"/>
                  <w:autoSpaceDE w:val="0"/>
                  <w:autoSpaceDN w:val="0"/>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选举</w:t>
                </w:r>
              </w:p>
            </w:tc>
          </w:sdtContent>
        </w:sdt>
      </w:tr>
      <w:tr w14:paraId="0933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14:paraId="01C1968C">
            <w:pPr>
              <w:kinsoku w:val="0"/>
              <w:overflowPunct w:val="0"/>
              <w:autoSpaceDE w:val="0"/>
              <w:autoSpaceDN w:val="0"/>
              <w:adjustRightInd w:val="0"/>
              <w:snapToGrid w:val="0"/>
              <w:jc w:val="center"/>
            </w:pPr>
            <w:r>
              <w:rPr>
                <w:rFonts w:hint="eastAsia"/>
              </w:rPr>
              <w:t>郝广丽</w:t>
            </w:r>
          </w:p>
        </w:tc>
        <w:tc>
          <w:tcPr>
            <w:tcW w:w="1732" w:type="pct"/>
          </w:tcPr>
          <w:p w14:paraId="261F8F46">
            <w:pPr>
              <w:kinsoku w:val="0"/>
              <w:overflowPunct w:val="0"/>
              <w:autoSpaceDE w:val="0"/>
              <w:autoSpaceDN w:val="0"/>
              <w:adjustRightInd w:val="0"/>
              <w:snapToGrid w:val="0"/>
              <w:jc w:val="center"/>
            </w:pPr>
            <w:r>
              <w:rPr>
                <w:rFonts w:hint="eastAsia"/>
              </w:rPr>
              <w:t>副总裁</w:t>
            </w:r>
          </w:p>
        </w:tc>
        <w:tc>
          <w:tcPr>
            <w:tcW w:w="1625" w:type="pct"/>
          </w:tcPr>
          <w:p w14:paraId="5F792A0A">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聘任</w:t>
            </w:r>
          </w:p>
        </w:tc>
      </w:tr>
      <w:tr w14:paraId="0185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14:paraId="10A341A5">
            <w:pPr>
              <w:kinsoku w:val="0"/>
              <w:overflowPunct w:val="0"/>
              <w:autoSpaceDE w:val="0"/>
              <w:autoSpaceDN w:val="0"/>
              <w:adjustRightInd w:val="0"/>
              <w:snapToGrid w:val="0"/>
              <w:jc w:val="center"/>
            </w:pPr>
            <w:r>
              <w:rPr>
                <w:rFonts w:hint="eastAsia"/>
              </w:rPr>
              <w:t>夏雨扬</w:t>
            </w:r>
          </w:p>
        </w:tc>
        <w:tc>
          <w:tcPr>
            <w:tcW w:w="1732" w:type="pct"/>
          </w:tcPr>
          <w:p w14:paraId="44F1DC70">
            <w:pPr>
              <w:kinsoku w:val="0"/>
              <w:overflowPunct w:val="0"/>
              <w:autoSpaceDE w:val="0"/>
              <w:autoSpaceDN w:val="0"/>
              <w:adjustRightInd w:val="0"/>
              <w:snapToGrid w:val="0"/>
              <w:jc w:val="center"/>
            </w:pPr>
            <w:r>
              <w:rPr>
                <w:rFonts w:hint="eastAsia"/>
              </w:rPr>
              <w:t>副总裁、董事会秘书</w:t>
            </w:r>
          </w:p>
        </w:tc>
        <w:tc>
          <w:tcPr>
            <w:tcW w:w="1625" w:type="pct"/>
          </w:tcPr>
          <w:p w14:paraId="73BFEA88">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聘任</w:t>
            </w:r>
          </w:p>
        </w:tc>
      </w:tr>
      <w:tr w14:paraId="2B74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14:paraId="46173F98">
            <w:pPr>
              <w:kinsoku w:val="0"/>
              <w:overflowPunct w:val="0"/>
              <w:autoSpaceDE w:val="0"/>
              <w:autoSpaceDN w:val="0"/>
              <w:adjustRightInd w:val="0"/>
              <w:snapToGrid w:val="0"/>
              <w:jc w:val="center"/>
            </w:pPr>
            <w:r>
              <w:rPr>
                <w:rFonts w:hint="eastAsia"/>
              </w:rPr>
              <w:t>徐鸿鹄</w:t>
            </w:r>
          </w:p>
        </w:tc>
        <w:tc>
          <w:tcPr>
            <w:tcW w:w="1732" w:type="pct"/>
          </w:tcPr>
          <w:p w14:paraId="68274EA7">
            <w:pPr>
              <w:kinsoku w:val="0"/>
              <w:overflowPunct w:val="0"/>
              <w:autoSpaceDE w:val="0"/>
              <w:autoSpaceDN w:val="0"/>
              <w:adjustRightInd w:val="0"/>
              <w:snapToGrid w:val="0"/>
              <w:jc w:val="center"/>
            </w:pPr>
            <w:r>
              <w:rPr>
                <w:rFonts w:hint="eastAsia"/>
              </w:rPr>
              <w:t>董事、副董事长</w:t>
            </w:r>
          </w:p>
        </w:tc>
        <w:tc>
          <w:tcPr>
            <w:tcW w:w="1625" w:type="pct"/>
          </w:tcPr>
          <w:p w14:paraId="48992830">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选举</w:t>
            </w:r>
          </w:p>
        </w:tc>
      </w:tr>
      <w:tr w14:paraId="1A7F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14:paraId="6DA1F834">
            <w:pPr>
              <w:kinsoku w:val="0"/>
              <w:overflowPunct w:val="0"/>
              <w:autoSpaceDE w:val="0"/>
              <w:autoSpaceDN w:val="0"/>
              <w:adjustRightInd w:val="0"/>
              <w:snapToGrid w:val="0"/>
              <w:jc w:val="center"/>
            </w:pPr>
            <w:r>
              <w:t>李传海</w:t>
            </w:r>
          </w:p>
        </w:tc>
        <w:tc>
          <w:tcPr>
            <w:tcW w:w="1732" w:type="pct"/>
          </w:tcPr>
          <w:p w14:paraId="591D8FAE">
            <w:pPr>
              <w:kinsoku w:val="0"/>
              <w:overflowPunct w:val="0"/>
              <w:autoSpaceDE w:val="0"/>
              <w:autoSpaceDN w:val="0"/>
              <w:adjustRightInd w:val="0"/>
              <w:snapToGrid w:val="0"/>
              <w:jc w:val="center"/>
            </w:pPr>
            <w:r>
              <w:t>副董事长</w:t>
            </w:r>
          </w:p>
        </w:tc>
        <w:tc>
          <w:tcPr>
            <w:tcW w:w="1625" w:type="pct"/>
          </w:tcPr>
          <w:p w14:paraId="451461AA">
            <w:pPr>
              <w:kinsoku w:val="0"/>
              <w:overflowPunct w:val="0"/>
              <w:autoSpaceDE w:val="0"/>
              <w:autoSpaceDN w:val="0"/>
              <w:adjustRightInd w:val="0"/>
              <w:snapToGrid w:val="0"/>
              <w:jc w:val="center"/>
            </w:pPr>
            <w:r>
              <w:t>选举</w:t>
            </w:r>
          </w:p>
        </w:tc>
      </w:tr>
      <w:tr w14:paraId="31E9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14:paraId="5C0AA7AD">
            <w:pPr>
              <w:kinsoku w:val="0"/>
              <w:overflowPunct w:val="0"/>
              <w:autoSpaceDE w:val="0"/>
              <w:autoSpaceDN w:val="0"/>
              <w:adjustRightInd w:val="0"/>
              <w:snapToGrid w:val="0"/>
              <w:jc w:val="center"/>
            </w:pPr>
            <w:r>
              <w:rPr>
                <w:rFonts w:hint="eastAsia"/>
              </w:rPr>
              <w:t xml:space="preserve">王 </w:t>
            </w:r>
            <w:r>
              <w:t xml:space="preserve"> </w:t>
            </w:r>
            <w:r>
              <w:rPr>
                <w:rFonts w:hint="eastAsia"/>
              </w:rPr>
              <w:t>军</w:t>
            </w:r>
          </w:p>
        </w:tc>
        <w:tc>
          <w:tcPr>
            <w:tcW w:w="1732" w:type="pct"/>
          </w:tcPr>
          <w:p w14:paraId="529FD0D2">
            <w:pPr>
              <w:kinsoku w:val="0"/>
              <w:overflowPunct w:val="0"/>
              <w:autoSpaceDE w:val="0"/>
              <w:autoSpaceDN w:val="0"/>
              <w:adjustRightInd w:val="0"/>
              <w:snapToGrid w:val="0"/>
              <w:jc w:val="center"/>
            </w:pPr>
            <w:r>
              <w:rPr>
                <w:rFonts w:hint="eastAsia"/>
              </w:rPr>
              <w:t>联席总裁</w:t>
            </w:r>
          </w:p>
        </w:tc>
        <w:tc>
          <w:tcPr>
            <w:tcW w:w="1625" w:type="pct"/>
          </w:tcPr>
          <w:p w14:paraId="7B7E2A1A">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聘任</w:t>
            </w:r>
          </w:p>
        </w:tc>
      </w:tr>
      <w:tr w14:paraId="0A79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14:paraId="02929398">
            <w:pPr>
              <w:kinsoku w:val="0"/>
              <w:overflowPunct w:val="0"/>
              <w:autoSpaceDE w:val="0"/>
              <w:autoSpaceDN w:val="0"/>
              <w:adjustRightInd w:val="0"/>
              <w:snapToGrid w:val="0"/>
              <w:jc w:val="center"/>
            </w:pPr>
            <w:r>
              <w:rPr>
                <w:rFonts w:hint="eastAsia"/>
              </w:rPr>
              <w:t>王梦麟</w:t>
            </w:r>
          </w:p>
        </w:tc>
        <w:tc>
          <w:tcPr>
            <w:tcW w:w="1732" w:type="pct"/>
          </w:tcPr>
          <w:p w14:paraId="7F7FFDF4">
            <w:pPr>
              <w:kinsoku w:val="0"/>
              <w:overflowPunct w:val="0"/>
              <w:autoSpaceDE w:val="0"/>
              <w:autoSpaceDN w:val="0"/>
              <w:adjustRightInd w:val="0"/>
              <w:snapToGrid w:val="0"/>
              <w:jc w:val="center"/>
            </w:pPr>
            <w:r>
              <w:rPr>
                <w:rFonts w:hint="eastAsia"/>
              </w:rPr>
              <w:t>原董事</w:t>
            </w:r>
          </w:p>
        </w:tc>
        <w:tc>
          <w:tcPr>
            <w:tcW w:w="1625" w:type="pct"/>
          </w:tcPr>
          <w:p w14:paraId="3E09CC72">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离任</w:t>
            </w:r>
          </w:p>
        </w:tc>
      </w:tr>
      <w:tr w14:paraId="5A77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643" w:type="pct"/>
          </w:tcPr>
          <w:p w14:paraId="1834B78F">
            <w:pPr>
              <w:kinsoku w:val="0"/>
              <w:overflowPunct w:val="0"/>
              <w:autoSpaceDE w:val="0"/>
              <w:autoSpaceDN w:val="0"/>
              <w:adjustRightInd w:val="0"/>
              <w:snapToGrid w:val="0"/>
              <w:jc w:val="center"/>
            </w:pPr>
            <w:r>
              <w:rPr>
                <w:rFonts w:hint="eastAsia"/>
              </w:rPr>
              <w:t>伍定军</w:t>
            </w:r>
          </w:p>
        </w:tc>
        <w:tc>
          <w:tcPr>
            <w:tcW w:w="1732" w:type="pct"/>
          </w:tcPr>
          <w:p w14:paraId="1A392311">
            <w:pPr>
              <w:kinsoku w:val="0"/>
              <w:overflowPunct w:val="0"/>
              <w:autoSpaceDE w:val="0"/>
              <w:autoSpaceDN w:val="0"/>
              <w:adjustRightInd w:val="0"/>
              <w:snapToGrid w:val="0"/>
              <w:jc w:val="center"/>
            </w:pPr>
            <w:r>
              <w:rPr>
                <w:rFonts w:hint="eastAsia"/>
              </w:rPr>
              <w:t>原董事会秘书</w:t>
            </w:r>
          </w:p>
        </w:tc>
        <w:tc>
          <w:tcPr>
            <w:tcW w:w="1625" w:type="pct"/>
          </w:tcPr>
          <w:p w14:paraId="7B998CD0">
            <w:pPr>
              <w:kinsoku w:val="0"/>
              <w:overflowPunct w:val="0"/>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离任</w:t>
            </w:r>
          </w:p>
        </w:tc>
      </w:tr>
    </w:tbl>
    <w:p w14:paraId="57321547"/>
    <w:p w14:paraId="5AD3A40E">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公司董事、高级管理人员变动的情况说明</w:t>
      </w:r>
    </w:p>
    <w:sdt>
      <w:sdtPr>
        <w:rPr>
          <w:rFonts w:hint="eastAsia"/>
          <w:color w:val="000000" w:themeColor="text1"/>
          <w14:textFill>
            <w14:solidFill>
              <w14:schemeClr w14:val="tx1"/>
            </w14:solidFill>
          </w14:textFill>
        </w:rPr>
        <w:alias w:val="是否适用：公司董事、监事、高级管理人员变动的情况说明 [双击切换]"/>
        <w:tag w:val="_GBC_1eda708e71a542fa89f6ad1bb8abbf70"/>
        <w:id w:val="-2113043502"/>
        <w:placeholder>
          <w:docPart w:val="GBC22222222222222222222222222222"/>
        </w:placeholder>
      </w:sdtPr>
      <w:sdtEndPr>
        <w:rPr>
          <w:rFonts w:hint="eastAsia"/>
          <w:color w:val="000000" w:themeColor="text1"/>
          <w14:textFill>
            <w14:solidFill>
              <w14:schemeClr w14:val="tx1"/>
            </w14:solidFill>
          </w14:textFill>
        </w:rPr>
      </w:sdtEndPr>
      <w:sdtContent>
        <w:p w14:paraId="314276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公司董事、监事、高级管理人员变动的情况说明"/>
        <w:tag w:val="_GBC_f2e7651aeda04cb8847fc3d49af6315f"/>
        <w:id w:val="388925849"/>
        <w:placeholder>
          <w:docPart w:val="GBC22222222222222222222222222222"/>
        </w:placeholder>
      </w:sdtPr>
      <w:sdtEndPr>
        <w:rPr>
          <w:rFonts w:hint="eastAsia"/>
          <w:color w:val="000000" w:themeColor="text1"/>
          <w14:textFill>
            <w14:solidFill>
              <w14:schemeClr w14:val="tx1"/>
            </w14:solidFill>
          </w14:textFill>
        </w:rPr>
      </w:sdtEndPr>
      <w:sdtContent>
        <w:p w14:paraId="07319606">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2025年2月21日，公司召开第六届董事会第十五次会议，同意选举鲍毅先生为公司第六届董事会副董事长，聘任郝广丽女士为公司副总裁，聘任夏雨扬女士为公司副总裁、董事会秘书，伍定军先生不再担任公司董事会秘书职务。详见公司于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年2月</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日在上海证券交易所网站（www.sse.com.cn）及指定信息披露媒体上披露的《重庆千里科技股份有限公司第六届董事会第十五次会议决议公告》（公告编号：2025-012）。</w:t>
          </w:r>
        </w:p>
        <w:p w14:paraId="2CE7BC77">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2025年5月30日，公司召开第六届董事会第二十次会议，因工作调整，王梦麟女士不再担任公司董事及董事会专门委员会各相关职务，提名徐鸿鹄先生为公司第六届董事会董事候选人，并接替王梦麟女士董事会专门委员会相关职务。详见公司于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月3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日在上海证券交易所网站（www.sse.com.cn）及指定信息披露媒体上披露的《重庆千里科技股份有限公司关于变更董事暨提名第六届董事会非独立董事候选人的公告》（公告编号：2025-039）。2025年6月16日，公司召开2025年第三次临时股东大会，选举徐鸿鹄先生为公司第六届董事会董事。详见公司于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17</w:t>
          </w:r>
          <w:r>
            <w:rPr>
              <w:rFonts w:hint="eastAsia"/>
              <w:color w:val="000000" w:themeColor="text1"/>
              <w14:textFill>
                <w14:solidFill>
                  <w14:schemeClr w14:val="tx1"/>
                </w14:solidFill>
              </w14:textFill>
            </w:rPr>
            <w:t>日在上海证券交易所网站（www.sse.com.cn）及指定信息披露媒体上披露的《重庆千里科技股份有限公司2025年第三次临时股东大会决议公告》（公告编号：</w:t>
          </w:r>
          <w:sdt>
            <w:sdtPr>
              <w:rPr>
                <w:color w:val="000000" w:themeColor="text1"/>
                <w14:textFill>
                  <w14:solidFill>
                    <w14:schemeClr w14:val="tx1"/>
                  </w14:solidFill>
                </w14:textFill>
              </w:rPr>
              <w:alias w:val="临时公告编号"/>
              <w:tag w:val="_GBC_dcb018bd62474b058af46af691e50649"/>
              <w:id w:val="1677376408"/>
              <w:lock w:val="sdtLocked"/>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2025-044</w:t>
              </w:r>
            </w:sdtContent>
          </w:sdt>
          <w:r>
            <w:rPr>
              <w:rFonts w:hint="eastAsia"/>
              <w:color w:val="000000" w:themeColor="text1"/>
              <w14:textFill>
                <w14:solidFill>
                  <w14:schemeClr w14:val="tx1"/>
                </w14:solidFill>
              </w14:textFill>
            </w:rPr>
            <w:t>）。</w:t>
          </w:r>
        </w:p>
        <w:p w14:paraId="19267BA0">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2025年6月20日，公司召开第六届董事会第二十二次会议，同意选举徐鸿鹄先生、李传海先生为公司第六届董事会副董事长，聘任王军先生为公司联席总裁。详见公司于202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年6月</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日在上海证券交易所网站（www.sse.com.cn）及指定信息披露媒体上披露的《重庆千里科技股份有限公司第六届董事会第二十二次会议决议公告》（公告编号：2025-0</w:t>
          </w:r>
          <w:r>
            <w:rPr>
              <w:color w:val="000000" w:themeColor="text1"/>
              <w14:textFill>
                <w14:solidFill>
                  <w14:schemeClr w14:val="tx1"/>
                </w14:solidFill>
              </w14:textFill>
            </w:rPr>
            <w:t>45</w:t>
          </w:r>
          <w:r>
            <w:rPr>
              <w:rFonts w:hint="eastAsia"/>
              <w:color w:val="000000" w:themeColor="text1"/>
              <w14:textFill>
                <w14:solidFill>
                  <w14:schemeClr w14:val="tx1"/>
                </w14:solidFill>
              </w14:textFill>
            </w:rPr>
            <w:t>）。</w:t>
          </w:r>
        </w:p>
      </w:sdtContent>
    </w:sdt>
    <w:p w14:paraId="1833075E">
      <w:pPr>
        <w:rPr>
          <w:color w:val="000000" w:themeColor="text1"/>
          <w14:textFill>
            <w14:solidFill>
              <w14:schemeClr w14:val="tx1"/>
            </w14:solidFill>
          </w14:textFill>
        </w:rPr>
      </w:pPr>
    </w:p>
    <w:p w14:paraId="5FF730AD">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利润分配或资本公积金转增预案</w:t>
      </w:r>
    </w:p>
    <w:p w14:paraId="6D9C1597">
      <w:pPr>
        <w:rPr>
          <w:b/>
          <w:bCs/>
          <w:color w:val="000000" w:themeColor="text1"/>
          <w14:textFill>
            <w14:solidFill>
              <w14:schemeClr w14:val="tx1"/>
            </w14:solidFill>
          </w14:textFill>
        </w:rPr>
      </w:pPr>
      <w:r>
        <w:rPr>
          <w:b/>
          <w:color w:val="000000" w:themeColor="text1"/>
          <w14:textFill>
            <w14:solidFill>
              <w14:schemeClr w14:val="tx1"/>
            </w14:solidFill>
          </w14:textFill>
        </w:rPr>
        <w:t>半年度拟定的利润分配预案、公积金转增股本预案</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4"/>
      </w:tblGrid>
      <w:tr w14:paraId="3D27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ee68179c02c4ccc8a9b8d7e3f70f2c6"/>
            <w:id w:val="69001003"/>
          </w:sdtPr>
          <w:sdtContent>
            <w:tc>
              <w:tcPr>
                <w:tcW w:w="4524" w:type="dxa"/>
              </w:tcPr>
              <w:p w14:paraId="722D90E8">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是否分配或转增</w:t>
                </w:r>
              </w:p>
            </w:tc>
          </w:sdtContent>
        </w:sdt>
        <w:sdt>
          <w:sdtPr>
            <w:rPr>
              <w:rFonts w:hint="eastAsia"/>
              <w:color w:val="000000" w:themeColor="text1"/>
              <w14:textFill>
                <w14:solidFill>
                  <w14:schemeClr w14:val="tx1"/>
                </w14:solidFill>
              </w14:textFill>
            </w:rPr>
            <w:alias w:val="是否分配或转增"/>
            <w:tag w:val="_GBC_1aa3bb539f35454da0536200efcc4f60"/>
            <w:id w:val="-541134705"/>
            <w:comboBox>
              <w:listItem w:displayText="是" w:value="true"/>
              <w:listItem w:displayText="否" w:value="false"/>
            </w:comboBox>
          </w:sdtPr>
          <w:sdtEndPr>
            <w:rPr>
              <w:rFonts w:hint="eastAsia"/>
              <w:color w:val="000000" w:themeColor="text1"/>
              <w14:textFill>
                <w14:solidFill>
                  <w14:schemeClr w14:val="tx1"/>
                </w14:solidFill>
              </w14:textFill>
            </w:rPr>
          </w:sdtEndPr>
          <w:sdtContent>
            <w:tc>
              <w:tcPr>
                <w:tcW w:w="4524" w:type="dxa"/>
              </w:tcPr>
              <w:p w14:paraId="180EA2BD">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sdtContent>
        </w:sdt>
      </w:tr>
      <w:tr w14:paraId="1211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14:paraId="76ECF7B8">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每10股送红股数（股）</w:t>
            </w:r>
          </w:p>
        </w:tc>
        <w:tc>
          <w:tcPr>
            <w:tcW w:w="4524" w:type="dxa"/>
          </w:tcPr>
          <w:p w14:paraId="26702E68">
            <w:pPr>
              <w:widowControl w:val="0"/>
              <w:jc w:val="center"/>
            </w:pPr>
            <w:r>
              <w:rPr>
                <w:rFonts w:hint="eastAsia"/>
              </w:rPr>
              <w:t>0</w:t>
            </w:r>
          </w:p>
        </w:tc>
      </w:tr>
      <w:tr w14:paraId="60C7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14:paraId="5612693A">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每10股派息数(元)（含税）</w:t>
            </w:r>
          </w:p>
        </w:tc>
        <w:tc>
          <w:tcPr>
            <w:tcW w:w="4524" w:type="dxa"/>
          </w:tcPr>
          <w:p w14:paraId="0EBE8842">
            <w:pPr>
              <w:widowControl w:val="0"/>
              <w:jc w:val="center"/>
            </w:pPr>
            <w:r>
              <w:rPr>
                <w:rFonts w:hint="eastAsia"/>
              </w:rPr>
              <w:t>0</w:t>
            </w:r>
          </w:p>
        </w:tc>
      </w:tr>
      <w:tr w14:paraId="3807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14:paraId="65A30A8C">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每10股转增数（股）</w:t>
            </w:r>
          </w:p>
        </w:tc>
        <w:tc>
          <w:tcPr>
            <w:tcW w:w="4524" w:type="dxa"/>
          </w:tcPr>
          <w:p w14:paraId="03BFF95F">
            <w:pPr>
              <w:widowControl w:val="0"/>
              <w:jc w:val="center"/>
            </w:pPr>
            <w:r>
              <w:rPr>
                <w:rFonts w:hint="eastAsia"/>
              </w:rPr>
              <w:t>0</w:t>
            </w:r>
          </w:p>
        </w:tc>
      </w:tr>
      <w:tr w14:paraId="24B1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f4b1db2793f4d00b5b11589fa8a57fc"/>
            <w:id w:val="332269179"/>
          </w:sdtPr>
          <w:sdtContent>
            <w:tc>
              <w:tcPr>
                <w:tcW w:w="9048" w:type="dxa"/>
                <w:gridSpan w:val="2"/>
              </w:tcPr>
              <w:p w14:paraId="5CF67F79">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利润分配或资本公积金转增预案的相关情况说明</w:t>
                </w:r>
              </w:p>
            </w:tc>
          </w:sdtContent>
        </w:sdt>
      </w:tr>
      <w:tr w14:paraId="540B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8" w:type="dxa"/>
            <w:gridSpan w:val="2"/>
          </w:tcPr>
          <w:p w14:paraId="42BFFE0F">
            <w:pPr>
              <w:widowControl w:val="0"/>
              <w:tabs>
                <w:tab w:val="center" w:pos="4303"/>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bl>
    <w:p w14:paraId="00F5A5FA">
      <w:pPr>
        <w:rPr>
          <w:color w:val="000000" w:themeColor="text1"/>
          <w14:textFill>
            <w14:solidFill>
              <w14:schemeClr w14:val="tx1"/>
            </w14:solidFill>
          </w14:textFill>
        </w:rPr>
      </w:pPr>
    </w:p>
    <w:p w14:paraId="33E4928B">
      <w:pPr>
        <w:pStyle w:val="3"/>
        <w:numPr>
          <w:ilvl w:val="0"/>
          <w:numId w:val="14"/>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公司股权激励计划、员工持股计划或其他员工激励措施的情况及其影响</w:t>
      </w:r>
    </w:p>
    <w:p w14:paraId="090947B1">
      <w:pPr>
        <w:pStyle w:val="4"/>
        <w:numPr>
          <w:ilvl w:val="1"/>
          <w:numId w:val="15"/>
        </w:numPr>
        <w:rPr>
          <w:rFonts w:ascii="宋体" w:hAnsi="宋体"/>
          <w:color w:val="000000" w:themeColor="text1"/>
          <w:kern w:val="44"/>
          <w14:textFill>
            <w14:solidFill>
              <w14:schemeClr w14:val="tx1"/>
            </w14:solidFill>
          </w14:textFill>
        </w:rPr>
      </w:pPr>
      <w:bookmarkStart w:id="56" w:name="_Hlk74641818"/>
      <w:r>
        <w:rPr>
          <w:rFonts w:hint="eastAsia" w:ascii="宋体" w:hAnsi="宋体"/>
          <w:color w:val="000000" w:themeColor="text1"/>
          <w:kern w:val="44"/>
          <w14:textFill>
            <w14:solidFill>
              <w14:schemeClr w14:val="tx1"/>
            </w14:solidFill>
          </w14:textFill>
        </w:rPr>
        <w:t>相关股权激励事项已在临时公告披露且后续实施无进展或变化的</w:t>
      </w:r>
    </w:p>
    <w:sdt>
      <w:sdtPr>
        <w:rPr>
          <w:color w:val="000000" w:themeColor="text1"/>
          <w14:textFill>
            <w14:solidFill>
              <w14:schemeClr w14:val="tx1"/>
            </w14:solidFill>
          </w14:textFill>
        </w:rPr>
        <w:alias w:val="是否适用：相关激励事项已在临时公告披露且后续实施无进展或变化的[双击切换]"/>
        <w:tag w:val="_GBC_3c43a5cea9ef47daa40f133532dcd63c"/>
        <w:id w:val="-576894386"/>
        <w:placeholder>
          <w:docPart w:val="GBC22222222222222222222222222222"/>
        </w:placeholder>
      </w:sdtPr>
      <w:sdtEndPr>
        <w:rPr>
          <w:color w:val="000000" w:themeColor="text1"/>
          <w14:textFill>
            <w14:solidFill>
              <w14:schemeClr w14:val="tx1"/>
            </w14:solidFill>
          </w14:textFill>
        </w:rPr>
      </w:sdtEndPr>
      <w:sdtContent>
        <w:p w14:paraId="5777918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E04D77E">
      <w:pPr>
        <w:rPr>
          <w:color w:val="000000" w:themeColor="text1"/>
          <w14:textFill>
            <w14:solidFill>
              <w14:schemeClr w14:val="tx1"/>
            </w14:solidFill>
          </w14:textFill>
        </w:rPr>
      </w:pPr>
    </w:p>
    <w:bookmarkEnd w:id="56"/>
    <w:p w14:paraId="0F727756">
      <w:pPr>
        <w:pStyle w:val="4"/>
        <w:numPr>
          <w:ilvl w:val="1"/>
          <w:numId w:val="15"/>
        </w:numPr>
        <w:rPr>
          <w:rFonts w:ascii="宋体" w:hAnsi="宋体"/>
          <w:color w:val="000000" w:themeColor="text1"/>
          <w:kern w:val="44"/>
          <w14:textFill>
            <w14:solidFill>
              <w14:schemeClr w14:val="tx1"/>
            </w14:solidFill>
          </w14:textFill>
        </w:rPr>
      </w:pPr>
      <w:r>
        <w:rPr>
          <w:rFonts w:hint="eastAsia" w:ascii="宋体" w:hAnsi="宋体"/>
          <w:color w:val="000000" w:themeColor="text1"/>
          <w:kern w:val="44"/>
          <w14:textFill>
            <w14:solidFill>
              <w14:schemeClr w14:val="tx1"/>
            </w14:solidFill>
          </w14:textFill>
        </w:rPr>
        <w:t>临时公告未披露或有后续进展的激励情况</w:t>
      </w:r>
    </w:p>
    <w:p w14:paraId="53596E86">
      <w:pPr>
        <w:rPr>
          <w:color w:val="000000" w:themeColor="text1"/>
          <w14:textFill>
            <w14:solidFill>
              <w14:schemeClr w14:val="tx1"/>
            </w14:solidFill>
          </w14:textFill>
        </w:rPr>
      </w:pPr>
      <w:r>
        <w:rPr>
          <w:rFonts w:hint="eastAsia"/>
          <w:color w:val="000000" w:themeColor="text1"/>
          <w14:textFill>
            <w14:solidFill>
              <w14:schemeClr w14:val="tx1"/>
            </w14:solidFill>
          </w14:textFill>
        </w:rPr>
        <w:t>股权激励情况</w:t>
      </w:r>
    </w:p>
    <w:sdt>
      <w:sdtPr>
        <w:rPr>
          <w:color w:val="000000" w:themeColor="text1"/>
          <w14:textFill>
            <w14:solidFill>
              <w14:schemeClr w14:val="tx1"/>
            </w14:solidFill>
          </w14:textFill>
        </w:rPr>
        <w:alias w:val="是否适用：股权激励情况[双击切换]"/>
        <w:tag w:val="_GBC_388221bc7be24cdca55be337256c8bc1"/>
        <w:id w:val="-642737068"/>
        <w:placeholder>
          <w:docPart w:val="GBC22222222222222222222222222222"/>
        </w:placeholder>
      </w:sdtPr>
      <w:sdtEndPr>
        <w:rPr>
          <w:color w:val="000000" w:themeColor="text1"/>
          <w14:textFill>
            <w14:solidFill>
              <w14:schemeClr w14:val="tx1"/>
            </w14:solidFill>
          </w14:textFill>
        </w:rPr>
      </w:sdtEndPr>
      <w:sdtContent>
        <w:p w14:paraId="741AFEB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581AEC9">
      <w:pPr>
        <w:rPr>
          <w:color w:val="000000" w:themeColor="text1"/>
          <w14:textFill>
            <w14:solidFill>
              <w14:schemeClr w14:val="tx1"/>
            </w14:solidFill>
          </w14:textFill>
        </w:rPr>
      </w:pPr>
    </w:p>
    <w:p w14:paraId="61000342">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p w14:paraId="4ABDF34C">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股权激励情况的说明[双击切换]"/>
          <w:tag w:val="_GBC_e5a032ecd3e24335b29a38809f65a990"/>
          <w:id w:val="-1297762549"/>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76F35646">
      <w:pPr>
        <w:rPr>
          <w:color w:val="000000" w:themeColor="text1"/>
          <w14:textFill>
            <w14:solidFill>
              <w14:schemeClr w14:val="tx1"/>
            </w14:solidFill>
          </w14:textFill>
        </w:rPr>
      </w:pPr>
    </w:p>
    <w:p w14:paraId="6C0AC47B">
      <w:pPr>
        <w:rPr>
          <w:color w:val="000000" w:themeColor="text1"/>
          <w14:textFill>
            <w14:solidFill>
              <w14:schemeClr w14:val="tx1"/>
            </w14:solidFill>
          </w14:textFill>
        </w:rPr>
      </w:pPr>
      <w:r>
        <w:rPr>
          <w:rFonts w:hint="eastAsia"/>
          <w:color w:val="000000" w:themeColor="text1"/>
          <w14:textFill>
            <w14:solidFill>
              <w14:schemeClr w14:val="tx1"/>
            </w14:solidFill>
          </w14:textFill>
        </w:rPr>
        <w:t>员工持股计划情况</w:t>
      </w:r>
    </w:p>
    <w:sdt>
      <w:sdtPr>
        <w:rPr>
          <w:color w:val="000000" w:themeColor="text1"/>
          <w14:textFill>
            <w14:solidFill>
              <w14:schemeClr w14:val="tx1"/>
            </w14:solidFill>
          </w14:textFill>
        </w:rPr>
        <w:alias w:val="是否适用：员工持股计划情况[双击切换]"/>
        <w:tag w:val="_GBC_60a13b60efda4715a83fed9c5960ee3b"/>
        <w:id w:val="-2022535045"/>
        <w:placeholder>
          <w:docPart w:val="GBC22222222222222222222222222222"/>
        </w:placeholder>
      </w:sdtPr>
      <w:sdtEndPr>
        <w:rPr>
          <w:color w:val="000000" w:themeColor="text1"/>
          <w14:textFill>
            <w14:solidFill>
              <w14:schemeClr w14:val="tx1"/>
            </w14:solidFill>
          </w14:textFill>
        </w:rPr>
      </w:sdtEndPr>
      <w:sdtContent>
        <w:p w14:paraId="14BF3009">
          <w:pPr>
            <w:rPr>
              <w:bCs/>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D81131C">
      <w:pPr>
        <w:rPr>
          <w:bCs/>
          <w:color w:val="000000" w:themeColor="text1"/>
          <w14:textFill>
            <w14:solidFill>
              <w14:schemeClr w14:val="tx1"/>
            </w14:solidFill>
          </w14:textFill>
        </w:rPr>
      </w:pPr>
    </w:p>
    <w:p w14:paraId="6C7EB104">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其他激励措施</w:t>
      </w:r>
    </w:p>
    <w:sdt>
      <w:sdtPr>
        <w:rPr>
          <w:color w:val="000000" w:themeColor="text1"/>
          <w14:textFill>
            <w14:solidFill>
              <w14:schemeClr w14:val="tx1"/>
            </w14:solidFill>
          </w14:textFill>
        </w:rPr>
        <w:alias w:val="是否适用：其他激励措施[双击切换]"/>
        <w:tag w:val="_GBC_87e3c04518ac4bed97846d84cc8784e1"/>
        <w:id w:val="760332647"/>
        <w:placeholder>
          <w:docPart w:val="GBC22222222222222222222222222222"/>
        </w:placeholder>
      </w:sdtPr>
      <w:sdtEndPr>
        <w:rPr>
          <w:color w:val="000000" w:themeColor="text1"/>
          <w14:textFill>
            <w14:solidFill>
              <w14:schemeClr w14:val="tx1"/>
            </w14:solidFill>
          </w14:textFill>
        </w:rPr>
      </w:sdtEndPr>
      <w:sdtContent>
        <w:p w14:paraId="7C78E1A0">
          <w:pPr>
            <w:rPr>
              <w:bCs/>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7FDA2FB">
      <w:pPr>
        <w:rPr>
          <w:color w:val="000000" w:themeColor="text1"/>
          <w14:textFill>
            <w14:solidFill>
              <w14:schemeClr w14:val="tx1"/>
            </w14:solidFill>
          </w14:textFill>
        </w:rPr>
      </w:pPr>
    </w:p>
    <w:p w14:paraId="0836637F">
      <w:pPr>
        <w:pStyle w:val="3"/>
        <w:numPr>
          <w:ilvl w:val="0"/>
          <w:numId w:val="14"/>
        </w:numPr>
        <w:tabs>
          <w:tab w:val="left" w:pos="426"/>
        </w:tabs>
        <w:jc w:val="left"/>
        <w:rPr>
          <w:rFonts w:ascii="宋体" w:hAnsi="宋体"/>
          <w:color w:val="000000" w:themeColor="text1"/>
          <w14:textFill>
            <w14:solidFill>
              <w14:schemeClr w14:val="tx1"/>
            </w14:solidFill>
          </w14:textFill>
        </w:rPr>
      </w:pPr>
      <w:bookmarkStart w:id="57" w:name="_Hlk200011887"/>
      <w:bookmarkStart w:id="58" w:name="_Hlk199840683"/>
      <w:r>
        <w:rPr>
          <w:rFonts w:hint="eastAsia" w:ascii="宋体" w:hAnsi="宋体"/>
          <w:color w:val="000000" w:themeColor="text1"/>
          <w14:textFill>
            <w14:solidFill>
              <w14:schemeClr w14:val="tx1"/>
            </w14:solidFill>
          </w14:textFill>
        </w:rPr>
        <w:t>纳入环境信息依法披露企业名单的上市公司及其主要子公司的环境信息情况</w:t>
      </w:r>
    </w:p>
    <w:sdt>
      <w:sdtPr>
        <w:rPr>
          <w:rFonts w:hint="eastAsia"/>
          <w:color w:val="000000"/>
        </w:rPr>
        <w:alias w:val="是否适用：纳入环境信息依法披露企业名单的上市公司及其主要子公司的环境信息情况[双击切换]"/>
        <w:tag w:val="_GBC_b74e72cb07f94db28869a8424482d034"/>
        <w:id w:val="-418646337"/>
        <w:placeholder>
          <w:docPart w:val="GBC22222222222222222222222222222"/>
        </w:placeholder>
      </w:sdtPr>
      <w:sdtEndPr>
        <w:rPr>
          <w:rFonts w:hint="eastAsia"/>
          <w:color w:val="000000"/>
        </w:rPr>
      </w:sdtEndPr>
      <w:sdtContent>
        <w:p w14:paraId="10E5B4C6">
          <w:pPr>
            <w:rPr>
              <w:color w:val="000000"/>
            </w:rPr>
          </w:pPr>
          <w:r>
            <w:rPr>
              <w:rFonts w:hint="eastAsia" w:ascii="宋体" w:hAnsi="宋体"/>
              <w:color w:val="000000"/>
            </w:rPr>
            <w:fldChar w:fldCharType="begin"/>
          </w:r>
          <w:r>
            <w:rPr>
              <w:rFonts w:hint="eastAsia"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hint="eastAsia" w:ascii="宋体" w:hAnsi="宋体"/>
              <w:color w:val="000000"/>
            </w:rPr>
            <w:instrText xml:space="preserve"> MACROBUTTON  SnrToggleCheckbox □不适用 </w:instrText>
          </w:r>
          <w:r>
            <w:rPr>
              <w:rFonts w:hint="eastAsia" w:ascii="宋体" w:hAnsi="宋体"/>
              <w:color w:val="000000"/>
            </w:rPr>
            <w:fldChar w:fldCharType="end"/>
          </w:r>
        </w:p>
      </w:sdtContent>
    </w:sdt>
    <w:p w14:paraId="5A7523AD"/>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911"/>
        <w:gridCol w:w="5420"/>
      </w:tblGrid>
      <w:tr w14:paraId="318F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sdt>
          <w:sdtPr>
            <w:tag w:val="_PLD_7288e62233d246828b89afc3b35261ec"/>
            <w:id w:val="1845737521"/>
          </w:sdtPr>
          <w:sdtEndPr>
            <w:rPr>
              <w:rFonts w:hint="eastAsia"/>
            </w:rPr>
          </w:sdtEndPr>
          <w:sdtContent>
            <w:tc>
              <w:tcPr>
                <w:tcW w:w="2005" w:type="pct"/>
                <w:gridSpan w:val="2"/>
                <w:vAlign w:val="center"/>
              </w:tcPr>
              <w:p w14:paraId="7B9E6AF6">
                <w:pPr>
                  <w:jc w:val="center"/>
                  <w:rPr>
                    <w:color w:val="000000"/>
                  </w:rPr>
                </w:pPr>
                <w:r>
                  <w:rPr>
                    <w:color w:val="000000"/>
                  </w:rPr>
                  <w:t>纳入环境信息依法披露企业名单中的企业数量</w:t>
                </w:r>
                <w:r>
                  <w:rPr>
                    <w:rFonts w:hint="eastAsia"/>
                    <w:color w:val="000000"/>
                  </w:rPr>
                  <w:t>（个）</w:t>
                </w:r>
              </w:p>
            </w:tc>
          </w:sdtContent>
        </w:sdt>
        <w:sdt>
          <w:sdtPr>
            <w:rPr>
              <w:rFonts w:hint="eastAsia"/>
              <w:color w:val="000000"/>
            </w:rPr>
            <w:alias w:val="纳入环境信息依法披露企业名单中的企业数量"/>
            <w:tag w:val="_GBC_dd7d38af30cb4c86b3e38770129e8965"/>
            <w:id w:val="-1787505481"/>
          </w:sdtPr>
          <w:sdtEndPr>
            <w:rPr>
              <w:rFonts w:hint="eastAsia"/>
              <w:color w:val="000000"/>
            </w:rPr>
          </w:sdtEndPr>
          <w:sdtContent>
            <w:tc>
              <w:tcPr>
                <w:tcW w:w="2994" w:type="pct"/>
                <w:vAlign w:val="center"/>
              </w:tcPr>
              <w:p w14:paraId="318459BE">
                <w:pPr>
                  <w:jc w:val="center"/>
                  <w:rPr>
                    <w:color w:val="000000"/>
                  </w:rPr>
                </w:pPr>
                <w:r>
                  <w:rPr>
                    <w:rFonts w:hint="eastAsia"/>
                    <w:color w:val="000000"/>
                  </w:rPr>
                  <w:t>1</w:t>
                </w:r>
              </w:p>
            </w:tc>
          </w:sdtContent>
        </w:sdt>
      </w:tr>
      <w:tr w14:paraId="7921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tag w:val="_PLD_cd9b676999aa473ca7d99a3f88297e23"/>
            <w:id w:val="-407071462"/>
          </w:sdtPr>
          <w:sdtContent>
            <w:tc>
              <w:tcPr>
                <w:tcW w:w="397" w:type="pct"/>
              </w:tcPr>
              <w:p w14:paraId="27294F07">
                <w:pPr>
                  <w:jc w:val="center"/>
                  <w:rPr>
                    <w:color w:val="000000"/>
                  </w:rPr>
                </w:pPr>
                <w:r>
                  <w:rPr>
                    <w:rFonts w:hint="eastAsia"/>
                    <w:color w:val="000000"/>
                  </w:rPr>
                  <w:t>序号</w:t>
                </w:r>
              </w:p>
            </w:tc>
          </w:sdtContent>
        </w:sdt>
        <w:sdt>
          <w:sdtPr>
            <w:tag w:val="_PLD_01a5b693c5604d2bb52f37ceb750fdc5"/>
            <w:id w:val="1578169761"/>
          </w:sdtPr>
          <w:sdtContent>
            <w:tc>
              <w:tcPr>
                <w:tcW w:w="1607" w:type="pct"/>
                <w:vAlign w:val="center"/>
              </w:tcPr>
              <w:p w14:paraId="015106A5">
                <w:pPr>
                  <w:jc w:val="center"/>
                  <w:rPr>
                    <w:color w:val="000000"/>
                  </w:rPr>
                </w:pPr>
                <w:r>
                  <w:rPr>
                    <w:rFonts w:hint="eastAsia"/>
                    <w:color w:val="000000"/>
                  </w:rPr>
                  <w:t>企业名称</w:t>
                </w:r>
              </w:p>
            </w:tc>
          </w:sdtContent>
        </w:sdt>
        <w:sdt>
          <w:sdtPr>
            <w:tag w:val="_PLD_452bbf5c81084d18bf0f995d0240bf2f"/>
            <w:id w:val="-1629005493"/>
          </w:sdtPr>
          <w:sdtContent>
            <w:tc>
              <w:tcPr>
                <w:tcW w:w="2994" w:type="pct"/>
                <w:vAlign w:val="center"/>
              </w:tcPr>
              <w:p w14:paraId="744F32A3">
                <w:pPr>
                  <w:jc w:val="center"/>
                  <w:rPr>
                    <w:iCs/>
                    <w:color w:val="000000"/>
                  </w:rPr>
                </w:pPr>
                <w:r>
                  <w:rPr>
                    <w:rFonts w:hint="eastAsia"/>
                    <w:iCs/>
                    <w:color w:val="000000"/>
                  </w:rPr>
                  <w:t>环境信息依法披露报告的查询索引</w:t>
                </w:r>
              </w:p>
            </w:tc>
          </w:sdtContent>
        </w:sdt>
      </w:tr>
      <w:tr w14:paraId="6CC9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 w:type="pct"/>
            <w:vAlign w:val="center"/>
          </w:tcPr>
          <w:p w14:paraId="381C457B">
            <w:pPr>
              <w:jc w:val="center"/>
            </w:pPr>
            <w:r>
              <w:rPr>
                <w:rFonts w:hint="eastAsia"/>
              </w:rPr>
              <w:t>1</w:t>
            </w:r>
          </w:p>
        </w:tc>
        <w:tc>
          <w:tcPr>
            <w:tcW w:w="1607" w:type="pct"/>
            <w:vAlign w:val="center"/>
          </w:tcPr>
          <w:p w14:paraId="0817917F">
            <w:pPr>
              <w:jc w:val="center"/>
              <w:rPr>
                <w:spacing w:val="-6"/>
              </w:rPr>
            </w:pPr>
            <w:r>
              <w:rPr>
                <w:rFonts w:hint="eastAsia"/>
                <w:spacing w:val="-6"/>
              </w:rPr>
              <w:t>重庆睿蓝汽车制造有限公司</w:t>
            </w:r>
          </w:p>
        </w:tc>
        <w:tc>
          <w:tcPr>
            <w:tcW w:w="2994" w:type="pct"/>
            <w:vAlign w:val="center"/>
          </w:tcPr>
          <w:p w14:paraId="2AAD3754">
            <w:pPr>
              <w:jc w:val="center"/>
              <w:rPr>
                <w:highlight w:val="yellow"/>
              </w:rPr>
            </w:pPr>
            <w:r>
              <w:t>重庆企业环境信息依法披露系统 （http://183.66.66.47:10001/eps/index/enterprise-search）</w:t>
            </w:r>
          </w:p>
        </w:tc>
      </w:tr>
    </w:tbl>
    <w:p w14:paraId="6E81639D"/>
    <w:p w14:paraId="0F55D2C5">
      <w:pPr>
        <w:rPr>
          <w:color w:val="000000"/>
        </w:rPr>
      </w:pPr>
      <w:r>
        <w:rPr>
          <w:rFonts w:hint="eastAsia"/>
          <w:color w:val="000000"/>
        </w:rPr>
        <w:t>其他说明</w:t>
      </w:r>
    </w:p>
    <w:sdt>
      <w:sdtPr>
        <w:rPr>
          <w:rFonts w:hint="eastAsia"/>
          <w:color w:val="000000"/>
        </w:rPr>
        <w:alias w:val="是否适用：纳入环境信息依法披露企业名单的上市公司及其主要子公司的环境信息情况其他说明[双击切换]"/>
        <w:tag w:val="_GBC_047d333fc006452891574305ff7e477a"/>
        <w:id w:val="-580527667"/>
        <w:placeholder>
          <w:docPart w:val="GBC22222222222222222222222222222"/>
        </w:placeholder>
      </w:sdtPr>
      <w:sdtEndPr>
        <w:rPr>
          <w:rFonts w:hint="eastAsia"/>
          <w:color w:val="000000"/>
        </w:rPr>
      </w:sdtEndPr>
      <w:sdtContent>
        <w:p w14:paraId="6E187A18">
          <w:pPr>
            <w:rPr>
              <w:color w:val="000000"/>
            </w:rPr>
          </w:pPr>
          <w:r>
            <w:rPr>
              <w:rFonts w:hint="eastAsia" w:ascii="宋体" w:hAnsi="宋体"/>
              <w:color w:val="000000"/>
            </w:rPr>
            <w:fldChar w:fldCharType="begin"/>
          </w:r>
          <w:r>
            <w:rPr>
              <w:rFonts w:hint="eastAsia" w:ascii="宋体" w:hAnsi="宋体"/>
              <w:color w:val="000000"/>
            </w:rPr>
            <w:instrText xml:space="preserve"> MACROBUTTON  SnrToggleCheckbox □适用 </w:instrText>
          </w:r>
          <w:r>
            <w:rPr>
              <w:rFonts w:hint="eastAsia" w:ascii="宋体" w:hAnsi="宋体"/>
              <w:color w:val="000000"/>
            </w:rPr>
            <w:fldChar w:fldCharType="end"/>
          </w:r>
          <w:r>
            <w:rPr>
              <w:rFonts w:hint="eastAsia" w:ascii="宋体" w:hAnsi="宋体"/>
              <w:color w:val="000000"/>
            </w:rPr>
            <w:fldChar w:fldCharType="begin"/>
          </w:r>
          <w:r>
            <w:rPr>
              <w:rFonts w:hint="eastAsia" w:ascii="宋体" w:hAnsi="宋体"/>
              <w:color w:val="000000"/>
            </w:rPr>
            <w:instrText xml:space="preserve"> MACROBUTTON  SnrToggleCheckbox √不适用 </w:instrText>
          </w:r>
          <w:r>
            <w:rPr>
              <w:rFonts w:hint="eastAsia" w:ascii="宋体" w:hAnsi="宋体"/>
              <w:color w:val="000000"/>
            </w:rPr>
            <w:fldChar w:fldCharType="end"/>
          </w:r>
        </w:p>
      </w:sdtContent>
    </w:sdt>
    <w:p w14:paraId="68210771">
      <w:pPr>
        <w:rPr>
          <w:color w:val="000000" w:themeColor="text1"/>
          <w14:textFill>
            <w14:solidFill>
              <w14:schemeClr w14:val="tx1"/>
            </w14:solidFill>
          </w14:textFill>
        </w:rPr>
      </w:pPr>
    </w:p>
    <w:bookmarkEnd w:id="57"/>
    <w:bookmarkEnd w:id="58"/>
    <w:p w14:paraId="02E51702">
      <w:pPr>
        <w:pStyle w:val="3"/>
        <w:numPr>
          <w:ilvl w:val="0"/>
          <w:numId w:val="14"/>
        </w:numPr>
        <w:tabs>
          <w:tab w:val="left" w:pos="426"/>
        </w:tabs>
        <w:jc w:val="left"/>
        <w:rPr>
          <w:rFonts w:ascii="宋体" w:hAnsi="宋体"/>
          <w:color w:val="000000" w:themeColor="text1"/>
          <w14:textFill>
            <w14:solidFill>
              <w14:schemeClr w14:val="tx1"/>
            </w14:solidFill>
          </w14:textFill>
        </w:rPr>
      </w:pPr>
      <w:bookmarkStart w:id="59" w:name="_Hlk138060542"/>
      <w:bookmarkStart w:id="60" w:name="_Hlk137046383"/>
      <w:r>
        <w:rPr>
          <w:rFonts w:hint="eastAsia" w:ascii="宋体" w:hAnsi="宋体"/>
          <w:color w:val="000000" w:themeColor="text1"/>
          <w14:textFill>
            <w14:solidFill>
              <w14:schemeClr w14:val="tx1"/>
            </w14:solidFill>
          </w14:textFill>
        </w:rPr>
        <w:t>巩固拓展脱贫攻坚成果、乡村振兴等工作具体情况</w:t>
      </w:r>
    </w:p>
    <w:sdt>
      <w:sdtPr>
        <w:rPr>
          <w:color w:val="000000" w:themeColor="text1"/>
          <w14:textFill>
            <w14:solidFill>
              <w14:schemeClr w14:val="tx1"/>
            </w14:solidFill>
          </w14:textFill>
        </w:rPr>
        <w:alias w:val="是否适用：巩固拓展脱贫攻坚成果、乡村振兴工作具体情况[双击切换]"/>
        <w:tag w:val="_GBC_7f424183824c43c9809b2bbaefe89688"/>
        <w:id w:val="1584646407"/>
        <w:placeholder>
          <w:docPart w:val="GBC22222222222222222222222222222"/>
        </w:placeholder>
      </w:sdtPr>
      <w:sdtEndPr>
        <w:rPr>
          <w:color w:val="000000" w:themeColor="text1"/>
          <w14:textFill>
            <w14:solidFill>
              <w14:schemeClr w14:val="tx1"/>
            </w14:solidFill>
          </w14:textFill>
        </w:rPr>
      </w:sdtEndPr>
      <w:sdtContent>
        <w:p w14:paraId="1B0B6D7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6FAF2D7">
      <w:pPr>
        <w:rPr>
          <w:color w:val="000000" w:themeColor="text1"/>
          <w14:textFill>
            <w14:solidFill>
              <w14:schemeClr w14:val="tx1"/>
            </w14:solidFill>
          </w14:textFill>
        </w:rPr>
      </w:pPr>
    </w:p>
    <w:bookmarkEnd w:id="59"/>
    <w:p w14:paraId="22F6EFD1">
      <w:pPr>
        <w:rPr>
          <w:color w:val="000000" w:themeColor="text1"/>
          <w14:textFill>
            <w14:solidFill>
              <w14:schemeClr w14:val="tx1"/>
            </w14:solidFill>
          </w14:textFill>
        </w:rPr>
      </w:pPr>
    </w:p>
    <w:p w14:paraId="52DAE940">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bookmarkEnd w:id="60"/>
    <w:p w14:paraId="62EFC94F">
      <w:pPr>
        <w:pStyle w:val="2"/>
        <w:numPr>
          <w:ilvl w:val="0"/>
          <w:numId w:val="3"/>
        </w:numPr>
        <w:rPr>
          <w:rFonts w:ascii="黑体" w:hAnsi="黑体"/>
          <w:color w:val="000000" w:themeColor="text1"/>
          <w14:textFill>
            <w14:solidFill>
              <w14:schemeClr w14:val="tx1"/>
            </w14:solidFill>
          </w14:textFill>
        </w:rPr>
      </w:pPr>
      <w:bookmarkStart w:id="61" w:name="_Toc76114277"/>
      <w:bookmarkStart w:id="62" w:name="_Toc200030543"/>
      <w:r>
        <w:rPr>
          <w:rFonts w:hint="eastAsia" w:ascii="黑体" w:hAnsi="黑体"/>
          <w:color w:val="000000" w:themeColor="text1"/>
          <w14:textFill>
            <w14:solidFill>
              <w14:schemeClr w14:val="tx1"/>
            </w14:solidFill>
          </w14:textFill>
        </w:rPr>
        <w:t>重要事项</w:t>
      </w:r>
    </w:p>
    <w:bookmarkEnd w:id="61"/>
    <w:bookmarkEnd w:id="62"/>
    <w:p w14:paraId="58E02E36">
      <w:pPr>
        <w:rPr>
          <w:color w:val="000000" w:themeColor="text1"/>
          <w14:textFill>
            <w14:solidFill>
              <w14:schemeClr w14:val="tx1"/>
            </w14:solidFill>
          </w14:textFill>
        </w:rPr>
      </w:pPr>
    </w:p>
    <w:p w14:paraId="0AE345EB">
      <w:pPr>
        <w:pStyle w:val="3"/>
        <w:numPr>
          <w:ilvl w:val="0"/>
          <w:numId w:val="16"/>
        </w:numPr>
        <w:tabs>
          <w:tab w:val="left" w:pos="426"/>
        </w:tabs>
        <w:jc w:val="left"/>
        <w:rPr>
          <w:rFonts w:ascii="宋体" w:hAnsi="宋体"/>
          <w:color w:val="000000" w:themeColor="text1"/>
          <w14:textFill>
            <w14:solidFill>
              <w14:schemeClr w14:val="tx1"/>
            </w14:solidFill>
          </w14:textFill>
        </w:rPr>
      </w:pPr>
      <w:bookmarkStart w:id="63" w:name="_Toc342565988"/>
      <w:r>
        <w:rPr>
          <w:rFonts w:hint="eastAsia" w:ascii="宋体" w:hAnsi="宋体"/>
          <w:color w:val="000000" w:themeColor="text1"/>
          <w14:textFill>
            <w14:solidFill>
              <w14:schemeClr w14:val="tx1"/>
            </w14:solidFill>
          </w14:textFill>
        </w:rPr>
        <w:t>承诺事项履行情况</w:t>
      </w:r>
    </w:p>
    <w:p w14:paraId="5E18F263">
      <w:pPr>
        <w:pStyle w:val="4"/>
        <w:numPr>
          <w:ilvl w:val="1"/>
          <w:numId w:val="17"/>
        </w:numPr>
        <w:rPr>
          <w:color w:val="000000" w:themeColor="text1"/>
          <w:szCs w:val="21"/>
          <w14:textFill>
            <w14:solidFill>
              <w14:schemeClr w14:val="tx1"/>
            </w14:solidFill>
          </w14:textFill>
        </w:rPr>
      </w:pPr>
      <w:bookmarkStart w:id="64" w:name="_Hlk167798036"/>
      <w:r>
        <w:rPr>
          <w:rFonts w:hint="eastAsia"/>
          <w:color w:val="000000" w:themeColor="text1"/>
          <w:szCs w:val="21"/>
          <w14:textFill>
            <w14:solidFill>
              <w14:schemeClr w14:val="tx1"/>
            </w14:solidFill>
          </w14:textFill>
        </w:rPr>
        <w:t>公司实际控制人、股东、关联方、收购人以及公司等承诺相关方在报告期内或持续到报告期内的承诺事项</w:t>
      </w:r>
    </w:p>
    <w:sdt>
      <w:sdtPr>
        <w:rPr>
          <w:color w:val="000000" w:themeColor="text1"/>
          <w14:textFill>
            <w14:solidFill>
              <w14:schemeClr w14:val="tx1"/>
            </w14:solidFill>
          </w14:textFill>
        </w:rPr>
        <w:alias w:val="是否适用：公司实际控制人、股东、关联方、收购人以及公司等承诺相关方在报告期内或持续到报告期内的承诺事项 [双击切换]"/>
        <w:tag w:val="_GBC_1b3cd268fdf44711b46a5537ed6234e6"/>
        <w:id w:val="311607727"/>
        <w:placeholder>
          <w:docPart w:val="GBC22222222222222222222222222222"/>
        </w:placeholder>
      </w:sdtPr>
      <w:sdtEndPr>
        <w:rPr>
          <w:color w:val="000000" w:themeColor="text1"/>
          <w14:textFill>
            <w14:solidFill>
              <w14:schemeClr w14:val="tx1"/>
            </w14:solidFill>
          </w14:textFill>
        </w:rPr>
      </w:sdtEndPr>
      <w:sdtContent>
        <w:p w14:paraId="05172A5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64"/>
    <w:p w14:paraId="3E3CB4C9">
      <w:pPr>
        <w:rPr>
          <w:color w:val="000000" w:themeColor="text1"/>
          <w14:textFill>
            <w14:solidFill>
              <w14:schemeClr w14:val="tx1"/>
            </w14:solidFill>
          </w14:textFill>
        </w:rPr>
      </w:pPr>
    </w:p>
    <w:p w14:paraId="1895A3A9">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报告期内控股股东及其他关联方非经营性占用资金情况</w:t>
      </w:r>
    </w:p>
    <w:sdt>
      <w:sdtPr>
        <w:rPr>
          <w:color w:val="000000" w:themeColor="text1"/>
          <w14:textFill>
            <w14:solidFill>
              <w14:schemeClr w14:val="tx1"/>
            </w14:solidFill>
          </w14:textFill>
        </w:rPr>
        <w:alias w:val="是否适用：资金被占用情况及清欠进展情况[双击切换]"/>
        <w:tag w:val="_GBC_ae82394ae54d49eba71e8d8d6447c499"/>
        <w:id w:val="-1219047581"/>
        <w:placeholder>
          <w:docPart w:val="GBC22222222222222222222222222222"/>
        </w:placeholder>
      </w:sdtPr>
      <w:sdtEndPr>
        <w:rPr>
          <w:color w:val="000000" w:themeColor="text1"/>
          <w14:textFill>
            <w14:solidFill>
              <w14:schemeClr w14:val="tx1"/>
            </w14:solidFill>
          </w14:textFill>
        </w:rPr>
      </w:sdtEndPr>
      <w:sdtContent>
        <w:p w14:paraId="0E64A4E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E971FBE">
      <w:pPr>
        <w:rPr>
          <w:color w:val="000000" w:themeColor="text1"/>
          <w14:textFill>
            <w14:solidFill>
              <w14:schemeClr w14:val="tx1"/>
            </w14:solidFill>
          </w14:textFill>
        </w:rPr>
      </w:pPr>
      <w:bookmarkStart w:id="65" w:name="_Hlk74646365"/>
    </w:p>
    <w:bookmarkEnd w:id="65"/>
    <w:p w14:paraId="29AB625A">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违规担保情况</w:t>
      </w:r>
    </w:p>
    <w:sdt>
      <w:sdtPr>
        <w:rPr>
          <w:color w:val="000000" w:themeColor="text1"/>
          <w14:textFill>
            <w14:solidFill>
              <w14:schemeClr w14:val="tx1"/>
            </w14:solidFill>
          </w14:textFill>
        </w:rPr>
        <w:alias w:val="是否适用：违规担保情况[双击切换]"/>
        <w:tag w:val="_GBC_725722c7a37d40c28caf80b13d948933"/>
        <w:id w:val="-2127148396"/>
        <w:placeholder>
          <w:docPart w:val="GBC22222222222222222222222222222"/>
        </w:placeholder>
      </w:sdtPr>
      <w:sdtEndPr>
        <w:rPr>
          <w:color w:val="000000" w:themeColor="text1"/>
          <w14:textFill>
            <w14:solidFill>
              <w14:schemeClr w14:val="tx1"/>
            </w14:solidFill>
          </w14:textFill>
        </w:rPr>
      </w:sdtEndPr>
      <w:sdtContent>
        <w:p w14:paraId="0E2A098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DAB573">
      <w:pPr>
        <w:rPr>
          <w:color w:val="000000" w:themeColor="text1"/>
          <w14:textFill>
            <w14:solidFill>
              <w14:schemeClr w14:val="tx1"/>
            </w14:solidFill>
          </w14:textFill>
        </w:rPr>
        <w:sectPr>
          <w:pgSz w:w="16838" w:h="11906" w:orient="landscape"/>
          <w:pgMar w:top="1797" w:right="1525" w:bottom="1276" w:left="1440" w:header="851" w:footer="992" w:gutter="0"/>
          <w:cols w:space="425" w:num="1"/>
          <w:docGrid w:linePitch="312" w:charSpace="0"/>
        </w:sectPr>
      </w:pPr>
      <w:bookmarkStart w:id="66" w:name="_Hlk74646368"/>
      <w:bookmarkEnd w:id="66"/>
    </w:p>
    <w:p w14:paraId="4C04268A">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半年报审计情况</w:t>
      </w:r>
    </w:p>
    <w:sdt>
      <w:sdtPr>
        <w:rPr>
          <w:color w:val="000000" w:themeColor="text1"/>
          <w14:textFill>
            <w14:solidFill>
              <w14:schemeClr w14:val="tx1"/>
            </w14:solidFill>
          </w14:textFill>
        </w:rPr>
        <w:alias w:val="是否适用：半年报审计情况  [双击切换]"/>
        <w:tag w:val="_GBC_b2faf86be7fd4060a2a7ad4018aaf033"/>
        <w:id w:val="1663588681"/>
        <w:placeholder>
          <w:docPart w:val="GBC22222222222222222222222222222"/>
        </w:placeholder>
      </w:sdtPr>
      <w:sdtEndPr>
        <w:rPr>
          <w:color w:val="000000" w:themeColor="text1"/>
          <w14:textFill>
            <w14:solidFill>
              <w14:schemeClr w14:val="tx1"/>
            </w14:solidFill>
          </w14:textFill>
        </w:rPr>
      </w:sdtEndPr>
      <w:sdtContent>
        <w:p w14:paraId="13143F8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ED77FE5">
      <w:pPr>
        <w:rPr>
          <w:color w:val="000000" w:themeColor="text1"/>
          <w14:textFill>
            <w14:solidFill>
              <w14:schemeClr w14:val="tx1"/>
            </w14:solidFill>
          </w14:textFill>
        </w:rPr>
      </w:pPr>
    </w:p>
    <w:p w14:paraId="7ABBAFE2">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上年年度报告非标准审计意见涉及事项的变化及处理情况</w:t>
      </w:r>
    </w:p>
    <w:sdt>
      <w:sdtPr>
        <w:rPr>
          <w:rFonts w:hint="eastAsia"/>
          <w:color w:val="000000" w:themeColor="text1"/>
          <w14:textFill>
            <w14:solidFill>
              <w14:schemeClr w14:val="tx1"/>
            </w14:solidFill>
          </w14:textFill>
        </w:rPr>
        <w:alias w:val="是否适用：公司对上年年度报告中的财务报告被注册会计师出具“非标准审计报告”的说明 [双击切换]"/>
        <w:tag w:val="_GBC_06e0811c47124b6da79369103f766350"/>
        <w:id w:val="-1957788515"/>
        <w:placeholder>
          <w:docPart w:val="GBC22222222222222222222222222222"/>
        </w:placeholder>
      </w:sdtPr>
      <w:sdtEndPr>
        <w:rPr>
          <w:rFonts w:hint="eastAsia"/>
          <w:color w:val="000000" w:themeColor="text1"/>
          <w14:textFill>
            <w14:solidFill>
              <w14:schemeClr w14:val="tx1"/>
            </w14:solidFill>
          </w14:textFill>
        </w:rPr>
      </w:sdtEndPr>
      <w:sdtContent>
        <w:p w14:paraId="3D88224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B92B753">
      <w:pPr>
        <w:rPr>
          <w:color w:val="000000" w:themeColor="text1"/>
          <w14:textFill>
            <w14:solidFill>
              <w14:schemeClr w14:val="tx1"/>
            </w14:solidFill>
          </w14:textFill>
        </w:rPr>
      </w:pPr>
    </w:p>
    <w:p w14:paraId="10D8EFA8">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破产重整相关事项</w:t>
      </w:r>
    </w:p>
    <w:sdt>
      <w:sdtPr>
        <w:rPr>
          <w:rFonts w:hint="eastAsia"/>
          <w:color w:val="000000" w:themeColor="text1"/>
          <w14:textFill>
            <w14:solidFill>
              <w14:schemeClr w14:val="tx1"/>
            </w14:solidFill>
          </w14:textFill>
        </w:rPr>
        <w:alias w:val="是否适用：破产重整相关事项[双击切换]"/>
        <w:tag w:val="_GBC_c4fc8890d63b44b19353d2188a5bce59"/>
        <w:id w:val="-549687351"/>
        <w:placeholder>
          <w:docPart w:val="GBC22222222222222222222222222222"/>
        </w:placeholder>
      </w:sdtPr>
      <w:sdtEndPr>
        <w:rPr>
          <w:rFonts w:hint="eastAsia"/>
          <w:color w:val="000000" w:themeColor="text1"/>
          <w14:textFill>
            <w14:solidFill>
              <w14:schemeClr w14:val="tx1"/>
            </w14:solidFill>
          </w14:textFill>
        </w:rPr>
      </w:sdtEndPr>
      <w:sdtContent>
        <w:p w14:paraId="3FA651F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7E18A36">
      <w:pPr>
        <w:rPr>
          <w:color w:val="000000" w:themeColor="text1"/>
          <w14:textFill>
            <w14:solidFill>
              <w14:schemeClr w14:val="tx1"/>
            </w14:solidFill>
          </w14:textFill>
        </w:rPr>
      </w:pPr>
    </w:p>
    <w:p w14:paraId="7E60F9E8">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重大诉讼、仲裁事项</w:t>
      </w:r>
    </w:p>
    <w:sdt>
      <w:sdtPr>
        <w:rPr>
          <w:rFonts w:asciiTheme="minorEastAsia" w:hAnsiTheme="minorEastAsia" w:eastAsiaTheme="minorEastAsia"/>
          <w:color w:val="000000" w:themeColor="text1"/>
          <w14:textFill>
            <w14:solidFill>
              <w14:schemeClr w14:val="tx1"/>
            </w14:solidFill>
          </w14:textFill>
        </w:rPr>
        <w:alias w:val="本年度公司有无重大诉讼、仲裁事项"/>
        <w:tag w:val="_GBC_0fcf1cd2d0814185bde747855edf5227"/>
        <w:id w:val="-865832474"/>
        <w:placeholder>
          <w:docPart w:val="GBC22222222222222222222222222222"/>
        </w:placeholder>
      </w:sdtPr>
      <w:sdtEndPr>
        <w:rPr>
          <w:rFonts w:asciiTheme="minorEastAsia" w:hAnsiTheme="minorEastAsia" w:eastAsiaTheme="minorEastAsia"/>
          <w:color w:val="000000" w:themeColor="text1"/>
          <w14:textFill>
            <w14:solidFill>
              <w14:schemeClr w14:val="tx1"/>
            </w14:solidFill>
          </w14:textFill>
        </w:rPr>
      </w:sdtEndPr>
      <w:sdtContent>
        <w:p w14:paraId="268F785B">
          <w:pPr>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MACROBUTTON  SnrToggleCheckbox √本报告期公司有重大诉讼、仲裁事项 </w:instrText>
          </w:r>
          <w:r>
            <w:rPr>
              <w:rFonts w:asciiTheme="minorEastAsia" w:hAnsiTheme="minorEastAsia" w:eastAsiaTheme="minorEastAsia"/>
              <w:color w:val="000000" w:themeColor="text1"/>
              <w14:textFill>
                <w14:solidFill>
                  <w14:schemeClr w14:val="tx1"/>
                </w14:solidFill>
              </w14:textFill>
            </w:rPr>
            <w:fldChar w:fldCharType="end"/>
          </w: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MACROBUTTON  SnrToggleCheckbox □本报告期公司无重大诉讼、仲裁事项 </w:instrText>
          </w:r>
          <w:r>
            <w:rPr>
              <w:rFonts w:asciiTheme="minorEastAsia" w:hAnsiTheme="minorEastAsia" w:eastAsiaTheme="minorEastAsia"/>
              <w:color w:val="000000" w:themeColor="text1"/>
              <w14:textFill>
                <w14:solidFill>
                  <w14:schemeClr w14:val="tx1"/>
                </w14:solidFill>
              </w14:textFill>
            </w:rPr>
            <w:fldChar w:fldCharType="end"/>
          </w:r>
        </w:p>
      </w:sdtContent>
    </w:sdt>
    <w:p w14:paraId="3DCCCED3">
      <w:pPr>
        <w:pStyle w:val="4"/>
        <w:numPr>
          <w:ilvl w:val="0"/>
          <w:numId w:val="18"/>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诉讼、仲裁事项已在临时公告披露且无后续进展的</w:t>
      </w:r>
    </w:p>
    <w:sdt>
      <w:sdtPr>
        <w:rPr>
          <w:color w:val="000000" w:themeColor="text1"/>
          <w14:textFill>
            <w14:solidFill>
              <w14:schemeClr w14:val="tx1"/>
            </w14:solidFill>
          </w14:textFill>
        </w:rPr>
        <w:alias w:val="是否适用：诉讼、仲裁事项已在临时公告披露且无后续进展的[双击切换]"/>
        <w:tag w:val="_GBC_1c7697ff89954de38b9736575b9b7dc9"/>
        <w:id w:val="-672107704"/>
        <w:placeholder>
          <w:docPart w:val="0A8A201A86EF4BD69819C615F4611C02"/>
        </w:placeholder>
      </w:sdtPr>
      <w:sdtEndPr>
        <w:rPr>
          <w:color w:val="000000" w:themeColor="text1"/>
          <w14:textFill>
            <w14:solidFill>
              <w14:schemeClr w14:val="tx1"/>
            </w14:solidFill>
          </w14:textFill>
        </w:rPr>
      </w:sdtEndPr>
      <w:sdtContent>
        <w:p w14:paraId="3CD6C6C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49C1D1A">
      <w:pPr>
        <w:rPr>
          <w:color w:val="000000" w:themeColor="text1"/>
          <w14:textFill>
            <w14:solidFill>
              <w14:schemeClr w14:val="tx1"/>
            </w14:solidFill>
          </w14:textFill>
        </w:rPr>
      </w:pPr>
    </w:p>
    <w:p w14:paraId="5D53B7F3">
      <w:pPr>
        <w:pStyle w:val="4"/>
        <w:numPr>
          <w:ilvl w:val="0"/>
          <w:numId w:val="18"/>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临时公告未披露或有后续进展的诉讼、仲裁情况</w:t>
      </w:r>
    </w:p>
    <w:sdt>
      <w:sdtPr>
        <w:rPr>
          <w:color w:val="000000" w:themeColor="text1"/>
          <w14:textFill>
            <w14:solidFill>
              <w14:schemeClr w14:val="tx1"/>
            </w14:solidFill>
          </w14:textFill>
        </w:rPr>
        <w:alias w:val="是否适用：临时公告未披露或有后续进展的诉讼、仲裁情况[双击切换]"/>
        <w:tag w:val="_GBC_3f59cc6ee3354630821313bac686c029"/>
        <w:id w:val="-481851648"/>
        <w:placeholder>
          <w:docPart w:val="0A8A201A86EF4BD69819C615F4611C02"/>
        </w:placeholder>
      </w:sdtPr>
      <w:sdtEndPr>
        <w:rPr>
          <w:color w:val="000000" w:themeColor="text1"/>
          <w14:textFill>
            <w14:solidFill>
              <w14:schemeClr w14:val="tx1"/>
            </w14:solidFill>
          </w14:textFill>
        </w:rPr>
      </w:sdtEndPr>
      <w:sdtContent>
        <w:p w14:paraId="015C0D0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8D599E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重大诉讼仲裁事项"/>
          <w:tag w:val="_GBC_ab5a46f4fd35408cba7d05de7b668fac"/>
          <w:id w:val="1881894571"/>
          <w:placeholder>
            <w:docPart w:val="0A8A201A86EF4BD69819C615F4611C0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重大诉讼仲裁事项"/>
          <w:tag w:val="_GBC_67f8b933111740f4867b07d27cbb7862"/>
          <w:id w:val="-433819974"/>
          <w:placeholder>
            <w:docPart w:val="0A8A201A86EF4BD69819C615F4611C0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8"/>
        <w:tblW w:w="10632" w:type="dxa"/>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51"/>
        <w:gridCol w:w="993"/>
        <w:gridCol w:w="567"/>
        <w:gridCol w:w="1701"/>
        <w:gridCol w:w="992"/>
        <w:gridCol w:w="850"/>
        <w:gridCol w:w="1435"/>
        <w:gridCol w:w="1400"/>
        <w:gridCol w:w="993"/>
      </w:tblGrid>
      <w:tr w14:paraId="3418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pacing w:val="-10"/>
            </w:rPr>
            <w:tag w:val="_PLD_542ec69aa4ef4bfab0931fd1db76a6ba"/>
            <w:id w:val="593441969"/>
          </w:sdtPr>
          <w:sdtEndPr>
            <w:rPr>
              <w:spacing w:val="-10"/>
            </w:rPr>
          </w:sdtEndPr>
          <w:sdtContent>
            <w:tc>
              <w:tcPr>
                <w:tcW w:w="10632" w:type="dxa"/>
                <w:gridSpan w:val="10"/>
              </w:tcPr>
              <w:p w14:paraId="74E6948D">
                <w:pPr>
                  <w:widowControl w:val="0"/>
                  <w:ind w:left="-53" w:leftChars="-25" w:right="-53" w:rightChars="-25"/>
                  <w:jc w:val="both"/>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报告期内：</w:t>
                </w:r>
              </w:p>
            </w:tc>
          </w:sdtContent>
        </w:sdt>
      </w:tr>
      <w:tr w14:paraId="0BC6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pacing w:val="-10"/>
            </w:rPr>
            <w:tag w:val="_PLD_65530f9e2c974c4caf9f0a8143274a84"/>
            <w:id w:val="-887180655"/>
          </w:sdtPr>
          <w:sdtEndPr>
            <w:rPr>
              <w:spacing w:val="-10"/>
            </w:rPr>
          </w:sdtEndPr>
          <w:sdtContent>
            <w:tc>
              <w:tcPr>
                <w:tcW w:w="850" w:type="dxa"/>
                <w:vAlign w:val="center"/>
              </w:tcPr>
              <w:p w14:paraId="7599362B">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起诉(申请)方</w:t>
                </w:r>
              </w:p>
            </w:tc>
          </w:sdtContent>
        </w:sdt>
        <w:sdt>
          <w:sdtPr>
            <w:rPr>
              <w:spacing w:val="-10"/>
            </w:rPr>
            <w:tag w:val="_PLD_199b4615ac594ea49e4ae790f9604175"/>
            <w:id w:val="-956939398"/>
          </w:sdtPr>
          <w:sdtEndPr>
            <w:rPr>
              <w:spacing w:val="-10"/>
            </w:rPr>
          </w:sdtEndPr>
          <w:sdtContent>
            <w:tc>
              <w:tcPr>
                <w:tcW w:w="851" w:type="dxa"/>
                <w:vAlign w:val="center"/>
              </w:tcPr>
              <w:p w14:paraId="3EDC0B13">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应诉（被申请</w:t>
                </w:r>
                <w:r>
                  <w:rPr>
                    <w:rFonts w:hint="eastAsia"/>
                    <w:color w:val="000000" w:themeColor="text1"/>
                    <w:spacing w:val="-10"/>
                    <w14:textFill>
                      <w14:solidFill>
                        <w14:schemeClr w14:val="tx1"/>
                      </w14:solidFill>
                    </w14:textFill>
                  </w:rPr>
                  <w:t>）</w:t>
                </w:r>
                <w:r>
                  <w:rPr>
                    <w:color w:val="000000" w:themeColor="text1"/>
                    <w:spacing w:val="-10"/>
                    <w14:textFill>
                      <w14:solidFill>
                        <w14:schemeClr w14:val="tx1"/>
                      </w14:solidFill>
                    </w14:textFill>
                  </w:rPr>
                  <w:t>方</w:t>
                </w:r>
              </w:p>
            </w:tc>
          </w:sdtContent>
        </w:sdt>
        <w:sdt>
          <w:sdtPr>
            <w:rPr>
              <w:spacing w:val="-10"/>
            </w:rPr>
            <w:tag w:val="_PLD_40e0da63dc8243ccadfed7bf52b93f8b"/>
            <w:id w:val="-377854770"/>
          </w:sdtPr>
          <w:sdtEndPr>
            <w:rPr>
              <w:spacing w:val="-10"/>
            </w:rPr>
          </w:sdtEndPr>
          <w:sdtContent>
            <w:tc>
              <w:tcPr>
                <w:tcW w:w="993" w:type="dxa"/>
                <w:vAlign w:val="center"/>
              </w:tcPr>
              <w:p w14:paraId="469B9C9C">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承担连带责任方</w:t>
                </w:r>
              </w:p>
            </w:tc>
          </w:sdtContent>
        </w:sdt>
        <w:sdt>
          <w:sdtPr>
            <w:rPr>
              <w:spacing w:val="-10"/>
            </w:rPr>
            <w:tag w:val="_PLD_46f93380e03f45adbc91c2ab3774798c"/>
            <w:id w:val="2097828599"/>
          </w:sdtPr>
          <w:sdtEndPr>
            <w:rPr>
              <w:spacing w:val="-10"/>
            </w:rPr>
          </w:sdtEndPr>
          <w:sdtContent>
            <w:tc>
              <w:tcPr>
                <w:tcW w:w="567" w:type="dxa"/>
                <w:vAlign w:val="center"/>
              </w:tcPr>
              <w:p w14:paraId="0E40FDA8">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诉讼仲裁类型</w:t>
                </w:r>
              </w:p>
            </w:tc>
          </w:sdtContent>
        </w:sdt>
        <w:sdt>
          <w:sdtPr>
            <w:rPr>
              <w:spacing w:val="-10"/>
            </w:rPr>
            <w:tag w:val="_PLD_29743bdc16de45d8a3449747b5605f16"/>
            <w:id w:val="646017337"/>
          </w:sdtPr>
          <w:sdtEndPr>
            <w:rPr>
              <w:spacing w:val="-10"/>
            </w:rPr>
          </w:sdtEndPr>
          <w:sdtContent>
            <w:tc>
              <w:tcPr>
                <w:tcW w:w="1701" w:type="dxa"/>
                <w:vAlign w:val="center"/>
              </w:tcPr>
              <w:p w14:paraId="4DFD9AE7">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诉讼(仲裁)基本情况</w:t>
                </w:r>
              </w:p>
            </w:tc>
          </w:sdtContent>
        </w:sdt>
        <w:sdt>
          <w:sdtPr>
            <w:rPr>
              <w:spacing w:val="-10"/>
            </w:rPr>
            <w:tag w:val="_PLD_cc4909272128469b9b9eb68f21f24563"/>
            <w:id w:val="-391661554"/>
          </w:sdtPr>
          <w:sdtEndPr>
            <w:rPr>
              <w:spacing w:val="-10"/>
            </w:rPr>
          </w:sdtEndPr>
          <w:sdtContent>
            <w:tc>
              <w:tcPr>
                <w:tcW w:w="992" w:type="dxa"/>
                <w:vAlign w:val="center"/>
              </w:tcPr>
              <w:p w14:paraId="33398F6B">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诉讼(仲裁)涉及金额</w:t>
                </w:r>
              </w:p>
            </w:tc>
          </w:sdtContent>
        </w:sdt>
        <w:sdt>
          <w:sdtPr>
            <w:rPr>
              <w:spacing w:val="-10"/>
            </w:rPr>
            <w:tag w:val="_PLD_314be9ce30c646b1a34851dbc8c947ff"/>
            <w:id w:val="1222865072"/>
          </w:sdtPr>
          <w:sdtEndPr>
            <w:rPr>
              <w:spacing w:val="-10"/>
            </w:rPr>
          </w:sdtEndPr>
          <w:sdtContent>
            <w:tc>
              <w:tcPr>
                <w:tcW w:w="850" w:type="dxa"/>
                <w:vAlign w:val="center"/>
              </w:tcPr>
              <w:p w14:paraId="30FF8C7C">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诉讼(仲裁)是否形成预计负债及金额</w:t>
                </w:r>
              </w:p>
            </w:tc>
          </w:sdtContent>
        </w:sdt>
        <w:sdt>
          <w:sdtPr>
            <w:rPr>
              <w:spacing w:val="-10"/>
            </w:rPr>
            <w:tag w:val="_PLD_27f3a3c3699f4caaa599fe2ff85e043a"/>
            <w:id w:val="2094576938"/>
          </w:sdtPr>
          <w:sdtEndPr>
            <w:rPr>
              <w:spacing w:val="-10"/>
            </w:rPr>
          </w:sdtEndPr>
          <w:sdtContent>
            <w:tc>
              <w:tcPr>
                <w:tcW w:w="1435" w:type="dxa"/>
                <w:vAlign w:val="center"/>
              </w:tcPr>
              <w:p w14:paraId="4108E7E6">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诉讼(仲裁)进展情况</w:t>
                </w:r>
              </w:p>
            </w:tc>
          </w:sdtContent>
        </w:sdt>
        <w:sdt>
          <w:sdtPr>
            <w:rPr>
              <w:spacing w:val="-10"/>
            </w:rPr>
            <w:tag w:val="_PLD_670326cb24854b3a8bee381fa766735a"/>
            <w:id w:val="1811513018"/>
          </w:sdtPr>
          <w:sdtEndPr>
            <w:rPr>
              <w:spacing w:val="-10"/>
            </w:rPr>
          </w:sdtEndPr>
          <w:sdtContent>
            <w:tc>
              <w:tcPr>
                <w:tcW w:w="1400" w:type="dxa"/>
                <w:vAlign w:val="center"/>
              </w:tcPr>
              <w:p w14:paraId="7C6532BA">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诉讼(仲裁)审理结果及影响</w:t>
                </w:r>
              </w:p>
            </w:tc>
          </w:sdtContent>
        </w:sdt>
        <w:sdt>
          <w:sdtPr>
            <w:rPr>
              <w:spacing w:val="-10"/>
            </w:rPr>
            <w:tag w:val="_PLD_4b3c312c6ff54512a58be0ff5dc57e46"/>
            <w:id w:val="76100548"/>
          </w:sdtPr>
          <w:sdtEndPr>
            <w:rPr>
              <w:spacing w:val="-10"/>
            </w:rPr>
          </w:sdtEndPr>
          <w:sdtContent>
            <w:tc>
              <w:tcPr>
                <w:tcW w:w="993" w:type="dxa"/>
                <w:vAlign w:val="center"/>
              </w:tcPr>
              <w:p w14:paraId="41D73D11">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诉讼(仲裁)判决执行情况</w:t>
                </w:r>
              </w:p>
            </w:tc>
          </w:sdtContent>
        </w:sdt>
      </w:tr>
      <w:tr w14:paraId="19CA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1B49B498">
            <w:pPr>
              <w:widowControl w:val="0"/>
              <w:ind w:left="-53" w:leftChars="-25" w:right="-53" w:rightChars="-25"/>
              <w:jc w:val="both"/>
              <w:rPr>
                <w:spacing w:val="-10"/>
              </w:rPr>
            </w:pPr>
            <w:r>
              <w:rPr>
                <w:spacing w:val="-10"/>
              </w:rPr>
              <w:t>重庆睿蓝汽车制造有限公司</w:t>
            </w:r>
          </w:p>
        </w:tc>
        <w:tc>
          <w:tcPr>
            <w:tcW w:w="851" w:type="dxa"/>
            <w:vAlign w:val="center"/>
          </w:tcPr>
          <w:p w14:paraId="678F66B4">
            <w:pPr>
              <w:widowControl w:val="0"/>
              <w:ind w:left="-53" w:leftChars="-25" w:right="-53" w:rightChars="-25"/>
              <w:jc w:val="both"/>
              <w:rPr>
                <w:spacing w:val="-10"/>
              </w:rPr>
            </w:pPr>
            <w:r>
              <w:rPr>
                <w:spacing w:val="-10"/>
              </w:rPr>
              <w:t>海博瑞德（北京）汽车技术有限公司、袁涛</w:t>
            </w:r>
          </w:p>
        </w:tc>
        <w:tc>
          <w:tcPr>
            <w:tcW w:w="993" w:type="dxa"/>
            <w:vAlign w:val="center"/>
          </w:tcPr>
          <w:p w14:paraId="6D41F3C7">
            <w:pPr>
              <w:widowControl w:val="0"/>
              <w:ind w:left="-53" w:leftChars="-25" w:right="-53" w:rightChars="-25"/>
              <w:jc w:val="center"/>
              <w:rPr>
                <w:spacing w:val="-10"/>
              </w:rPr>
            </w:pPr>
            <w:r>
              <w:rPr>
                <w:spacing w:val="-10"/>
              </w:rPr>
              <w:t>袁涛</w:t>
            </w:r>
          </w:p>
        </w:tc>
        <w:tc>
          <w:tcPr>
            <w:tcW w:w="567" w:type="dxa"/>
            <w:vAlign w:val="center"/>
          </w:tcPr>
          <w:p w14:paraId="359417C9">
            <w:pPr>
              <w:widowControl w:val="0"/>
              <w:ind w:left="-53" w:leftChars="-25" w:right="-53" w:rightChars="-25"/>
              <w:jc w:val="center"/>
              <w:rPr>
                <w:spacing w:val="-10"/>
              </w:rPr>
            </w:pPr>
            <w:r>
              <w:rPr>
                <w:spacing w:val="-10"/>
              </w:rPr>
              <w:t>诉讼</w:t>
            </w:r>
          </w:p>
        </w:tc>
        <w:tc>
          <w:tcPr>
            <w:tcW w:w="1701" w:type="dxa"/>
            <w:vAlign w:val="center"/>
          </w:tcPr>
          <w:p w14:paraId="7254D39B">
            <w:pPr>
              <w:widowControl w:val="0"/>
              <w:ind w:left="-53" w:leftChars="-25" w:right="-53" w:rightChars="-25"/>
              <w:jc w:val="both"/>
              <w:rPr>
                <w:spacing w:val="-10"/>
              </w:rPr>
            </w:pPr>
            <w:r>
              <w:rPr>
                <w:spacing w:val="-10"/>
              </w:rPr>
              <w:t>起诉方以合同纠纷为由向重庆市第一中级人民法院提请诉讼，请求判令海博瑞德（北京）汽车技术有限公司回购股权并支付股权回购款及相应利息。</w:t>
            </w:r>
          </w:p>
        </w:tc>
        <w:tc>
          <w:tcPr>
            <w:tcW w:w="992" w:type="dxa"/>
            <w:vAlign w:val="center"/>
          </w:tcPr>
          <w:p w14:paraId="56A9E7DE">
            <w:pPr>
              <w:widowControl w:val="0"/>
              <w:ind w:left="-53" w:leftChars="-25" w:right="-53" w:rightChars="-25"/>
              <w:jc w:val="right"/>
              <w:rPr>
                <w:spacing w:val="-10"/>
              </w:rPr>
            </w:pPr>
            <w:r>
              <w:rPr>
                <w:spacing w:val="-10"/>
              </w:rPr>
              <w:t>5,111.00</w:t>
            </w:r>
          </w:p>
        </w:tc>
        <w:tc>
          <w:tcPr>
            <w:tcW w:w="850" w:type="dxa"/>
            <w:vAlign w:val="center"/>
          </w:tcPr>
          <w:p w14:paraId="36E6C644">
            <w:pPr>
              <w:widowControl w:val="0"/>
              <w:ind w:left="-53" w:leftChars="-25" w:right="-53" w:rightChars="-25"/>
              <w:jc w:val="center"/>
              <w:rPr>
                <w:spacing w:val="-10"/>
              </w:rPr>
            </w:pPr>
            <w:r>
              <w:rPr>
                <w:spacing w:val="-10"/>
              </w:rPr>
              <w:t>否</w:t>
            </w:r>
          </w:p>
        </w:tc>
        <w:tc>
          <w:tcPr>
            <w:tcW w:w="1435" w:type="dxa"/>
            <w:vAlign w:val="center"/>
          </w:tcPr>
          <w:p w14:paraId="54DDB86F">
            <w:pPr>
              <w:widowControl w:val="0"/>
              <w:ind w:left="-53" w:leftChars="-25" w:right="-53" w:rightChars="-25"/>
              <w:jc w:val="both"/>
              <w:rPr>
                <w:spacing w:val="-10"/>
              </w:rPr>
            </w:pPr>
            <w:r>
              <w:rPr>
                <w:spacing w:val="-10"/>
              </w:rPr>
              <w:t>判决已生效。起诉方与应诉方于2025年1月签署《执行和解协议》（详见注释）。应诉方已根据执行和解协议支付1,600.00万元，法院已作出终结执行裁定。</w:t>
            </w:r>
          </w:p>
        </w:tc>
        <w:tc>
          <w:tcPr>
            <w:tcW w:w="1400" w:type="dxa"/>
            <w:vAlign w:val="center"/>
          </w:tcPr>
          <w:p w14:paraId="0459AD4D">
            <w:pPr>
              <w:widowControl w:val="0"/>
              <w:ind w:left="-53" w:leftChars="-25" w:right="-53" w:rightChars="-25"/>
              <w:jc w:val="both"/>
              <w:rPr>
                <w:spacing w:val="-10"/>
              </w:rPr>
            </w:pPr>
            <w:r>
              <w:rPr>
                <w:spacing w:val="-10"/>
              </w:rPr>
              <w:t>应诉方回购起诉方持有的海博瑞德（重庆）汽车动力控制系统有限公司93.97%股权，并向起诉方支付股权回购款5,110.00万元及利息，担保人承担连带清偿责任。</w:t>
            </w:r>
          </w:p>
        </w:tc>
        <w:tc>
          <w:tcPr>
            <w:tcW w:w="993" w:type="dxa"/>
            <w:vAlign w:val="center"/>
          </w:tcPr>
          <w:p w14:paraId="3DFE9152">
            <w:pPr>
              <w:widowControl w:val="0"/>
              <w:ind w:left="-53" w:leftChars="-25" w:right="-53" w:rightChars="-25"/>
              <w:jc w:val="both"/>
              <w:rPr>
                <w:spacing w:val="-10"/>
              </w:rPr>
            </w:pPr>
            <w:r>
              <w:rPr>
                <w:spacing w:val="-10"/>
              </w:rPr>
              <w:t>执行和解结案</w:t>
            </w:r>
          </w:p>
        </w:tc>
      </w:tr>
      <w:tr w14:paraId="4727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1E03DD5C">
            <w:pPr>
              <w:widowControl w:val="0"/>
              <w:ind w:left="-53" w:leftChars="-25" w:right="-53" w:rightChars="-25"/>
              <w:jc w:val="both"/>
              <w:rPr>
                <w:spacing w:val="-10"/>
              </w:rPr>
            </w:pPr>
            <w:r>
              <w:rPr>
                <w:spacing w:val="-10"/>
              </w:rPr>
              <w:t>河南五建第三建筑安装有限公司</w:t>
            </w:r>
          </w:p>
        </w:tc>
        <w:tc>
          <w:tcPr>
            <w:tcW w:w="851" w:type="dxa"/>
            <w:vAlign w:val="center"/>
          </w:tcPr>
          <w:p w14:paraId="4F9AE347">
            <w:pPr>
              <w:widowControl w:val="0"/>
              <w:ind w:left="-53" w:leftChars="-25" w:right="-53" w:rightChars="-25"/>
              <w:jc w:val="both"/>
              <w:rPr>
                <w:spacing w:val="-10"/>
              </w:rPr>
            </w:pPr>
            <w:r>
              <w:rPr>
                <w:spacing w:val="-10"/>
              </w:rPr>
              <w:t>河南力帆树民车业有限公司</w:t>
            </w:r>
          </w:p>
        </w:tc>
        <w:tc>
          <w:tcPr>
            <w:tcW w:w="993" w:type="dxa"/>
            <w:vAlign w:val="center"/>
          </w:tcPr>
          <w:p w14:paraId="6A70D629">
            <w:pPr>
              <w:widowControl w:val="0"/>
              <w:ind w:left="-53" w:leftChars="-25" w:right="-53" w:rightChars="-25"/>
              <w:jc w:val="center"/>
              <w:rPr>
                <w:spacing w:val="-10"/>
              </w:rPr>
            </w:pPr>
            <w:r>
              <w:rPr>
                <w:spacing w:val="-10"/>
              </w:rPr>
              <w:t>无</w:t>
            </w:r>
          </w:p>
        </w:tc>
        <w:tc>
          <w:tcPr>
            <w:tcW w:w="567" w:type="dxa"/>
            <w:vAlign w:val="center"/>
          </w:tcPr>
          <w:p w14:paraId="644E2363">
            <w:pPr>
              <w:widowControl w:val="0"/>
              <w:ind w:left="-53" w:leftChars="-25" w:right="-53" w:rightChars="-25"/>
              <w:jc w:val="center"/>
              <w:rPr>
                <w:spacing w:val="-10"/>
              </w:rPr>
            </w:pPr>
            <w:r>
              <w:rPr>
                <w:spacing w:val="-10"/>
              </w:rPr>
              <w:t>诉讼</w:t>
            </w:r>
          </w:p>
        </w:tc>
        <w:tc>
          <w:tcPr>
            <w:tcW w:w="1701" w:type="dxa"/>
            <w:vAlign w:val="center"/>
          </w:tcPr>
          <w:p w14:paraId="3B8A889B">
            <w:pPr>
              <w:widowControl w:val="0"/>
              <w:ind w:left="-53" w:leftChars="-25" w:right="-53" w:rightChars="-25"/>
              <w:jc w:val="both"/>
              <w:rPr>
                <w:spacing w:val="-10"/>
              </w:rPr>
            </w:pPr>
            <w:r>
              <w:rPr>
                <w:spacing w:val="-10"/>
              </w:rPr>
              <w:t>起诉方以建设工程施工合同纠纷为由向河南省叶县人民法院提请诉讼，请求判令应诉方支付工程款及利息、扬尘治理费、承包服务费、损失费等合计5,867.75万元。</w:t>
            </w:r>
          </w:p>
        </w:tc>
        <w:tc>
          <w:tcPr>
            <w:tcW w:w="992" w:type="dxa"/>
            <w:vAlign w:val="center"/>
          </w:tcPr>
          <w:p w14:paraId="0B35E27D">
            <w:pPr>
              <w:widowControl w:val="0"/>
              <w:ind w:left="-53" w:leftChars="-25" w:right="-53" w:rightChars="-25"/>
              <w:jc w:val="right"/>
              <w:rPr>
                <w:spacing w:val="-10"/>
              </w:rPr>
            </w:pPr>
            <w:r>
              <w:rPr>
                <w:spacing w:val="-10"/>
              </w:rPr>
              <w:t>5,867.75</w:t>
            </w:r>
          </w:p>
        </w:tc>
        <w:tc>
          <w:tcPr>
            <w:tcW w:w="850" w:type="dxa"/>
            <w:vAlign w:val="center"/>
          </w:tcPr>
          <w:p w14:paraId="72E9975D">
            <w:pPr>
              <w:widowControl w:val="0"/>
              <w:ind w:left="-53" w:leftChars="-25" w:right="-53" w:rightChars="-25"/>
              <w:jc w:val="center"/>
              <w:rPr>
                <w:spacing w:val="-10"/>
              </w:rPr>
            </w:pPr>
            <w:r>
              <w:rPr>
                <w:spacing w:val="-10"/>
              </w:rPr>
              <w:t>否</w:t>
            </w:r>
          </w:p>
        </w:tc>
        <w:tc>
          <w:tcPr>
            <w:tcW w:w="1435" w:type="dxa"/>
            <w:vAlign w:val="center"/>
          </w:tcPr>
          <w:p w14:paraId="2431B81D">
            <w:pPr>
              <w:widowControl w:val="0"/>
              <w:ind w:left="-53" w:leftChars="-25" w:right="-53" w:rightChars="-25"/>
              <w:jc w:val="both"/>
              <w:rPr>
                <w:spacing w:val="-10"/>
              </w:rPr>
            </w:pPr>
            <w:r>
              <w:rPr>
                <w:spacing w:val="-10"/>
              </w:rPr>
              <w:t>已经达成新的和解协议，正在履行中</w:t>
            </w:r>
            <w:r>
              <w:rPr>
                <w:rFonts w:hint="eastAsia"/>
                <w:spacing w:val="-10"/>
              </w:rPr>
              <w:t>。</w:t>
            </w:r>
          </w:p>
        </w:tc>
        <w:tc>
          <w:tcPr>
            <w:tcW w:w="1400" w:type="dxa"/>
            <w:vAlign w:val="center"/>
          </w:tcPr>
          <w:p w14:paraId="01243992">
            <w:pPr>
              <w:widowControl w:val="0"/>
              <w:ind w:left="-53" w:leftChars="-25" w:right="-53" w:rightChars="-25"/>
              <w:jc w:val="both"/>
              <w:rPr>
                <w:spacing w:val="-10"/>
              </w:rPr>
            </w:pPr>
            <w:r>
              <w:rPr>
                <w:spacing w:val="-10"/>
              </w:rPr>
              <w:t>再审判决应诉方支付工程款4,481.12万元及利息142.64万元。</w:t>
            </w:r>
          </w:p>
        </w:tc>
        <w:tc>
          <w:tcPr>
            <w:tcW w:w="993" w:type="dxa"/>
            <w:vAlign w:val="center"/>
          </w:tcPr>
          <w:p w14:paraId="1E6A0E00">
            <w:pPr>
              <w:widowControl w:val="0"/>
              <w:ind w:left="-53" w:leftChars="-25" w:right="-53" w:rightChars="-25"/>
              <w:jc w:val="both"/>
              <w:rPr>
                <w:spacing w:val="-10"/>
              </w:rPr>
            </w:pPr>
            <w:r>
              <w:rPr>
                <w:spacing w:val="-10"/>
              </w:rPr>
              <w:t>执行和解中</w:t>
            </w:r>
          </w:p>
        </w:tc>
      </w:tr>
      <w:tr w14:paraId="3E6C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5E7696CC">
            <w:pPr>
              <w:widowControl w:val="0"/>
              <w:ind w:left="-53" w:leftChars="-25" w:right="-53" w:rightChars="-25"/>
              <w:jc w:val="both"/>
              <w:rPr>
                <w:spacing w:val="-10"/>
              </w:rPr>
            </w:pPr>
            <w:r>
              <w:rPr>
                <w:spacing w:val="-10"/>
              </w:rPr>
              <w:t>重庆千里科技股份有限公司</w:t>
            </w:r>
          </w:p>
        </w:tc>
        <w:tc>
          <w:tcPr>
            <w:tcW w:w="851" w:type="dxa"/>
            <w:vAlign w:val="center"/>
          </w:tcPr>
          <w:p w14:paraId="0A41B9E9">
            <w:pPr>
              <w:widowControl w:val="0"/>
              <w:ind w:left="-53" w:leftChars="-25" w:right="-53" w:rightChars="-25"/>
              <w:jc w:val="both"/>
              <w:rPr>
                <w:spacing w:val="-10"/>
              </w:rPr>
            </w:pPr>
            <w:r>
              <w:rPr>
                <w:spacing w:val="-10"/>
              </w:rPr>
              <w:t>重庆新能源汽车融资租赁有限公司</w:t>
            </w:r>
          </w:p>
        </w:tc>
        <w:tc>
          <w:tcPr>
            <w:tcW w:w="993" w:type="dxa"/>
            <w:vAlign w:val="center"/>
          </w:tcPr>
          <w:p w14:paraId="399221A3">
            <w:pPr>
              <w:widowControl w:val="0"/>
              <w:ind w:left="-53" w:leftChars="-25" w:right="-53" w:rightChars="-25"/>
              <w:jc w:val="center"/>
              <w:rPr>
                <w:spacing w:val="-10"/>
              </w:rPr>
            </w:pPr>
            <w:r>
              <w:rPr>
                <w:spacing w:val="-10"/>
              </w:rPr>
              <w:t>无</w:t>
            </w:r>
          </w:p>
        </w:tc>
        <w:tc>
          <w:tcPr>
            <w:tcW w:w="567" w:type="dxa"/>
            <w:vAlign w:val="center"/>
          </w:tcPr>
          <w:p w14:paraId="406FBF52">
            <w:pPr>
              <w:widowControl w:val="0"/>
              <w:ind w:left="-53" w:leftChars="-25" w:right="-53" w:rightChars="-25"/>
              <w:jc w:val="center"/>
              <w:rPr>
                <w:spacing w:val="-10"/>
              </w:rPr>
            </w:pPr>
            <w:r>
              <w:rPr>
                <w:spacing w:val="-10"/>
              </w:rPr>
              <w:t>诉讼</w:t>
            </w:r>
          </w:p>
        </w:tc>
        <w:tc>
          <w:tcPr>
            <w:tcW w:w="1701" w:type="dxa"/>
            <w:vAlign w:val="center"/>
          </w:tcPr>
          <w:p w14:paraId="4E572CBB">
            <w:pPr>
              <w:widowControl w:val="0"/>
              <w:ind w:left="-53" w:leftChars="-25" w:right="-53" w:rightChars="-25"/>
              <w:jc w:val="both"/>
              <w:rPr>
                <w:spacing w:val="-10"/>
              </w:rPr>
            </w:pPr>
            <w:r>
              <w:rPr>
                <w:spacing w:val="-10"/>
              </w:rPr>
              <w:t>起诉方以追偿权纠纷向重庆市渝北区人民法院提请诉讼，请求判令应诉方支付代偿款2,856.12万元、利息、诉讼费、保全费等请求。</w:t>
            </w:r>
          </w:p>
        </w:tc>
        <w:tc>
          <w:tcPr>
            <w:tcW w:w="992" w:type="dxa"/>
            <w:vAlign w:val="center"/>
          </w:tcPr>
          <w:p w14:paraId="4DC0F395">
            <w:pPr>
              <w:widowControl w:val="0"/>
              <w:ind w:left="-53" w:leftChars="-25" w:right="-53" w:rightChars="-25"/>
              <w:jc w:val="right"/>
              <w:rPr>
                <w:spacing w:val="-10"/>
              </w:rPr>
            </w:pPr>
            <w:r>
              <w:rPr>
                <w:spacing w:val="-10"/>
              </w:rPr>
              <w:t>2,856.12</w:t>
            </w:r>
          </w:p>
        </w:tc>
        <w:tc>
          <w:tcPr>
            <w:tcW w:w="850" w:type="dxa"/>
            <w:vAlign w:val="center"/>
          </w:tcPr>
          <w:p w14:paraId="57A9FD77">
            <w:pPr>
              <w:widowControl w:val="0"/>
              <w:ind w:left="-53" w:leftChars="-25" w:right="-53" w:rightChars="-25"/>
              <w:jc w:val="center"/>
              <w:rPr>
                <w:spacing w:val="-10"/>
              </w:rPr>
            </w:pPr>
            <w:r>
              <w:rPr>
                <w:spacing w:val="-10"/>
              </w:rPr>
              <w:t>否</w:t>
            </w:r>
          </w:p>
        </w:tc>
        <w:tc>
          <w:tcPr>
            <w:tcW w:w="1435" w:type="dxa"/>
            <w:vAlign w:val="center"/>
          </w:tcPr>
          <w:p w14:paraId="3E1DBF7C">
            <w:pPr>
              <w:widowControl w:val="0"/>
              <w:ind w:left="-53" w:leftChars="-25" w:right="-53" w:rightChars="-25"/>
              <w:jc w:val="both"/>
              <w:rPr>
                <w:spacing w:val="-10"/>
              </w:rPr>
            </w:pPr>
            <w:r>
              <w:rPr>
                <w:spacing w:val="-10"/>
              </w:rPr>
              <w:t>判决已生效，已申请强制执行，目前执行已收回现金787万元，执行程序继续推进中</w:t>
            </w:r>
            <w:r>
              <w:rPr>
                <w:rFonts w:hint="eastAsia"/>
                <w:spacing w:val="-10"/>
              </w:rPr>
              <w:t>。</w:t>
            </w:r>
          </w:p>
        </w:tc>
        <w:tc>
          <w:tcPr>
            <w:tcW w:w="1400" w:type="dxa"/>
            <w:vAlign w:val="center"/>
          </w:tcPr>
          <w:p w14:paraId="1050D98E">
            <w:pPr>
              <w:widowControl w:val="0"/>
              <w:ind w:left="-53" w:leftChars="-25" w:right="-53" w:rightChars="-25"/>
              <w:jc w:val="both"/>
              <w:rPr>
                <w:spacing w:val="-10"/>
              </w:rPr>
            </w:pPr>
            <w:r>
              <w:rPr>
                <w:spacing w:val="-10"/>
              </w:rPr>
              <w:t>应诉方偿还起诉方2,813.67万元及利息。</w:t>
            </w:r>
          </w:p>
        </w:tc>
        <w:tc>
          <w:tcPr>
            <w:tcW w:w="993" w:type="dxa"/>
            <w:vAlign w:val="center"/>
          </w:tcPr>
          <w:p w14:paraId="093D2E36">
            <w:pPr>
              <w:widowControl w:val="0"/>
              <w:ind w:left="-53" w:leftChars="-25" w:right="-53" w:rightChars="-25"/>
              <w:jc w:val="both"/>
              <w:rPr>
                <w:spacing w:val="-10"/>
              </w:rPr>
            </w:pPr>
            <w:r>
              <w:rPr>
                <w:spacing w:val="-10"/>
              </w:rPr>
              <w:t>强制执行中</w:t>
            </w:r>
          </w:p>
        </w:tc>
      </w:tr>
      <w:tr w14:paraId="580B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13292705">
            <w:pPr>
              <w:widowControl w:val="0"/>
              <w:ind w:left="-53" w:leftChars="-25" w:right="-53" w:rightChars="-25"/>
              <w:jc w:val="both"/>
              <w:rPr>
                <w:spacing w:val="-10"/>
              </w:rPr>
            </w:pPr>
            <w:r>
              <w:rPr>
                <w:spacing w:val="-10"/>
              </w:rPr>
              <w:t>重庆力帆红星商业管理有限公司</w:t>
            </w:r>
          </w:p>
        </w:tc>
        <w:tc>
          <w:tcPr>
            <w:tcW w:w="851" w:type="dxa"/>
            <w:vAlign w:val="center"/>
          </w:tcPr>
          <w:p w14:paraId="3955F052">
            <w:pPr>
              <w:widowControl w:val="0"/>
              <w:ind w:left="-53" w:leftChars="-25" w:right="-53" w:rightChars="-25"/>
              <w:jc w:val="both"/>
              <w:rPr>
                <w:spacing w:val="-10"/>
              </w:rPr>
            </w:pPr>
            <w:r>
              <w:rPr>
                <w:spacing w:val="-10"/>
              </w:rPr>
              <w:t>重庆润田房地产开发有限公司</w:t>
            </w:r>
          </w:p>
        </w:tc>
        <w:tc>
          <w:tcPr>
            <w:tcW w:w="993" w:type="dxa"/>
            <w:vAlign w:val="center"/>
          </w:tcPr>
          <w:p w14:paraId="653F6D80">
            <w:pPr>
              <w:widowControl w:val="0"/>
              <w:ind w:left="-53" w:leftChars="-25" w:right="-53" w:rightChars="-25"/>
              <w:jc w:val="center"/>
              <w:rPr>
                <w:spacing w:val="-10"/>
              </w:rPr>
            </w:pPr>
            <w:r>
              <w:rPr>
                <w:spacing w:val="-10"/>
              </w:rPr>
              <w:t>无</w:t>
            </w:r>
          </w:p>
        </w:tc>
        <w:tc>
          <w:tcPr>
            <w:tcW w:w="567" w:type="dxa"/>
            <w:vAlign w:val="center"/>
          </w:tcPr>
          <w:p w14:paraId="48CF2948">
            <w:pPr>
              <w:widowControl w:val="0"/>
              <w:ind w:left="-53" w:leftChars="-25" w:right="-53" w:rightChars="-25"/>
              <w:jc w:val="center"/>
              <w:rPr>
                <w:spacing w:val="-10"/>
              </w:rPr>
            </w:pPr>
            <w:r>
              <w:rPr>
                <w:spacing w:val="-10"/>
              </w:rPr>
              <w:t>仲裁</w:t>
            </w:r>
          </w:p>
        </w:tc>
        <w:tc>
          <w:tcPr>
            <w:tcW w:w="1701" w:type="dxa"/>
            <w:vAlign w:val="center"/>
          </w:tcPr>
          <w:p w14:paraId="4D0C8944">
            <w:pPr>
              <w:widowControl w:val="0"/>
              <w:ind w:left="-53" w:leftChars="-25" w:right="-53" w:rightChars="-25"/>
              <w:jc w:val="both"/>
              <w:rPr>
                <w:spacing w:val="-10"/>
              </w:rPr>
            </w:pPr>
            <w:r>
              <w:rPr>
                <w:spacing w:val="-10"/>
              </w:rPr>
              <w:t>起诉方以服务合同纠纷为由向重庆市仲裁委员会申请仲裁，请求确认应诉方解除《委托经营管理合同补充协议》的行为无效，并支付垫付费用、商铺租金超额收益奖励金、广告使用费、律师费、保全费、保全担保费共计28,680.82万元。</w:t>
            </w:r>
          </w:p>
        </w:tc>
        <w:tc>
          <w:tcPr>
            <w:tcW w:w="992" w:type="dxa"/>
            <w:vAlign w:val="center"/>
          </w:tcPr>
          <w:p w14:paraId="7DA867D0">
            <w:pPr>
              <w:widowControl w:val="0"/>
              <w:ind w:left="-53" w:leftChars="-25" w:right="-53" w:rightChars="-25"/>
              <w:jc w:val="right"/>
              <w:rPr>
                <w:spacing w:val="-10"/>
              </w:rPr>
            </w:pPr>
            <w:r>
              <w:rPr>
                <w:spacing w:val="-10"/>
              </w:rPr>
              <w:t>4,560.00</w:t>
            </w:r>
          </w:p>
        </w:tc>
        <w:tc>
          <w:tcPr>
            <w:tcW w:w="850" w:type="dxa"/>
            <w:vAlign w:val="center"/>
          </w:tcPr>
          <w:p w14:paraId="78D9D5C7">
            <w:pPr>
              <w:widowControl w:val="0"/>
              <w:ind w:left="-53" w:leftChars="-25" w:right="-53" w:rightChars="-25"/>
              <w:jc w:val="center"/>
              <w:rPr>
                <w:spacing w:val="-10"/>
              </w:rPr>
            </w:pPr>
            <w:r>
              <w:rPr>
                <w:spacing w:val="-10"/>
              </w:rPr>
              <w:t>否</w:t>
            </w:r>
          </w:p>
        </w:tc>
        <w:tc>
          <w:tcPr>
            <w:tcW w:w="1435" w:type="dxa"/>
            <w:vAlign w:val="center"/>
          </w:tcPr>
          <w:p w14:paraId="4C815F31">
            <w:pPr>
              <w:widowControl w:val="0"/>
              <w:ind w:left="-53" w:leftChars="-25" w:right="-53" w:rightChars="-25"/>
              <w:jc w:val="both"/>
              <w:rPr>
                <w:spacing w:val="-10"/>
              </w:rPr>
            </w:pPr>
            <w:r>
              <w:rPr>
                <w:spacing w:val="-10"/>
              </w:rPr>
              <w:t>2024年12月2日收到仲裁裁决书。起诉方申请执行中</w:t>
            </w:r>
            <w:r>
              <w:rPr>
                <w:rFonts w:hint="eastAsia"/>
                <w:spacing w:val="-10"/>
              </w:rPr>
              <w:t>。</w:t>
            </w:r>
          </w:p>
        </w:tc>
        <w:tc>
          <w:tcPr>
            <w:tcW w:w="1400" w:type="dxa"/>
            <w:vAlign w:val="center"/>
          </w:tcPr>
          <w:p w14:paraId="3138AAA0">
            <w:pPr>
              <w:widowControl w:val="0"/>
              <w:ind w:left="-53" w:leftChars="-25" w:right="-53" w:rightChars="-25"/>
              <w:jc w:val="both"/>
              <w:rPr>
                <w:spacing w:val="-10"/>
              </w:rPr>
            </w:pPr>
            <w:r>
              <w:rPr>
                <w:spacing w:val="-10"/>
              </w:rPr>
              <w:t>应诉方支付起诉方代垫费用及资金占用利息2,152.85万元；支付广告位使用费150.00万元及资金占用利息；支付律师费100.00万元、保全担保费3.30万元、保全费0.50万元；支付离职补偿金275.28万元；支付预期可得利益1,727.67万元。</w:t>
            </w:r>
          </w:p>
        </w:tc>
        <w:tc>
          <w:tcPr>
            <w:tcW w:w="993" w:type="dxa"/>
            <w:vAlign w:val="center"/>
          </w:tcPr>
          <w:p w14:paraId="36D06A6F">
            <w:pPr>
              <w:widowControl w:val="0"/>
              <w:ind w:left="-53" w:leftChars="-25" w:right="-53" w:rightChars="-25"/>
              <w:jc w:val="both"/>
              <w:rPr>
                <w:spacing w:val="-10"/>
              </w:rPr>
            </w:pPr>
            <w:r>
              <w:rPr>
                <w:spacing w:val="-10"/>
              </w:rPr>
              <w:t>应诉方待履行</w:t>
            </w:r>
          </w:p>
        </w:tc>
      </w:tr>
      <w:tr w14:paraId="46CB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4FDF777D">
            <w:pPr>
              <w:widowControl w:val="0"/>
              <w:ind w:left="-53" w:leftChars="-25" w:right="-53" w:rightChars="-25"/>
              <w:jc w:val="both"/>
              <w:rPr>
                <w:spacing w:val="-10"/>
              </w:rPr>
            </w:pPr>
            <w:r>
              <w:rPr>
                <w:spacing w:val="-10"/>
              </w:rPr>
              <w:t>重庆润凯商业管理有限公司</w:t>
            </w:r>
          </w:p>
        </w:tc>
        <w:tc>
          <w:tcPr>
            <w:tcW w:w="851" w:type="dxa"/>
            <w:vAlign w:val="center"/>
          </w:tcPr>
          <w:p w14:paraId="11D3DE6A">
            <w:pPr>
              <w:widowControl w:val="0"/>
              <w:ind w:left="-53" w:leftChars="-25" w:right="-53" w:rightChars="-25"/>
              <w:jc w:val="both"/>
              <w:rPr>
                <w:spacing w:val="-10"/>
              </w:rPr>
            </w:pPr>
            <w:r>
              <w:rPr>
                <w:spacing w:val="-10"/>
              </w:rPr>
              <w:t>重庆润田房地产开发有限公司</w:t>
            </w:r>
          </w:p>
        </w:tc>
        <w:tc>
          <w:tcPr>
            <w:tcW w:w="993" w:type="dxa"/>
            <w:vAlign w:val="center"/>
          </w:tcPr>
          <w:p w14:paraId="4323A9C4">
            <w:pPr>
              <w:widowControl w:val="0"/>
              <w:ind w:left="-53" w:leftChars="-25" w:right="-53" w:rightChars="-25"/>
              <w:jc w:val="center"/>
              <w:rPr>
                <w:spacing w:val="-10"/>
              </w:rPr>
            </w:pPr>
            <w:r>
              <w:rPr>
                <w:spacing w:val="-10"/>
              </w:rPr>
              <w:t>无</w:t>
            </w:r>
          </w:p>
        </w:tc>
        <w:tc>
          <w:tcPr>
            <w:tcW w:w="567" w:type="dxa"/>
            <w:vAlign w:val="center"/>
          </w:tcPr>
          <w:p w14:paraId="553DE8D3">
            <w:pPr>
              <w:widowControl w:val="0"/>
              <w:ind w:left="-53" w:leftChars="-25" w:right="-53" w:rightChars="-25"/>
              <w:jc w:val="center"/>
              <w:rPr>
                <w:spacing w:val="-10"/>
              </w:rPr>
            </w:pPr>
            <w:r>
              <w:rPr>
                <w:spacing w:val="-10"/>
              </w:rPr>
              <w:t>诉讼</w:t>
            </w:r>
          </w:p>
        </w:tc>
        <w:tc>
          <w:tcPr>
            <w:tcW w:w="1701" w:type="dxa"/>
            <w:vAlign w:val="center"/>
          </w:tcPr>
          <w:p w14:paraId="628E5D18">
            <w:pPr>
              <w:widowControl w:val="0"/>
              <w:ind w:left="-53" w:leftChars="-25" w:right="-53" w:rightChars="-25"/>
              <w:jc w:val="both"/>
              <w:rPr>
                <w:spacing w:val="-10"/>
              </w:rPr>
            </w:pPr>
            <w:r>
              <w:rPr>
                <w:spacing w:val="-10"/>
              </w:rPr>
              <w:t>起诉方以借款合同纠纷为由向重庆市江北区人民法院提起诉讼，请求应诉方偿还借款本金、利息、违约金合计1,725.57万元</w:t>
            </w:r>
          </w:p>
        </w:tc>
        <w:tc>
          <w:tcPr>
            <w:tcW w:w="992" w:type="dxa"/>
            <w:vAlign w:val="center"/>
          </w:tcPr>
          <w:p w14:paraId="73CD83FC">
            <w:pPr>
              <w:widowControl w:val="0"/>
              <w:ind w:left="-53" w:leftChars="-25" w:right="-53" w:rightChars="-25"/>
              <w:jc w:val="right"/>
              <w:rPr>
                <w:spacing w:val="-10"/>
              </w:rPr>
            </w:pPr>
            <w:r>
              <w:rPr>
                <w:spacing w:val="-10"/>
              </w:rPr>
              <w:t>1,725.57</w:t>
            </w:r>
          </w:p>
        </w:tc>
        <w:tc>
          <w:tcPr>
            <w:tcW w:w="850" w:type="dxa"/>
            <w:vAlign w:val="center"/>
          </w:tcPr>
          <w:p w14:paraId="6172EC1D">
            <w:pPr>
              <w:widowControl w:val="0"/>
              <w:ind w:left="-53" w:leftChars="-25" w:right="-53" w:rightChars="-25"/>
              <w:jc w:val="center"/>
              <w:rPr>
                <w:spacing w:val="-10"/>
              </w:rPr>
            </w:pPr>
            <w:r>
              <w:rPr>
                <w:spacing w:val="-10"/>
              </w:rPr>
              <w:t>否</w:t>
            </w:r>
          </w:p>
        </w:tc>
        <w:tc>
          <w:tcPr>
            <w:tcW w:w="1435" w:type="dxa"/>
            <w:vAlign w:val="center"/>
          </w:tcPr>
          <w:p w14:paraId="173DE6D9">
            <w:pPr>
              <w:widowControl w:val="0"/>
              <w:ind w:left="-53" w:leftChars="-25" w:right="-53" w:rightChars="-25"/>
              <w:jc w:val="both"/>
              <w:rPr>
                <w:spacing w:val="-10"/>
              </w:rPr>
            </w:pPr>
            <w:r>
              <w:rPr>
                <w:spacing w:val="-10"/>
              </w:rPr>
              <w:t>一审已判决</w:t>
            </w:r>
            <w:r>
              <w:rPr>
                <w:rFonts w:hint="eastAsia"/>
                <w:spacing w:val="-10"/>
              </w:rPr>
              <w:t>，</w:t>
            </w:r>
            <w:r>
              <w:rPr>
                <w:spacing w:val="-10"/>
              </w:rPr>
              <w:t>2025</w:t>
            </w:r>
            <w:r>
              <w:rPr>
                <w:rFonts w:hint="eastAsia"/>
                <w:spacing w:val="-10"/>
              </w:rPr>
              <w:t>年</w:t>
            </w:r>
            <w:r>
              <w:rPr>
                <w:spacing w:val="-10"/>
              </w:rPr>
              <w:t>6</w:t>
            </w:r>
            <w:r>
              <w:rPr>
                <w:rFonts w:hint="eastAsia"/>
                <w:spacing w:val="-10"/>
              </w:rPr>
              <w:t>月</w:t>
            </w:r>
            <w:r>
              <w:rPr>
                <w:spacing w:val="-10"/>
              </w:rPr>
              <w:t>27</w:t>
            </w:r>
            <w:r>
              <w:rPr>
                <w:rFonts w:hint="eastAsia"/>
                <w:spacing w:val="-10"/>
              </w:rPr>
              <w:t>日</w:t>
            </w:r>
            <w:r>
              <w:rPr>
                <w:spacing w:val="-10"/>
              </w:rPr>
              <w:t>执行和解</w:t>
            </w:r>
            <w:r>
              <w:rPr>
                <w:rFonts w:hint="eastAsia"/>
                <w:spacing w:val="-10"/>
              </w:rPr>
              <w:t>。</w:t>
            </w:r>
          </w:p>
        </w:tc>
        <w:tc>
          <w:tcPr>
            <w:tcW w:w="1400" w:type="dxa"/>
            <w:vAlign w:val="center"/>
          </w:tcPr>
          <w:p w14:paraId="0806331F">
            <w:pPr>
              <w:widowControl w:val="0"/>
              <w:ind w:left="-53" w:leftChars="-25" w:right="-53" w:rightChars="-25"/>
              <w:jc w:val="both"/>
              <w:rPr>
                <w:spacing w:val="-10"/>
              </w:rPr>
            </w:pPr>
            <w:r>
              <w:rPr>
                <w:spacing w:val="-10"/>
              </w:rPr>
              <w:t>应诉方支付起诉方本判决生效之日起10日内偿还起诉方借款本金1246.80万元及借期内利息302.30万元及资金利息。</w:t>
            </w:r>
          </w:p>
        </w:tc>
        <w:tc>
          <w:tcPr>
            <w:tcW w:w="993" w:type="dxa"/>
            <w:vAlign w:val="center"/>
          </w:tcPr>
          <w:p w14:paraId="3AF58F0F">
            <w:pPr>
              <w:widowControl w:val="0"/>
              <w:ind w:left="-53" w:leftChars="-25" w:right="-53" w:rightChars="-25"/>
              <w:jc w:val="both"/>
              <w:rPr>
                <w:spacing w:val="-10"/>
              </w:rPr>
            </w:pPr>
            <w:r>
              <w:rPr>
                <w:spacing w:val="-10"/>
              </w:rPr>
              <w:t>起诉方已向法院申请执行，法院已受理，执行和解中</w:t>
            </w:r>
          </w:p>
        </w:tc>
      </w:tr>
      <w:tr w14:paraId="1252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323C85E6">
            <w:pPr>
              <w:widowControl w:val="0"/>
              <w:ind w:left="-53" w:leftChars="-25" w:right="-53" w:rightChars="-25"/>
              <w:jc w:val="both"/>
              <w:rPr>
                <w:spacing w:val="-10"/>
              </w:rPr>
            </w:pPr>
            <w:r>
              <w:rPr>
                <w:spacing w:val="-10"/>
              </w:rPr>
              <w:t>重庆润田房地产开发有限公司</w:t>
            </w:r>
          </w:p>
        </w:tc>
        <w:tc>
          <w:tcPr>
            <w:tcW w:w="851" w:type="dxa"/>
            <w:vAlign w:val="center"/>
          </w:tcPr>
          <w:p w14:paraId="634275C9">
            <w:pPr>
              <w:widowControl w:val="0"/>
              <w:ind w:left="-53" w:leftChars="-25" w:right="-53" w:rightChars="-25"/>
              <w:jc w:val="both"/>
              <w:rPr>
                <w:spacing w:val="-10"/>
              </w:rPr>
            </w:pPr>
            <w:r>
              <w:rPr>
                <w:spacing w:val="-10"/>
              </w:rPr>
              <w:t>重庆红星太平洋影院管理有限公司</w:t>
            </w:r>
          </w:p>
        </w:tc>
        <w:tc>
          <w:tcPr>
            <w:tcW w:w="993" w:type="dxa"/>
            <w:vAlign w:val="center"/>
          </w:tcPr>
          <w:p w14:paraId="5948341D">
            <w:pPr>
              <w:widowControl w:val="0"/>
              <w:ind w:left="-53" w:leftChars="-25" w:right="-53" w:rightChars="-25"/>
              <w:jc w:val="left"/>
              <w:rPr>
                <w:spacing w:val="-10"/>
              </w:rPr>
            </w:pPr>
            <w:r>
              <w:rPr>
                <w:spacing w:val="-10"/>
              </w:rPr>
              <w:t>上海红星太平洋影业投资有限公司、重庆力帆红星商业管理有限公司、上海爱琴海商业集团股份有限公司</w:t>
            </w:r>
          </w:p>
        </w:tc>
        <w:tc>
          <w:tcPr>
            <w:tcW w:w="567" w:type="dxa"/>
            <w:vAlign w:val="center"/>
          </w:tcPr>
          <w:p w14:paraId="5E06A660">
            <w:pPr>
              <w:widowControl w:val="0"/>
              <w:ind w:left="-53" w:leftChars="-25" w:right="-53" w:rightChars="-25"/>
              <w:jc w:val="center"/>
              <w:rPr>
                <w:spacing w:val="-10"/>
              </w:rPr>
            </w:pPr>
            <w:r>
              <w:rPr>
                <w:spacing w:val="-10"/>
              </w:rPr>
              <w:t>诉讼</w:t>
            </w:r>
          </w:p>
        </w:tc>
        <w:tc>
          <w:tcPr>
            <w:tcW w:w="1701" w:type="dxa"/>
            <w:vAlign w:val="center"/>
          </w:tcPr>
          <w:p w14:paraId="5FA5CE11">
            <w:pPr>
              <w:widowControl w:val="0"/>
              <w:ind w:left="-53" w:leftChars="-25" w:right="-53" w:rightChars="-25"/>
              <w:jc w:val="both"/>
              <w:rPr>
                <w:spacing w:val="-10"/>
              </w:rPr>
            </w:pPr>
            <w:r>
              <w:rPr>
                <w:spacing w:val="-10"/>
              </w:rPr>
              <w:t>起诉方以租赁合同纠纷为由，向渝北区法院提请诉讼，请求判令应诉方共同承担租金、违约金、诉讼费等请求</w:t>
            </w:r>
          </w:p>
        </w:tc>
        <w:tc>
          <w:tcPr>
            <w:tcW w:w="992" w:type="dxa"/>
            <w:vAlign w:val="center"/>
          </w:tcPr>
          <w:p w14:paraId="366362A8">
            <w:pPr>
              <w:widowControl w:val="0"/>
              <w:ind w:left="-53" w:leftChars="-25" w:right="-53" w:rightChars="-25"/>
              <w:jc w:val="right"/>
              <w:rPr>
                <w:spacing w:val="-10"/>
              </w:rPr>
            </w:pPr>
            <w:r>
              <w:rPr>
                <w:spacing w:val="-10"/>
              </w:rPr>
              <w:t>1,670.07</w:t>
            </w:r>
          </w:p>
        </w:tc>
        <w:tc>
          <w:tcPr>
            <w:tcW w:w="850" w:type="dxa"/>
            <w:vAlign w:val="center"/>
          </w:tcPr>
          <w:p w14:paraId="27E67BD9">
            <w:pPr>
              <w:widowControl w:val="0"/>
              <w:ind w:left="-53" w:leftChars="-25" w:right="-53" w:rightChars="-25"/>
              <w:jc w:val="center"/>
              <w:rPr>
                <w:spacing w:val="-10"/>
              </w:rPr>
            </w:pPr>
            <w:r>
              <w:rPr>
                <w:spacing w:val="-10"/>
              </w:rPr>
              <w:t>否</w:t>
            </w:r>
          </w:p>
        </w:tc>
        <w:tc>
          <w:tcPr>
            <w:tcW w:w="1435" w:type="dxa"/>
            <w:vAlign w:val="center"/>
          </w:tcPr>
          <w:p w14:paraId="35E455AA">
            <w:pPr>
              <w:widowControl w:val="0"/>
              <w:ind w:left="-53" w:leftChars="-25" w:right="-53" w:rightChars="-25"/>
              <w:jc w:val="both"/>
              <w:rPr>
                <w:spacing w:val="-10"/>
              </w:rPr>
            </w:pPr>
            <w:r>
              <w:rPr>
                <w:spacing w:val="-10"/>
              </w:rPr>
              <w:t>判决已生效，待申请执行</w:t>
            </w:r>
          </w:p>
        </w:tc>
        <w:tc>
          <w:tcPr>
            <w:tcW w:w="1400" w:type="dxa"/>
            <w:vAlign w:val="center"/>
          </w:tcPr>
          <w:p w14:paraId="3B2E36AB">
            <w:pPr>
              <w:widowControl w:val="0"/>
              <w:ind w:left="-53" w:leftChars="-25" w:right="-53" w:rightChars="-25"/>
              <w:jc w:val="both"/>
              <w:rPr>
                <w:spacing w:val="-10"/>
              </w:rPr>
            </w:pPr>
            <w:r>
              <w:rPr>
                <w:spacing w:val="-10"/>
              </w:rPr>
              <w:t>重庆红星太平洋影院管理有限公司、上海红星太平洋影业投资有限公司、连带承担租金1,670.07万元及利息。</w:t>
            </w:r>
          </w:p>
        </w:tc>
        <w:tc>
          <w:tcPr>
            <w:tcW w:w="993" w:type="dxa"/>
            <w:vAlign w:val="center"/>
          </w:tcPr>
          <w:p w14:paraId="4EE19358">
            <w:pPr>
              <w:widowControl w:val="0"/>
              <w:ind w:left="-53" w:leftChars="-25" w:right="-53" w:rightChars="-25"/>
              <w:jc w:val="both"/>
              <w:rPr>
                <w:spacing w:val="-10"/>
              </w:rPr>
            </w:pPr>
            <w:r>
              <w:rPr>
                <w:spacing w:val="-10"/>
              </w:rPr>
              <w:t>/</w:t>
            </w:r>
          </w:p>
        </w:tc>
      </w:tr>
      <w:tr w14:paraId="69E1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14:paraId="340DC46F">
            <w:pPr>
              <w:widowControl w:val="0"/>
              <w:ind w:left="-53" w:leftChars="-25" w:right="-53" w:rightChars="-25"/>
              <w:jc w:val="both"/>
              <w:rPr>
                <w:spacing w:val="-10"/>
              </w:rPr>
            </w:pPr>
            <w:r>
              <w:rPr>
                <w:spacing w:val="-10"/>
              </w:rPr>
              <w:t>重庆润田房地产开发有限公司</w:t>
            </w:r>
          </w:p>
        </w:tc>
        <w:tc>
          <w:tcPr>
            <w:tcW w:w="851" w:type="dxa"/>
            <w:vAlign w:val="center"/>
          </w:tcPr>
          <w:p w14:paraId="70281EFD">
            <w:pPr>
              <w:widowControl w:val="0"/>
              <w:ind w:left="-53" w:leftChars="-25" w:right="-53" w:rightChars="-25"/>
              <w:jc w:val="both"/>
              <w:rPr>
                <w:spacing w:val="-10"/>
              </w:rPr>
            </w:pPr>
            <w:r>
              <w:rPr>
                <w:spacing w:val="-10"/>
              </w:rPr>
              <w:t>重庆力帆红星商业管理有限公司</w:t>
            </w:r>
          </w:p>
        </w:tc>
        <w:tc>
          <w:tcPr>
            <w:tcW w:w="993" w:type="dxa"/>
            <w:vAlign w:val="center"/>
          </w:tcPr>
          <w:p w14:paraId="6AB51D8B">
            <w:pPr>
              <w:widowControl w:val="0"/>
              <w:ind w:left="-53" w:leftChars="-25" w:right="-53" w:rightChars="-25"/>
              <w:jc w:val="left"/>
              <w:rPr>
                <w:spacing w:val="-10"/>
              </w:rPr>
            </w:pPr>
            <w:r>
              <w:rPr>
                <w:spacing w:val="-10"/>
              </w:rPr>
              <w:t>上海爱琴海商业集团股份有限公司</w:t>
            </w:r>
          </w:p>
        </w:tc>
        <w:tc>
          <w:tcPr>
            <w:tcW w:w="567" w:type="dxa"/>
            <w:vAlign w:val="center"/>
          </w:tcPr>
          <w:p w14:paraId="6B840E10">
            <w:pPr>
              <w:widowControl w:val="0"/>
              <w:ind w:left="-53" w:leftChars="-25" w:right="-53" w:rightChars="-25"/>
              <w:jc w:val="center"/>
              <w:rPr>
                <w:spacing w:val="-10"/>
              </w:rPr>
            </w:pPr>
            <w:r>
              <w:rPr>
                <w:spacing w:val="-10"/>
              </w:rPr>
              <w:t>仲裁</w:t>
            </w:r>
          </w:p>
        </w:tc>
        <w:tc>
          <w:tcPr>
            <w:tcW w:w="1701" w:type="dxa"/>
            <w:vAlign w:val="center"/>
          </w:tcPr>
          <w:p w14:paraId="71605EF2">
            <w:pPr>
              <w:widowControl w:val="0"/>
              <w:ind w:left="-53" w:leftChars="-25" w:right="-53" w:rightChars="-25"/>
              <w:jc w:val="both"/>
              <w:rPr>
                <w:spacing w:val="-10"/>
              </w:rPr>
            </w:pPr>
            <w:r>
              <w:rPr>
                <w:spacing w:val="-10"/>
              </w:rPr>
              <w:t>起诉方以履行委托管理合同有过错为由，向重庆仲裁委提起仲裁，请求判令应诉方承担赔偿责任及律师费仲裁费等请求</w:t>
            </w:r>
          </w:p>
        </w:tc>
        <w:tc>
          <w:tcPr>
            <w:tcW w:w="992" w:type="dxa"/>
            <w:vAlign w:val="center"/>
          </w:tcPr>
          <w:p w14:paraId="4A0AEB0A">
            <w:pPr>
              <w:widowControl w:val="0"/>
              <w:ind w:left="-53" w:leftChars="-25" w:right="-53" w:rightChars="-25"/>
              <w:jc w:val="right"/>
              <w:rPr>
                <w:spacing w:val="-10"/>
              </w:rPr>
            </w:pPr>
            <w:r>
              <w:rPr>
                <w:spacing w:val="-10"/>
              </w:rPr>
              <w:t>2,337.85</w:t>
            </w:r>
          </w:p>
        </w:tc>
        <w:tc>
          <w:tcPr>
            <w:tcW w:w="850" w:type="dxa"/>
            <w:vAlign w:val="center"/>
          </w:tcPr>
          <w:p w14:paraId="5ECB18DF">
            <w:pPr>
              <w:widowControl w:val="0"/>
              <w:ind w:left="-53" w:leftChars="-25" w:right="-53" w:rightChars="-25"/>
              <w:jc w:val="center"/>
              <w:rPr>
                <w:spacing w:val="-10"/>
              </w:rPr>
            </w:pPr>
            <w:r>
              <w:rPr>
                <w:spacing w:val="-10"/>
              </w:rPr>
              <w:t>否</w:t>
            </w:r>
          </w:p>
        </w:tc>
        <w:tc>
          <w:tcPr>
            <w:tcW w:w="1435" w:type="dxa"/>
            <w:vAlign w:val="center"/>
          </w:tcPr>
          <w:p w14:paraId="601D3F76">
            <w:pPr>
              <w:widowControl w:val="0"/>
              <w:ind w:left="-53" w:leftChars="-25" w:right="-53" w:rightChars="-25"/>
              <w:jc w:val="both"/>
              <w:rPr>
                <w:spacing w:val="-10"/>
              </w:rPr>
            </w:pPr>
            <w:r>
              <w:rPr>
                <w:spacing w:val="-10"/>
              </w:rPr>
              <w:t>已立案待开庭</w:t>
            </w:r>
          </w:p>
        </w:tc>
        <w:tc>
          <w:tcPr>
            <w:tcW w:w="1400" w:type="dxa"/>
            <w:vAlign w:val="center"/>
          </w:tcPr>
          <w:p w14:paraId="2FD7D476">
            <w:pPr>
              <w:widowControl w:val="0"/>
              <w:ind w:left="-53" w:leftChars="-25" w:right="-53" w:rightChars="-25"/>
              <w:jc w:val="center"/>
              <w:rPr>
                <w:spacing w:val="-10"/>
              </w:rPr>
            </w:pPr>
            <w:r>
              <w:rPr>
                <w:spacing w:val="-10"/>
              </w:rPr>
              <w:t>/</w:t>
            </w:r>
          </w:p>
        </w:tc>
        <w:tc>
          <w:tcPr>
            <w:tcW w:w="993" w:type="dxa"/>
            <w:vAlign w:val="center"/>
          </w:tcPr>
          <w:p w14:paraId="11F8B57D">
            <w:pPr>
              <w:widowControl w:val="0"/>
              <w:ind w:left="-53" w:leftChars="-25" w:right="-53" w:rightChars="-25"/>
              <w:jc w:val="center"/>
              <w:rPr>
                <w:spacing w:val="-10"/>
              </w:rPr>
            </w:pPr>
          </w:p>
        </w:tc>
      </w:tr>
    </w:tbl>
    <w:p w14:paraId="0A60AB66">
      <w:pPr>
        <w:pStyle w:val="4"/>
        <w:numPr>
          <w:ilvl w:val="0"/>
          <w:numId w:val="18"/>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是否适用：重大诉讼、仲裁事项其他说明[双击切换]"/>
        <w:tag w:val="_GBC_d8d8aef394564199936be6639c0e21a5"/>
        <w:id w:val="1120651119"/>
        <w:placeholder>
          <w:docPart w:val="0A8A201A86EF4BD69819C615F4611C02"/>
        </w:placeholder>
      </w:sdtPr>
      <w:sdtEndPr>
        <w:rPr>
          <w:rFonts w:hint="eastAsia"/>
          <w:color w:val="000000" w:themeColor="text1"/>
          <w14:textFill>
            <w14:solidFill>
              <w14:schemeClr w14:val="tx1"/>
            </w14:solidFill>
          </w14:textFill>
        </w:rPr>
      </w:sdtEndPr>
      <w:sdtContent>
        <w:p w14:paraId="34D912A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重大诉讼、仲裁事项的说明"/>
        <w:tag w:val="_GBC_0377356c6b1e420bb624899b7886bbd1"/>
        <w:id w:val="1374732231"/>
        <w:placeholder>
          <w:docPart w:val="0A8A201A86EF4BD69819C615F4611C02"/>
        </w:placeholder>
      </w:sdtPr>
      <w:sdtEndPr>
        <w:rPr>
          <w:rFonts w:hint="eastAsia"/>
          <w:color w:val="000000" w:themeColor="text1"/>
          <w14:textFill>
            <w14:solidFill>
              <w14:schemeClr w14:val="tx1"/>
            </w14:solidFill>
          </w14:textFill>
        </w:rPr>
      </w:sdtEndPr>
      <w:sdtContent>
        <w:p w14:paraId="4CC415A2">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注：2025年1月14日，公司召开第六届董事会第十三次会议审议通过了《关于签署</w:t>
          </w:r>
          <w:r>
            <w:rPr>
              <w:color w:val="000000" w:themeColor="text1"/>
              <w14:textFill>
                <w14:solidFill>
                  <w14:schemeClr w14:val="tx1"/>
                </w14:solidFill>
              </w14:textFill>
            </w:rPr>
            <w:t>&lt;执行和解协议&gt;的议案》</w:t>
          </w:r>
          <w:r>
            <w:rPr>
              <w:rFonts w:hint="eastAsia"/>
              <w:color w:val="000000" w:themeColor="text1"/>
              <w14:textFill>
                <w14:solidFill>
                  <w14:schemeClr w14:val="tx1"/>
                </w14:solidFill>
              </w14:textFill>
            </w:rPr>
            <w:t>，同意睿蓝制造、袁涛、海博瑞德（北京）汽车技术有限公司（以下简称“北京海博瑞德”）共同签署《执行和解协议》，袁涛一次性支付1</w:t>
          </w:r>
          <w:r>
            <w:rPr>
              <w:color w:val="000000" w:themeColor="text1"/>
              <w14:textFill>
                <w14:solidFill>
                  <w14:schemeClr w14:val="tx1"/>
                </w14:solidFill>
              </w14:textFill>
            </w:rPr>
            <w:t>600</w:t>
          </w:r>
          <w:r>
            <w:rPr>
              <w:rFonts w:hint="eastAsia"/>
              <w:color w:val="000000" w:themeColor="text1"/>
              <w14:textFill>
                <w14:solidFill>
                  <w14:schemeClr w14:val="tx1"/>
                </w14:solidFill>
              </w14:textFill>
            </w:rPr>
            <w:t>万元股权转让款，睿蓝制造取消对北京海博瑞德、袁涛持有的相关专利等知识产权、股权的查封、冻结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睿蓝制造与北京海博瑞德、袁涛就上述案件所产生的法律纠纷就此全部结束，全部债权债务结清，睿蓝制造不再对北京海博瑞德、袁涛有任何其它的经济及法律上的诉求。详见公司</w:t>
          </w:r>
          <w:r>
            <w:rPr>
              <w:color w:val="000000" w:themeColor="text1"/>
              <w14:textFill>
                <w14:solidFill>
                  <w14:schemeClr w14:val="tx1"/>
                </w14:solidFill>
              </w14:textFill>
            </w:rPr>
            <w:t>2025年1月15日在上海证券交易所网站（www.sse.com.cn）及指定信息披露媒体上披露的《力帆科技(集团)股份有限公司</w:t>
          </w:r>
          <w:r>
            <w:rPr>
              <w:rFonts w:hint="eastAsia"/>
              <w:color w:val="000000" w:themeColor="text1"/>
              <w14:textFill>
                <w14:solidFill>
                  <w14:schemeClr w14:val="tx1"/>
                </w14:solidFill>
              </w14:textFill>
            </w:rPr>
            <w:t>关于签署&lt;执行和解协议&gt;的公告</w:t>
          </w:r>
          <w:r>
            <w:rPr>
              <w:color w:val="000000" w:themeColor="text1"/>
              <w14:textFill>
                <w14:solidFill>
                  <w14:schemeClr w14:val="tx1"/>
                </w14:solidFill>
              </w14:textFill>
            </w:rPr>
            <w:t>》（公告编号：</w:t>
          </w:r>
          <w:r>
            <w:rPr>
              <w:rFonts w:hint="eastAsia"/>
              <w:color w:val="000000" w:themeColor="text1"/>
              <w14:textFill>
                <w14:solidFill>
                  <w14:schemeClr w14:val="tx1"/>
                </w14:solidFill>
              </w14:textFill>
            </w:rPr>
            <w:t>2025-004</w:t>
          </w:r>
          <w:r>
            <w:rPr>
              <w:color w:val="000000" w:themeColor="text1"/>
              <w14:textFill>
                <w14:solidFill>
                  <w14:schemeClr w14:val="tx1"/>
                </w14:solidFill>
              </w14:textFill>
            </w:rPr>
            <w:t>）。</w:t>
          </w:r>
        </w:p>
        <w:p w14:paraId="5D6A9A96">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2025年4月24日，公司在上海</w:t>
          </w:r>
          <w:r>
            <w:rPr>
              <w:color w:val="000000" w:themeColor="text1"/>
              <w14:textFill>
                <w14:solidFill>
                  <w14:schemeClr w14:val="tx1"/>
                </w14:solidFill>
              </w14:textFill>
            </w:rPr>
            <w:t>证券交易所网站（www.sse.com.cn）及指定信息披露媒体上披露</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关于子公司签署《执行和解协议》的进展公告</w:t>
          </w:r>
          <w:r>
            <w:rPr>
              <w:color w:val="000000" w:themeColor="text1"/>
              <w14:textFill>
                <w14:solidFill>
                  <w14:schemeClr w14:val="tx1"/>
                </w14:solidFill>
              </w14:textFill>
            </w:rPr>
            <w:t>》（公告编号：</w:t>
          </w:r>
          <w:r>
            <w:rPr>
              <w:rFonts w:hint="eastAsia"/>
              <w:color w:val="000000" w:themeColor="text1"/>
              <w14:textFill>
                <w14:solidFill>
                  <w14:schemeClr w14:val="tx1"/>
                </w14:solidFill>
              </w14:textFill>
            </w:rPr>
            <w:t>2025-033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，睿蓝制造已收到袁涛支付的全部股权回购款1,600万元人民币，不再持有海博瑞德（重庆）汽车动力控制系统有限公司股权，上述《执行和解协议》履行完毕。</w:t>
          </w:r>
        </w:p>
      </w:sdtContent>
    </w:sdt>
    <w:p w14:paraId="49E79C7C">
      <w:pPr>
        <w:spacing w:line="360" w:lineRule="auto"/>
        <w:rPr>
          <w:color w:val="000000" w:themeColor="text1"/>
          <w14:textFill>
            <w14:solidFill>
              <w14:schemeClr w14:val="tx1"/>
            </w14:solidFill>
          </w14:textFill>
        </w:rPr>
      </w:pPr>
    </w:p>
    <w:p w14:paraId="49EFDC1C">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上市公司及其董事、高级管理人员、控股股东、实际控制人涉嫌违法违规、受到处罚及整改情况</w:t>
      </w:r>
    </w:p>
    <w:sdt>
      <w:sdtPr>
        <w:rPr>
          <w:rFonts w:hint="eastAsia"/>
          <w:color w:val="000000" w:themeColor="text1"/>
          <w14:textFill>
            <w14:solidFill>
              <w14:schemeClr w14:val="tx1"/>
            </w14:solidFill>
          </w14:textFill>
        </w:rPr>
        <w:alias w:val="是否适用：上市公司及其董事、监事、高级管理人员、持有5%以上股份的股东、实际控制人、收购人处罚及整改情况[双击切换]"/>
        <w:tag w:val="_GBC_05b097ae59254d13916df227f563a3ed"/>
        <w:id w:val="-1937964629"/>
        <w:placeholder>
          <w:docPart w:val="GBC22222222222222222222222222222"/>
        </w:placeholder>
      </w:sdtPr>
      <w:sdtEndPr>
        <w:rPr>
          <w:rFonts w:hint="eastAsia"/>
          <w:color w:val="000000" w:themeColor="text1"/>
          <w14:textFill>
            <w14:solidFill>
              <w14:schemeClr w14:val="tx1"/>
            </w14:solidFill>
          </w14:textFill>
        </w:rPr>
      </w:sdtEndPr>
      <w:sdtContent>
        <w:p w14:paraId="684BEC7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047724C">
      <w:pPr>
        <w:rPr>
          <w:color w:val="000000" w:themeColor="text1"/>
          <w14:textFill>
            <w14:solidFill>
              <w14:schemeClr w14:val="tx1"/>
            </w14:solidFill>
          </w14:textFill>
        </w:rPr>
      </w:pPr>
    </w:p>
    <w:p w14:paraId="536E92B4">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报告期内公司及其控股股东、实际控制人诚信状况的说明</w:t>
      </w:r>
    </w:p>
    <w:sdt>
      <w:sdtPr>
        <w:rPr>
          <w:rFonts w:hint="eastAsia"/>
          <w:color w:val="000000" w:themeColor="text1"/>
          <w14:textFill>
            <w14:solidFill>
              <w14:schemeClr w14:val="tx1"/>
            </w14:solidFill>
          </w14:textFill>
        </w:rPr>
        <w:alias w:val="是否适用：报告期内公司及其控股股东、实际控制人诚信状况的说明[双击切换]"/>
        <w:tag w:val="_GBC_650ef1e21808426d806ee2024dd14590"/>
        <w:id w:val="1179155657"/>
        <w:placeholder>
          <w:docPart w:val="GBC22222222222222222222222222222"/>
        </w:placeholder>
      </w:sdtPr>
      <w:sdtEndPr>
        <w:rPr>
          <w:rFonts w:hint="eastAsia"/>
          <w:color w:val="000000" w:themeColor="text1"/>
          <w14:textFill>
            <w14:solidFill>
              <w14:schemeClr w14:val="tx1"/>
            </w14:solidFill>
          </w14:textFill>
        </w:rPr>
      </w:sdtEndPr>
      <w:sdtContent>
        <w:p w14:paraId="585362C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报告期内公司及其控股股东、实际控制人诚信状况的说明"/>
        <w:tag w:val="_GBC_29d7055c47724780994aca0175d8a9c8"/>
        <w:id w:val="1930314688"/>
        <w:placeholder>
          <w:docPart w:val="GBC22222222222222222222222222222"/>
        </w:placeholder>
      </w:sdtPr>
      <w:sdtEndPr>
        <w:rPr>
          <w:color w:val="000000" w:themeColor="text1"/>
          <w14:textFill>
            <w14:solidFill>
              <w14:schemeClr w14:val="tx1"/>
            </w14:solidFill>
          </w14:textFill>
        </w:rPr>
      </w:sdtEndPr>
      <w:sdtContent>
        <w:p w14:paraId="60B993BF">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报告期内公司及其控股股东、实际控制人诚信状况的说明"/>
              <w:tag w:val="_GBC_29d7055c47724780994aca0175d8a9c8"/>
              <w:id w:val="-1899121199"/>
              <w:lock w:val="sdtLocked"/>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报告期内，公司及控股股东、实际控制人不存在未履行法院生效法律文书确定的义务、所负数额较大的债务到期未清偿等情况。</w:t>
              </w:r>
            </w:sdtContent>
          </w:sdt>
        </w:p>
      </w:sdtContent>
    </w:sdt>
    <w:p w14:paraId="5CC7D79C">
      <w:pPr>
        <w:rPr>
          <w:color w:val="000000" w:themeColor="text1"/>
          <w14:textFill>
            <w14:solidFill>
              <w14:schemeClr w14:val="tx1"/>
            </w14:solidFill>
          </w14:textFill>
        </w:rPr>
      </w:pPr>
    </w:p>
    <w:p w14:paraId="4D4CD315">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重大关联交易</w:t>
      </w:r>
    </w:p>
    <w:p w14:paraId="51CCB852">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与日常经营相关的关联交易</w:t>
      </w:r>
    </w:p>
    <w:p w14:paraId="35D07FB6">
      <w:pPr>
        <w:pStyle w:val="5"/>
        <w:numPr>
          <w:ilvl w:val="2"/>
          <w:numId w:val="19"/>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已在临时公告披露且后续实施无进展或变化的事项</w:t>
      </w:r>
    </w:p>
    <w:sdt>
      <w:sdtPr>
        <w:rPr>
          <w:color w:val="000000" w:themeColor="text1"/>
          <w14:textFill>
            <w14:solidFill>
              <w14:schemeClr w14:val="tx1"/>
            </w14:solidFill>
          </w14:textFill>
        </w:rPr>
        <w:alias w:val="是否适用：已在临时公告披露且后续实施无进展或变化的事项_与日常经营相关的关联交易[双击切换]"/>
        <w:tag w:val="_GBC_9cce66e2c46445bea6fd259dd8b5277c"/>
        <w:id w:val="-2137777686"/>
        <w:placeholder>
          <w:docPart w:val="GBC22222222222222222222222222222"/>
        </w:placeholder>
      </w:sdtPr>
      <w:sdtEndPr>
        <w:rPr>
          <w:color w:val="000000" w:themeColor="text1"/>
          <w14:textFill>
            <w14:solidFill>
              <w14:schemeClr w14:val="tx1"/>
            </w14:solidFill>
          </w14:textFill>
        </w:rPr>
      </w:sdtEndPr>
      <w:sdtContent>
        <w:p w14:paraId="4CFF9BC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8A569E">
      <w:pPr>
        <w:rPr>
          <w:color w:val="000000" w:themeColor="text1"/>
          <w14:textFill>
            <w14:solidFill>
              <w14:schemeClr w14:val="tx1"/>
            </w14:solidFill>
          </w14:textFill>
        </w:rPr>
      </w:pPr>
    </w:p>
    <w:p w14:paraId="633C6820">
      <w:pPr>
        <w:pStyle w:val="5"/>
        <w:numPr>
          <w:ilvl w:val="2"/>
          <w:numId w:val="19"/>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已在临时公告披露，但有后续实施的进展或变化的事项</w:t>
      </w:r>
    </w:p>
    <w:sdt>
      <w:sdtPr>
        <w:rPr>
          <w:color w:val="000000" w:themeColor="text1"/>
          <w14:textFill>
            <w14:solidFill>
              <w14:schemeClr w14:val="tx1"/>
            </w14:solidFill>
          </w14:textFill>
        </w:rPr>
        <w:alias w:val="是否适用：已在临时公告披露，但有后续实施的进展或变化的事项_与日常经营相关的关联交易[双击切换]"/>
        <w:tag w:val="_GBC_3d236e76c44140259dd09a3aed77ca15"/>
        <w:id w:val="2055649540"/>
        <w:placeholder>
          <w:docPart w:val="GBC22222222222222222222222222222"/>
        </w:placeholder>
      </w:sdtPr>
      <w:sdtEndPr>
        <w:rPr>
          <w:color w:val="000000" w:themeColor="text1"/>
          <w14:textFill>
            <w14:solidFill>
              <w14:schemeClr w14:val="tx1"/>
            </w14:solidFill>
          </w14:textFill>
        </w:rPr>
      </w:sdtEndPr>
      <w:sdtContent>
        <w:p w14:paraId="4F4377D1">
          <w:pPr>
            <w:spacing w:line="360" w:lineRule="auto"/>
            <w:ind w:firstLine="420" w:firstLineChars="20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与日常经营相关的关联交易事项已在临时报告披露，后续实施的进展或变化"/>
        <w:tag w:val="_GBC_0a4da36928c04bc784d8c97bc6a4a9d9"/>
        <w:id w:val="-853346532"/>
        <w:placeholder>
          <w:docPart w:val="GBC22222222222222222222222222222"/>
        </w:placeholder>
      </w:sdtPr>
      <w:sdtEndPr>
        <w:rPr>
          <w:rFonts w:hint="eastAsia"/>
          <w:color w:val="000000" w:themeColor="text1"/>
          <w14:textFill>
            <w14:solidFill>
              <w14:schemeClr w14:val="tx1"/>
            </w14:solidFill>
          </w14:textFill>
        </w:rPr>
      </w:sdtEndPr>
      <w:sdtContent>
        <w:sdt>
          <w:sdtPr>
            <w:rPr>
              <w:color w:val="000000" w:themeColor="text1"/>
              <w14:textFill>
                <w14:solidFill>
                  <w14:schemeClr w14:val="tx1"/>
                </w14:solidFill>
              </w14:textFill>
            </w:rPr>
            <w:alias w:val="与日常经营相关的关联交易事项已在临时报告披露，后续实施的进展或变化"/>
            <w:tag w:val="_GBC_0a4da36928c04bc784d8c97bc6a4a9d9"/>
            <w:id w:val="948976391"/>
          </w:sdtPr>
          <w:sdtEndPr>
            <w:rPr>
              <w:color w:val="000000" w:themeColor="text1"/>
              <w14:textFill>
                <w14:solidFill>
                  <w14:schemeClr w14:val="tx1"/>
                </w14:solidFill>
              </w14:textFill>
            </w:rPr>
          </w:sdtEndPr>
          <w:sdtContent>
            <w:p w14:paraId="17F72644">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公司于202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年12月13日召开第六届董事会第十一次会议，于2024年12月31日召开2024年第四次临时股东大会，审议通过了《关于202</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年度日常关联交易执行情况及202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年度日常关联交易预计的议案》，根据公司生产经营需要预计了202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度日常关联交易额度。详见公司于2024年12月14日在上海证券交易所网站（www.sse.com.cn）及指定媒体上披露的《重庆千里科技股份有限公司关于2024年度日常关联交易执行情况及2025年度日常关联交易预计的公告》（公告编号：临2024-088）。</w:t>
              </w:r>
            </w:p>
            <w:p w14:paraId="2ECA12DE">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公司于202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月3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日召开第六届董事会第二十三次会议，于202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月1</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日召开202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年第四次临时股东大会审议通过了《关于调整202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年度日常关联交易预计额度的议案》。详见公司于20</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日在上海证券交易所网站（www.sse.com.cn）及指定信息披露媒体上披露的《重庆千里科技股份有限公司关于调整202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年度日常关联交易预计额度的公告》（公告编号：202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r>
                <w:t>054</w:t>
              </w:r>
              <w:r>
                <w:rPr>
                  <w:rFonts w:hint="eastAsia"/>
                  <w:color w:val="000000" w:themeColor="text1"/>
                  <w14:textFill>
                    <w14:solidFill>
                      <w14:schemeClr w14:val="tx1"/>
                    </w14:solidFill>
                  </w14:textFill>
                </w:rPr>
                <w:t>）。</w:t>
              </w:r>
            </w:p>
            <w:p w14:paraId="466311A5">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公司独立董事专门会议对上述议案均进行了事前审核，全体独立董事一致同意。截至202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年6月30日，公司实际发生的关联交易详见本报告第八节财务报告十四、“关联方及关联交易”。</w:t>
              </w:r>
            </w:p>
          </w:sdtContent>
        </w:sdt>
      </w:sdtContent>
    </w:sdt>
    <w:p w14:paraId="1D83143E">
      <w:pPr>
        <w:rPr>
          <w:color w:val="000000" w:themeColor="text1"/>
          <w14:textFill>
            <w14:solidFill>
              <w14:schemeClr w14:val="tx1"/>
            </w14:solidFill>
          </w14:textFill>
        </w:rPr>
      </w:pPr>
    </w:p>
    <w:p w14:paraId="1F22682B">
      <w:pPr>
        <w:pStyle w:val="5"/>
        <w:numPr>
          <w:ilvl w:val="2"/>
          <w:numId w:val="19"/>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临时公告未披露的事项</w:t>
      </w:r>
    </w:p>
    <w:sdt>
      <w:sdtPr>
        <w:rPr>
          <w:color w:val="000000" w:themeColor="text1"/>
          <w14:textFill>
            <w14:solidFill>
              <w14:schemeClr w14:val="tx1"/>
            </w14:solidFill>
          </w14:textFill>
        </w:rPr>
        <w:alias w:val="是否适用：与日常经营相关的关联交易_临时公告未披露的事项[双击切换]"/>
        <w:tag w:val="_GBC_91ad548daaa84603a8faa6c0ce358499"/>
        <w:id w:val="1397861749"/>
        <w:placeholder>
          <w:docPart w:val="GBC22222222222222222222222222222"/>
        </w:placeholder>
      </w:sdtPr>
      <w:sdtEndPr>
        <w:rPr>
          <w:color w:val="000000" w:themeColor="text1"/>
          <w14:textFill>
            <w14:solidFill>
              <w14:schemeClr w14:val="tx1"/>
            </w14:solidFill>
          </w14:textFill>
        </w:rPr>
      </w:sdtEndPr>
      <w:sdtContent>
        <w:p w14:paraId="4BC9CF5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1598D6E">
      <w:pPr>
        <w:rPr>
          <w:color w:val="000000" w:themeColor="text1"/>
          <w14:textFill>
            <w14:solidFill>
              <w14:schemeClr w14:val="tx1"/>
            </w14:solidFill>
          </w14:textFill>
        </w:rPr>
      </w:pPr>
    </w:p>
    <w:p w14:paraId="1DE7BA7D">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资产收购或股权收购、出售发生的关联交易</w:t>
      </w:r>
    </w:p>
    <w:p w14:paraId="56795769">
      <w:pPr>
        <w:pStyle w:val="5"/>
        <w:numPr>
          <w:ilvl w:val="0"/>
          <w:numId w:val="20"/>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已在临时公告披露且后续实施无进展或变化的事项</w:t>
      </w:r>
    </w:p>
    <w:sdt>
      <w:sdtPr>
        <w:rPr>
          <w:color w:val="000000" w:themeColor="text1"/>
          <w14:textFill>
            <w14:solidFill>
              <w14:schemeClr w14:val="tx1"/>
            </w14:solidFill>
          </w14:textFill>
        </w:rPr>
        <w:alias w:val="是否适用：已在临时公告披露且后续实施无进展或变化的事项_资产或股权收购、出售发生的关联交易[双击切换]"/>
        <w:tag w:val="_GBC_208b69178a984ade8f4f4dd7a3362ae3"/>
        <w:id w:val="-1308393754"/>
        <w:placeholder>
          <w:docPart w:val="GBC22222222222222222222222222222"/>
        </w:placeholder>
      </w:sdtPr>
      <w:sdtEndPr>
        <w:rPr>
          <w:color w:val="000000" w:themeColor="text1"/>
          <w14:textFill>
            <w14:solidFill>
              <w14:schemeClr w14:val="tx1"/>
            </w14:solidFill>
          </w14:textFill>
        </w:rPr>
      </w:sdtEndPr>
      <w:sdtContent>
        <w:p w14:paraId="27DF75F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01D651A">
      <w:pPr>
        <w:rPr>
          <w:color w:val="000000" w:themeColor="text1"/>
          <w14:textFill>
            <w14:solidFill>
              <w14:schemeClr w14:val="tx1"/>
            </w14:solidFill>
          </w14:textFill>
        </w:rPr>
      </w:pPr>
    </w:p>
    <w:p w14:paraId="590FB30D">
      <w:pPr>
        <w:pStyle w:val="5"/>
        <w:numPr>
          <w:ilvl w:val="0"/>
          <w:numId w:val="20"/>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已在临时公告披露，但有后续实施的进展或变化的事项</w:t>
      </w:r>
    </w:p>
    <w:sdt>
      <w:sdtPr>
        <w:rPr>
          <w:color w:val="000000" w:themeColor="text1"/>
          <w14:textFill>
            <w14:solidFill>
              <w14:schemeClr w14:val="tx1"/>
            </w14:solidFill>
          </w14:textFill>
        </w:rPr>
        <w:alias w:val="是否适用：已在临时公告披露，但有后续实施的进展或变化的事项_资产或股权收购、出售发生的关联交易[双击切换]"/>
        <w:tag w:val="_GBC_b72de17637e74020b42aa0636b393f25"/>
        <w:id w:val="-1530253254"/>
        <w:placeholder>
          <w:docPart w:val="GBC22222222222222222222222222222"/>
        </w:placeholder>
      </w:sdtPr>
      <w:sdtEndPr>
        <w:rPr>
          <w:color w:val="000000" w:themeColor="text1"/>
          <w14:textFill>
            <w14:solidFill>
              <w14:schemeClr w14:val="tx1"/>
            </w14:solidFill>
          </w14:textFill>
        </w:rPr>
      </w:sdtEndPr>
      <w:sdtContent>
        <w:p w14:paraId="1187F01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06882D4">
      <w:pPr>
        <w:rPr>
          <w:color w:val="000000" w:themeColor="text1"/>
          <w14:textFill>
            <w14:solidFill>
              <w14:schemeClr w14:val="tx1"/>
            </w14:solidFill>
          </w14:textFill>
        </w:rPr>
      </w:pPr>
    </w:p>
    <w:p w14:paraId="19B2827C">
      <w:pPr>
        <w:pStyle w:val="5"/>
        <w:numPr>
          <w:ilvl w:val="0"/>
          <w:numId w:val="20"/>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临时公告未披露的事项</w:t>
      </w:r>
    </w:p>
    <w:sdt>
      <w:sdtPr>
        <w:rPr>
          <w:color w:val="000000" w:themeColor="text1"/>
          <w14:textFill>
            <w14:solidFill>
              <w14:schemeClr w14:val="tx1"/>
            </w14:solidFill>
          </w14:textFill>
        </w:rPr>
        <w:alias w:val="是否适用：资产收购、出售发生的关联交易_临时公告未披露的事项[双击切换]"/>
        <w:tag w:val="_GBC_d3f1f3f5ce564209aee49197432643af"/>
        <w:id w:val="1741517783"/>
        <w:placeholder>
          <w:docPart w:val="GBC22222222222222222222222222222"/>
        </w:placeholder>
      </w:sdtPr>
      <w:sdtEndPr>
        <w:rPr>
          <w:color w:val="000000" w:themeColor="text1"/>
          <w14:textFill>
            <w14:solidFill>
              <w14:schemeClr w14:val="tx1"/>
            </w14:solidFill>
          </w14:textFill>
        </w:rPr>
      </w:sdtEndPr>
      <w:sdtContent>
        <w:p w14:paraId="2F67FA1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3CD9C6">
      <w:pPr>
        <w:rPr>
          <w:color w:val="000000" w:themeColor="text1"/>
          <w14:textFill>
            <w14:solidFill>
              <w14:schemeClr w14:val="tx1"/>
            </w14:solidFill>
          </w14:textFill>
        </w:rPr>
      </w:pPr>
    </w:p>
    <w:p w14:paraId="517E8F29">
      <w:pPr>
        <w:pStyle w:val="5"/>
        <w:numPr>
          <w:ilvl w:val="0"/>
          <w:numId w:val="20"/>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涉及业绩约定的，应当披露报告期内的业绩实现情况</w:t>
      </w:r>
    </w:p>
    <w:sdt>
      <w:sdtPr>
        <w:rPr>
          <w:color w:val="000000" w:themeColor="text1"/>
          <w14:textFill>
            <w14:solidFill>
              <w14:schemeClr w14:val="tx1"/>
            </w14:solidFill>
          </w14:textFill>
        </w:rPr>
        <w:alias w:val="是否适用：涉及业绩约定的，应当披露报告期内的业绩实现情况[双击切换]"/>
        <w:tag w:val="_GBC_0640a8fc3526461ca1eed7810b087c23"/>
        <w:id w:val="1685474412"/>
        <w:placeholder>
          <w:docPart w:val="GBC22222222222222222222222222222"/>
        </w:placeholder>
      </w:sdtPr>
      <w:sdtEndPr>
        <w:rPr>
          <w:color w:val="000000" w:themeColor="text1"/>
          <w14:textFill>
            <w14:solidFill>
              <w14:schemeClr w14:val="tx1"/>
            </w14:solidFill>
          </w14:textFill>
        </w:rPr>
      </w:sdtEndPr>
      <w:sdtContent>
        <w:p w14:paraId="45C9722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0E8BF5">
      <w:pPr>
        <w:rPr>
          <w:color w:val="000000" w:themeColor="text1"/>
          <w14:textFill>
            <w14:solidFill>
              <w14:schemeClr w14:val="tx1"/>
            </w14:solidFill>
          </w14:textFill>
        </w:rPr>
      </w:pPr>
    </w:p>
    <w:p w14:paraId="0C929C48">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共同对外投资的重大关联交易</w:t>
      </w:r>
    </w:p>
    <w:p w14:paraId="53B700EC">
      <w:pPr>
        <w:pStyle w:val="5"/>
        <w:numPr>
          <w:ilvl w:val="0"/>
          <w:numId w:val="21"/>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已在临时公告披露且后续实施无进展或变化的事项</w:t>
      </w:r>
    </w:p>
    <w:sdt>
      <w:sdtPr>
        <w:rPr>
          <w:color w:val="000000" w:themeColor="text1"/>
          <w14:textFill>
            <w14:solidFill>
              <w14:schemeClr w14:val="tx1"/>
            </w14:solidFill>
          </w14:textFill>
        </w:rPr>
        <w:alias w:val="是否适用：已在临时公告披露且后续实施无进展或变化的事项_共同对外投资的重大关联交易[双击切换]"/>
        <w:tag w:val="_GBC_dda9192a67f44f8698afb5d0b3e3c767"/>
        <w:id w:val="817240027"/>
        <w:placeholder>
          <w:docPart w:val="GBC22222222222222222222222222222"/>
        </w:placeholder>
      </w:sdtPr>
      <w:sdtEndPr>
        <w:rPr>
          <w:color w:val="000000" w:themeColor="text1"/>
          <w14:textFill>
            <w14:solidFill>
              <w14:schemeClr w14:val="tx1"/>
            </w14:solidFill>
          </w14:textFill>
        </w:rPr>
      </w:sdtEndPr>
      <w:sdtContent>
        <w:p w14:paraId="4EE869B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E1FD1E">
      <w:pPr>
        <w:rPr>
          <w:color w:val="000000" w:themeColor="text1"/>
          <w14:textFill>
            <w14:solidFill>
              <w14:schemeClr w14:val="tx1"/>
            </w14:solidFill>
          </w14:textFill>
        </w:rPr>
      </w:pPr>
    </w:p>
    <w:p w14:paraId="7EEB22D4">
      <w:pPr>
        <w:pStyle w:val="5"/>
        <w:numPr>
          <w:ilvl w:val="0"/>
          <w:numId w:val="21"/>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已在临时公告披露，但有后续实施的进展或变化的事项</w:t>
      </w:r>
    </w:p>
    <w:sdt>
      <w:sdtPr>
        <w:rPr>
          <w:color w:val="000000" w:themeColor="text1"/>
          <w14:textFill>
            <w14:solidFill>
              <w14:schemeClr w14:val="tx1"/>
            </w14:solidFill>
          </w14:textFill>
        </w:rPr>
        <w:alias w:val="是否适用：已在临时公告披露，但有后续实施的进展或变化的事项_共同对外投资的重大关联交易[双击切换]"/>
        <w:tag w:val="_GBC_f5354c189ecd4cad9ef1e263c325c0db"/>
        <w:id w:val="1746149232"/>
        <w:placeholder>
          <w:docPart w:val="GBC22222222222222222222222222222"/>
        </w:placeholder>
      </w:sdtPr>
      <w:sdtEndPr>
        <w:rPr>
          <w:color w:val="000000" w:themeColor="text1"/>
          <w14:textFill>
            <w14:solidFill>
              <w14:schemeClr w14:val="tx1"/>
            </w14:solidFill>
          </w14:textFill>
        </w:rPr>
      </w:sdtEndPr>
      <w:sdtContent>
        <w:p w14:paraId="5962ED8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共同对外投资发生的关联交易事项已在临时报告披露，后续实施的进展或变化"/>
        <w:tag w:val="_GBC_12c091332c97456ba0e3554abf44bc76"/>
        <w:id w:val="1739134633"/>
        <w:placeholder>
          <w:docPart w:val="GBC22222222222222222222222222222"/>
        </w:placeholder>
      </w:sdtPr>
      <w:sdtEndPr>
        <w:rPr>
          <w:rFonts w:hint="eastAsia"/>
          <w:color w:val="000000" w:themeColor="text1"/>
          <w14:textFill>
            <w14:solidFill>
              <w14:schemeClr w14:val="tx1"/>
            </w14:solidFill>
          </w14:textFill>
        </w:rPr>
      </w:sdtEndPr>
      <w:sdtContent>
        <w:p w14:paraId="6B9210B4">
          <w:pPr>
            <w:spacing w:line="360" w:lineRule="auto"/>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2025年3月2日</w:t>
          </w:r>
          <w:r>
            <w:rPr>
              <w:rFonts w:hint="eastAsia"/>
              <w:color w:val="000000" w:themeColor="text1"/>
              <w14:textFill>
                <w14:solidFill>
                  <w14:schemeClr w14:val="tx1"/>
                </w14:solidFill>
              </w14:textFill>
            </w:rPr>
            <w:t>，公司召开第六届董事会第十六次会议，审议通过了《</w:t>
          </w:r>
          <w:r>
            <w:rPr>
              <w:color w:val="000000" w:themeColor="text1"/>
              <w14:textFill>
                <w14:solidFill>
                  <w14:schemeClr w14:val="tx1"/>
                </w14:solidFill>
              </w14:textFill>
            </w:rPr>
            <w:t>关于对外投资暨关联交易的</w:t>
          </w:r>
          <w:r>
            <w:rPr>
              <w:rFonts w:hint="eastAsia"/>
              <w:color w:val="000000" w:themeColor="text1"/>
              <w14:textFill>
                <w14:solidFill>
                  <w14:schemeClr w14:val="tx1"/>
                </w14:solidFill>
              </w14:textFill>
            </w:rPr>
            <w:t>议案》，同意</w:t>
          </w:r>
          <w:r>
            <w:rPr>
              <w:color w:val="000000" w:themeColor="text1"/>
              <w14:textFill>
                <w14:solidFill>
                  <w14:schemeClr w14:val="tx1"/>
                </w14:solidFill>
              </w14:textFill>
            </w:rPr>
            <w:t>公司与两江产业基金、重庆产业母基金、江河汇、吉利、重庆迈驰、路特斯共同签订投资协议，指定全资子公司与两江产业基金或其指定关联方、重庆产业母基金及江河汇指定主体共同出资15亿元人民币发起设立有限合伙企业。其中，公司全资子公司拟出资2亿元人民币并担任</w:t>
          </w:r>
          <w:r>
            <w:rPr>
              <w:rFonts w:hint="eastAsia"/>
              <w:color w:val="000000" w:themeColor="text1"/>
              <w14:textFill>
                <w14:solidFill>
                  <w14:schemeClr w14:val="tx1"/>
                </w14:solidFill>
              </w14:textFill>
            </w:rPr>
            <w:t>该</w:t>
          </w:r>
          <w:r>
            <w:rPr>
              <w:color w:val="000000" w:themeColor="text1"/>
              <w14:textFill>
                <w14:solidFill>
                  <w14:schemeClr w14:val="tx1"/>
                </w14:solidFill>
              </w14:textFill>
            </w:rPr>
            <w:t>合伙企业的普通合伙人，两江产业基金或其指定关联方出资5亿元人民币，重庆产业母基金出资5亿元人民币，江河汇指定主体出资3亿元人民币。</w:t>
          </w:r>
          <w:r>
            <w:rPr>
              <w:rFonts w:hint="eastAsia"/>
              <w:color w:val="000000" w:themeColor="text1"/>
              <w14:textFill>
                <w14:solidFill>
                  <w14:schemeClr w14:val="tx1"/>
                </w14:solidFill>
              </w14:textFill>
            </w:rPr>
            <w:t>该</w:t>
          </w:r>
          <w:r>
            <w:rPr>
              <w:color w:val="000000" w:themeColor="text1"/>
              <w14:textFill>
                <w14:solidFill>
                  <w14:schemeClr w14:val="tx1"/>
                </w14:solidFill>
              </w14:textFill>
            </w:rPr>
            <w:t>合伙企业设立后，拟以15亿元人民币现金向由吉利或其指定主体、重庆迈驰、路特斯或其指定主体及员工激励平台共同投资设立的</w:t>
          </w:r>
          <w:r>
            <w:rPr>
              <w:rFonts w:hint="eastAsia"/>
              <w:color w:val="000000" w:themeColor="text1"/>
              <w14:textFill>
                <w14:solidFill>
                  <w14:schemeClr w14:val="tx1"/>
                </w14:solidFill>
              </w14:textFill>
            </w:rPr>
            <w:t>合资公司</w:t>
          </w:r>
          <w:r>
            <w:rPr>
              <w:color w:val="000000" w:themeColor="text1"/>
              <w14:textFill>
                <w14:solidFill>
                  <w14:schemeClr w14:val="tx1"/>
                </w14:solidFill>
              </w14:textFill>
            </w:rPr>
            <w:t>进行增资。</w:t>
          </w:r>
          <w:r>
            <w:rPr>
              <w:rFonts w:hint="eastAsia"/>
              <w:color w:val="000000" w:themeColor="text1"/>
              <w14:textFill>
                <w14:solidFill>
                  <w14:schemeClr w14:val="tx1"/>
                </w14:solidFill>
              </w14:textFill>
            </w:rPr>
            <w:t>详见公司于2025年3月3日在上海证券交易所网站（www.sse.com.cn）及指定媒体上披露的《重庆千里科技股份有限公司</w:t>
          </w:r>
          <w:r>
            <w:rPr>
              <w:color w:val="000000" w:themeColor="text1"/>
              <w14:textFill>
                <w14:solidFill>
                  <w14:schemeClr w14:val="tx1"/>
                </w14:solidFill>
              </w14:textFill>
            </w:rPr>
            <w:t>关于对外投资暨关联交易的公告</w:t>
          </w:r>
          <w:r>
            <w:rPr>
              <w:rFonts w:hint="eastAsia"/>
              <w:color w:val="000000" w:themeColor="text1"/>
              <w14:textFill>
                <w14:solidFill>
                  <w14:schemeClr w14:val="tx1"/>
                </w14:solidFill>
              </w14:textFill>
            </w:rPr>
            <w:t>》（公告编号：</w:t>
          </w:r>
          <w:r>
            <w:rPr>
              <w:color w:val="000000" w:themeColor="text1"/>
              <w14:textFill>
                <w14:solidFill>
                  <w14:schemeClr w14:val="tx1"/>
                </w14:solidFill>
              </w14:textFill>
            </w:rPr>
            <w:t>2025-017</w:t>
          </w:r>
          <w:r>
            <w:rPr>
              <w:rFonts w:hint="eastAsia"/>
              <w:color w:val="000000" w:themeColor="text1"/>
              <w14:textFill>
                <w14:solidFill>
                  <w14:schemeClr w14:val="tx1"/>
                </w14:solidFill>
              </w14:textFill>
            </w:rPr>
            <w:t>）。</w:t>
          </w:r>
        </w:p>
        <w:p w14:paraId="45780B5E">
          <w:pPr>
            <w:spacing w:line="360" w:lineRule="auto"/>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2025年6月5日</w:t>
          </w:r>
          <w:r>
            <w:rPr>
              <w:rFonts w:hint="eastAsia"/>
              <w:color w:val="000000" w:themeColor="text1"/>
              <w14:textFill>
                <w14:solidFill>
                  <w14:schemeClr w14:val="tx1"/>
                </w14:solidFill>
              </w14:textFill>
            </w:rPr>
            <w:t>，公司召开第六届董事会第</w:t>
          </w:r>
          <w:r>
            <w:rPr>
              <w:color w:val="000000" w:themeColor="text1"/>
              <w14:textFill>
                <w14:solidFill>
                  <w14:schemeClr w14:val="tx1"/>
                </w14:solidFill>
              </w14:textFill>
            </w:rPr>
            <w:t>二十一</w:t>
          </w:r>
          <w:r>
            <w:rPr>
              <w:rFonts w:hint="eastAsia"/>
              <w:color w:val="000000" w:themeColor="text1"/>
              <w14:textFill>
                <w14:solidFill>
                  <w14:schemeClr w14:val="tx1"/>
                </w14:solidFill>
              </w14:textFill>
            </w:rPr>
            <w:t>次会议，审议通过了</w:t>
          </w:r>
          <w:r>
            <w:rPr>
              <w:color w:val="000000" w:themeColor="text1"/>
              <w14:textFill>
                <w14:solidFill>
                  <w14:schemeClr w14:val="tx1"/>
                </w14:solidFill>
              </w14:textFill>
            </w:rPr>
            <w:t>《关于对外投资暨关联交易相关事项的议案》</w:t>
          </w:r>
          <w:r>
            <w:rPr>
              <w:rFonts w:hint="eastAsia"/>
              <w:color w:val="000000" w:themeColor="text1"/>
              <w14:textFill>
                <w14:solidFill>
                  <w14:schemeClr w14:val="tx1"/>
                </w14:solidFill>
              </w14:textFill>
            </w:rPr>
            <w:t>，同意</w:t>
          </w:r>
          <w:r>
            <w:rPr>
              <w:color w:val="000000" w:themeColor="text1"/>
              <w14:textFill>
                <w14:solidFill>
                  <w14:schemeClr w14:val="tx1"/>
                </w14:solidFill>
              </w14:textFill>
            </w:rPr>
            <w:t>待</w:t>
          </w:r>
          <w:r>
            <w:rPr>
              <w:rFonts w:hint="eastAsia"/>
              <w:color w:val="000000" w:themeColor="text1"/>
              <w14:textFill>
                <w14:solidFill>
                  <w14:schemeClr w14:val="tx1"/>
                </w14:solidFill>
              </w14:textFill>
            </w:rPr>
            <w:t>前述</w:t>
          </w:r>
          <w:r>
            <w:rPr>
              <w:color w:val="000000" w:themeColor="text1"/>
              <w14:textFill>
                <w14:solidFill>
                  <w14:schemeClr w14:val="tx1"/>
                </w14:solidFill>
              </w14:textFill>
            </w:rPr>
            <w:t>合伙企业及合资公司分别设立、并完成合伙企业向合资公司的增资后，由合伙企业与吉利、迈驰、路特斯、员工持股平台共同签署《关于重庆千里智驾有限公司之股东协议》</w:t>
          </w:r>
          <w:r>
            <w:rPr>
              <w:rFonts w:hint="eastAsia"/>
              <w:color w:val="000000" w:themeColor="text1"/>
              <w14:textFill>
                <w14:solidFill>
                  <w14:schemeClr w14:val="tx1"/>
                </w14:solidFill>
              </w14:textFill>
            </w:rPr>
            <w:t>。详见公司于2025年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日在上海证券交易所网站（www.sse.com.cn）及指定媒体上披露的《重庆千里科技股份有限公司</w:t>
          </w:r>
          <w:r>
            <w:rPr>
              <w:color w:val="000000" w:themeColor="text1"/>
              <w14:textFill>
                <w14:solidFill>
                  <w14:schemeClr w14:val="tx1"/>
                </w14:solidFill>
              </w14:textFill>
            </w:rPr>
            <w:t>关于对外投资暨关联交易的进展公告</w:t>
          </w:r>
          <w:r>
            <w:rPr>
              <w:rFonts w:hint="eastAsia"/>
              <w:color w:val="000000" w:themeColor="text1"/>
              <w14:textFill>
                <w14:solidFill>
                  <w14:schemeClr w14:val="tx1"/>
                </w14:solidFill>
              </w14:textFill>
            </w:rPr>
            <w:t>》（公告编号：</w:t>
          </w:r>
          <w:r>
            <w:rPr>
              <w:color w:val="000000" w:themeColor="text1"/>
              <w14:textFill>
                <w14:solidFill>
                  <w14:schemeClr w14:val="tx1"/>
                </w14:solidFill>
              </w14:textFill>
            </w:rPr>
            <w:t>2025-042</w:t>
          </w:r>
          <w:r>
            <w:rPr>
              <w:rFonts w:hint="eastAsia"/>
              <w:color w:val="000000" w:themeColor="text1"/>
              <w14:textFill>
                <w14:solidFill>
                  <w14:schemeClr w14:val="tx1"/>
                </w14:solidFill>
              </w14:textFill>
            </w:rPr>
            <w:t>）。</w:t>
          </w:r>
        </w:p>
        <w:p w14:paraId="77FAE1EE">
          <w:pPr>
            <w:spacing w:line="360" w:lineRule="auto"/>
            <w:ind w:firstLine="42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2025年6月27日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公司全资子公司重庆智骐鑫旺企业管理有限公司（以下简称“智骐鑫旺”）与两江产业基金、重庆产业母基金及海南江河乾达投资合伙企业（有限合伙）（江河汇指定主体），依照前期协议约定共同设立重庆江河启兴企业管理合伙企业(有限合伙)，</w:t>
          </w:r>
          <w:r>
            <w:rPr>
              <w:rFonts w:hint="eastAsia"/>
              <w:color w:val="000000" w:themeColor="text1"/>
              <w14:textFill>
                <w14:solidFill>
                  <w14:schemeClr w14:val="tx1"/>
                </w14:solidFill>
              </w14:textFill>
            </w:rPr>
            <w:t>已</w:t>
          </w:r>
          <w:r>
            <w:rPr>
              <w:color w:val="000000" w:themeColor="text1"/>
              <w14:textFill>
                <w14:solidFill>
                  <w14:schemeClr w14:val="tx1"/>
                </w14:solidFill>
              </w14:textFill>
            </w:rPr>
            <w:t>完成工商注册登记手续，取得重庆两江新区市场监督管理局颁发的营业执照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此外，重庆迈驰、吉利、路特斯及员工持股平台重庆智江众旺企业管理咨询合伙企业(有限合伙)共同设立</w:t>
          </w:r>
          <w:r>
            <w:rPr>
              <w:rFonts w:hint="eastAsia"/>
              <w:color w:val="000000" w:themeColor="text1"/>
              <w14:textFill>
                <w14:solidFill>
                  <w14:schemeClr w14:val="tx1"/>
                </w14:solidFill>
              </w14:textFill>
            </w:rPr>
            <w:t>合资公司</w:t>
          </w:r>
          <w:r>
            <w:rPr>
              <w:color w:val="000000" w:themeColor="text1"/>
              <w14:textFill>
                <w14:solidFill>
                  <w14:schemeClr w14:val="tx1"/>
                </w14:solidFill>
              </w14:textFill>
            </w:rPr>
            <w:t>重庆千里智驾科技有限公司，</w:t>
          </w:r>
          <w:r>
            <w:rPr>
              <w:rFonts w:hint="eastAsia"/>
              <w:color w:val="000000" w:themeColor="text1"/>
              <w14:textFill>
                <w14:solidFill>
                  <w14:schemeClr w14:val="tx1"/>
                </w14:solidFill>
              </w14:textFill>
            </w:rPr>
            <w:t>亦已</w:t>
          </w:r>
          <w:r>
            <w:rPr>
              <w:color w:val="000000" w:themeColor="text1"/>
              <w14:textFill>
                <w14:solidFill>
                  <w14:schemeClr w14:val="tx1"/>
                </w14:solidFill>
              </w14:textFill>
            </w:rPr>
            <w:t>完成工商注册登记手续，取得重庆两江新区市场监督管理局颁发的营业执照。</w:t>
          </w:r>
          <w:r>
            <w:rPr>
              <w:rFonts w:hint="eastAsia"/>
              <w:color w:val="000000" w:themeColor="text1"/>
              <w14:textFill>
                <w14:solidFill>
                  <w14:schemeClr w14:val="tx1"/>
                </w14:solidFill>
              </w14:textFill>
            </w:rPr>
            <w:t>详见公司于2025年</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月2</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日在上海证券交易所网站（www.sse.com.cn）及指定媒体上披露的《重庆千里科技股份有限公司</w:t>
          </w:r>
          <w:r>
            <w:rPr>
              <w:color w:val="000000" w:themeColor="text1"/>
              <w14:textFill>
                <w14:solidFill>
                  <w14:schemeClr w14:val="tx1"/>
                </w14:solidFill>
              </w14:textFill>
            </w:rPr>
            <w:t>关于对外投资暨关联交易的进展公告</w:t>
          </w:r>
          <w:r>
            <w:rPr>
              <w:rFonts w:hint="eastAsia"/>
              <w:color w:val="000000" w:themeColor="text1"/>
              <w14:textFill>
                <w14:solidFill>
                  <w14:schemeClr w14:val="tx1"/>
                </w14:solidFill>
              </w14:textFill>
            </w:rPr>
            <w:t>》（公告编号：</w:t>
          </w:r>
          <w:r>
            <w:rPr>
              <w:color w:val="000000" w:themeColor="text1"/>
              <w14:textFill>
                <w14:solidFill>
                  <w14:schemeClr w14:val="tx1"/>
                </w14:solidFill>
              </w14:textFill>
            </w:rPr>
            <w:t>2025-048</w:t>
          </w:r>
          <w:r>
            <w:rPr>
              <w:rFonts w:hint="eastAsia"/>
              <w:color w:val="000000" w:themeColor="text1"/>
              <w14:textFill>
                <w14:solidFill>
                  <w14:schemeClr w14:val="tx1"/>
                </w14:solidFill>
              </w14:textFill>
            </w:rPr>
            <w:t>）。</w:t>
          </w:r>
        </w:p>
        <w:p w14:paraId="4CE8772A">
          <w:pPr>
            <w:spacing w:line="360" w:lineRule="auto"/>
            <w:ind w:firstLine="42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目前，</w:t>
          </w:r>
          <w:r>
            <w:rPr>
              <w:color w:val="000000" w:themeColor="text1"/>
              <w14:textFill>
                <w14:solidFill>
                  <w14:schemeClr w14:val="tx1"/>
                </w14:solidFill>
              </w14:textFill>
            </w:rPr>
            <w:t>重庆江河启兴企业管理合伙企业(有限合伙)对重庆千里智驾科技有限公司</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增资已完成工商变更登记</w:t>
          </w:r>
          <w:r>
            <w:rPr>
              <w:rFonts w:hint="eastAsia"/>
              <w:color w:val="000000" w:themeColor="text1"/>
              <w14:textFill>
                <w14:solidFill>
                  <w14:schemeClr w14:val="tx1"/>
                </w14:solidFill>
              </w14:textFill>
            </w:rPr>
            <w:t>。详见公司于</w:t>
          </w:r>
          <w:r>
            <w:rPr>
              <w:color w:val="000000" w:themeColor="text1"/>
              <w14:textFill>
                <w14:solidFill>
                  <w14:schemeClr w14:val="tx1"/>
                </w14:solidFill>
              </w14:textFill>
            </w:rPr>
            <w:t>2025年7月9日</w:t>
          </w:r>
          <w:r>
            <w:rPr>
              <w:rFonts w:hint="eastAsia"/>
              <w:color w:val="000000" w:themeColor="text1"/>
              <w14:textFill>
                <w14:solidFill>
                  <w14:schemeClr w14:val="tx1"/>
                </w14:solidFill>
              </w14:textFill>
            </w:rPr>
            <w:t>在上海证券交易所网站（www.sse.com.cn）及指定媒体上披露的《重庆千里科技股份有限公司</w:t>
          </w:r>
          <w:r>
            <w:rPr>
              <w:color w:val="000000" w:themeColor="text1"/>
              <w14:textFill>
                <w14:solidFill>
                  <w14:schemeClr w14:val="tx1"/>
                </w14:solidFill>
              </w14:textFill>
            </w:rPr>
            <w:t>关于对外投资暨关联交易的进展公告</w:t>
          </w:r>
          <w:r>
            <w:rPr>
              <w:rFonts w:hint="eastAsia"/>
              <w:color w:val="000000" w:themeColor="text1"/>
              <w14:textFill>
                <w14:solidFill>
                  <w14:schemeClr w14:val="tx1"/>
                </w14:solidFill>
              </w14:textFill>
            </w:rPr>
            <w:t>》（公告编号：</w:t>
          </w:r>
          <w:r>
            <w:rPr>
              <w:color w:val="000000" w:themeColor="text1"/>
              <w14:textFill>
                <w14:solidFill>
                  <w14:schemeClr w14:val="tx1"/>
                </w14:solidFill>
              </w14:textFill>
            </w:rPr>
            <w:t>2025-051</w:t>
          </w:r>
          <w:r>
            <w:rPr>
              <w:rFonts w:hint="eastAsia"/>
              <w:color w:val="000000" w:themeColor="text1"/>
              <w14:textFill>
                <w14:solidFill>
                  <w14:schemeClr w14:val="tx1"/>
                </w14:solidFill>
              </w14:textFill>
            </w:rPr>
            <w:t>）。</w:t>
          </w:r>
        </w:p>
      </w:sdtContent>
    </w:sdt>
    <w:p w14:paraId="44B7C783">
      <w:pPr>
        <w:spacing w:line="360" w:lineRule="auto"/>
        <w:ind w:firstLine="420" w:firstLineChars="200"/>
        <w:jc w:val="both"/>
        <w:rPr>
          <w:color w:val="000000" w:themeColor="text1"/>
          <w14:textFill>
            <w14:solidFill>
              <w14:schemeClr w14:val="tx1"/>
            </w14:solidFill>
          </w14:textFill>
        </w:rPr>
      </w:pPr>
    </w:p>
    <w:p w14:paraId="2630F102">
      <w:pPr>
        <w:pStyle w:val="5"/>
        <w:numPr>
          <w:ilvl w:val="0"/>
          <w:numId w:val="21"/>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临时公告未披露的事项</w:t>
      </w:r>
    </w:p>
    <w:sdt>
      <w:sdtPr>
        <w:rPr>
          <w:rFonts w:hint="eastAsia"/>
          <w:color w:val="000000" w:themeColor="text1"/>
          <w14:textFill>
            <w14:solidFill>
              <w14:schemeClr w14:val="tx1"/>
            </w14:solidFill>
          </w14:textFill>
        </w:rPr>
        <w:alias w:val="是否适用：共同对外投资的重大关联交易_临时公告未披露的事项[双击切换]"/>
        <w:tag w:val="_GBC_3ac28148c3754202ba544078ad581a24"/>
        <w:id w:val="-1433507424"/>
        <w:placeholder>
          <w:docPart w:val="GBC22222222222222222222222222222"/>
        </w:placeholder>
      </w:sdtPr>
      <w:sdtEndPr>
        <w:rPr>
          <w:rFonts w:hint="eastAsia"/>
          <w:color w:val="000000" w:themeColor="text1"/>
          <w14:textFill>
            <w14:solidFill>
              <w14:schemeClr w14:val="tx1"/>
            </w14:solidFill>
          </w14:textFill>
        </w:rPr>
      </w:sdtEndPr>
      <w:sdtContent>
        <w:p w14:paraId="4616991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5BD088">
      <w:pPr>
        <w:rPr>
          <w:color w:val="000000" w:themeColor="text1"/>
          <w14:textFill>
            <w14:solidFill>
              <w14:schemeClr w14:val="tx1"/>
            </w14:solidFill>
          </w14:textFill>
        </w:rPr>
      </w:pPr>
    </w:p>
    <w:p w14:paraId="36677519">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关联债权债务往来</w:t>
      </w:r>
    </w:p>
    <w:p w14:paraId="79AEF766">
      <w:pPr>
        <w:pStyle w:val="5"/>
        <w:numPr>
          <w:ilvl w:val="0"/>
          <w:numId w:val="22"/>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已在临时公告披露且后续实施无进展或变化的事项</w:t>
      </w:r>
    </w:p>
    <w:sdt>
      <w:sdtPr>
        <w:rPr>
          <w:color w:val="000000" w:themeColor="text1"/>
          <w14:textFill>
            <w14:solidFill>
              <w14:schemeClr w14:val="tx1"/>
            </w14:solidFill>
          </w14:textFill>
        </w:rPr>
        <w:alias w:val="是否适用：已在临时公告披露且后续实施无进展或变化的事项_关联债权债务往来[双击切换]"/>
        <w:tag w:val="_GBC_480ccdae6247445ca78cf6327eb0e24f"/>
        <w:id w:val="1932397495"/>
        <w:placeholder>
          <w:docPart w:val="GBC22222222222222222222222222222"/>
        </w:placeholder>
      </w:sdtPr>
      <w:sdtEndPr>
        <w:rPr>
          <w:color w:val="000000" w:themeColor="text1"/>
          <w14:textFill>
            <w14:solidFill>
              <w14:schemeClr w14:val="tx1"/>
            </w14:solidFill>
          </w14:textFill>
        </w:rPr>
      </w:sdtEndPr>
      <w:sdtContent>
        <w:p w14:paraId="40224D8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DC4A5B">
      <w:pPr>
        <w:rPr>
          <w:color w:val="000000" w:themeColor="text1"/>
          <w14:textFill>
            <w14:solidFill>
              <w14:schemeClr w14:val="tx1"/>
            </w14:solidFill>
          </w14:textFill>
        </w:rPr>
      </w:pPr>
    </w:p>
    <w:p w14:paraId="62F270BF">
      <w:pPr>
        <w:pStyle w:val="5"/>
        <w:numPr>
          <w:ilvl w:val="0"/>
          <w:numId w:val="22"/>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已在临时公告披露，但有后续实施的进展或变化的事项</w:t>
      </w:r>
    </w:p>
    <w:sdt>
      <w:sdtPr>
        <w:rPr>
          <w:color w:val="000000" w:themeColor="text1"/>
          <w14:textFill>
            <w14:solidFill>
              <w14:schemeClr w14:val="tx1"/>
            </w14:solidFill>
          </w14:textFill>
        </w:rPr>
        <w:alias w:val="是否适用：已在临时公告披露，但有后续实施的进展或变化的事项_关联债权债务往来[双击切换]"/>
        <w:tag w:val="_GBC_06dcfbbd6aed49aa878ab07a09b2270b"/>
        <w:id w:val="-1482146768"/>
        <w:placeholder>
          <w:docPart w:val="GBC22222222222222222222222222222"/>
        </w:placeholder>
      </w:sdtPr>
      <w:sdtEndPr>
        <w:rPr>
          <w:color w:val="000000" w:themeColor="text1"/>
          <w14:textFill>
            <w14:solidFill>
              <w14:schemeClr w14:val="tx1"/>
            </w14:solidFill>
          </w14:textFill>
        </w:rPr>
      </w:sdtEndPr>
      <w:sdtContent>
        <w:p w14:paraId="0523EDD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EF85D9">
      <w:pPr>
        <w:rPr>
          <w:color w:val="000000" w:themeColor="text1"/>
          <w14:textFill>
            <w14:solidFill>
              <w14:schemeClr w14:val="tx1"/>
            </w14:solidFill>
          </w14:textFill>
        </w:rPr>
      </w:pPr>
    </w:p>
    <w:p w14:paraId="30573A92">
      <w:pPr>
        <w:pStyle w:val="5"/>
        <w:numPr>
          <w:ilvl w:val="0"/>
          <w:numId w:val="22"/>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临时公告未披露的事项</w:t>
      </w:r>
    </w:p>
    <w:sdt>
      <w:sdtPr>
        <w:rPr>
          <w:color w:val="000000" w:themeColor="text1"/>
          <w14:textFill>
            <w14:solidFill>
              <w14:schemeClr w14:val="tx1"/>
            </w14:solidFill>
          </w14:textFill>
        </w:rPr>
        <w:alias w:val="是否适用：关联债权债务往来_临时公告未披露的事项[双击切换]"/>
        <w:tag w:val="_GBC_0f4a6802ca704b49a413888379a91f0b"/>
        <w:id w:val="1174225094"/>
        <w:placeholder>
          <w:docPart w:val="GBC22222222222222222222222222222"/>
        </w:placeholder>
      </w:sdtPr>
      <w:sdtEndPr>
        <w:rPr>
          <w:color w:val="000000" w:themeColor="text1"/>
          <w14:textFill>
            <w14:solidFill>
              <w14:schemeClr w14:val="tx1"/>
            </w14:solidFill>
          </w14:textFill>
        </w:rPr>
      </w:sdtEndPr>
      <w:sdtContent>
        <w:p w14:paraId="64DA6A2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CAFCBF1">
      <w:pPr>
        <w:rPr>
          <w:color w:val="000000" w:themeColor="text1"/>
          <w14:textFill>
            <w14:solidFill>
              <w14:schemeClr w14:val="tx1"/>
            </w14:solidFill>
          </w14:textFill>
        </w:rPr>
      </w:pPr>
    </w:p>
    <w:p w14:paraId="701BBFB6">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公司与存在关联关系的财务公司、公司控股财务公司与关联方之间的金融业务</w:t>
      </w:r>
    </w:p>
    <w:sdt>
      <w:sdtPr>
        <w:rPr>
          <w:color w:val="000000" w:themeColor="text1"/>
          <w14:textFill>
            <w14:solidFill>
              <w14:schemeClr w14:val="tx1"/>
            </w14:solidFill>
          </w14:textFill>
        </w:rPr>
        <w:alias w:val="是否适用：公司与存在关联关系的财务公司、公司控股财务公司与关联方之间的金融业务 [双击切换]"/>
        <w:tag w:val="_GBC_918ef76103ad41b4a79075b59fdb8bf4"/>
        <w:id w:val="1145323568"/>
        <w:placeholder>
          <w:docPart w:val="GBC22222222222222222222222222222"/>
        </w:placeholder>
      </w:sdtPr>
      <w:sdtEndPr>
        <w:rPr>
          <w:color w:val="000000" w:themeColor="text1"/>
          <w14:textFill>
            <w14:solidFill>
              <w14:schemeClr w14:val="tx1"/>
            </w14:solidFill>
          </w14:textFill>
        </w:rPr>
      </w:sdtEndPr>
      <w:sdtContent>
        <w:p w14:paraId="60A7CCEF">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2353485">
      <w:bookmarkStart w:id="67" w:name="_Hlk41316022"/>
    </w:p>
    <w:p w14:paraId="5D705F5C">
      <w:pPr>
        <w:rPr>
          <w:color w:val="000000" w:themeColor="text1"/>
          <w14:textFill>
            <w14:solidFill>
              <w14:schemeClr w14:val="tx1"/>
            </w14:solidFill>
          </w14:textFill>
        </w:rPr>
      </w:pPr>
    </w:p>
    <w:p w14:paraId="164D2760">
      <w:pPr>
        <w:rPr>
          <w:color w:val="000000" w:themeColor="text1"/>
          <w14:textFill>
            <w14:solidFill>
              <w14:schemeClr w14:val="tx1"/>
            </w14:solidFill>
          </w14:textFill>
        </w:rPr>
      </w:pPr>
    </w:p>
    <w:bookmarkEnd w:id="67"/>
    <w:p w14:paraId="4ECEF8D2">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其他重大关联交易</w:t>
      </w:r>
    </w:p>
    <w:sdt>
      <w:sdtPr>
        <w:rPr>
          <w:rFonts w:hint="eastAsia"/>
          <w:color w:val="000000" w:themeColor="text1"/>
          <w14:textFill>
            <w14:solidFill>
              <w14:schemeClr w14:val="tx1"/>
            </w14:solidFill>
          </w14:textFill>
        </w:rPr>
        <w:alias w:val="是否适用：重大关联交易其他说明[双击切换]"/>
        <w:tag w:val="_GBC_7dd39ac420a244dcb8ea88c29ac07190"/>
        <w:id w:val="-1084448512"/>
        <w:placeholder>
          <w:docPart w:val="GBC22222222222222222222222222222"/>
        </w:placeholder>
      </w:sdtPr>
      <w:sdtEndPr>
        <w:rPr>
          <w:rFonts w:hint="eastAsia"/>
          <w:color w:val="000000" w:themeColor="text1"/>
          <w14:textFill>
            <w14:solidFill>
              <w14:schemeClr w14:val="tx1"/>
            </w14:solidFill>
          </w14:textFill>
        </w:rPr>
      </w:sdtEndPr>
      <w:sdtContent>
        <w:p w14:paraId="22F659C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1FB48FA">
      <w:pPr>
        <w:rPr>
          <w:color w:val="000000" w:themeColor="text1"/>
          <w14:textFill>
            <w14:solidFill>
              <w14:schemeClr w14:val="tx1"/>
            </w14:solidFill>
          </w14:textFill>
        </w:rPr>
      </w:pPr>
    </w:p>
    <w:p w14:paraId="6B561D85">
      <w:pPr>
        <w:pStyle w:val="4"/>
        <w:numPr>
          <w:ilvl w:val="2"/>
          <w:numId w:val="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rFonts w:hint="eastAsia"/>
          <w:color w:val="000000" w:themeColor="text1"/>
          <w14:textFill>
            <w14:solidFill>
              <w14:schemeClr w14:val="tx1"/>
            </w14:solidFill>
          </w14:textFill>
        </w:rPr>
        <w:alias w:val="是否适用：重大关联交易事项其他补充说明[双击切换]"/>
        <w:tag w:val="_GBC_272061194cde466a9c566f0881c76d0d"/>
        <w:id w:val="768663797"/>
        <w:placeholder>
          <w:docPart w:val="GBC22222222222222222222222222222"/>
        </w:placeholder>
      </w:sdtPr>
      <w:sdtEndPr>
        <w:rPr>
          <w:rFonts w:hint="eastAsia"/>
          <w:color w:val="000000" w:themeColor="text1"/>
          <w14:textFill>
            <w14:solidFill>
              <w14:schemeClr w14:val="tx1"/>
            </w14:solidFill>
          </w14:textFill>
        </w:rPr>
      </w:sdtEndPr>
      <w:sdtContent>
        <w:p w14:paraId="00218A9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338FF28">
      <w:pPr>
        <w:rPr>
          <w:color w:val="000000" w:themeColor="text1"/>
          <w14:textFill>
            <w14:solidFill>
              <w14:schemeClr w14:val="tx1"/>
            </w14:solidFill>
          </w14:textFill>
        </w:rPr>
      </w:pPr>
    </w:p>
    <w:p w14:paraId="10B9EBCD">
      <w:pPr>
        <w:pStyle w:val="3"/>
        <w:numPr>
          <w:ilvl w:val="0"/>
          <w:numId w:val="16"/>
        </w:numPr>
        <w:tabs>
          <w:tab w:val="left" w:pos="426"/>
        </w:tabs>
        <w:jc w:val="lef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重大合同及其履行情况</w:t>
      </w:r>
    </w:p>
    <w:p w14:paraId="23921B95">
      <w:pPr>
        <w:pStyle w:val="4"/>
        <w:numPr>
          <w:ilvl w:val="0"/>
          <w:numId w:val="2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托管、承包、租赁事项</w:t>
      </w:r>
    </w:p>
    <w:p w14:paraId="0568B87E">
      <w:pPr>
        <w:rPr>
          <w:color w:val="000000" w:themeColor="text1"/>
          <w:shd w:val="pct15" w:color="auto" w:fill="FFFFFF"/>
          <w14:textFill>
            <w14:solidFill>
              <w14:schemeClr w14:val="tx1"/>
            </w14:solidFill>
          </w14:textFill>
        </w:rPr>
      </w:pPr>
      <w:sdt>
        <w:sdtPr>
          <w:rPr>
            <w:color w:val="000000" w:themeColor="text1"/>
            <w14:textFill>
              <w14:solidFill>
                <w14:schemeClr w14:val="tx1"/>
              </w14:solidFill>
            </w14:textFill>
          </w:rPr>
          <w:alias w:val="是否适用：托管、承包、租赁事项[双击切换]"/>
          <w:tag w:val="_GBC_daed561e68674d828a348a97bffbc154"/>
          <w:id w:val="321716764"/>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38871E92">
      <w:pPr>
        <w:rPr>
          <w:color w:val="000000" w:themeColor="text1"/>
          <w:shd w:val="pct15" w:color="auto" w:fill="FFFFFF"/>
          <w14:textFill>
            <w14:solidFill>
              <w14:schemeClr w14:val="tx1"/>
            </w14:solidFill>
          </w14:textFill>
        </w:rPr>
      </w:pPr>
    </w:p>
    <w:p w14:paraId="68CC7688">
      <w:pPr>
        <w:rPr>
          <w:color w:val="000000" w:themeColor="text1"/>
          <w:shd w:val="pct15" w:color="auto" w:fill="FFFFFF"/>
          <w14:textFill>
            <w14:solidFill>
              <w14:schemeClr w14:val="tx1"/>
            </w14:solidFill>
          </w14:textFill>
        </w:rPr>
        <w:sectPr>
          <w:pgSz w:w="11906" w:h="16838"/>
          <w:pgMar w:top="1525" w:right="1276" w:bottom="1440" w:left="1797" w:header="851" w:footer="992" w:gutter="0"/>
          <w:cols w:space="425" w:num="1"/>
          <w:docGrid w:linePitch="312" w:charSpace="0"/>
        </w:sectPr>
      </w:pPr>
    </w:p>
    <w:p w14:paraId="2C6C8ABF">
      <w:pPr>
        <w:pStyle w:val="4"/>
        <w:numPr>
          <w:ilvl w:val="0"/>
          <w:numId w:val="2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报告期内履行的及尚未履行完毕的重大担保情况</w:t>
      </w:r>
    </w:p>
    <w:sdt>
      <w:sdtPr>
        <w:rPr>
          <w:color w:val="000000" w:themeColor="text1"/>
          <w14:textFill>
            <w14:solidFill>
              <w14:schemeClr w14:val="tx1"/>
            </w14:solidFill>
          </w14:textFill>
        </w:rPr>
        <w:alias w:val="是否适用：担保情况[双击切换]"/>
        <w:tag w:val="_GBC_aae98b3e30bd49e4b2e1d2643f200047"/>
        <w:id w:val="-1302380807"/>
        <w:lock w:val="contentLocked"/>
        <w:placeholder>
          <w:docPart w:val="GBC22222222222222222222222222222"/>
        </w:placeholder>
      </w:sdtPr>
      <w:sdtEndPr>
        <w:rPr>
          <w:color w:val="000000" w:themeColor="text1"/>
          <w14:textFill>
            <w14:solidFill>
              <w14:schemeClr w14:val="tx1"/>
            </w14:solidFill>
          </w14:textFill>
        </w:rPr>
      </w:sdtEndPr>
      <w:sdtContent>
        <w:p w14:paraId="2441BFC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54BC80B">
      <w:pPr>
        <w:jc w:val="right"/>
        <w:rPr>
          <w:color w:val="000000" w:themeColor="text1"/>
          <w14:textFill>
            <w14:solidFill>
              <w14:schemeClr w14:val="tx1"/>
            </w14:solidFill>
          </w14:textFill>
        </w:rPr>
      </w:pPr>
      <w:bookmarkStart w:id="68" w:name="_Hlk42868045"/>
      <w:r>
        <w:rPr>
          <w:rFonts w:hint="eastAsia"/>
          <w:color w:val="000000" w:themeColor="text1"/>
          <w14:textFill>
            <w14:solidFill>
              <w14:schemeClr w14:val="tx1"/>
            </w14:solidFill>
          </w14:textFill>
        </w:rPr>
        <w:t>单位</w:t>
      </w:r>
      <w:r>
        <w:rPr>
          <w:color w:val="000000" w:themeColor="text1"/>
          <w14:textFill>
            <w14:solidFill>
              <w14:schemeClr w14:val="tx1"/>
            </w14:solidFill>
          </w14:textFill>
        </w:rPr>
        <w:t>：</w:t>
      </w:r>
      <w:sdt>
        <w:sdtPr>
          <w:rPr>
            <w:color w:val="000000" w:themeColor="text1"/>
            <w14:textFill>
              <w14:solidFill>
                <w14:schemeClr w14:val="tx1"/>
              </w14:solidFill>
            </w14:textFill>
          </w:rPr>
          <w:alias w:val="单位：担保情况"/>
          <w:tag w:val="_GBC_27c8b92380c14fd7885db4b4050dbded"/>
          <w:id w:val="7028362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r>
        <w:rPr>
          <w:color w:val="000000" w:themeColor="text1"/>
          <w14:textFill>
            <w14:solidFill>
              <w14:schemeClr w14:val="tx1"/>
            </w14:solidFill>
          </w14:textFill>
        </w:rPr>
        <w:t>：</w:t>
      </w:r>
      <w:sdt>
        <w:sdtPr>
          <w:rPr>
            <w:color w:val="000000" w:themeColor="text1"/>
            <w14:textFill>
              <w14:solidFill>
                <w14:schemeClr w14:val="tx1"/>
              </w14:solidFill>
            </w14:textFill>
          </w:rPr>
          <w:alias w:val="币种：担保情况"/>
          <w:tag w:val="_GBC_a5bed87537d146398206f22cc051cc03"/>
          <w:id w:val="-2691727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827"/>
        <w:gridCol w:w="863"/>
        <w:gridCol w:w="864"/>
        <w:gridCol w:w="956"/>
        <w:gridCol w:w="864"/>
        <w:gridCol w:w="861"/>
        <w:gridCol w:w="747"/>
        <w:gridCol w:w="970"/>
        <w:gridCol w:w="864"/>
        <w:gridCol w:w="864"/>
        <w:gridCol w:w="864"/>
        <w:gridCol w:w="864"/>
        <w:gridCol w:w="950"/>
        <w:gridCol w:w="864"/>
        <w:gridCol w:w="864"/>
        <w:gridCol w:w="847"/>
      </w:tblGrid>
      <w:tr w14:paraId="586EFB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e4c50adfca70424b94b9e8ceed3333ed"/>
            <w:id w:val="389080262"/>
          </w:sdtPr>
          <w:sdtContent>
            <w:tc>
              <w:tcPr>
                <w:tcW w:w="5000" w:type="pct"/>
                <w:gridSpan w:val="16"/>
                <w:tcBorders>
                  <w:top w:val="single" w:color="auto" w:sz="4" w:space="0"/>
                  <w:bottom w:val="single" w:color="auto" w:sz="4" w:space="0"/>
                </w:tcBorders>
                <w:vAlign w:val="center"/>
              </w:tcPr>
              <w:p w14:paraId="2CD2812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公司对外担保情况（不包括对子公司的担保）</w:t>
                </w:r>
              </w:p>
            </w:tc>
          </w:sdtContent>
        </w:sdt>
      </w:tr>
      <w:tr w14:paraId="200F92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b5e3bfe83f5247d8b2e96e12bee8662f"/>
            <w:id w:val="-602423245"/>
          </w:sdtPr>
          <w:sdtContent>
            <w:tc>
              <w:tcPr>
                <w:tcW w:w="297" w:type="pct"/>
                <w:tcBorders>
                  <w:top w:val="single" w:color="auto" w:sz="4" w:space="0"/>
                  <w:bottom w:val="single" w:color="auto" w:sz="4" w:space="0"/>
                  <w:right w:val="single" w:color="auto" w:sz="4" w:space="0"/>
                </w:tcBorders>
                <w:vAlign w:val="center"/>
              </w:tcPr>
              <w:p w14:paraId="6029D170">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担保方</w:t>
                </w:r>
              </w:p>
            </w:tc>
          </w:sdtContent>
        </w:sdt>
        <w:sdt>
          <w:sdtPr>
            <w:tag w:val="_PLD_11e8ec3aaba140989322530dbb4ee821"/>
            <w:id w:val="-808859906"/>
          </w:sdtPr>
          <w:sdtContent>
            <w:tc>
              <w:tcPr>
                <w:tcW w:w="310" w:type="pct"/>
                <w:tcBorders>
                  <w:top w:val="single" w:color="auto" w:sz="4" w:space="0"/>
                  <w:left w:val="single" w:color="auto" w:sz="4" w:space="0"/>
                  <w:bottom w:val="single" w:color="auto" w:sz="4" w:space="0"/>
                  <w:right w:val="single" w:color="auto" w:sz="4" w:space="0"/>
                </w:tcBorders>
                <w:vAlign w:val="center"/>
              </w:tcPr>
              <w:p w14:paraId="48C6F150">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担保方与上市公司的关系</w:t>
                </w:r>
              </w:p>
            </w:tc>
          </w:sdtContent>
        </w:sdt>
        <w:sdt>
          <w:sdtPr>
            <w:tag w:val="_PLD_0a624167897e488eac102851cdaa2dd6"/>
            <w:id w:val="1877970862"/>
          </w:sdtPr>
          <w:sdtContent>
            <w:tc>
              <w:tcPr>
                <w:tcW w:w="310" w:type="pct"/>
                <w:tcBorders>
                  <w:top w:val="single" w:color="auto" w:sz="4" w:space="0"/>
                  <w:left w:val="single" w:color="auto" w:sz="4" w:space="0"/>
                  <w:bottom w:val="single" w:color="auto" w:sz="4" w:space="0"/>
                  <w:right w:val="single" w:color="auto" w:sz="4" w:space="0"/>
                </w:tcBorders>
                <w:vAlign w:val="center"/>
              </w:tcPr>
              <w:p w14:paraId="45B2C5A5">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被担保方</w:t>
                </w:r>
              </w:p>
            </w:tc>
          </w:sdtContent>
        </w:sdt>
        <w:sdt>
          <w:sdtPr>
            <w:tag w:val="_PLD_d74521a92aaa42b5808e61f4fb826446"/>
            <w:id w:val="2013643362"/>
          </w:sdtPr>
          <w:sdtContent>
            <w:tc>
              <w:tcPr>
                <w:tcW w:w="343" w:type="pct"/>
                <w:tcBorders>
                  <w:top w:val="single" w:color="auto" w:sz="4" w:space="0"/>
                  <w:left w:val="single" w:color="auto" w:sz="4" w:space="0"/>
                  <w:bottom w:val="single" w:color="auto" w:sz="4" w:space="0"/>
                  <w:right w:val="single" w:color="auto" w:sz="4" w:space="0"/>
                </w:tcBorders>
                <w:vAlign w:val="center"/>
              </w:tcPr>
              <w:p w14:paraId="69FAF63B">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担保金额</w:t>
                </w:r>
              </w:p>
            </w:tc>
          </w:sdtContent>
        </w:sdt>
        <w:sdt>
          <w:sdtPr>
            <w:tag w:val="_PLD_6741824a509a46cebcb644a6151b055d"/>
            <w:id w:val="-1706782143"/>
          </w:sdtPr>
          <w:sdtContent>
            <w:tc>
              <w:tcPr>
                <w:tcW w:w="310" w:type="pct"/>
                <w:tcBorders>
                  <w:top w:val="single" w:color="auto" w:sz="4" w:space="0"/>
                  <w:left w:val="single" w:color="auto" w:sz="4" w:space="0"/>
                  <w:bottom w:val="single" w:color="auto" w:sz="4" w:space="0"/>
                  <w:right w:val="single" w:color="auto" w:sz="4" w:space="0"/>
                </w:tcBorders>
                <w:vAlign w:val="center"/>
              </w:tcPr>
              <w:p w14:paraId="32FDFAA5">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担保发生日期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协议签署日</w:t>
                </w:r>
                <w:r>
                  <w:rPr>
                    <w:color w:val="000000" w:themeColor="text1"/>
                    <w14:textFill>
                      <w14:solidFill>
                        <w14:schemeClr w14:val="tx1"/>
                      </w14:solidFill>
                    </w14:textFill>
                  </w:rPr>
                  <w:t>)</w:t>
                </w:r>
              </w:p>
            </w:tc>
          </w:sdtContent>
        </w:sdt>
        <w:sdt>
          <w:sdtPr>
            <w:tag w:val="_PLD_0e011a3a87e14e378e635db52fd873bd"/>
            <w:id w:val="939340696"/>
          </w:sdtPr>
          <w:sdtContent>
            <w:tc>
              <w:tcPr>
                <w:tcW w:w="309" w:type="pct"/>
                <w:tcBorders>
                  <w:top w:val="single" w:color="auto" w:sz="4" w:space="0"/>
                  <w:left w:val="single" w:color="auto" w:sz="4" w:space="0"/>
                  <w:bottom w:val="single" w:color="auto" w:sz="4" w:space="0"/>
                  <w:right w:val="single" w:color="auto" w:sz="4" w:space="0"/>
                </w:tcBorders>
                <w:vAlign w:val="center"/>
              </w:tcPr>
              <w:p w14:paraId="39DD79B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w:t>
                </w:r>
              </w:p>
              <w:p w14:paraId="0938122A">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起始日</w:t>
                </w:r>
              </w:p>
            </w:tc>
          </w:sdtContent>
        </w:sdt>
        <w:sdt>
          <w:sdtPr>
            <w:tag w:val="_PLD_938a1d93f58f4900b7afb7849e3e6a58"/>
            <w:id w:val="-1932350184"/>
          </w:sdtPr>
          <w:sdtContent>
            <w:tc>
              <w:tcPr>
                <w:tcW w:w="268" w:type="pct"/>
                <w:tcBorders>
                  <w:top w:val="single" w:color="auto" w:sz="4" w:space="0"/>
                  <w:left w:val="single" w:color="auto" w:sz="4" w:space="0"/>
                  <w:bottom w:val="single" w:color="auto" w:sz="4" w:space="0"/>
                  <w:right w:val="single" w:color="auto" w:sz="4" w:space="0"/>
                </w:tcBorders>
                <w:vAlign w:val="center"/>
              </w:tcPr>
              <w:p w14:paraId="0CCD8223">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w:t>
                </w:r>
              </w:p>
              <w:p w14:paraId="030E8301">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到期日</w:t>
                </w:r>
              </w:p>
            </w:tc>
          </w:sdtContent>
        </w:sdt>
        <w:sdt>
          <w:sdtPr>
            <w:tag w:val="_PLD_51fa31228c524c01adac764c60a6999c"/>
            <w:id w:val="-901138948"/>
          </w:sdtPr>
          <w:sdtContent>
            <w:tc>
              <w:tcPr>
                <w:tcW w:w="348" w:type="pct"/>
                <w:tcBorders>
                  <w:top w:val="single" w:color="auto" w:sz="4" w:space="0"/>
                  <w:left w:val="single" w:color="auto" w:sz="4" w:space="0"/>
                  <w:bottom w:val="single" w:color="auto" w:sz="4" w:space="0"/>
                  <w:right w:val="single" w:color="auto" w:sz="4" w:space="0"/>
                </w:tcBorders>
                <w:vAlign w:val="center"/>
              </w:tcPr>
              <w:p w14:paraId="09B6CBA5">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担保类型</w:t>
                </w:r>
              </w:p>
            </w:tc>
          </w:sdtContent>
        </w:sdt>
        <w:sdt>
          <w:sdtPr>
            <w:tag w:val="_PLD_1f3f8cca8d8c4b94a8d81954f7951552"/>
            <w:id w:val="-373233487"/>
          </w:sdtPr>
          <w:sdtContent>
            <w:tc>
              <w:tcPr>
                <w:tcW w:w="310" w:type="pct"/>
                <w:tcBorders>
                  <w:top w:val="single" w:color="auto" w:sz="4" w:space="0"/>
                  <w:left w:val="single" w:color="auto" w:sz="4" w:space="0"/>
                  <w:bottom w:val="single" w:color="auto" w:sz="4" w:space="0"/>
                  <w:right w:val="single" w:color="auto" w:sz="4" w:space="0"/>
                </w:tcBorders>
                <w:vAlign w:val="center"/>
              </w:tcPr>
              <w:p w14:paraId="581FF4CB">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主债务情况</w:t>
                </w:r>
              </w:p>
            </w:tc>
          </w:sdtContent>
        </w:sdt>
        <w:sdt>
          <w:sdtPr>
            <w:tag w:val="_PLD_cd7b5ab30a06466e9c30b0ca1035b8c8"/>
            <w:id w:val="680095479"/>
          </w:sdtPr>
          <w:sdtContent>
            <w:tc>
              <w:tcPr>
                <w:tcW w:w="310" w:type="pct"/>
                <w:tcBorders>
                  <w:top w:val="single" w:color="auto" w:sz="4" w:space="0"/>
                  <w:left w:val="single" w:color="auto" w:sz="4" w:space="0"/>
                  <w:bottom w:val="single" w:color="auto" w:sz="4" w:space="0"/>
                  <w:right w:val="single" w:color="auto" w:sz="4" w:space="0"/>
                </w:tcBorders>
                <w:vAlign w:val="center"/>
              </w:tcPr>
              <w:p w14:paraId="4247BE99">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担保物（如有）</w:t>
                </w:r>
              </w:p>
            </w:tc>
          </w:sdtContent>
        </w:sdt>
        <w:sdt>
          <w:sdtPr>
            <w:tag w:val="_PLD_a4bc1e9d84484ec38af3f5d7a2752067"/>
            <w:id w:val="1395014562"/>
          </w:sdtPr>
          <w:sdtContent>
            <w:tc>
              <w:tcPr>
                <w:tcW w:w="310" w:type="pct"/>
                <w:tcBorders>
                  <w:top w:val="single" w:color="auto" w:sz="4" w:space="0"/>
                  <w:left w:val="single" w:color="auto" w:sz="4" w:space="0"/>
                  <w:bottom w:val="single" w:color="auto" w:sz="4" w:space="0"/>
                  <w:right w:val="single" w:color="auto" w:sz="4" w:space="0"/>
                </w:tcBorders>
                <w:vAlign w:val="center"/>
              </w:tcPr>
              <w:p w14:paraId="5B5E22E4">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担保是否已经履行完毕</w:t>
                </w:r>
              </w:p>
            </w:tc>
          </w:sdtContent>
        </w:sdt>
        <w:sdt>
          <w:sdtPr>
            <w:tag w:val="_PLD_3adcf1d50e504a54949358562441ef7b"/>
            <w:id w:val="139776872"/>
          </w:sdtPr>
          <w:sdtContent>
            <w:tc>
              <w:tcPr>
                <w:tcW w:w="310" w:type="pct"/>
                <w:tcBorders>
                  <w:top w:val="single" w:color="auto" w:sz="4" w:space="0"/>
                  <w:left w:val="single" w:color="auto" w:sz="4" w:space="0"/>
                  <w:bottom w:val="single" w:color="auto" w:sz="4" w:space="0"/>
                  <w:right w:val="single" w:color="auto" w:sz="4" w:space="0"/>
                </w:tcBorders>
                <w:vAlign w:val="center"/>
              </w:tcPr>
              <w:p w14:paraId="735D2884">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担保是否逾期</w:t>
                </w:r>
              </w:p>
            </w:tc>
          </w:sdtContent>
        </w:sdt>
        <w:sdt>
          <w:sdtPr>
            <w:tag w:val="_PLD_3860b2e281fb4e30b2945d128cc96939"/>
            <w:id w:val="-1749419228"/>
          </w:sdtPr>
          <w:sdtContent>
            <w:tc>
              <w:tcPr>
                <w:tcW w:w="341" w:type="pct"/>
                <w:tcBorders>
                  <w:top w:val="single" w:color="auto" w:sz="4" w:space="0"/>
                  <w:left w:val="single" w:color="auto" w:sz="4" w:space="0"/>
                  <w:bottom w:val="single" w:color="auto" w:sz="4" w:space="0"/>
                  <w:right w:val="single" w:color="auto" w:sz="4" w:space="0"/>
                </w:tcBorders>
                <w:vAlign w:val="center"/>
              </w:tcPr>
              <w:p w14:paraId="1705396A">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担保逾期金额</w:t>
                </w:r>
              </w:p>
            </w:tc>
          </w:sdtContent>
        </w:sdt>
        <w:tc>
          <w:tcPr>
            <w:tcW w:w="310" w:type="pct"/>
            <w:tcBorders>
              <w:top w:val="single" w:color="auto" w:sz="4" w:space="0"/>
              <w:left w:val="single" w:color="auto" w:sz="4" w:space="0"/>
              <w:bottom w:val="single" w:color="auto" w:sz="4" w:space="0"/>
              <w:right w:val="single" w:color="auto" w:sz="4" w:space="0"/>
            </w:tcBorders>
            <w:vAlign w:val="center"/>
          </w:tcPr>
          <w:sdt>
            <w:sdtPr>
              <w:tag w:val="_PLD_63e29615db7e439fbe446447d9abc680"/>
              <w:id w:val="8882345"/>
            </w:sdtPr>
            <w:sdtContent>
              <w:p w14:paraId="337127FB">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反担保情况</w:t>
                </w:r>
              </w:p>
            </w:sdtContent>
          </w:sdt>
        </w:tc>
        <w:sdt>
          <w:sdtPr>
            <w:tag w:val="_PLD_0f93b7a8a3684e3ba874246a93cd5173"/>
            <w:id w:val="493459540"/>
          </w:sdtPr>
          <w:sdtContent>
            <w:tc>
              <w:tcPr>
                <w:tcW w:w="310" w:type="pct"/>
                <w:tcBorders>
                  <w:top w:val="single" w:color="auto" w:sz="4" w:space="0"/>
                  <w:left w:val="single" w:color="auto" w:sz="4" w:space="0"/>
                  <w:bottom w:val="single" w:color="auto" w:sz="4" w:space="0"/>
                  <w:right w:val="single" w:color="auto" w:sz="4" w:space="0"/>
                </w:tcBorders>
                <w:vAlign w:val="center"/>
              </w:tcPr>
              <w:p w14:paraId="02EDC782">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是否为关联方担保</w:t>
                </w:r>
              </w:p>
            </w:tc>
          </w:sdtContent>
        </w:sdt>
        <w:sdt>
          <w:sdtPr>
            <w:tag w:val="_PLD_fd1e6b8b28d64a7ea7816d45bcfc0699"/>
            <w:id w:val="489601605"/>
          </w:sdtPr>
          <w:sdtContent>
            <w:tc>
              <w:tcPr>
                <w:tcW w:w="303" w:type="pct"/>
                <w:tcBorders>
                  <w:top w:val="single" w:color="auto" w:sz="4" w:space="0"/>
                  <w:left w:val="single" w:color="auto" w:sz="4" w:space="0"/>
                  <w:bottom w:val="single" w:color="auto" w:sz="4" w:space="0"/>
                </w:tcBorders>
                <w:vAlign w:val="center"/>
              </w:tcPr>
              <w:p w14:paraId="0B3E8232">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w:t>
                </w:r>
              </w:p>
              <w:p w14:paraId="6B9545E1">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关系</w:t>
                </w:r>
              </w:p>
            </w:tc>
          </w:sdtContent>
        </w:sdt>
      </w:tr>
      <w:tr w14:paraId="0DD148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97" w:type="pct"/>
            <w:tcBorders>
              <w:top w:val="single" w:color="auto" w:sz="4" w:space="0"/>
              <w:bottom w:val="single" w:color="auto" w:sz="4" w:space="0"/>
              <w:right w:val="single" w:color="auto" w:sz="4" w:space="0"/>
            </w:tcBorders>
            <w:vAlign w:val="center"/>
          </w:tcPr>
          <w:p w14:paraId="0992CB20">
            <w:pPr>
              <w:autoSpaceDE w:val="0"/>
              <w:autoSpaceDN w:val="0"/>
              <w:adjustRightInd w:val="0"/>
            </w:pPr>
          </w:p>
        </w:tc>
        <w:sdt>
          <w:sdtPr>
            <w:rPr>
              <w:rFonts w:hint="eastAsia"/>
              <w:bCs/>
              <w:color w:val="000000" w:themeColor="text1"/>
              <w14:textFill>
                <w14:solidFill>
                  <w14:schemeClr w14:val="tx1"/>
                </w14:solidFill>
              </w14:textFill>
            </w:rPr>
            <w:alias w:val="担保方与上市公司的关联关系"/>
            <w:tag w:val="_GBC_314278e58f414ef59436a6ba610dfaef"/>
            <w:id w:val="1106468974"/>
            <w:comboBox>
              <w:listItem w:displayText="公司本部" w:value="公司本部"/>
              <w:listItem w:displayText="控股子公司" w:value="控股子公司"/>
              <w:listItem w:displayText="全资子公司" w:value="全资子公司"/>
            </w:comboBox>
          </w:sdtPr>
          <w:sdtEndPr>
            <w:rPr>
              <w:rFonts w:hint="eastAsia"/>
              <w:bCs/>
              <w:color w:val="000000" w:themeColor="text1"/>
              <w14:textFill>
                <w14:solidFill>
                  <w14:schemeClr w14:val="tx1"/>
                </w14:solidFill>
              </w14:textFill>
            </w:rPr>
          </w:sdtEndPr>
          <w:sdtContent>
            <w:tc>
              <w:tcPr>
                <w:tcW w:w="310" w:type="pct"/>
                <w:tcBorders>
                  <w:top w:val="single" w:color="auto" w:sz="4" w:space="0"/>
                  <w:left w:val="single" w:color="auto" w:sz="4" w:space="0"/>
                  <w:bottom w:val="single" w:color="auto" w:sz="4" w:space="0"/>
                  <w:right w:val="single" w:color="auto" w:sz="4" w:space="0"/>
                </w:tcBorders>
                <w:vAlign w:val="center"/>
              </w:tcPr>
              <w:p w14:paraId="3D4AE43F">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sdtContent>
        </w:sdt>
        <w:tc>
          <w:tcPr>
            <w:tcW w:w="310" w:type="pct"/>
            <w:tcBorders>
              <w:top w:val="single" w:color="auto" w:sz="4" w:space="0"/>
              <w:left w:val="single" w:color="auto" w:sz="4" w:space="0"/>
              <w:bottom w:val="single" w:color="auto" w:sz="4" w:space="0"/>
              <w:right w:val="single" w:color="auto" w:sz="4" w:space="0"/>
            </w:tcBorders>
            <w:vAlign w:val="center"/>
          </w:tcPr>
          <w:p w14:paraId="186A1A6F">
            <w:pPr>
              <w:autoSpaceDE w:val="0"/>
              <w:autoSpaceDN w:val="0"/>
              <w:adjustRightInd w:val="0"/>
            </w:pPr>
          </w:p>
        </w:tc>
        <w:tc>
          <w:tcPr>
            <w:tcW w:w="343" w:type="pct"/>
            <w:tcBorders>
              <w:top w:val="single" w:color="auto" w:sz="4" w:space="0"/>
              <w:left w:val="single" w:color="auto" w:sz="4" w:space="0"/>
              <w:bottom w:val="single" w:color="auto" w:sz="4" w:space="0"/>
              <w:right w:val="single" w:color="auto" w:sz="4" w:space="0"/>
            </w:tcBorders>
            <w:vAlign w:val="center"/>
          </w:tcPr>
          <w:p w14:paraId="35CFAA0E">
            <w:pPr>
              <w:autoSpaceDE w:val="0"/>
              <w:autoSpaceDN w:val="0"/>
              <w:adjustRightInd w:val="0"/>
              <w:ind w:right="84" w:rightChars="40"/>
              <w:jc w:val="right"/>
            </w:pPr>
          </w:p>
        </w:tc>
        <w:tc>
          <w:tcPr>
            <w:tcW w:w="310" w:type="pct"/>
            <w:tcBorders>
              <w:top w:val="single" w:color="auto" w:sz="4" w:space="0"/>
              <w:left w:val="single" w:color="auto" w:sz="4" w:space="0"/>
              <w:bottom w:val="single" w:color="auto" w:sz="4" w:space="0"/>
              <w:right w:val="single" w:color="auto" w:sz="4" w:space="0"/>
            </w:tcBorders>
            <w:vAlign w:val="center"/>
          </w:tcPr>
          <w:p w14:paraId="76CEAEFA">
            <w:pPr>
              <w:autoSpaceDE w:val="0"/>
              <w:autoSpaceDN w:val="0"/>
              <w:adjustRightInd w:val="0"/>
            </w:pPr>
          </w:p>
        </w:tc>
        <w:tc>
          <w:tcPr>
            <w:tcW w:w="309" w:type="pct"/>
            <w:tcBorders>
              <w:top w:val="single" w:color="auto" w:sz="4" w:space="0"/>
              <w:left w:val="single" w:color="auto" w:sz="4" w:space="0"/>
              <w:bottom w:val="single" w:color="auto" w:sz="4" w:space="0"/>
              <w:right w:val="single" w:color="auto" w:sz="4" w:space="0"/>
            </w:tcBorders>
            <w:vAlign w:val="center"/>
          </w:tcPr>
          <w:p w14:paraId="2ADFB07C">
            <w:pPr>
              <w:autoSpaceDE w:val="0"/>
              <w:autoSpaceDN w:val="0"/>
              <w:adjustRightInd w:val="0"/>
            </w:pPr>
          </w:p>
        </w:tc>
        <w:tc>
          <w:tcPr>
            <w:tcW w:w="268" w:type="pct"/>
            <w:tcBorders>
              <w:top w:val="single" w:color="auto" w:sz="4" w:space="0"/>
              <w:left w:val="single" w:color="auto" w:sz="4" w:space="0"/>
              <w:bottom w:val="single" w:color="auto" w:sz="4" w:space="0"/>
              <w:right w:val="single" w:color="auto" w:sz="4" w:space="0"/>
            </w:tcBorders>
            <w:vAlign w:val="center"/>
          </w:tcPr>
          <w:p w14:paraId="6BF93FE7">
            <w:pPr>
              <w:autoSpaceDE w:val="0"/>
              <w:autoSpaceDN w:val="0"/>
              <w:adjustRightInd w:val="0"/>
            </w:pPr>
          </w:p>
        </w:tc>
        <w:sdt>
          <w:sdtPr>
            <w:rPr>
              <w:color w:val="000000" w:themeColor="text1"/>
              <w14:textFill>
                <w14:solidFill>
                  <w14:schemeClr w14:val="tx1"/>
                </w14:solidFill>
              </w14:textFill>
            </w:rPr>
            <w:alias w:val="担保类型"/>
            <w:tag w:val="_GBC_5b7281c91f794ab38f9d7314134cce0e"/>
            <w:id w:val="-1434891564"/>
            <w:comboBox>
              <w:listItem w:displayText="一般担保" w:value="一般担保"/>
              <w:listItem w:displayText="连带责任担保" w:value="连带责任担保"/>
            </w:comboBox>
          </w:sdtPr>
          <w:sdtEndPr>
            <w:rPr>
              <w:color w:val="000000" w:themeColor="text1"/>
              <w14:textFill>
                <w14:solidFill>
                  <w14:schemeClr w14:val="tx1"/>
                </w14:solidFill>
              </w14:textFill>
            </w:rPr>
          </w:sdtEndPr>
          <w:sdtContent>
            <w:tc>
              <w:tcPr>
                <w:tcW w:w="348" w:type="pct"/>
                <w:tcBorders>
                  <w:top w:val="single" w:color="auto" w:sz="4" w:space="0"/>
                  <w:left w:val="single" w:color="auto" w:sz="4" w:space="0"/>
                  <w:bottom w:val="single" w:color="auto" w:sz="4" w:space="0"/>
                  <w:right w:val="single" w:color="auto" w:sz="4" w:space="0"/>
                </w:tcBorders>
                <w:vAlign w:val="center"/>
              </w:tcPr>
              <w:p w14:paraId="29164435">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sdtContent>
        </w:sdt>
        <w:tc>
          <w:tcPr>
            <w:tcW w:w="310" w:type="pct"/>
            <w:tcBorders>
              <w:top w:val="single" w:color="auto" w:sz="4" w:space="0"/>
              <w:left w:val="single" w:color="auto" w:sz="4" w:space="0"/>
              <w:bottom w:val="single" w:color="auto" w:sz="4" w:space="0"/>
              <w:right w:val="single" w:color="auto" w:sz="4" w:space="0"/>
            </w:tcBorders>
            <w:vAlign w:val="center"/>
          </w:tcPr>
          <w:p w14:paraId="13F14D8D">
            <w:pPr>
              <w:autoSpaceDE w:val="0"/>
              <w:autoSpaceDN w:val="0"/>
              <w:adjustRightInd w:val="0"/>
              <w:rPr>
                <w:bCs/>
              </w:rPr>
            </w:pPr>
          </w:p>
        </w:tc>
        <w:tc>
          <w:tcPr>
            <w:tcW w:w="310" w:type="pct"/>
            <w:tcBorders>
              <w:top w:val="single" w:color="auto" w:sz="4" w:space="0"/>
              <w:left w:val="single" w:color="auto" w:sz="4" w:space="0"/>
              <w:bottom w:val="single" w:color="auto" w:sz="4" w:space="0"/>
              <w:right w:val="single" w:color="auto" w:sz="4" w:space="0"/>
            </w:tcBorders>
            <w:vAlign w:val="center"/>
          </w:tcPr>
          <w:p w14:paraId="7ED355CE">
            <w:pPr>
              <w:autoSpaceDE w:val="0"/>
              <w:autoSpaceDN w:val="0"/>
              <w:adjustRightInd w:val="0"/>
              <w:rPr>
                <w:bCs/>
              </w:rPr>
            </w:pPr>
          </w:p>
        </w:tc>
        <w:sdt>
          <w:sdtPr>
            <w:rPr>
              <w:rFonts w:hint="eastAsia"/>
              <w:bCs/>
              <w:color w:val="000000" w:themeColor="text1"/>
              <w14:textFill>
                <w14:solidFill>
                  <w14:schemeClr w14:val="tx1"/>
                </w14:solidFill>
              </w14:textFill>
            </w:rPr>
            <w:alias w:val="担保是否已经履行完毕"/>
            <w:tag w:val="_GBC_790379edf6c5464398bb5b16c5922675"/>
            <w:id w:val="82034004"/>
            <w:comboBox>
              <w:listItem w:displayText="是" w:value="true"/>
              <w:listItem w:displayText="否" w:value="false"/>
            </w:comboBox>
          </w:sdtPr>
          <w:sdtEndPr>
            <w:rPr>
              <w:rFonts w:hint="eastAsia"/>
              <w:bCs/>
              <w:color w:val="000000" w:themeColor="text1"/>
              <w14:textFill>
                <w14:solidFill>
                  <w14:schemeClr w14:val="tx1"/>
                </w14:solidFill>
              </w14:textFill>
            </w:rPr>
          </w:sdtEndPr>
          <w:sdtContent>
            <w:tc>
              <w:tcPr>
                <w:tcW w:w="310" w:type="pct"/>
                <w:tcBorders>
                  <w:top w:val="single" w:color="auto" w:sz="4" w:space="0"/>
                  <w:left w:val="single" w:color="auto" w:sz="4" w:space="0"/>
                  <w:bottom w:val="single" w:color="auto" w:sz="4" w:space="0"/>
                  <w:right w:val="single" w:color="auto" w:sz="4" w:space="0"/>
                </w:tcBorders>
                <w:vAlign w:val="center"/>
              </w:tcPr>
              <w:p w14:paraId="52A1E146">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sdtContent>
        </w:sdt>
        <w:sdt>
          <w:sdtPr>
            <w:rPr>
              <w:rFonts w:hint="eastAsia"/>
              <w:bCs/>
              <w:color w:val="000000" w:themeColor="text1"/>
              <w14:textFill>
                <w14:solidFill>
                  <w14:schemeClr w14:val="tx1"/>
                </w14:solidFill>
              </w14:textFill>
            </w:rPr>
            <w:alias w:val="担保是否逾期"/>
            <w:tag w:val="_GBC_279128b9b4aa4b139c08ccdf093c3266"/>
            <w:id w:val="-1386417494"/>
            <w:comboBox>
              <w:listItem w:displayText="是" w:value="true"/>
              <w:listItem w:displayText="否" w:value="false"/>
            </w:comboBox>
          </w:sdtPr>
          <w:sdtEndPr>
            <w:rPr>
              <w:rFonts w:hint="eastAsia"/>
              <w:bCs/>
              <w:color w:val="000000" w:themeColor="text1"/>
              <w14:textFill>
                <w14:solidFill>
                  <w14:schemeClr w14:val="tx1"/>
                </w14:solidFill>
              </w14:textFill>
            </w:rPr>
          </w:sdtEndPr>
          <w:sdtContent>
            <w:tc>
              <w:tcPr>
                <w:tcW w:w="310" w:type="pct"/>
                <w:tcBorders>
                  <w:top w:val="single" w:color="auto" w:sz="4" w:space="0"/>
                  <w:left w:val="single" w:color="auto" w:sz="4" w:space="0"/>
                  <w:bottom w:val="single" w:color="auto" w:sz="4" w:space="0"/>
                  <w:right w:val="single" w:color="auto" w:sz="4" w:space="0"/>
                </w:tcBorders>
                <w:vAlign w:val="center"/>
              </w:tcPr>
              <w:p w14:paraId="1447EB39">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sdtContent>
        </w:sdt>
        <w:tc>
          <w:tcPr>
            <w:tcW w:w="341" w:type="pct"/>
            <w:tcBorders>
              <w:top w:val="single" w:color="auto" w:sz="4" w:space="0"/>
              <w:left w:val="single" w:color="auto" w:sz="4" w:space="0"/>
              <w:bottom w:val="single" w:color="auto" w:sz="4" w:space="0"/>
              <w:right w:val="single" w:color="auto" w:sz="4" w:space="0"/>
            </w:tcBorders>
            <w:vAlign w:val="center"/>
          </w:tcPr>
          <w:p w14:paraId="43C01039">
            <w:pPr>
              <w:autoSpaceDE w:val="0"/>
              <w:autoSpaceDN w:val="0"/>
              <w:adjustRightInd w:val="0"/>
              <w:ind w:right="84" w:rightChars="40"/>
              <w:jc w:val="right"/>
              <w:rPr>
                <w:bCs/>
              </w:rPr>
            </w:pPr>
          </w:p>
        </w:tc>
        <w:tc>
          <w:tcPr>
            <w:tcW w:w="310" w:type="pct"/>
            <w:tcBorders>
              <w:top w:val="single" w:color="auto" w:sz="4" w:space="0"/>
              <w:left w:val="single" w:color="auto" w:sz="4" w:space="0"/>
              <w:bottom w:val="single" w:color="auto" w:sz="4" w:space="0"/>
              <w:right w:val="single" w:color="auto" w:sz="4" w:space="0"/>
            </w:tcBorders>
            <w:vAlign w:val="center"/>
          </w:tcPr>
          <w:p w14:paraId="1441A432">
            <w:pPr>
              <w:autoSpaceDE w:val="0"/>
              <w:autoSpaceDN w:val="0"/>
              <w:adjustRightInd w:val="0"/>
              <w:rPr>
                <w:bCs/>
              </w:rPr>
            </w:pPr>
          </w:p>
        </w:tc>
        <w:sdt>
          <w:sdtPr>
            <w:rPr>
              <w:rFonts w:hint="eastAsia"/>
              <w:bCs/>
              <w:color w:val="000000" w:themeColor="text1"/>
              <w14:textFill>
                <w14:solidFill>
                  <w14:schemeClr w14:val="tx1"/>
                </w14:solidFill>
              </w14:textFill>
            </w:rPr>
            <w:alias w:val="是否为关联方担保"/>
            <w:tag w:val="_GBC_2ed8d565e4a8488f94e2a908c31053b9"/>
            <w:id w:val="-1053234431"/>
            <w:comboBox>
              <w:listItem w:displayText="是" w:value="true"/>
              <w:listItem w:displayText="否" w:value="false"/>
            </w:comboBox>
          </w:sdtPr>
          <w:sdtEndPr>
            <w:rPr>
              <w:rFonts w:hint="eastAsia"/>
              <w:bCs/>
              <w:color w:val="000000" w:themeColor="text1"/>
              <w14:textFill>
                <w14:solidFill>
                  <w14:schemeClr w14:val="tx1"/>
                </w14:solidFill>
              </w14:textFill>
            </w:rPr>
          </w:sdtEndPr>
          <w:sdtContent>
            <w:tc>
              <w:tcPr>
                <w:tcW w:w="310" w:type="pct"/>
                <w:tcBorders>
                  <w:top w:val="single" w:color="auto" w:sz="4" w:space="0"/>
                  <w:left w:val="single" w:color="auto" w:sz="4" w:space="0"/>
                  <w:bottom w:val="single" w:color="auto" w:sz="4" w:space="0"/>
                  <w:right w:val="single" w:color="auto" w:sz="4" w:space="0"/>
                </w:tcBorders>
                <w:vAlign w:val="center"/>
              </w:tcPr>
              <w:p w14:paraId="274B82BE">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sdtContent>
        </w:sdt>
        <w:sdt>
          <w:sdtPr>
            <w:rPr>
              <w:color w:val="000000" w:themeColor="text1"/>
              <w14:textFill>
                <w14:solidFill>
                  <w14:schemeClr w14:val="tx1"/>
                </w14:solidFill>
              </w14:textFill>
            </w:rPr>
            <w:alias w:val="担保中关联方与本公司关系"/>
            <w:tag w:val="_GBC_f42e2a714e404fb1856cdca85466ce88"/>
            <w:id w:val="-327523088"/>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color w:val="000000" w:themeColor="text1"/>
              <w14:textFill>
                <w14:solidFill>
                  <w14:schemeClr w14:val="tx1"/>
                </w14:solidFill>
              </w14:textFill>
            </w:rPr>
          </w:sdtEndPr>
          <w:sdtContent>
            <w:tc>
              <w:tcPr>
                <w:tcW w:w="303" w:type="pct"/>
                <w:tcBorders>
                  <w:top w:val="single" w:color="auto" w:sz="4" w:space="0"/>
                  <w:left w:val="single" w:color="auto" w:sz="4" w:space="0"/>
                  <w:bottom w:val="single" w:color="auto" w:sz="4" w:space="0"/>
                </w:tcBorders>
                <w:vAlign w:val="center"/>
              </w:tcPr>
              <w:p w14:paraId="016268BD">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sdtContent>
        </w:sdt>
      </w:tr>
      <w:tr w14:paraId="1B37F6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297" w:type="pct"/>
            <w:tcBorders>
              <w:top w:val="single" w:color="auto" w:sz="4" w:space="0"/>
              <w:bottom w:val="single" w:color="auto" w:sz="4" w:space="0"/>
              <w:right w:val="single" w:color="auto" w:sz="4" w:space="0"/>
            </w:tcBorders>
            <w:vAlign w:val="center"/>
          </w:tcPr>
          <w:p w14:paraId="5A89A782">
            <w:pPr>
              <w:autoSpaceDE w:val="0"/>
              <w:autoSpaceDN w:val="0"/>
              <w:adjustRightInd w:val="0"/>
            </w:pPr>
          </w:p>
        </w:tc>
        <w:tc>
          <w:tcPr>
            <w:tcW w:w="310" w:type="pct"/>
            <w:tcBorders>
              <w:top w:val="single" w:color="auto" w:sz="4" w:space="0"/>
              <w:left w:val="single" w:color="auto" w:sz="4" w:space="0"/>
              <w:bottom w:val="single" w:color="auto" w:sz="4" w:space="0"/>
              <w:right w:val="single" w:color="auto" w:sz="4" w:space="0"/>
            </w:tcBorders>
            <w:vAlign w:val="center"/>
          </w:tcPr>
          <w:p w14:paraId="3C479739">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310" w:type="pct"/>
            <w:tcBorders>
              <w:top w:val="single" w:color="auto" w:sz="4" w:space="0"/>
              <w:left w:val="single" w:color="auto" w:sz="4" w:space="0"/>
              <w:bottom w:val="single" w:color="auto" w:sz="4" w:space="0"/>
              <w:right w:val="single" w:color="auto" w:sz="4" w:space="0"/>
            </w:tcBorders>
            <w:vAlign w:val="center"/>
          </w:tcPr>
          <w:p w14:paraId="694FE9DF">
            <w:pPr>
              <w:autoSpaceDE w:val="0"/>
              <w:autoSpaceDN w:val="0"/>
              <w:adjustRightInd w:val="0"/>
            </w:pPr>
          </w:p>
        </w:tc>
        <w:tc>
          <w:tcPr>
            <w:tcW w:w="343" w:type="pct"/>
            <w:tcBorders>
              <w:top w:val="single" w:color="auto" w:sz="4" w:space="0"/>
              <w:left w:val="single" w:color="auto" w:sz="4" w:space="0"/>
              <w:bottom w:val="single" w:color="auto" w:sz="4" w:space="0"/>
              <w:right w:val="single" w:color="auto" w:sz="4" w:space="0"/>
            </w:tcBorders>
            <w:vAlign w:val="center"/>
          </w:tcPr>
          <w:p w14:paraId="494BCC05">
            <w:pPr>
              <w:autoSpaceDE w:val="0"/>
              <w:autoSpaceDN w:val="0"/>
              <w:adjustRightInd w:val="0"/>
              <w:ind w:right="84" w:rightChars="40"/>
              <w:jc w:val="right"/>
            </w:pPr>
          </w:p>
        </w:tc>
        <w:tc>
          <w:tcPr>
            <w:tcW w:w="310" w:type="pct"/>
            <w:tcBorders>
              <w:top w:val="single" w:color="auto" w:sz="4" w:space="0"/>
              <w:left w:val="single" w:color="auto" w:sz="4" w:space="0"/>
              <w:bottom w:val="single" w:color="auto" w:sz="4" w:space="0"/>
              <w:right w:val="single" w:color="auto" w:sz="4" w:space="0"/>
            </w:tcBorders>
            <w:vAlign w:val="center"/>
          </w:tcPr>
          <w:p w14:paraId="2614DB41">
            <w:pPr>
              <w:autoSpaceDE w:val="0"/>
              <w:autoSpaceDN w:val="0"/>
              <w:adjustRightInd w:val="0"/>
            </w:pPr>
          </w:p>
        </w:tc>
        <w:tc>
          <w:tcPr>
            <w:tcW w:w="309" w:type="pct"/>
            <w:tcBorders>
              <w:top w:val="single" w:color="auto" w:sz="4" w:space="0"/>
              <w:left w:val="single" w:color="auto" w:sz="4" w:space="0"/>
              <w:bottom w:val="single" w:color="auto" w:sz="4" w:space="0"/>
              <w:right w:val="single" w:color="auto" w:sz="4" w:space="0"/>
            </w:tcBorders>
            <w:vAlign w:val="center"/>
          </w:tcPr>
          <w:p w14:paraId="7731AA2B">
            <w:pPr>
              <w:autoSpaceDE w:val="0"/>
              <w:autoSpaceDN w:val="0"/>
              <w:adjustRightInd w:val="0"/>
            </w:pPr>
          </w:p>
        </w:tc>
        <w:tc>
          <w:tcPr>
            <w:tcW w:w="268" w:type="pct"/>
            <w:tcBorders>
              <w:top w:val="single" w:color="auto" w:sz="4" w:space="0"/>
              <w:left w:val="single" w:color="auto" w:sz="4" w:space="0"/>
              <w:bottom w:val="single" w:color="auto" w:sz="4" w:space="0"/>
              <w:right w:val="single" w:color="auto" w:sz="4" w:space="0"/>
            </w:tcBorders>
            <w:vAlign w:val="center"/>
          </w:tcPr>
          <w:p w14:paraId="7B4D4238">
            <w:pPr>
              <w:autoSpaceDE w:val="0"/>
              <w:autoSpaceDN w:val="0"/>
              <w:adjustRightInd w:val="0"/>
            </w:pPr>
          </w:p>
        </w:tc>
        <w:tc>
          <w:tcPr>
            <w:tcW w:w="348" w:type="pct"/>
            <w:tcBorders>
              <w:top w:val="single" w:color="auto" w:sz="4" w:space="0"/>
              <w:left w:val="single" w:color="auto" w:sz="4" w:space="0"/>
              <w:bottom w:val="single" w:color="auto" w:sz="4" w:space="0"/>
              <w:right w:val="single" w:color="auto" w:sz="4" w:space="0"/>
            </w:tcBorders>
            <w:vAlign w:val="center"/>
          </w:tcPr>
          <w:p w14:paraId="54110AF2">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310" w:type="pct"/>
            <w:tcBorders>
              <w:top w:val="single" w:color="auto" w:sz="4" w:space="0"/>
              <w:left w:val="single" w:color="auto" w:sz="4" w:space="0"/>
              <w:bottom w:val="single" w:color="auto" w:sz="4" w:space="0"/>
              <w:right w:val="single" w:color="auto" w:sz="4" w:space="0"/>
            </w:tcBorders>
            <w:vAlign w:val="center"/>
          </w:tcPr>
          <w:p w14:paraId="3C39A1BB">
            <w:pPr>
              <w:autoSpaceDE w:val="0"/>
              <w:autoSpaceDN w:val="0"/>
              <w:adjustRightInd w:val="0"/>
              <w:rPr>
                <w:bCs/>
              </w:rPr>
            </w:pPr>
          </w:p>
        </w:tc>
        <w:tc>
          <w:tcPr>
            <w:tcW w:w="310" w:type="pct"/>
            <w:tcBorders>
              <w:top w:val="single" w:color="auto" w:sz="4" w:space="0"/>
              <w:left w:val="single" w:color="auto" w:sz="4" w:space="0"/>
              <w:bottom w:val="single" w:color="auto" w:sz="4" w:space="0"/>
              <w:right w:val="single" w:color="auto" w:sz="4" w:space="0"/>
            </w:tcBorders>
            <w:vAlign w:val="center"/>
          </w:tcPr>
          <w:p w14:paraId="256199FD">
            <w:pPr>
              <w:autoSpaceDE w:val="0"/>
              <w:autoSpaceDN w:val="0"/>
              <w:adjustRightInd w:val="0"/>
              <w:rPr>
                <w:bCs/>
              </w:rPr>
            </w:pPr>
          </w:p>
        </w:tc>
        <w:tc>
          <w:tcPr>
            <w:tcW w:w="310" w:type="pct"/>
            <w:tcBorders>
              <w:top w:val="single" w:color="auto" w:sz="4" w:space="0"/>
              <w:left w:val="single" w:color="auto" w:sz="4" w:space="0"/>
              <w:bottom w:val="single" w:color="auto" w:sz="4" w:space="0"/>
              <w:right w:val="single" w:color="auto" w:sz="4" w:space="0"/>
            </w:tcBorders>
            <w:vAlign w:val="center"/>
          </w:tcPr>
          <w:p w14:paraId="34A90986">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310" w:type="pct"/>
            <w:tcBorders>
              <w:top w:val="single" w:color="auto" w:sz="4" w:space="0"/>
              <w:left w:val="single" w:color="auto" w:sz="4" w:space="0"/>
              <w:bottom w:val="single" w:color="auto" w:sz="4" w:space="0"/>
              <w:right w:val="single" w:color="auto" w:sz="4" w:space="0"/>
            </w:tcBorders>
            <w:vAlign w:val="center"/>
          </w:tcPr>
          <w:p w14:paraId="0E170D98">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341" w:type="pct"/>
            <w:tcBorders>
              <w:top w:val="single" w:color="auto" w:sz="4" w:space="0"/>
              <w:left w:val="single" w:color="auto" w:sz="4" w:space="0"/>
              <w:bottom w:val="single" w:color="auto" w:sz="4" w:space="0"/>
              <w:right w:val="single" w:color="auto" w:sz="4" w:space="0"/>
            </w:tcBorders>
            <w:vAlign w:val="center"/>
          </w:tcPr>
          <w:p w14:paraId="3DF2EB3D">
            <w:pPr>
              <w:autoSpaceDE w:val="0"/>
              <w:autoSpaceDN w:val="0"/>
              <w:adjustRightInd w:val="0"/>
              <w:ind w:right="84" w:rightChars="40"/>
              <w:jc w:val="right"/>
              <w:rPr>
                <w:bCs/>
              </w:rPr>
            </w:pPr>
          </w:p>
        </w:tc>
        <w:tc>
          <w:tcPr>
            <w:tcW w:w="310" w:type="pct"/>
            <w:tcBorders>
              <w:top w:val="single" w:color="auto" w:sz="4" w:space="0"/>
              <w:left w:val="single" w:color="auto" w:sz="4" w:space="0"/>
              <w:bottom w:val="single" w:color="auto" w:sz="4" w:space="0"/>
              <w:right w:val="single" w:color="auto" w:sz="4" w:space="0"/>
            </w:tcBorders>
            <w:vAlign w:val="center"/>
          </w:tcPr>
          <w:p w14:paraId="7D11F3CB">
            <w:pPr>
              <w:autoSpaceDE w:val="0"/>
              <w:autoSpaceDN w:val="0"/>
              <w:adjustRightInd w:val="0"/>
              <w:rPr>
                <w:bCs/>
              </w:rPr>
            </w:pPr>
          </w:p>
        </w:tc>
        <w:tc>
          <w:tcPr>
            <w:tcW w:w="310" w:type="pct"/>
            <w:tcBorders>
              <w:top w:val="single" w:color="auto" w:sz="4" w:space="0"/>
              <w:left w:val="single" w:color="auto" w:sz="4" w:space="0"/>
              <w:bottom w:val="single" w:color="auto" w:sz="4" w:space="0"/>
              <w:right w:val="single" w:color="auto" w:sz="4" w:space="0"/>
            </w:tcBorders>
            <w:vAlign w:val="center"/>
          </w:tcPr>
          <w:p w14:paraId="7EE12A53">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303" w:type="pct"/>
            <w:tcBorders>
              <w:top w:val="single" w:color="auto" w:sz="4" w:space="0"/>
              <w:left w:val="single" w:color="auto" w:sz="4" w:space="0"/>
              <w:bottom w:val="single" w:color="auto" w:sz="4" w:space="0"/>
            </w:tcBorders>
            <w:vAlign w:val="center"/>
          </w:tcPr>
          <w:p w14:paraId="479197BB">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5CAB5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0DE178FC">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报告期内担保发生额合计（不包括对子公司的担保）</w:t>
            </w:r>
          </w:p>
        </w:tc>
        <w:tc>
          <w:tcPr>
            <w:tcW w:w="2853" w:type="pct"/>
            <w:gridSpan w:val="9"/>
            <w:tcBorders>
              <w:top w:val="single" w:color="auto" w:sz="4" w:space="0"/>
              <w:left w:val="single" w:color="auto" w:sz="4" w:space="0"/>
              <w:bottom w:val="single" w:color="auto" w:sz="4" w:space="0"/>
            </w:tcBorders>
            <w:vAlign w:val="center"/>
          </w:tcPr>
          <w:p w14:paraId="128F9526">
            <w:pPr>
              <w:ind w:right="84" w:rightChars="40"/>
              <w:jc w:val="right"/>
            </w:pPr>
            <w:r>
              <w:rPr>
                <w:rFonts w:hint="eastAsia"/>
              </w:rPr>
              <w:t>0</w:t>
            </w:r>
          </w:p>
        </w:tc>
      </w:tr>
      <w:tr w14:paraId="601C0C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2AC7FAEE">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报告期末担保余额合计（</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）（不包括对子公司的担保）</w:t>
            </w:r>
          </w:p>
        </w:tc>
        <w:tc>
          <w:tcPr>
            <w:tcW w:w="2853" w:type="pct"/>
            <w:gridSpan w:val="9"/>
            <w:tcBorders>
              <w:top w:val="single" w:color="auto" w:sz="4" w:space="0"/>
              <w:left w:val="single" w:color="auto" w:sz="4" w:space="0"/>
              <w:bottom w:val="single" w:color="auto" w:sz="4" w:space="0"/>
            </w:tcBorders>
            <w:vAlign w:val="center"/>
          </w:tcPr>
          <w:p w14:paraId="3FB98C95">
            <w:pPr>
              <w:autoSpaceDE w:val="0"/>
              <w:autoSpaceDN w:val="0"/>
              <w:adjustRightInd w:val="0"/>
              <w:ind w:right="84" w:rightChars="40"/>
              <w:jc w:val="right"/>
            </w:pPr>
            <w:r>
              <w:rPr>
                <w:rFonts w:hint="eastAsia"/>
              </w:rPr>
              <w:t>0</w:t>
            </w:r>
          </w:p>
        </w:tc>
      </w:tr>
      <w:tr w14:paraId="3F94A4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5000" w:type="pct"/>
            <w:gridSpan w:val="16"/>
            <w:tcBorders>
              <w:top w:val="single" w:color="auto" w:sz="4" w:space="0"/>
              <w:bottom w:val="single" w:color="auto" w:sz="4" w:space="0"/>
            </w:tcBorders>
            <w:vAlign w:val="center"/>
          </w:tcPr>
          <w:p w14:paraId="36802599">
            <w:pPr>
              <w:autoSpaceDE w:val="0"/>
              <w:autoSpaceDN w:val="0"/>
              <w:adjustRightInd w:val="0"/>
              <w:ind w:right="84" w:rightChars="40"/>
              <w:jc w:val="center"/>
              <w:rPr>
                <w:color w:val="000000" w:themeColor="text1"/>
                <w14:textFill>
                  <w14:solidFill>
                    <w14:schemeClr w14:val="tx1"/>
                  </w14:solidFill>
                </w14:textFill>
              </w:rPr>
            </w:pPr>
            <w:sdt>
              <w:sdtPr>
                <w:tag w:val="_PLD_05f81595191b432fba2f5467a459f70b"/>
                <w:id w:val="-1482537621"/>
              </w:sdtPr>
              <w:sdtContent>
                <w:r>
                  <w:rPr>
                    <w:rFonts w:hint="eastAsia"/>
                    <w:color w:val="000000" w:themeColor="text1"/>
                    <w14:textFill>
                      <w14:solidFill>
                        <w14:schemeClr w14:val="tx1"/>
                      </w14:solidFill>
                    </w14:textFill>
                  </w:rPr>
                  <w:t>公司对子公司的担保情况</w:t>
                </w:r>
              </w:sdtContent>
            </w:sdt>
          </w:p>
        </w:tc>
      </w:tr>
      <w:tr w14:paraId="37CC03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1BC10DE2">
            <w:pPr>
              <w:autoSpaceDE w:val="0"/>
              <w:autoSpaceDN w:val="0"/>
              <w:adjustRightInd w:val="0"/>
              <w:ind w:right="84" w:rightChars="40"/>
              <w:rPr>
                <w:color w:val="000000" w:themeColor="text1"/>
                <w14:textFill>
                  <w14:solidFill>
                    <w14:schemeClr w14:val="tx1"/>
                  </w14:solidFill>
                </w14:textFill>
              </w:rPr>
            </w:pPr>
            <w:r>
              <w:rPr>
                <w:rFonts w:hint="eastAsia"/>
                <w:color w:val="000000" w:themeColor="text1"/>
                <w14:textFill>
                  <w14:solidFill>
                    <w14:schemeClr w14:val="tx1"/>
                  </w14:solidFill>
                </w14:textFill>
              </w:rPr>
              <w:t>报告期内对子公司担保发生额合计</w:t>
            </w:r>
          </w:p>
        </w:tc>
        <w:tc>
          <w:tcPr>
            <w:tcW w:w="2853" w:type="pct"/>
            <w:gridSpan w:val="9"/>
            <w:tcBorders>
              <w:top w:val="single" w:color="auto" w:sz="4" w:space="0"/>
              <w:left w:val="single" w:color="auto" w:sz="4" w:space="0"/>
              <w:bottom w:val="single" w:color="auto" w:sz="4" w:space="0"/>
            </w:tcBorders>
            <w:vAlign w:val="center"/>
          </w:tcPr>
          <w:p w14:paraId="6D0A86E2">
            <w:pPr>
              <w:ind w:right="84" w:rightChars="40"/>
              <w:jc w:val="right"/>
            </w:pPr>
            <w:r>
              <w:t>33,000.00</w:t>
            </w:r>
          </w:p>
        </w:tc>
      </w:tr>
      <w:tr w14:paraId="683C39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57008455">
            <w:pPr>
              <w:autoSpaceDE w:val="0"/>
              <w:autoSpaceDN w:val="0"/>
              <w:adjustRightInd w:val="0"/>
              <w:ind w:right="84" w:rightChars="40"/>
              <w:rPr>
                <w:color w:val="000000" w:themeColor="text1"/>
                <w14:textFill>
                  <w14:solidFill>
                    <w14:schemeClr w14:val="tx1"/>
                  </w14:solidFill>
                </w14:textFill>
              </w:rPr>
            </w:pPr>
            <w:r>
              <w:rPr>
                <w:rFonts w:hint="eastAsia"/>
                <w:color w:val="000000" w:themeColor="text1"/>
                <w14:textFill>
                  <w14:solidFill>
                    <w14:schemeClr w14:val="tx1"/>
                  </w14:solidFill>
                </w14:textFill>
              </w:rPr>
              <w:t>报告期末对子公司担保余额合计（</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w:t>
            </w:r>
          </w:p>
        </w:tc>
        <w:tc>
          <w:tcPr>
            <w:tcW w:w="2853" w:type="pct"/>
            <w:gridSpan w:val="9"/>
            <w:tcBorders>
              <w:top w:val="single" w:color="auto" w:sz="4" w:space="0"/>
              <w:left w:val="single" w:color="auto" w:sz="4" w:space="0"/>
              <w:bottom w:val="single" w:color="auto" w:sz="4" w:space="0"/>
            </w:tcBorders>
            <w:vAlign w:val="center"/>
          </w:tcPr>
          <w:p w14:paraId="607E694A">
            <w:pPr>
              <w:tabs>
                <w:tab w:val="center" w:pos="2466"/>
                <w:tab w:val="right" w:pos="4932"/>
              </w:tabs>
              <w:autoSpaceDE w:val="0"/>
              <w:autoSpaceDN w:val="0"/>
              <w:adjustRightInd w:val="0"/>
              <w:ind w:right="84" w:rightChars="40"/>
              <w:jc w:val="right"/>
            </w:pPr>
            <w:r>
              <w:t>37,930.96</w:t>
            </w:r>
          </w:p>
        </w:tc>
      </w:tr>
      <w:tr w14:paraId="56A887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7934b7db222a4b859de67adddfbf4ea4"/>
            <w:id w:val="1682786546"/>
          </w:sdtPr>
          <w:sdtContent>
            <w:tc>
              <w:tcPr>
                <w:tcW w:w="5000" w:type="pct"/>
                <w:gridSpan w:val="16"/>
                <w:tcBorders>
                  <w:top w:val="single" w:color="auto" w:sz="4" w:space="0"/>
                  <w:bottom w:val="single" w:color="auto" w:sz="4" w:space="0"/>
                </w:tcBorders>
                <w:vAlign w:val="center"/>
              </w:tcPr>
              <w:p w14:paraId="73B8D68D">
                <w:pPr>
                  <w:autoSpaceDE w:val="0"/>
                  <w:autoSpaceDN w:val="0"/>
                  <w:adjustRightInd w:val="0"/>
                  <w:ind w:right="84" w:rightChars="4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公司担保总额情况（包括对子公司的担保）</w:t>
                </w:r>
              </w:p>
            </w:tc>
          </w:sdtContent>
        </w:sdt>
      </w:tr>
      <w:tr w14:paraId="0D83D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470" w:hRule="atLeast"/>
        </w:trPr>
        <w:tc>
          <w:tcPr>
            <w:tcW w:w="2147" w:type="pct"/>
            <w:gridSpan w:val="7"/>
            <w:tcBorders>
              <w:top w:val="single" w:color="auto" w:sz="4" w:space="0"/>
              <w:bottom w:val="single" w:color="auto" w:sz="4" w:space="0"/>
              <w:right w:val="single" w:color="auto" w:sz="4" w:space="0"/>
            </w:tcBorders>
            <w:vAlign w:val="center"/>
          </w:tcPr>
          <w:p w14:paraId="19260AA0">
            <w:pPr>
              <w:autoSpaceDE w:val="0"/>
              <w:autoSpaceDN w:val="0"/>
              <w:adjustRightInd w:val="0"/>
              <w:ind w:right="84" w:rightChars="40"/>
              <w:rPr>
                <w:color w:val="000000" w:themeColor="text1"/>
                <w14:textFill>
                  <w14:solidFill>
                    <w14:schemeClr w14:val="tx1"/>
                  </w14:solidFill>
                </w14:textFill>
              </w:rPr>
            </w:pPr>
            <w:r>
              <w:rPr>
                <w:rFonts w:hint="eastAsia"/>
                <w:color w:val="000000" w:themeColor="text1"/>
                <w14:textFill>
                  <w14:solidFill>
                    <w14:schemeClr w14:val="tx1"/>
                  </w14:solidFill>
                </w14:textFill>
              </w:rPr>
              <w:t>担保总额（</w:t>
            </w:r>
            <w:r>
              <w:rPr>
                <w:color w:val="000000" w:themeColor="text1"/>
                <w14:textFill>
                  <w14:solidFill>
                    <w14:schemeClr w14:val="tx1"/>
                  </w14:solidFill>
                </w14:textFill>
              </w:rPr>
              <w:t>A+B</w:t>
            </w:r>
            <w:r>
              <w:rPr>
                <w:rFonts w:hint="eastAsia"/>
                <w:color w:val="000000" w:themeColor="text1"/>
                <w14:textFill>
                  <w14:solidFill>
                    <w14:schemeClr w14:val="tx1"/>
                  </w14:solidFill>
                </w14:textFill>
              </w:rPr>
              <w:t>）</w:t>
            </w:r>
          </w:p>
        </w:tc>
        <w:tc>
          <w:tcPr>
            <w:tcW w:w="2853" w:type="pct"/>
            <w:gridSpan w:val="9"/>
            <w:tcBorders>
              <w:top w:val="single" w:color="auto" w:sz="4" w:space="0"/>
              <w:left w:val="single" w:color="auto" w:sz="4" w:space="0"/>
              <w:bottom w:val="single" w:color="auto" w:sz="4" w:space="0"/>
            </w:tcBorders>
            <w:vAlign w:val="center"/>
          </w:tcPr>
          <w:p w14:paraId="2BF7B1AF">
            <w:pPr>
              <w:autoSpaceDE w:val="0"/>
              <w:autoSpaceDN w:val="0"/>
              <w:adjustRightInd w:val="0"/>
              <w:ind w:right="84" w:rightChars="40"/>
              <w:jc w:val="right"/>
            </w:pPr>
            <w:r>
              <w:t>37,930.96</w:t>
            </w:r>
          </w:p>
        </w:tc>
      </w:tr>
      <w:tr w14:paraId="476483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345F64CD">
            <w:pPr>
              <w:autoSpaceDE w:val="0"/>
              <w:autoSpaceDN w:val="0"/>
              <w:adjustRightInd w:val="0"/>
              <w:ind w:right="84" w:rightChars="40"/>
              <w:rPr>
                <w:color w:val="000000" w:themeColor="text1"/>
                <w14:textFill>
                  <w14:solidFill>
                    <w14:schemeClr w14:val="tx1"/>
                  </w14:solidFill>
                </w14:textFill>
              </w:rPr>
            </w:pPr>
            <w:r>
              <w:rPr>
                <w:rFonts w:hint="eastAsia"/>
                <w:color w:val="000000" w:themeColor="text1"/>
                <w14:textFill>
                  <w14:solidFill>
                    <w14:schemeClr w14:val="tx1"/>
                  </w14:solidFill>
                </w14:textFill>
              </w:rPr>
              <w:t>担保总额占公司净资产的比例</w:t>
            </w:r>
            <w:r>
              <w:rPr>
                <w:color w:val="000000" w:themeColor="text1"/>
                <w14:textFill>
                  <w14:solidFill>
                    <w14:schemeClr w14:val="tx1"/>
                  </w14:solidFill>
                </w14:textFill>
              </w:rPr>
              <w:t>(%)</w:t>
            </w:r>
          </w:p>
        </w:tc>
        <w:tc>
          <w:tcPr>
            <w:tcW w:w="2853" w:type="pct"/>
            <w:gridSpan w:val="9"/>
            <w:tcBorders>
              <w:top w:val="single" w:color="auto" w:sz="4" w:space="0"/>
              <w:left w:val="single" w:color="auto" w:sz="4" w:space="0"/>
              <w:bottom w:val="single" w:color="auto" w:sz="4" w:space="0"/>
            </w:tcBorders>
            <w:vAlign w:val="center"/>
          </w:tcPr>
          <w:p w14:paraId="728BD2BA">
            <w:pPr>
              <w:autoSpaceDE w:val="0"/>
              <w:autoSpaceDN w:val="0"/>
              <w:adjustRightInd w:val="0"/>
              <w:ind w:right="84" w:rightChars="40"/>
              <w:jc w:val="right"/>
            </w:pPr>
            <w:r>
              <w:rPr>
                <w:rFonts w:hint="eastAsia"/>
              </w:rPr>
              <w:t>3</w:t>
            </w:r>
            <w:r>
              <w:t>.59</w:t>
            </w:r>
          </w:p>
        </w:tc>
      </w:tr>
      <w:tr w14:paraId="7678F5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a773089c19754364bad6c8803a7c8022"/>
            <w:id w:val="-761220726"/>
          </w:sdtPr>
          <w:sdtContent>
            <w:tc>
              <w:tcPr>
                <w:tcW w:w="5000" w:type="pct"/>
                <w:gridSpan w:val="16"/>
                <w:tcBorders>
                  <w:top w:val="single" w:color="auto" w:sz="4" w:space="0"/>
                  <w:bottom w:val="single" w:color="auto" w:sz="4" w:space="0"/>
                </w:tcBorders>
                <w:vAlign w:val="center"/>
              </w:tcPr>
              <w:p w14:paraId="64CE80A1">
                <w:pPr>
                  <w:pStyle w:val="15"/>
                  <w:autoSpaceDE w:val="0"/>
                  <w:autoSpaceDN w:val="0"/>
                  <w:adjustRightInd w:val="0"/>
                  <w:ind w:right="84" w:rightChars="4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其中：</w:t>
                </w:r>
              </w:p>
            </w:tc>
          </w:sdtContent>
        </w:sdt>
      </w:tr>
      <w:tr w14:paraId="1E606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2E59B649">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为股东、实际控制人及其关联方提供担保的金额（</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w:t>
            </w:r>
          </w:p>
        </w:tc>
        <w:tc>
          <w:tcPr>
            <w:tcW w:w="2853" w:type="pct"/>
            <w:gridSpan w:val="9"/>
            <w:tcBorders>
              <w:top w:val="single" w:color="auto" w:sz="4" w:space="0"/>
              <w:left w:val="single" w:color="auto" w:sz="4" w:space="0"/>
              <w:bottom w:val="single" w:color="auto" w:sz="4" w:space="0"/>
            </w:tcBorders>
            <w:vAlign w:val="center"/>
          </w:tcPr>
          <w:p w14:paraId="27407688">
            <w:pPr>
              <w:ind w:right="84" w:rightChars="40"/>
              <w:jc w:val="right"/>
            </w:pPr>
            <w:r>
              <w:rPr>
                <w:rFonts w:hint="eastAsia"/>
              </w:rPr>
              <w:t>0</w:t>
            </w:r>
          </w:p>
        </w:tc>
      </w:tr>
      <w:tr w14:paraId="28BBFA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7E69BA5A">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直接或间接为资产负债率超过</w:t>
            </w:r>
            <w:r>
              <w:rPr>
                <w:color w:val="000000" w:themeColor="text1"/>
                <w14:textFill>
                  <w14:solidFill>
                    <w14:schemeClr w14:val="tx1"/>
                  </w14:solidFill>
                </w14:textFill>
              </w:rPr>
              <w:t>70</w:t>
            </w:r>
            <w:r>
              <w:rPr>
                <w:rFonts w:hint="eastAsia"/>
                <w:color w:val="000000" w:themeColor="text1"/>
                <w14:textFill>
                  <w14:solidFill>
                    <w14:schemeClr w14:val="tx1"/>
                  </w14:solidFill>
                </w14:textFill>
              </w:rPr>
              <w:t>%的被担保对象提供的债务担保金额（</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p>
        </w:tc>
        <w:tc>
          <w:tcPr>
            <w:tcW w:w="2853" w:type="pct"/>
            <w:gridSpan w:val="9"/>
            <w:tcBorders>
              <w:top w:val="single" w:color="auto" w:sz="4" w:space="0"/>
              <w:left w:val="single" w:color="auto" w:sz="4" w:space="0"/>
              <w:bottom w:val="single" w:color="auto" w:sz="4" w:space="0"/>
            </w:tcBorders>
            <w:vAlign w:val="center"/>
          </w:tcPr>
          <w:p w14:paraId="1F225A67">
            <w:pPr>
              <w:autoSpaceDE w:val="0"/>
              <w:autoSpaceDN w:val="0"/>
              <w:adjustRightInd w:val="0"/>
              <w:ind w:right="84" w:rightChars="40"/>
              <w:jc w:val="right"/>
            </w:pPr>
            <w:r>
              <w:t>5,000.00</w:t>
            </w:r>
          </w:p>
        </w:tc>
      </w:tr>
      <w:tr w14:paraId="3093D0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23307653">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担保总额超过净资产</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%部分的金额（</w:t>
            </w:r>
            <w:r>
              <w:rPr>
                <w:color w:val="000000" w:themeColor="text1"/>
                <w14:textFill>
                  <w14:solidFill>
                    <w14:schemeClr w14:val="tx1"/>
                  </w14:solidFill>
                </w14:textFill>
              </w:rPr>
              <w:t>E</w:t>
            </w:r>
            <w:r>
              <w:rPr>
                <w:rFonts w:hint="eastAsia"/>
                <w:color w:val="000000" w:themeColor="text1"/>
                <w14:textFill>
                  <w14:solidFill>
                    <w14:schemeClr w14:val="tx1"/>
                  </w14:solidFill>
                </w14:textFill>
              </w:rPr>
              <w:t>）</w:t>
            </w:r>
          </w:p>
        </w:tc>
        <w:tc>
          <w:tcPr>
            <w:tcW w:w="2853" w:type="pct"/>
            <w:gridSpan w:val="9"/>
            <w:tcBorders>
              <w:top w:val="single" w:color="auto" w:sz="4" w:space="0"/>
              <w:left w:val="single" w:color="auto" w:sz="4" w:space="0"/>
              <w:bottom w:val="single" w:color="auto" w:sz="4" w:space="0"/>
            </w:tcBorders>
            <w:vAlign w:val="center"/>
          </w:tcPr>
          <w:p w14:paraId="6F37BA91">
            <w:pPr>
              <w:ind w:right="84" w:rightChars="40"/>
              <w:jc w:val="right"/>
            </w:pPr>
            <w:r>
              <w:rPr>
                <w:rFonts w:hint="eastAsia"/>
              </w:rPr>
              <w:t>0</w:t>
            </w:r>
          </w:p>
        </w:tc>
      </w:tr>
      <w:tr w14:paraId="39181E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0C056114">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上述三项担保金额合计（</w:t>
            </w:r>
            <w:r>
              <w:rPr>
                <w:color w:val="000000" w:themeColor="text1"/>
                <w14:textFill>
                  <w14:solidFill>
                    <w14:schemeClr w14:val="tx1"/>
                  </w14:solidFill>
                </w14:textFill>
              </w:rPr>
              <w:t>C+D+E</w:t>
            </w:r>
            <w:r>
              <w:rPr>
                <w:rFonts w:hint="eastAsia"/>
                <w:color w:val="000000" w:themeColor="text1"/>
                <w14:textFill>
                  <w14:solidFill>
                    <w14:schemeClr w14:val="tx1"/>
                  </w14:solidFill>
                </w14:textFill>
              </w:rPr>
              <w:t>）</w:t>
            </w:r>
          </w:p>
        </w:tc>
        <w:tc>
          <w:tcPr>
            <w:tcW w:w="2853" w:type="pct"/>
            <w:gridSpan w:val="9"/>
            <w:tcBorders>
              <w:top w:val="single" w:color="auto" w:sz="4" w:space="0"/>
              <w:left w:val="single" w:color="auto" w:sz="4" w:space="0"/>
              <w:bottom w:val="single" w:color="auto" w:sz="4" w:space="0"/>
            </w:tcBorders>
            <w:vAlign w:val="center"/>
          </w:tcPr>
          <w:p w14:paraId="41C0190F">
            <w:pPr>
              <w:autoSpaceDE w:val="0"/>
              <w:autoSpaceDN w:val="0"/>
              <w:adjustRightInd w:val="0"/>
              <w:ind w:right="84" w:rightChars="40"/>
              <w:jc w:val="right"/>
            </w:pPr>
            <w:r>
              <w:t>5,000.00</w:t>
            </w:r>
          </w:p>
        </w:tc>
      </w:tr>
      <w:tr w14:paraId="71292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2CB7225E">
            <w:pPr>
              <w:pStyle w:val="15"/>
              <w:autoSpaceDE w:val="0"/>
              <w:autoSpaceDN w:val="0"/>
              <w:adjustRightInd w:val="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未到期担保可能承担连带清偿责任说明</w:t>
            </w:r>
          </w:p>
        </w:tc>
        <w:tc>
          <w:tcPr>
            <w:tcW w:w="2853" w:type="pct"/>
            <w:gridSpan w:val="9"/>
            <w:tcBorders>
              <w:top w:val="single" w:color="auto" w:sz="4" w:space="0"/>
              <w:left w:val="single" w:color="auto" w:sz="4" w:space="0"/>
              <w:bottom w:val="single" w:color="auto" w:sz="4" w:space="0"/>
            </w:tcBorders>
            <w:vAlign w:val="center"/>
          </w:tcPr>
          <w:p w14:paraId="0E7FF85A">
            <w:pPr>
              <w:autoSpaceDE w:val="0"/>
              <w:autoSpaceDN w:val="0"/>
              <w:adjustRightInd w:val="0"/>
              <w:jc w:val="right"/>
            </w:pPr>
            <w:r>
              <w:rPr>
                <w:rFonts w:hint="eastAsia"/>
              </w:rPr>
              <w:t>不适用</w:t>
            </w:r>
          </w:p>
        </w:tc>
      </w:tr>
      <w:tr w14:paraId="60E6A2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tc>
          <w:tcPr>
            <w:tcW w:w="2147" w:type="pct"/>
            <w:gridSpan w:val="7"/>
            <w:tcBorders>
              <w:top w:val="single" w:color="auto" w:sz="4" w:space="0"/>
              <w:bottom w:val="single" w:color="auto" w:sz="4" w:space="0"/>
              <w:right w:val="single" w:color="auto" w:sz="4" w:space="0"/>
            </w:tcBorders>
            <w:vAlign w:val="center"/>
          </w:tcPr>
          <w:p w14:paraId="7581CA32">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担保情况说明</w:t>
            </w:r>
          </w:p>
        </w:tc>
        <w:tc>
          <w:tcPr>
            <w:tcW w:w="2853" w:type="pct"/>
            <w:gridSpan w:val="9"/>
            <w:tcBorders>
              <w:top w:val="single" w:color="auto" w:sz="4" w:space="0"/>
              <w:left w:val="single" w:color="auto" w:sz="4" w:space="0"/>
              <w:bottom w:val="single" w:color="auto" w:sz="4" w:space="0"/>
            </w:tcBorders>
            <w:vAlign w:val="center"/>
          </w:tcPr>
          <w:p w14:paraId="1F8F8C2B">
            <w:pPr>
              <w:autoSpaceDE w:val="0"/>
              <w:autoSpaceDN w:val="0"/>
              <w:adjustRightInd w:val="0"/>
            </w:pPr>
            <w:r>
              <w:rPr>
                <w:rFonts w:hint="eastAsia"/>
              </w:rPr>
              <w:t>直接或间接为资产负债率超过70%的被担保对象提供的债务担保的公司为公司控股子公司，风险可控。</w:t>
            </w:r>
          </w:p>
        </w:tc>
      </w:tr>
    </w:tbl>
    <w:p w14:paraId="4B2C416C">
      <w:pPr>
        <w:rPr>
          <w:color w:val="000000" w:themeColor="text1"/>
          <w14:textFill>
            <w14:solidFill>
              <w14:schemeClr w14:val="tx1"/>
            </w14:solidFill>
          </w14:textFill>
        </w:rPr>
      </w:pPr>
    </w:p>
    <w:bookmarkEnd w:id="68"/>
    <w:p w14:paraId="52D66669">
      <w:pPr>
        <w:rPr>
          <w:color w:val="000000" w:themeColor="text1"/>
          <w14:textFill>
            <w14:solidFill>
              <w14:schemeClr w14:val="tx1"/>
            </w14:solidFill>
          </w14:textFill>
        </w:rPr>
        <w:sectPr>
          <w:pgSz w:w="16838" w:h="11906" w:orient="landscape"/>
          <w:pgMar w:top="1797" w:right="1525" w:bottom="1276" w:left="1440" w:header="851" w:footer="992" w:gutter="0"/>
          <w:cols w:space="425" w:num="1"/>
          <w:docGrid w:linePitch="312" w:charSpace="0"/>
        </w:sectPr>
      </w:pPr>
    </w:p>
    <w:p w14:paraId="7DBD1E05">
      <w:pPr>
        <w:pStyle w:val="4"/>
        <w:numPr>
          <w:ilvl w:val="0"/>
          <w:numId w:val="2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其他重大合同</w:t>
      </w:r>
    </w:p>
    <w:sdt>
      <w:sdtPr>
        <w:rPr>
          <w:color w:val="000000" w:themeColor="text1"/>
          <w14:textFill>
            <w14:solidFill>
              <w14:schemeClr w14:val="tx1"/>
            </w14:solidFill>
          </w14:textFill>
        </w:rPr>
        <w:alias w:val="是否适用：其他重大合同[双击切换]"/>
        <w:tag w:val="_GBC_23289ac36e3b4aeeaff6a4f1df0c3165"/>
        <w:id w:val="1760093192"/>
        <w:placeholder>
          <w:docPart w:val="GBC22222222222222222222222222222"/>
        </w:placeholder>
      </w:sdtPr>
      <w:sdtEndPr>
        <w:rPr>
          <w:color w:val="000000" w:themeColor="text1"/>
          <w14:textFill>
            <w14:solidFill>
              <w14:schemeClr w14:val="tx1"/>
            </w14:solidFill>
          </w14:textFill>
        </w:rPr>
      </w:sdtEndPr>
      <w:sdtContent>
        <w:p w14:paraId="16BBA91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6360359">
      <w:pPr>
        <w:rPr>
          <w:color w:val="000000" w:themeColor="text1"/>
          <w14:textFill>
            <w14:solidFill>
              <w14:schemeClr w14:val="tx1"/>
            </w14:solidFill>
          </w14:textFill>
        </w:rPr>
      </w:pPr>
    </w:p>
    <w:p w14:paraId="07606CC2">
      <w:pPr>
        <w:pStyle w:val="3"/>
        <w:numPr>
          <w:ilvl w:val="0"/>
          <w:numId w:val="16"/>
        </w:numPr>
        <w:tabs>
          <w:tab w:val="left" w:pos="426"/>
        </w:tabs>
        <w:jc w:val="left"/>
        <w:rPr>
          <w:rFonts w:ascii="宋体" w:hAnsi="宋体"/>
          <w:color w:val="000000" w:themeColor="text1"/>
          <w14:textFill>
            <w14:solidFill>
              <w14:schemeClr w14:val="tx1"/>
            </w14:solidFill>
          </w14:textFill>
        </w:rPr>
      </w:pPr>
      <w:bookmarkStart w:id="69" w:name="_Hlk170215658"/>
      <w:bookmarkStart w:id="70" w:name="_Hlk170206295"/>
      <w:bookmarkStart w:id="71" w:name="_Hlk72846301"/>
      <w:r>
        <w:rPr>
          <w:rFonts w:hint="eastAsia" w:ascii="宋体" w:hAnsi="宋体"/>
          <w:color w:val="000000" w:themeColor="text1"/>
          <w14:textFill>
            <w14:solidFill>
              <w14:schemeClr w14:val="tx1"/>
            </w14:solidFill>
          </w14:textFill>
        </w:rPr>
        <w:t>募集资金使用进展说明</w:t>
      </w:r>
    </w:p>
    <w:sdt>
      <w:sdtPr>
        <w:rPr>
          <w:color w:val="000000" w:themeColor="text1"/>
          <w14:textFill>
            <w14:solidFill>
              <w14:schemeClr w14:val="tx1"/>
            </w14:solidFill>
          </w14:textFill>
        </w:rPr>
        <w:alias w:val="是否适用：募集资金使用进展说明[双击切换]"/>
        <w:tag w:val="_GBC_680b9390780e4e2096adf48e91fa95ca"/>
        <w:id w:val="1877268699"/>
        <w:placeholder>
          <w:docPart w:val="GBC22222222222222222222222222222"/>
        </w:placeholder>
      </w:sdtPr>
      <w:sdtEndPr>
        <w:rPr>
          <w:color w:val="000000" w:themeColor="text1"/>
          <w14:textFill>
            <w14:solidFill>
              <w14:schemeClr w14:val="tx1"/>
            </w14:solidFill>
          </w14:textFill>
        </w:rPr>
      </w:sdtEndPr>
      <w:sdtContent>
        <w:p w14:paraId="45B25AC2">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69"/>
    <w:bookmarkEnd w:id="70"/>
    <w:bookmarkEnd w:id="71"/>
    <w:p w14:paraId="1AB14D12">
      <w:pPr>
        <w:rPr>
          <w:color w:val="000000" w:themeColor="text1"/>
          <w14:textFill>
            <w14:solidFill>
              <w14:schemeClr w14:val="tx1"/>
            </w14:solidFill>
          </w14:textFill>
        </w:rPr>
      </w:pPr>
      <w:bookmarkStart w:id="72" w:name="_Hlk200012883"/>
    </w:p>
    <w:bookmarkEnd w:id="72"/>
    <w:p w14:paraId="1460B87F">
      <w:pPr>
        <w:pStyle w:val="3"/>
        <w:numPr>
          <w:ilvl w:val="0"/>
          <w:numId w:val="16"/>
        </w:numPr>
        <w:tabs>
          <w:tab w:val="left" w:pos="426"/>
        </w:tabs>
        <w:jc w:val="left"/>
        <w:rPr>
          <w:rFonts w:ascii="宋体" w:hAnsi="宋体"/>
          <w:color w:val="000000" w:themeColor="text1"/>
          <w14:textFill>
            <w14:solidFill>
              <w14:schemeClr w14:val="tx1"/>
            </w14:solidFill>
          </w14:textFill>
        </w:rPr>
      </w:pPr>
      <w:bookmarkStart w:id="73" w:name="_Hlk74820557"/>
      <w:bookmarkStart w:id="74" w:name="_Hlk74904700"/>
      <w:r>
        <w:rPr>
          <w:rFonts w:hint="eastAsia" w:ascii="宋体" w:hAnsi="宋体"/>
          <w:color w:val="000000" w:themeColor="text1"/>
          <w14:textFill>
            <w14:solidFill>
              <w14:schemeClr w14:val="tx1"/>
            </w14:solidFill>
          </w14:textFill>
        </w:rPr>
        <w:t>其他重大事项的说明</w:t>
      </w:r>
    </w:p>
    <w:sdt>
      <w:sdtPr>
        <w:rPr>
          <w:color w:val="000000" w:themeColor="text1"/>
          <w14:textFill>
            <w14:solidFill>
              <w14:schemeClr w14:val="tx1"/>
            </w14:solidFill>
          </w14:textFill>
        </w:rPr>
        <w:alias w:val="是否适用：其他重大事项的说明[双击切换]"/>
        <w:tag w:val="_GBC_60472543195d45309db4d042b8e09883"/>
        <w:id w:val="-1027023517"/>
        <w:placeholder>
          <w:docPart w:val="GBC22222222222222222222222222222"/>
        </w:placeholder>
      </w:sdtPr>
      <w:sdtEndPr>
        <w:rPr>
          <w:color w:val="000000" w:themeColor="text1"/>
          <w14:textFill>
            <w14:solidFill>
              <w14:schemeClr w14:val="tx1"/>
            </w14:solidFill>
          </w14:textFill>
        </w:rPr>
      </w:sdtEndPr>
      <w:sdtContent>
        <w:p w14:paraId="3B1A29D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73"/>
    <w:bookmarkEnd w:id="74"/>
    <w:p w14:paraId="39C873E7">
      <w:pPr>
        <w:rPr>
          <w:color w:val="000000" w:themeColor="text1"/>
          <w14:textFill>
            <w14:solidFill>
              <w14:schemeClr w14:val="tx1"/>
            </w14:solidFill>
          </w14:textFill>
        </w:rPr>
      </w:pPr>
    </w:p>
    <w:p w14:paraId="6AB4A7E0">
      <w:pPr>
        <w:pStyle w:val="2"/>
        <w:numPr>
          <w:ilvl w:val="0"/>
          <w:numId w:val="3"/>
        </w:numPr>
        <w:rPr>
          <w:rFonts w:ascii="黑体" w:hAnsi="黑体"/>
          <w:color w:val="000000" w:themeColor="text1"/>
          <w14:textFill>
            <w14:solidFill>
              <w14:schemeClr w14:val="tx1"/>
            </w14:solidFill>
          </w14:textFill>
        </w:rPr>
      </w:pPr>
      <w:bookmarkStart w:id="75" w:name="_Toc76114278"/>
      <w:bookmarkStart w:id="76" w:name="_Toc200030544"/>
      <w:bookmarkStart w:id="77" w:name="_Toc392233016"/>
      <w:r>
        <w:rPr>
          <w:rFonts w:hint="eastAsia" w:ascii="黑体" w:hAnsi="黑体"/>
          <w:color w:val="000000" w:themeColor="text1"/>
          <w14:textFill>
            <w14:solidFill>
              <w14:schemeClr w14:val="tx1"/>
            </w14:solidFill>
          </w14:textFill>
        </w:rPr>
        <w:t>股份变动及股东情况</w:t>
      </w:r>
    </w:p>
    <w:bookmarkEnd w:id="63"/>
    <w:bookmarkEnd w:id="75"/>
    <w:bookmarkEnd w:id="76"/>
    <w:bookmarkEnd w:id="77"/>
    <w:p w14:paraId="607CA3C0">
      <w:pPr>
        <w:pStyle w:val="3"/>
        <w:numPr>
          <w:ilvl w:val="0"/>
          <w:numId w:val="24"/>
        </w:numPr>
        <w:spacing w:line="360" w:lineRule="auto"/>
        <w:ind w:left="422" w:hanging="422"/>
        <w:rPr>
          <w:rFonts w:ascii="宋体" w:hAnsi="宋体"/>
          <w:color w:val="000000" w:themeColor="text1"/>
          <w14:textFill>
            <w14:solidFill>
              <w14:schemeClr w14:val="tx1"/>
            </w14:solidFill>
          </w14:textFill>
        </w:rPr>
      </w:pPr>
      <w:bookmarkStart w:id="78" w:name="_Toc342059476"/>
      <w:bookmarkStart w:id="79" w:name="_Toc342565989"/>
      <w:r>
        <w:rPr>
          <w:rFonts w:ascii="宋体" w:hAnsi="宋体"/>
          <w:color w:val="000000" w:themeColor="text1"/>
          <w14:textFill>
            <w14:solidFill>
              <w14:schemeClr w14:val="tx1"/>
            </w14:solidFill>
          </w14:textFill>
        </w:rPr>
        <w:t>股</w:t>
      </w:r>
      <w:r>
        <w:rPr>
          <w:rFonts w:hint="eastAsia" w:ascii="宋体" w:hAnsi="宋体"/>
          <w:color w:val="000000" w:themeColor="text1"/>
          <w14:textFill>
            <w14:solidFill>
              <w14:schemeClr w14:val="tx1"/>
            </w14:solidFill>
          </w14:textFill>
        </w:rPr>
        <w:t>本变动情况</w:t>
      </w:r>
      <w:bookmarkEnd w:id="78"/>
      <w:bookmarkEnd w:id="79"/>
    </w:p>
    <w:p w14:paraId="72445254">
      <w:pPr>
        <w:pStyle w:val="4"/>
        <w:numPr>
          <w:ilvl w:val="1"/>
          <w:numId w:val="25"/>
        </w:numPr>
        <w:rPr>
          <w:rFonts w:ascii="宋体" w:hAnsi="宋体"/>
          <w:color w:val="000000" w:themeColor="text1"/>
          <w14:textFill>
            <w14:solidFill>
              <w14:schemeClr w14:val="tx1"/>
            </w14:solidFill>
          </w14:textFill>
        </w:rPr>
      </w:pPr>
      <w:bookmarkStart w:id="80" w:name="_Toc342059477"/>
      <w:bookmarkStart w:id="81" w:name="_Toc342565990"/>
      <w:r>
        <w:rPr>
          <w:rFonts w:hint="eastAsia" w:ascii="宋体" w:hAnsi="宋体"/>
          <w:color w:val="000000" w:themeColor="text1"/>
          <w14:textFill>
            <w14:solidFill>
              <w14:schemeClr w14:val="tx1"/>
            </w14:solidFill>
          </w14:textFill>
        </w:rPr>
        <w:t>股份变动情况表</w:t>
      </w:r>
      <w:bookmarkEnd w:id="80"/>
      <w:bookmarkEnd w:id="81"/>
    </w:p>
    <w:p w14:paraId="73DED830">
      <w:pPr>
        <w:pStyle w:val="5"/>
        <w:numPr>
          <w:ilvl w:val="2"/>
          <w:numId w:val="2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股份变动情况表</w:t>
      </w:r>
    </w:p>
    <w:p w14:paraId="2050F1D7">
      <w:pPr>
        <w:rPr>
          <w:color w:val="000000" w:themeColor="text1"/>
          <w14:textFill>
            <w14:solidFill>
              <w14:schemeClr w14:val="tx1"/>
            </w14:solidFill>
          </w14:textFill>
        </w:rPr>
      </w:pPr>
      <w:bookmarkStart w:id="82" w:name="_Toc342565996"/>
      <w:bookmarkStart w:id="83" w:name="_Toc342059483"/>
      <w:r>
        <w:rPr>
          <w:rFonts w:hint="eastAsia"/>
          <w:color w:val="000000" w:themeColor="text1"/>
          <w14:textFill>
            <w14:solidFill>
              <w14:schemeClr w14:val="tx1"/>
            </w14:solidFill>
          </w14:textFill>
        </w:rPr>
        <w:t>报告期内，</w:t>
      </w:r>
      <w:sdt>
        <w:sdtPr>
          <w:tag w:val="_PLD_dec093ae39394edab2b0d11e4fc7aedd"/>
          <w:id w:val="147462980"/>
        </w:sdtPr>
        <w:sdtContent>
          <w:r>
            <w:rPr>
              <w:rFonts w:hint="eastAsia"/>
              <w:color w:val="000000" w:themeColor="text1"/>
              <w14:textFill>
                <w14:solidFill>
                  <w14:schemeClr w14:val="tx1"/>
                </w14:solidFill>
              </w14:textFill>
            </w:rPr>
            <w:t>公司股份总数及股本结构未发生变化。</w:t>
          </w:r>
        </w:sdtContent>
      </w:sdt>
    </w:p>
    <w:p w14:paraId="0729E557">
      <w:pPr>
        <w:pStyle w:val="5"/>
        <w:numPr>
          <w:ilvl w:val="2"/>
          <w:numId w:val="2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股份变动情况说明</w:t>
      </w:r>
    </w:p>
    <w:sdt>
      <w:sdtPr>
        <w:rPr>
          <w:color w:val="000000" w:themeColor="text1"/>
          <w14:textFill>
            <w14:solidFill>
              <w14:schemeClr w14:val="tx1"/>
            </w14:solidFill>
          </w14:textFill>
        </w:rPr>
        <w:alias w:val="是否适用：普通股股份变动情况说明[双击切换]"/>
        <w:tag w:val="_GBC_28994e6dc9c649e498c0ab9c340777bf"/>
        <w:id w:val="1214003153"/>
        <w:placeholder>
          <w:docPart w:val="GBC22222222222222222222222222222"/>
        </w:placeholder>
      </w:sdtPr>
      <w:sdtEndPr>
        <w:rPr>
          <w:color w:val="000000" w:themeColor="text1"/>
          <w14:textFill>
            <w14:solidFill>
              <w14:schemeClr w14:val="tx1"/>
            </w14:solidFill>
          </w14:textFill>
        </w:rPr>
      </w:sdtEndPr>
      <w:sdtContent>
        <w:p w14:paraId="6F2E75B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F33E3B">
      <w:pPr>
        <w:rPr>
          <w:color w:val="000000" w:themeColor="text1"/>
          <w14:textFill>
            <w14:solidFill>
              <w14:schemeClr w14:val="tx1"/>
            </w14:solidFill>
          </w14:textFill>
        </w:rPr>
      </w:pPr>
    </w:p>
    <w:p w14:paraId="4F6DC8CB">
      <w:pPr>
        <w:pStyle w:val="5"/>
        <w:numPr>
          <w:ilvl w:val="2"/>
          <w:numId w:val="2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报告期后到半年报披露日期间发生股份变动对每股收益、每股净资产等财务指标的影响（如有）</w:t>
      </w:r>
    </w:p>
    <w:sdt>
      <w:sdtPr>
        <w:rPr>
          <w:rFonts w:hint="eastAsia"/>
          <w:color w:val="000000" w:themeColor="text1"/>
          <w14:textFill>
            <w14:solidFill>
              <w14:schemeClr w14:val="tx1"/>
            </w14:solidFill>
          </w14:textFill>
        </w:rPr>
        <w:alias w:val="是否适用：普通股股份变动对最近一年和最近一期每股收益、每股净资产等财务指标的影响[双击切换]"/>
        <w:tag w:val="_GBC_bb0980f1589b4db8944ca5595f342bfe"/>
        <w:id w:val="-1488011233"/>
        <w:placeholder>
          <w:docPart w:val="GBC22222222222222222222222222222"/>
        </w:placeholder>
      </w:sdtPr>
      <w:sdtEndPr>
        <w:rPr>
          <w:rFonts w:hint="eastAsia"/>
          <w:color w:val="000000" w:themeColor="text1"/>
          <w14:textFill>
            <w14:solidFill>
              <w14:schemeClr w14:val="tx1"/>
            </w14:solidFill>
          </w14:textFill>
        </w:rPr>
      </w:sdtEndPr>
      <w:sdtContent>
        <w:p w14:paraId="5664E67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3F84E20">
      <w:pPr>
        <w:rPr>
          <w:color w:val="000000" w:themeColor="text1"/>
          <w14:textFill>
            <w14:solidFill>
              <w14:schemeClr w14:val="tx1"/>
            </w14:solidFill>
          </w14:textFill>
        </w:rPr>
      </w:pPr>
    </w:p>
    <w:p w14:paraId="13025035">
      <w:pPr>
        <w:pStyle w:val="5"/>
        <w:numPr>
          <w:ilvl w:val="2"/>
          <w:numId w:val="2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公司认为必要或证券监管机构要求披露的其他内容</w:t>
      </w:r>
    </w:p>
    <w:sdt>
      <w:sdtPr>
        <w:rPr>
          <w:color w:val="000000" w:themeColor="text1"/>
          <w14:textFill>
            <w14:solidFill>
              <w14:schemeClr w14:val="tx1"/>
            </w14:solidFill>
          </w14:textFill>
        </w:rPr>
        <w:alias w:val="是否适用：公司认为必要或证券监管机构要求披露的其他内容[双击切换]"/>
        <w:tag w:val="_GBC_7554eed1e25047d282437f24056d532b"/>
        <w:id w:val="-1169170299"/>
        <w:placeholder>
          <w:docPart w:val="GBC22222222222222222222222222222"/>
        </w:placeholder>
      </w:sdtPr>
      <w:sdtEndPr>
        <w:rPr>
          <w:color w:val="000000" w:themeColor="text1"/>
          <w14:textFill>
            <w14:solidFill>
              <w14:schemeClr w14:val="tx1"/>
            </w14:solidFill>
          </w14:textFill>
        </w:rPr>
      </w:sdtEndPr>
      <w:sdtContent>
        <w:p w14:paraId="6A7567C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75634E">
      <w:pPr>
        <w:rPr>
          <w:color w:val="000000" w:themeColor="text1"/>
          <w14:textFill>
            <w14:solidFill>
              <w14:schemeClr w14:val="tx1"/>
            </w14:solidFill>
          </w14:textFill>
        </w:rPr>
      </w:pPr>
    </w:p>
    <w:p w14:paraId="0ADFD434">
      <w:pPr>
        <w:pStyle w:val="4"/>
        <w:numPr>
          <w:ilvl w:val="1"/>
          <w:numId w:val="2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限售股份变动情况</w:t>
      </w:r>
    </w:p>
    <w:sdt>
      <w:sdtPr>
        <w:rPr>
          <w:color w:val="000000" w:themeColor="text1"/>
          <w14:textFill>
            <w14:solidFill>
              <w14:schemeClr w14:val="tx1"/>
            </w14:solidFill>
          </w14:textFill>
        </w:rPr>
        <w:alias w:val="是否适用：限售股份变动情况表[双击切换]"/>
        <w:tag w:val="_GBC_6f5978a50e224b6aa94189436cdee711"/>
        <w:id w:val="-1150515113"/>
        <w:placeholder>
          <w:docPart w:val="GBC22222222222222222222222222222"/>
        </w:placeholder>
      </w:sdtPr>
      <w:sdtEndPr>
        <w:rPr>
          <w:color w:val="000000" w:themeColor="text1"/>
          <w14:textFill>
            <w14:solidFill>
              <w14:schemeClr w14:val="tx1"/>
            </w14:solidFill>
          </w14:textFill>
        </w:rPr>
      </w:sdtEndPr>
      <w:sdtContent>
        <w:p w14:paraId="7FEE399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2A0B92D">
      <w:pPr>
        <w:rPr>
          <w:color w:val="000000" w:themeColor="text1"/>
          <w14:textFill>
            <w14:solidFill>
              <w14:schemeClr w14:val="tx1"/>
            </w14:solidFill>
          </w14:textFill>
        </w:rPr>
      </w:pPr>
    </w:p>
    <w:p w14:paraId="594F9E39">
      <w:pPr>
        <w:pStyle w:val="3"/>
        <w:numPr>
          <w:ilvl w:val="0"/>
          <w:numId w:val="24"/>
        </w:numPr>
        <w:spacing w:line="360" w:lineRule="auto"/>
        <w:ind w:left="422" w:hanging="42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股东情况</w:t>
      </w:r>
      <w:bookmarkEnd w:id="82"/>
      <w:bookmarkEnd w:id="83"/>
    </w:p>
    <w:p w14:paraId="3F5E9875">
      <w:pPr>
        <w:pStyle w:val="4"/>
        <w:numPr>
          <w:ilvl w:val="1"/>
          <w:numId w:val="27"/>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股东总数：</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3978"/>
      </w:tblGrid>
      <w:tr w14:paraId="4ADF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206d6884981495295105158630a6172"/>
            <w:id w:val="-743489593"/>
          </w:sdtPr>
          <w:sdtContent>
            <w:tc>
              <w:tcPr>
                <w:tcW w:w="5070" w:type="dxa"/>
              </w:tcPr>
              <w:p w14:paraId="2A6AF5EC">
                <w:pPr>
                  <w:widowControl w:val="0"/>
                  <w:jc w:val="both"/>
                  <w:rPr>
                    <w:color w:val="000000" w:themeColor="text1"/>
                    <w14:textFill>
                      <w14:solidFill>
                        <w14:schemeClr w14:val="tx1"/>
                      </w14:solidFill>
                    </w14:textFill>
                  </w:rPr>
                </w:pPr>
                <w:r>
                  <w:rPr>
                    <w:color w:val="000000" w:themeColor="text1"/>
                    <w14:textFill>
                      <w14:solidFill>
                        <w14:schemeClr w14:val="tx1"/>
                      </w14:solidFill>
                    </w14:textFill>
                  </w:rPr>
                  <w:t>截至报告期末</w:t>
                </w:r>
                <w:r>
                  <w:rPr>
                    <w:rFonts w:hint="eastAsia"/>
                    <w:color w:val="000000" w:themeColor="text1"/>
                    <w14:textFill>
                      <w14:solidFill>
                        <w14:schemeClr w14:val="tx1"/>
                      </w14:solidFill>
                    </w14:textFill>
                  </w:rPr>
                  <w:t>普通股</w:t>
                </w:r>
                <w:r>
                  <w:rPr>
                    <w:color w:val="000000" w:themeColor="text1"/>
                    <w14:textFill>
                      <w14:solidFill>
                        <w14:schemeClr w14:val="tx1"/>
                      </w14:solidFill>
                    </w14:textFill>
                  </w:rPr>
                  <w:t>股东总数(户)</w:t>
                </w:r>
              </w:p>
            </w:tc>
          </w:sdtContent>
        </w:sdt>
        <w:sdt>
          <w:sdtPr>
            <w:rPr>
              <w:color w:val="000000" w:themeColor="text1"/>
              <w14:textFill>
                <w14:solidFill>
                  <w14:schemeClr w14:val="tx1"/>
                </w14:solidFill>
              </w14:textFill>
            </w:rPr>
            <w:alias w:val="报告期末股东总数"/>
            <w:tag w:val="_GBC_9fd402ec66014f4e9716c7fdb0286bd2"/>
            <w:id w:val="-106815862"/>
          </w:sdtPr>
          <w:sdtEndPr>
            <w:rPr>
              <w:color w:val="000000" w:themeColor="text1"/>
              <w14:textFill>
                <w14:solidFill>
                  <w14:schemeClr w14:val="tx1"/>
                </w14:solidFill>
              </w14:textFill>
            </w:rPr>
          </w:sdtEndPr>
          <w:sdtContent>
            <w:tc>
              <w:tcPr>
                <w:tcW w:w="3978" w:type="dxa"/>
              </w:tcPr>
              <w:p w14:paraId="173B6783">
                <w:pPr>
                  <w:widowControl w:val="0"/>
                  <w:jc w:val="right"/>
                  <w:rPr>
                    <w:color w:val="000000" w:themeColor="text1"/>
                    <w14:textFill>
                      <w14:solidFill>
                        <w14:schemeClr w14:val="tx1"/>
                      </w14:solidFill>
                    </w14:textFill>
                  </w:rPr>
                </w:pPr>
                <w:r>
                  <w:rPr>
                    <w:color w:val="000000" w:themeColor="text1"/>
                    <w14:textFill>
                      <w14:solidFill>
                        <w14:schemeClr w14:val="tx1"/>
                      </w14:solidFill>
                    </w14:textFill>
                  </w:rPr>
                  <w:t>58,429</w:t>
                </w:r>
              </w:p>
            </w:tc>
          </w:sdtContent>
        </w:sdt>
      </w:tr>
      <w:tr w14:paraId="01A2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50CCE43A">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截至报告期末表决权恢复的优先股股东总数（户）</w:t>
            </w:r>
          </w:p>
        </w:tc>
        <w:tc>
          <w:tcPr>
            <w:tcW w:w="3978" w:type="dxa"/>
          </w:tcPr>
          <w:p w14:paraId="0E513545">
            <w:pPr>
              <w:widowControl w:val="0"/>
              <w:jc w:val="right"/>
            </w:pPr>
            <w:r>
              <w:rPr>
                <w:rFonts w:hint="eastAsia"/>
              </w:rPr>
              <w:t>0</w:t>
            </w:r>
          </w:p>
        </w:tc>
      </w:tr>
    </w:tbl>
    <w:p w14:paraId="63F7BE9C">
      <w:pPr>
        <w:rPr>
          <w:color w:val="000000" w:themeColor="text1"/>
          <w14:textFill>
            <w14:solidFill>
              <w14:schemeClr w14:val="tx1"/>
            </w14:solidFill>
          </w14:textFill>
        </w:rPr>
      </w:pPr>
    </w:p>
    <w:p w14:paraId="7B0046AF">
      <w:pPr>
        <w:pStyle w:val="4"/>
        <w:numPr>
          <w:ilvl w:val="1"/>
          <w:numId w:val="27"/>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截至报告期末前十名股东、前十名流通股东（或无限售条件股东）持股情况表</w:t>
      </w:r>
    </w:p>
    <w:p w14:paraId="159743C3">
      <w:pPr>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bCs/>
            <w:color w:val="000000" w:themeColor="text1"/>
            <w14:textFill>
              <w14:solidFill>
                <w14:schemeClr w14:val="tx1"/>
              </w14:solidFill>
            </w14:textFill>
          </w:rPr>
          <w:alias w:val="单位：前十名股东持股情况"/>
          <w:tag w:val="_GBC_9d020b31dcb449c980ed0856cf6dae82"/>
          <w:id w:val="-440762523"/>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bCs/>
            <w:color w:val="000000" w:themeColor="text1"/>
            <w14:textFill>
              <w14:solidFill>
                <w14:schemeClr w14:val="tx1"/>
              </w14:solidFill>
            </w14:textFill>
          </w:rPr>
        </w:sdtEndPr>
        <w:sdtContent>
          <w:r>
            <w:rPr>
              <w:color w:val="000000" w:themeColor="text1"/>
              <w14:textFill>
                <w14:solidFill>
                  <w14:schemeClr w14:val="tx1"/>
                </w14:solidFill>
              </w14:textFill>
            </w:rPr>
            <w:t>股</w:t>
          </w:r>
        </w:sdtContent>
      </w:sdt>
    </w:p>
    <w:tbl>
      <w:tblPr>
        <w:tblStyle w:val="37"/>
        <w:tblW w:w="10065"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1134"/>
        <w:gridCol w:w="1417"/>
        <w:gridCol w:w="709"/>
        <w:gridCol w:w="851"/>
        <w:gridCol w:w="1381"/>
        <w:gridCol w:w="1319"/>
        <w:gridCol w:w="985"/>
      </w:tblGrid>
      <w:tr w14:paraId="6539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3038da138bad4905b589aeba821a8575"/>
            <w:id w:val="-1498182754"/>
          </w:sdtPr>
          <w:sdtContent>
            <w:tc>
              <w:tcPr>
                <w:tcW w:w="10065" w:type="dxa"/>
                <w:gridSpan w:val="8"/>
                <w:vAlign w:val="center"/>
              </w:tcPr>
              <w:p w14:paraId="660965D1">
                <w:pPr>
                  <w:pStyle w:val="15"/>
                  <w:ind w:left="-53" w:leftChars="-25" w:right="-53" w:rightChars="-25"/>
                  <w:jc w:val="center"/>
                  <w:rPr>
                    <w:rFonts w:ascii="宋体" w:hAnsi="宋体"/>
                    <w:color w:val="000000" w:themeColor="text1"/>
                    <w14:textFill>
                      <w14:solidFill>
                        <w14:schemeClr w14:val="tx1"/>
                      </w14:solidFill>
                    </w14:textFill>
                  </w:rPr>
                </w:pPr>
                <w:bookmarkStart w:id="84" w:name="_Hlk155094173"/>
                <w:bookmarkStart w:id="85" w:name="_Hlk169006123"/>
                <w:bookmarkStart w:id="86" w:name="_Hlk167799956"/>
                <w:bookmarkStart w:id="87" w:name="_Hlk161154245"/>
                <w:bookmarkStart w:id="88" w:name="_Hlk161321917"/>
                <w:r>
                  <w:rPr>
                    <w:rFonts w:ascii="宋体" w:hAnsi="宋体"/>
                    <w:color w:val="000000" w:themeColor="text1"/>
                    <w14:textFill>
                      <w14:solidFill>
                        <w14:schemeClr w14:val="tx1"/>
                      </w14:solidFill>
                    </w14:textFill>
                  </w:rPr>
                  <w:t>前十名股东持股情况</w:t>
                </w:r>
                <w:r>
                  <w:rPr>
                    <w:rFonts w:hint="eastAsia" w:ascii="宋体" w:hAnsi="宋体"/>
                    <w:color w:val="000000" w:themeColor="text1"/>
                    <w14:textFill>
                      <w14:solidFill>
                        <w14:schemeClr w14:val="tx1"/>
                      </w14:solidFill>
                    </w14:textFill>
                  </w:rPr>
                  <w:t>（不含通过转融通出借股份）</w:t>
                </w:r>
              </w:p>
            </w:tc>
          </w:sdtContent>
        </w:sdt>
      </w:tr>
      <w:tr w14:paraId="056B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80eda5ca76254dc1b950ed7de7dc5885"/>
            <w:id w:val="-1656688987"/>
          </w:sdtPr>
          <w:sdtContent>
            <w:tc>
              <w:tcPr>
                <w:tcW w:w="2269" w:type="dxa"/>
                <w:vMerge w:val="restart"/>
                <w:vAlign w:val="center"/>
              </w:tcPr>
              <w:p w14:paraId="65EA636B">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股东名称</w:t>
                </w:r>
              </w:p>
              <w:p w14:paraId="57FC910E">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（全称）</w:t>
                </w:r>
              </w:p>
            </w:tc>
          </w:sdtContent>
        </w:sdt>
        <w:sdt>
          <w:sdtPr>
            <w:tag w:val="_PLD_ca2ffd3fc186426e98aac562ecc1ba54"/>
            <w:id w:val="-1512676199"/>
          </w:sdtPr>
          <w:sdtContent>
            <w:tc>
              <w:tcPr>
                <w:tcW w:w="1134" w:type="dxa"/>
                <w:vMerge w:val="restart"/>
                <w:vAlign w:val="center"/>
              </w:tcPr>
              <w:p w14:paraId="5B8B5868">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报告期内增减</w:t>
                </w:r>
              </w:p>
            </w:tc>
          </w:sdtContent>
        </w:sdt>
        <w:sdt>
          <w:sdtPr>
            <w:tag w:val="_PLD_084006d53bec42bea9418fc4576a1210"/>
            <w:id w:val="-1625302302"/>
          </w:sdtPr>
          <w:sdtContent>
            <w:tc>
              <w:tcPr>
                <w:tcW w:w="1417" w:type="dxa"/>
                <w:vMerge w:val="restart"/>
                <w:vAlign w:val="center"/>
              </w:tcPr>
              <w:p w14:paraId="7A91CEA2">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期末持股数量</w:t>
                </w:r>
              </w:p>
            </w:tc>
          </w:sdtContent>
        </w:sdt>
        <w:sdt>
          <w:sdtPr>
            <w:tag w:val="_PLD_f27008de77ee4b27b35e2ae22d35699c"/>
            <w:id w:val="1888375572"/>
          </w:sdtPr>
          <w:sdtContent>
            <w:tc>
              <w:tcPr>
                <w:tcW w:w="709" w:type="dxa"/>
                <w:vMerge w:val="restart"/>
                <w:vAlign w:val="center"/>
              </w:tcPr>
              <w:p w14:paraId="1700A39E">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比例(%)</w:t>
                </w:r>
              </w:p>
            </w:tc>
          </w:sdtContent>
        </w:sdt>
        <w:sdt>
          <w:sdtPr>
            <w:tag w:val="_PLD_34fcc5fa9a414555bef1b48aa74c8135"/>
            <w:id w:val="-2068170998"/>
          </w:sdtPr>
          <w:sdtContent>
            <w:tc>
              <w:tcPr>
                <w:tcW w:w="851" w:type="dxa"/>
                <w:vMerge w:val="restart"/>
                <w:vAlign w:val="center"/>
              </w:tcPr>
              <w:p w14:paraId="1643FA31">
                <w:pPr>
                  <w:pStyle w:val="10"/>
                  <w:ind w:left="-53" w:leftChars="-25" w:right="-53" w:rightChars="-25"/>
                  <w:rPr>
                    <w:rFonts w:ascii="宋体" w:hAnsi="宋体"/>
                    <w:bCs/>
                    <w:color w:val="000000" w:themeColor="text1"/>
                    <w14:textFill>
                      <w14:solidFill>
                        <w14:schemeClr w14:val="tx1"/>
                      </w14:solidFill>
                    </w14:textFill>
                  </w:rPr>
                </w:pPr>
                <w:r>
                  <w:rPr>
                    <w:rFonts w:ascii="宋体" w:hAnsi="宋体"/>
                    <w:color w:val="000000" w:themeColor="text1"/>
                    <w14:textFill>
                      <w14:solidFill>
                        <w14:schemeClr w14:val="tx1"/>
                      </w14:solidFill>
                    </w14:textFill>
                  </w:rPr>
                  <w:t>持有有限售条件股份数量</w:t>
                </w:r>
              </w:p>
            </w:tc>
          </w:sdtContent>
        </w:sdt>
        <w:sdt>
          <w:sdtPr>
            <w:tag w:val="_PLD_94fbee67e09740e59eb90272af77b58a"/>
            <w:id w:val="-1039658370"/>
          </w:sdtPr>
          <w:sdtContent>
            <w:tc>
              <w:tcPr>
                <w:tcW w:w="2700" w:type="dxa"/>
                <w:gridSpan w:val="2"/>
                <w:vAlign w:val="center"/>
              </w:tcPr>
              <w:p w14:paraId="1C8B1D3D">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质押</w:t>
                </w:r>
                <w:r>
                  <w:rPr>
                    <w:rFonts w:hint="eastAsia"/>
                    <w:color w:val="000000" w:themeColor="text1"/>
                    <w14:textFill>
                      <w14:solidFill>
                        <w14:schemeClr w14:val="tx1"/>
                      </w14:solidFill>
                    </w14:textFill>
                  </w:rPr>
                  <w:t>、标记</w:t>
                </w:r>
                <w:r>
                  <w:rPr>
                    <w:color w:val="000000" w:themeColor="text1"/>
                    <w14:textFill>
                      <w14:solidFill>
                        <w14:schemeClr w14:val="tx1"/>
                      </w14:solidFill>
                    </w14:textFill>
                  </w:rPr>
                  <w:t>或冻结情况</w:t>
                </w:r>
              </w:p>
            </w:tc>
          </w:sdtContent>
        </w:sdt>
        <w:sdt>
          <w:sdtPr>
            <w:tag w:val="_PLD_2228ecf4db6a4362bff11fe1e2d3c903"/>
            <w:id w:val="-1494106039"/>
          </w:sdtPr>
          <w:sdtContent>
            <w:tc>
              <w:tcPr>
                <w:tcW w:w="985" w:type="dxa"/>
                <w:vMerge w:val="restart"/>
                <w:vAlign w:val="center"/>
              </w:tcPr>
              <w:p w14:paraId="091D50EB">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股东性质</w:t>
                </w:r>
              </w:p>
            </w:tc>
          </w:sdtContent>
        </w:sdt>
      </w:tr>
      <w:tr w14:paraId="3FC5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Merge w:val="continue"/>
            <w:tcBorders>
              <w:bottom w:val="single" w:color="auto" w:sz="4" w:space="0"/>
            </w:tcBorders>
            <w:vAlign w:val="center"/>
          </w:tcPr>
          <w:p w14:paraId="1C09B759">
            <w:pPr>
              <w:ind w:left="-53" w:leftChars="-25" w:right="-53" w:rightChars="-25"/>
              <w:jc w:val="center"/>
              <w:rPr>
                <w:color w:val="000000" w:themeColor="text1"/>
                <w14:textFill>
                  <w14:solidFill>
                    <w14:schemeClr w14:val="tx1"/>
                  </w14:solidFill>
                </w14:textFill>
              </w:rPr>
            </w:pPr>
          </w:p>
        </w:tc>
        <w:tc>
          <w:tcPr>
            <w:tcW w:w="1134" w:type="dxa"/>
            <w:vMerge w:val="continue"/>
            <w:tcBorders>
              <w:bottom w:val="single" w:color="auto" w:sz="4" w:space="0"/>
            </w:tcBorders>
            <w:vAlign w:val="center"/>
          </w:tcPr>
          <w:p w14:paraId="65B5190B">
            <w:pPr>
              <w:ind w:left="-53" w:leftChars="-25" w:right="-53" w:rightChars="-25"/>
              <w:jc w:val="center"/>
              <w:rPr>
                <w:color w:val="000000" w:themeColor="text1"/>
                <w14:textFill>
                  <w14:solidFill>
                    <w14:schemeClr w14:val="tx1"/>
                  </w14:solidFill>
                </w14:textFill>
              </w:rPr>
            </w:pPr>
          </w:p>
        </w:tc>
        <w:tc>
          <w:tcPr>
            <w:tcW w:w="1417" w:type="dxa"/>
            <w:vMerge w:val="continue"/>
            <w:tcBorders>
              <w:bottom w:val="single" w:color="auto" w:sz="4" w:space="0"/>
            </w:tcBorders>
            <w:vAlign w:val="center"/>
          </w:tcPr>
          <w:p w14:paraId="030D4CD6">
            <w:pPr>
              <w:ind w:left="-53" w:leftChars="-25" w:right="-53" w:rightChars="-25"/>
              <w:jc w:val="center"/>
              <w:rPr>
                <w:color w:val="000000" w:themeColor="text1"/>
                <w14:textFill>
                  <w14:solidFill>
                    <w14:schemeClr w14:val="tx1"/>
                  </w14:solidFill>
                </w14:textFill>
              </w:rPr>
            </w:pPr>
          </w:p>
        </w:tc>
        <w:tc>
          <w:tcPr>
            <w:tcW w:w="709" w:type="dxa"/>
            <w:vMerge w:val="continue"/>
            <w:tcBorders>
              <w:bottom w:val="single" w:color="auto" w:sz="4" w:space="0"/>
            </w:tcBorders>
            <w:vAlign w:val="center"/>
          </w:tcPr>
          <w:p w14:paraId="6A554D30">
            <w:pPr>
              <w:ind w:left="-53" w:leftChars="-25" w:right="-53" w:rightChars="-25"/>
              <w:jc w:val="center"/>
              <w:rPr>
                <w:color w:val="000000" w:themeColor="text1"/>
                <w14:textFill>
                  <w14:solidFill>
                    <w14:schemeClr w14:val="tx1"/>
                  </w14:solidFill>
                </w14:textFill>
              </w:rPr>
            </w:pPr>
          </w:p>
        </w:tc>
        <w:tc>
          <w:tcPr>
            <w:tcW w:w="851" w:type="dxa"/>
            <w:vMerge w:val="continue"/>
            <w:tcBorders>
              <w:bottom w:val="single" w:color="auto" w:sz="4" w:space="0"/>
            </w:tcBorders>
            <w:vAlign w:val="center"/>
          </w:tcPr>
          <w:p w14:paraId="4E552535">
            <w:pPr>
              <w:ind w:left="-53" w:leftChars="-25" w:right="-53" w:rightChars="-25"/>
              <w:jc w:val="center"/>
              <w:rPr>
                <w:color w:val="000000" w:themeColor="text1"/>
                <w14:textFill>
                  <w14:solidFill>
                    <w14:schemeClr w14:val="tx1"/>
                  </w14:solidFill>
                </w14:textFill>
              </w:rPr>
            </w:pPr>
          </w:p>
        </w:tc>
        <w:sdt>
          <w:sdtPr>
            <w:tag w:val="_PLD_45bf36a531de47beb596ebacadac576a"/>
            <w:id w:val="527685612"/>
          </w:sdtPr>
          <w:sdtContent>
            <w:tc>
              <w:tcPr>
                <w:tcW w:w="1381" w:type="dxa"/>
                <w:tcBorders>
                  <w:bottom w:val="single" w:color="auto" w:sz="4" w:space="0"/>
                </w:tcBorders>
                <w:vAlign w:val="center"/>
              </w:tcPr>
              <w:p w14:paraId="7DC0636E">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股份状态</w:t>
                </w:r>
              </w:p>
            </w:tc>
          </w:sdtContent>
        </w:sdt>
        <w:sdt>
          <w:sdtPr>
            <w:tag w:val="_PLD_bea7397233604f859f8d14f2ae0a0417"/>
            <w:id w:val="-319731138"/>
          </w:sdtPr>
          <w:sdtContent>
            <w:tc>
              <w:tcPr>
                <w:tcW w:w="1319" w:type="dxa"/>
                <w:tcBorders>
                  <w:bottom w:val="single" w:color="auto" w:sz="4" w:space="0"/>
                </w:tcBorders>
                <w:vAlign w:val="center"/>
              </w:tcPr>
              <w:p w14:paraId="1FD530E1">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数量</w:t>
                </w:r>
              </w:p>
            </w:tc>
          </w:sdtContent>
        </w:sdt>
        <w:tc>
          <w:tcPr>
            <w:tcW w:w="985" w:type="dxa"/>
            <w:vMerge w:val="continue"/>
            <w:vAlign w:val="center"/>
          </w:tcPr>
          <w:p w14:paraId="3E7B7023">
            <w:pPr>
              <w:ind w:left="-53" w:leftChars="-25" w:right="-53" w:rightChars="-25"/>
              <w:jc w:val="center"/>
              <w:rPr>
                <w:color w:val="000000" w:themeColor="text1"/>
                <w14:textFill>
                  <w14:solidFill>
                    <w14:schemeClr w14:val="tx1"/>
                  </w14:solidFill>
                </w14:textFill>
              </w:rPr>
            </w:pPr>
          </w:p>
        </w:tc>
      </w:tr>
      <w:tr w14:paraId="57B9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0964C12D">
            <w:pPr>
              <w:ind w:left="-53" w:leftChars="-25" w:right="-53" w:rightChars="-25"/>
            </w:pPr>
            <w:r>
              <w:t>重庆满江红</w:t>
            </w:r>
            <w:r>
              <w:rPr>
                <w:rFonts w:hint="eastAsia"/>
              </w:rPr>
              <w:t>私募</w:t>
            </w:r>
            <w:r>
              <w:t>股权投资基金合伙企业(有限合伙)</w:t>
            </w:r>
          </w:p>
        </w:tc>
        <w:tc>
          <w:tcPr>
            <w:tcW w:w="1134" w:type="dxa"/>
            <w:vAlign w:val="center"/>
          </w:tcPr>
          <w:p w14:paraId="6F498518">
            <w:pPr>
              <w:ind w:left="-53" w:leftChars="-25" w:right="-53" w:rightChars="-25"/>
              <w:jc w:val="right"/>
            </w:pPr>
            <w:r>
              <w:t>0</w:t>
            </w:r>
          </w:p>
        </w:tc>
        <w:tc>
          <w:tcPr>
            <w:tcW w:w="1417" w:type="dxa"/>
            <w:vAlign w:val="center"/>
          </w:tcPr>
          <w:p w14:paraId="1704955E">
            <w:pPr>
              <w:ind w:left="-53" w:leftChars="-25" w:right="-53" w:rightChars="-25"/>
              <w:jc w:val="right"/>
              <w:rPr>
                <w:rFonts w:asciiTheme="minorEastAsia" w:hAnsiTheme="minorEastAsia"/>
                <w:spacing w:val="-10"/>
              </w:rPr>
            </w:pPr>
            <w:r>
              <w:rPr>
                <w:rFonts w:asciiTheme="minorEastAsia" w:hAnsiTheme="minorEastAsia"/>
                <w:spacing w:val="-10"/>
              </w:rPr>
              <w:t>1,349,550,000</w:t>
            </w:r>
          </w:p>
        </w:tc>
        <w:tc>
          <w:tcPr>
            <w:tcW w:w="709" w:type="dxa"/>
            <w:vAlign w:val="center"/>
          </w:tcPr>
          <w:p w14:paraId="6EDC28E9">
            <w:pPr>
              <w:ind w:left="-53" w:leftChars="-25" w:right="-53" w:rightChars="-25"/>
              <w:jc w:val="right"/>
              <w:rPr>
                <w:rFonts w:asciiTheme="minorEastAsia" w:hAnsiTheme="minorEastAsia"/>
              </w:rPr>
            </w:pPr>
            <w:r>
              <w:rPr>
                <w:rFonts w:asciiTheme="minorEastAsia" w:hAnsiTheme="minorEastAsia"/>
              </w:rPr>
              <w:t>29.85</w:t>
            </w:r>
          </w:p>
        </w:tc>
        <w:tc>
          <w:tcPr>
            <w:tcW w:w="851" w:type="dxa"/>
            <w:vAlign w:val="center"/>
          </w:tcPr>
          <w:p w14:paraId="1C73CD5A">
            <w:pPr>
              <w:ind w:left="-53" w:leftChars="-25" w:right="-53" w:rightChars="-25"/>
              <w:jc w:val="right"/>
            </w:pPr>
            <w:r>
              <w:t>0</w:t>
            </w:r>
          </w:p>
        </w:tc>
        <w:sdt>
          <w:sdtPr>
            <w:rPr>
              <w:color w:val="000000" w:themeColor="text1"/>
              <w14:textFill>
                <w14:solidFill>
                  <w14:schemeClr w14:val="tx1"/>
                </w14:solidFill>
              </w14:textFill>
            </w:rPr>
            <w:alias w:val="前十名股东持有股份状态"/>
            <w:tag w:val="_GBC_d5194108b2a8481e94140819dbdc5afe"/>
            <w:id w:val="-1841461752"/>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color w:val="000000" w:themeColor="text1"/>
              <w14:textFill>
                <w14:solidFill>
                  <w14:schemeClr w14:val="tx1"/>
                </w14:solidFill>
              </w14:textFill>
            </w:rPr>
          </w:sdtEndPr>
          <w:sdtContent>
            <w:tc>
              <w:tcPr>
                <w:tcW w:w="1381" w:type="dxa"/>
                <w:vAlign w:val="center"/>
              </w:tcPr>
              <w:p w14:paraId="6037CCFB">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无</w:t>
                </w:r>
              </w:p>
            </w:tc>
          </w:sdtContent>
        </w:sdt>
        <w:tc>
          <w:tcPr>
            <w:tcW w:w="1319" w:type="dxa"/>
            <w:vAlign w:val="center"/>
          </w:tcPr>
          <w:p w14:paraId="62EB6778">
            <w:pPr>
              <w:ind w:left="-53" w:leftChars="-25" w:right="-53" w:rightChars="-25"/>
              <w:jc w:val="right"/>
            </w:pPr>
            <w:r>
              <w:rPr>
                <w:rFonts w:hint="eastAsia"/>
              </w:rPr>
              <w:t>0</w:t>
            </w:r>
          </w:p>
        </w:tc>
        <w:sdt>
          <w:sdtPr>
            <w:rPr>
              <w:color w:val="000000" w:themeColor="text1"/>
              <w14:textFill>
                <w14:solidFill>
                  <w14:schemeClr w14:val="tx1"/>
                </w14:solidFill>
              </w14:textFill>
            </w:rPr>
            <w:alias w:val="前十名股东的股东性质"/>
            <w:tag w:val="_GBC_71380bc899eb4b9781e95e37e7a1e221"/>
            <w:id w:val="73967450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color w:val="000000" w:themeColor="text1"/>
              <w14:textFill>
                <w14:solidFill>
                  <w14:schemeClr w14:val="tx1"/>
                </w14:solidFill>
              </w14:textFill>
            </w:rPr>
          </w:sdtEndPr>
          <w:sdtContent>
            <w:tc>
              <w:tcPr>
                <w:tcW w:w="985" w:type="dxa"/>
                <w:vAlign w:val="center"/>
              </w:tcPr>
              <w:p w14:paraId="07C37D95">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其他</w:t>
                </w:r>
              </w:p>
            </w:tc>
          </w:sdtContent>
        </w:sdt>
      </w:tr>
      <w:tr w14:paraId="722B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7F2E1072">
            <w:pPr>
              <w:ind w:left="-53" w:leftChars="-25" w:right="-53" w:rightChars="-25"/>
            </w:pPr>
            <w:r>
              <w:t>重庆江河汇企业管理有限责任公司</w:t>
            </w:r>
          </w:p>
        </w:tc>
        <w:tc>
          <w:tcPr>
            <w:tcW w:w="1134" w:type="dxa"/>
            <w:vAlign w:val="center"/>
          </w:tcPr>
          <w:p w14:paraId="11047E6B">
            <w:pPr>
              <w:ind w:left="-53" w:leftChars="-25" w:right="-53" w:rightChars="-25"/>
              <w:jc w:val="right"/>
            </w:pPr>
            <w:r>
              <w:t>0</w:t>
            </w:r>
          </w:p>
        </w:tc>
        <w:tc>
          <w:tcPr>
            <w:tcW w:w="1417" w:type="dxa"/>
            <w:vAlign w:val="center"/>
          </w:tcPr>
          <w:p w14:paraId="7031B41C">
            <w:pPr>
              <w:ind w:left="-53" w:leftChars="-25" w:right="-53" w:rightChars="-25"/>
              <w:jc w:val="right"/>
              <w:rPr>
                <w:rFonts w:asciiTheme="minorEastAsia" w:hAnsiTheme="minorEastAsia"/>
              </w:rPr>
            </w:pPr>
            <w:r>
              <w:rPr>
                <w:rFonts w:asciiTheme="minorEastAsia" w:hAnsiTheme="minorEastAsia"/>
              </w:rPr>
              <w:t>900,000,000</w:t>
            </w:r>
          </w:p>
        </w:tc>
        <w:tc>
          <w:tcPr>
            <w:tcW w:w="709" w:type="dxa"/>
            <w:vAlign w:val="center"/>
          </w:tcPr>
          <w:p w14:paraId="5242511A">
            <w:pPr>
              <w:ind w:left="-53" w:leftChars="-25" w:right="-53" w:rightChars="-25"/>
              <w:jc w:val="right"/>
              <w:rPr>
                <w:rFonts w:asciiTheme="minorEastAsia" w:hAnsiTheme="minorEastAsia"/>
              </w:rPr>
            </w:pPr>
            <w:r>
              <w:rPr>
                <w:rFonts w:asciiTheme="minorEastAsia" w:hAnsiTheme="minorEastAsia"/>
              </w:rPr>
              <w:t>19.91</w:t>
            </w:r>
          </w:p>
        </w:tc>
        <w:tc>
          <w:tcPr>
            <w:tcW w:w="851" w:type="dxa"/>
            <w:vAlign w:val="center"/>
          </w:tcPr>
          <w:p w14:paraId="0B86FD7F">
            <w:pPr>
              <w:ind w:left="-53" w:leftChars="-25" w:right="-53" w:rightChars="-25"/>
              <w:jc w:val="right"/>
            </w:pPr>
            <w:r>
              <w:t>0</w:t>
            </w:r>
          </w:p>
        </w:tc>
        <w:tc>
          <w:tcPr>
            <w:tcW w:w="1381" w:type="dxa"/>
            <w:vAlign w:val="center"/>
          </w:tcPr>
          <w:p w14:paraId="2064682A">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质押　</w:t>
            </w:r>
          </w:p>
        </w:tc>
        <w:tc>
          <w:tcPr>
            <w:tcW w:w="1319" w:type="dxa"/>
            <w:vAlign w:val="center"/>
          </w:tcPr>
          <w:p w14:paraId="4F9537FE">
            <w:pPr>
              <w:ind w:left="-53" w:leftChars="-25" w:right="-53" w:rightChars="-25"/>
              <w:jc w:val="right"/>
              <w:rPr>
                <w:rFonts w:asciiTheme="minorEastAsia" w:hAnsiTheme="minorEastAsia"/>
              </w:rPr>
            </w:pPr>
            <w:r>
              <w:rPr>
                <w:rFonts w:hint="eastAsia" w:asciiTheme="minorEastAsia" w:hAnsiTheme="minorEastAsia"/>
              </w:rPr>
              <w:t>483,762,431</w:t>
            </w:r>
          </w:p>
        </w:tc>
        <w:tc>
          <w:tcPr>
            <w:tcW w:w="985" w:type="dxa"/>
            <w:vAlign w:val="center"/>
          </w:tcPr>
          <w:p w14:paraId="64FF4727">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境内非国有法人</w:t>
            </w:r>
          </w:p>
        </w:tc>
      </w:tr>
      <w:tr w14:paraId="48B4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21F87BD7">
            <w:pPr>
              <w:ind w:left="-53" w:leftChars="-25" w:right="-53" w:rightChars="-25"/>
            </w:pPr>
            <w:r>
              <w:t>重庆力帆控股有限公司</w:t>
            </w:r>
          </w:p>
        </w:tc>
        <w:tc>
          <w:tcPr>
            <w:tcW w:w="1134" w:type="dxa"/>
            <w:vAlign w:val="center"/>
          </w:tcPr>
          <w:p w14:paraId="4168A7B4">
            <w:pPr>
              <w:ind w:left="-53" w:leftChars="-25" w:right="-53" w:rightChars="-25"/>
              <w:jc w:val="right"/>
            </w:pPr>
            <w:r>
              <w:t>0</w:t>
            </w:r>
          </w:p>
        </w:tc>
        <w:tc>
          <w:tcPr>
            <w:tcW w:w="1417" w:type="dxa"/>
            <w:vAlign w:val="center"/>
          </w:tcPr>
          <w:p w14:paraId="639E98C8">
            <w:pPr>
              <w:ind w:left="-53" w:leftChars="-25" w:right="-53" w:rightChars="-25"/>
              <w:jc w:val="right"/>
              <w:rPr>
                <w:rFonts w:asciiTheme="minorEastAsia" w:hAnsiTheme="minorEastAsia"/>
              </w:rPr>
            </w:pPr>
            <w:r>
              <w:rPr>
                <w:rFonts w:asciiTheme="minorEastAsia" w:hAnsiTheme="minorEastAsia"/>
              </w:rPr>
              <w:t>618,559,784</w:t>
            </w:r>
          </w:p>
        </w:tc>
        <w:tc>
          <w:tcPr>
            <w:tcW w:w="709" w:type="dxa"/>
            <w:vAlign w:val="center"/>
          </w:tcPr>
          <w:p w14:paraId="7F6CC854">
            <w:pPr>
              <w:ind w:left="-53" w:leftChars="-25" w:right="-53" w:rightChars="-25"/>
              <w:jc w:val="right"/>
              <w:rPr>
                <w:rFonts w:asciiTheme="minorEastAsia" w:hAnsiTheme="minorEastAsia"/>
              </w:rPr>
            </w:pPr>
            <w:r>
              <w:rPr>
                <w:rFonts w:asciiTheme="minorEastAsia" w:hAnsiTheme="minorEastAsia"/>
              </w:rPr>
              <w:t>13.68</w:t>
            </w:r>
          </w:p>
        </w:tc>
        <w:tc>
          <w:tcPr>
            <w:tcW w:w="851" w:type="dxa"/>
            <w:vAlign w:val="center"/>
          </w:tcPr>
          <w:p w14:paraId="6C69F77F">
            <w:pPr>
              <w:ind w:left="-53" w:leftChars="-25" w:right="-53" w:rightChars="-25"/>
              <w:jc w:val="right"/>
            </w:pPr>
            <w:r>
              <w:t>0</w:t>
            </w:r>
          </w:p>
        </w:tc>
        <w:tc>
          <w:tcPr>
            <w:tcW w:w="1381" w:type="dxa"/>
            <w:vAlign w:val="center"/>
          </w:tcPr>
          <w:p w14:paraId="0C1DA65A">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质押</w:t>
            </w:r>
          </w:p>
        </w:tc>
        <w:tc>
          <w:tcPr>
            <w:tcW w:w="1319" w:type="dxa"/>
            <w:vAlign w:val="center"/>
          </w:tcPr>
          <w:p w14:paraId="7D67143E">
            <w:pPr>
              <w:ind w:left="-53" w:leftChars="-25" w:right="-53" w:rightChars="-25"/>
              <w:jc w:val="right"/>
              <w:rPr>
                <w:rFonts w:asciiTheme="minorEastAsia" w:hAnsiTheme="minorEastAsia"/>
              </w:rPr>
            </w:pPr>
            <w:r>
              <w:rPr>
                <w:rFonts w:hint="eastAsia" w:asciiTheme="minorEastAsia" w:hAnsiTheme="minorEastAsia"/>
              </w:rPr>
              <w:t>593,270,848</w:t>
            </w:r>
          </w:p>
        </w:tc>
        <w:tc>
          <w:tcPr>
            <w:tcW w:w="985" w:type="dxa"/>
            <w:vAlign w:val="center"/>
          </w:tcPr>
          <w:p w14:paraId="309D65B7">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境内非国有法人</w:t>
            </w:r>
          </w:p>
        </w:tc>
      </w:tr>
      <w:tr w14:paraId="6A0A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28492889">
            <w:pPr>
              <w:ind w:left="-53" w:leftChars="-25" w:right="-53" w:rightChars="-25"/>
            </w:pPr>
            <w:r>
              <w:t>力帆实业（集团）股份有限公司破产企业财产处置专用账户</w:t>
            </w:r>
          </w:p>
        </w:tc>
        <w:tc>
          <w:tcPr>
            <w:tcW w:w="1134" w:type="dxa"/>
            <w:vAlign w:val="center"/>
          </w:tcPr>
          <w:p w14:paraId="0CC99637">
            <w:pPr>
              <w:ind w:left="-53" w:leftChars="-25" w:right="-53" w:rightChars="-25"/>
              <w:jc w:val="right"/>
            </w:pPr>
            <w:r>
              <w:t>0</w:t>
            </w:r>
          </w:p>
        </w:tc>
        <w:tc>
          <w:tcPr>
            <w:tcW w:w="1417" w:type="dxa"/>
            <w:vAlign w:val="center"/>
          </w:tcPr>
          <w:p w14:paraId="0D7CF7CC">
            <w:pPr>
              <w:ind w:left="-53" w:leftChars="-25" w:right="-53" w:rightChars="-25"/>
              <w:jc w:val="right"/>
              <w:rPr>
                <w:rFonts w:asciiTheme="minorEastAsia" w:hAnsiTheme="minorEastAsia"/>
              </w:rPr>
            </w:pPr>
            <w:r>
              <w:rPr>
                <w:rFonts w:asciiTheme="minorEastAsia" w:hAnsiTheme="minorEastAsia"/>
              </w:rPr>
              <w:t>180,363,519</w:t>
            </w:r>
          </w:p>
        </w:tc>
        <w:tc>
          <w:tcPr>
            <w:tcW w:w="709" w:type="dxa"/>
            <w:vAlign w:val="center"/>
          </w:tcPr>
          <w:p w14:paraId="5FA6A4CD">
            <w:pPr>
              <w:ind w:left="-53" w:leftChars="-25" w:right="-53" w:rightChars="-25"/>
              <w:jc w:val="right"/>
              <w:rPr>
                <w:rFonts w:asciiTheme="minorEastAsia" w:hAnsiTheme="minorEastAsia"/>
              </w:rPr>
            </w:pPr>
            <w:r>
              <w:rPr>
                <w:rFonts w:asciiTheme="minorEastAsia" w:hAnsiTheme="minorEastAsia"/>
              </w:rPr>
              <w:t>3.99</w:t>
            </w:r>
          </w:p>
        </w:tc>
        <w:tc>
          <w:tcPr>
            <w:tcW w:w="851" w:type="dxa"/>
            <w:vAlign w:val="center"/>
          </w:tcPr>
          <w:p w14:paraId="163B06F3">
            <w:pPr>
              <w:ind w:left="-53" w:leftChars="-25" w:right="-53" w:rightChars="-25"/>
              <w:jc w:val="right"/>
            </w:pPr>
            <w:r>
              <w:t>0</w:t>
            </w:r>
          </w:p>
        </w:tc>
        <w:tc>
          <w:tcPr>
            <w:tcW w:w="1381" w:type="dxa"/>
            <w:vAlign w:val="center"/>
          </w:tcPr>
          <w:p w14:paraId="044A7EB0">
            <w:pPr>
              <w:ind w:left="-53" w:leftChars="-25" w:right="-53" w:rightChars="-25"/>
              <w:jc w:val="center"/>
              <w:rPr>
                <w:rFonts w:cs="Times New Roman"/>
                <w:color w:val="FF9900"/>
              </w:rPr>
            </w:pPr>
            <w:r>
              <w:rPr>
                <w:rFonts w:hint="eastAsia" w:cs="Times New Roman"/>
              </w:rPr>
              <w:t>无</w:t>
            </w:r>
          </w:p>
        </w:tc>
        <w:tc>
          <w:tcPr>
            <w:tcW w:w="1319" w:type="dxa"/>
            <w:vAlign w:val="center"/>
          </w:tcPr>
          <w:p w14:paraId="74FF0D6F">
            <w:pPr>
              <w:ind w:left="-53" w:leftChars="-25" w:right="-53" w:rightChars="-25"/>
              <w:jc w:val="right"/>
              <w:rPr>
                <w:rFonts w:cs="Times New Roman"/>
                <w:spacing w:val="-6"/>
              </w:rPr>
            </w:pPr>
            <w:r>
              <w:rPr>
                <w:rFonts w:hint="eastAsia" w:cs="Times New Roman"/>
                <w:spacing w:val="-6"/>
              </w:rPr>
              <w:t>0</w:t>
            </w:r>
          </w:p>
        </w:tc>
        <w:tc>
          <w:tcPr>
            <w:tcW w:w="985" w:type="dxa"/>
            <w:vAlign w:val="center"/>
          </w:tcPr>
          <w:p w14:paraId="73D60D23">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14:paraId="5281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2EEB325D">
            <w:pPr>
              <w:ind w:left="-53" w:leftChars="-25" w:right="-53" w:rightChars="-25"/>
            </w:pPr>
            <w:r>
              <w:t>中国农业银行股份有限公司重庆市分行</w:t>
            </w:r>
          </w:p>
        </w:tc>
        <w:tc>
          <w:tcPr>
            <w:tcW w:w="1134" w:type="dxa"/>
            <w:vAlign w:val="center"/>
          </w:tcPr>
          <w:p w14:paraId="48ED5977">
            <w:pPr>
              <w:ind w:left="-53" w:leftChars="-25" w:right="-53" w:rightChars="-25"/>
              <w:jc w:val="right"/>
            </w:pPr>
            <w:r>
              <w:t>0</w:t>
            </w:r>
          </w:p>
        </w:tc>
        <w:tc>
          <w:tcPr>
            <w:tcW w:w="1417" w:type="dxa"/>
            <w:vAlign w:val="center"/>
          </w:tcPr>
          <w:p w14:paraId="53339EFE">
            <w:pPr>
              <w:ind w:left="-53" w:leftChars="-25" w:right="-53" w:rightChars="-25"/>
              <w:jc w:val="right"/>
              <w:rPr>
                <w:rFonts w:asciiTheme="minorEastAsia" w:hAnsiTheme="minorEastAsia"/>
              </w:rPr>
            </w:pPr>
            <w:r>
              <w:rPr>
                <w:rFonts w:asciiTheme="minorEastAsia" w:hAnsiTheme="minorEastAsia"/>
              </w:rPr>
              <w:t>71,094,499</w:t>
            </w:r>
          </w:p>
        </w:tc>
        <w:tc>
          <w:tcPr>
            <w:tcW w:w="709" w:type="dxa"/>
            <w:vAlign w:val="center"/>
          </w:tcPr>
          <w:p w14:paraId="426495E6">
            <w:pPr>
              <w:ind w:left="-53" w:leftChars="-25" w:right="-53" w:rightChars="-25"/>
              <w:jc w:val="right"/>
              <w:rPr>
                <w:rFonts w:asciiTheme="minorEastAsia" w:hAnsiTheme="minorEastAsia"/>
              </w:rPr>
            </w:pPr>
            <w:r>
              <w:rPr>
                <w:rFonts w:asciiTheme="minorEastAsia" w:hAnsiTheme="minorEastAsia"/>
              </w:rPr>
              <w:t>1.57</w:t>
            </w:r>
          </w:p>
        </w:tc>
        <w:tc>
          <w:tcPr>
            <w:tcW w:w="851" w:type="dxa"/>
            <w:vAlign w:val="center"/>
          </w:tcPr>
          <w:p w14:paraId="6BF98D64">
            <w:pPr>
              <w:ind w:left="-53" w:leftChars="-25" w:right="-53" w:rightChars="-25"/>
              <w:jc w:val="right"/>
            </w:pPr>
            <w:r>
              <w:t>0</w:t>
            </w:r>
          </w:p>
        </w:tc>
        <w:tc>
          <w:tcPr>
            <w:tcW w:w="1381" w:type="dxa"/>
            <w:vAlign w:val="center"/>
          </w:tcPr>
          <w:p w14:paraId="1C7578CE">
            <w:pPr>
              <w:ind w:left="-53" w:leftChars="-25" w:right="-53" w:rightChars="-25"/>
              <w:jc w:val="center"/>
              <w:rPr>
                <w:rFonts w:cs="Times New Roman"/>
                <w:color w:val="FF9900"/>
              </w:rPr>
            </w:pPr>
            <w:r>
              <w:rPr>
                <w:rFonts w:hint="eastAsia" w:cs="Times New Roman"/>
              </w:rPr>
              <w:t>无</w:t>
            </w:r>
          </w:p>
        </w:tc>
        <w:tc>
          <w:tcPr>
            <w:tcW w:w="1319" w:type="dxa"/>
            <w:vAlign w:val="center"/>
          </w:tcPr>
          <w:p w14:paraId="23E4BCB5">
            <w:pPr>
              <w:ind w:left="-53" w:leftChars="-25" w:right="-53" w:rightChars="-25"/>
              <w:jc w:val="right"/>
              <w:rPr>
                <w:rFonts w:cs="Times New Roman"/>
                <w:spacing w:val="-6"/>
              </w:rPr>
            </w:pPr>
            <w:r>
              <w:rPr>
                <w:rFonts w:hint="eastAsia" w:cs="Times New Roman"/>
                <w:spacing w:val="-6"/>
              </w:rPr>
              <w:t>0</w:t>
            </w:r>
          </w:p>
        </w:tc>
        <w:tc>
          <w:tcPr>
            <w:tcW w:w="985" w:type="dxa"/>
            <w:vAlign w:val="center"/>
          </w:tcPr>
          <w:p w14:paraId="17448308">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14:paraId="6040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319822AF">
            <w:pPr>
              <w:ind w:left="-53" w:leftChars="-25" w:right="-53" w:rightChars="-25"/>
            </w:pPr>
            <w:r>
              <w:t>香港中央结算有限公司</w:t>
            </w:r>
          </w:p>
        </w:tc>
        <w:tc>
          <w:tcPr>
            <w:tcW w:w="1134" w:type="dxa"/>
            <w:vAlign w:val="center"/>
          </w:tcPr>
          <w:p w14:paraId="22EEFC6F">
            <w:pPr>
              <w:ind w:left="-53" w:leftChars="-25" w:right="-53" w:rightChars="-25"/>
              <w:jc w:val="right"/>
            </w:pPr>
            <w:r>
              <w:t>-2,197,771</w:t>
            </w:r>
          </w:p>
        </w:tc>
        <w:tc>
          <w:tcPr>
            <w:tcW w:w="1417" w:type="dxa"/>
            <w:vAlign w:val="center"/>
          </w:tcPr>
          <w:p w14:paraId="57512255">
            <w:pPr>
              <w:ind w:left="-53" w:leftChars="-25" w:right="-53" w:rightChars="-25"/>
              <w:jc w:val="right"/>
              <w:rPr>
                <w:rFonts w:asciiTheme="minorEastAsia" w:hAnsiTheme="minorEastAsia"/>
              </w:rPr>
            </w:pPr>
            <w:r>
              <w:rPr>
                <w:rFonts w:asciiTheme="minorEastAsia" w:hAnsiTheme="minorEastAsia"/>
              </w:rPr>
              <w:t>47,689,458</w:t>
            </w:r>
          </w:p>
        </w:tc>
        <w:tc>
          <w:tcPr>
            <w:tcW w:w="709" w:type="dxa"/>
            <w:vAlign w:val="center"/>
          </w:tcPr>
          <w:p w14:paraId="1466DA46">
            <w:pPr>
              <w:ind w:left="-53" w:leftChars="-25" w:right="-53" w:rightChars="-25"/>
              <w:jc w:val="right"/>
              <w:rPr>
                <w:rFonts w:asciiTheme="minorEastAsia" w:hAnsiTheme="minorEastAsia"/>
              </w:rPr>
            </w:pPr>
            <w:r>
              <w:rPr>
                <w:rFonts w:asciiTheme="minorEastAsia" w:hAnsiTheme="minorEastAsia"/>
              </w:rPr>
              <w:t>1.05</w:t>
            </w:r>
          </w:p>
        </w:tc>
        <w:tc>
          <w:tcPr>
            <w:tcW w:w="851" w:type="dxa"/>
            <w:vAlign w:val="center"/>
          </w:tcPr>
          <w:p w14:paraId="34683F90">
            <w:pPr>
              <w:ind w:left="-53" w:leftChars="-25" w:right="-53" w:rightChars="-25"/>
              <w:jc w:val="right"/>
            </w:pPr>
            <w:r>
              <w:t>0</w:t>
            </w:r>
          </w:p>
        </w:tc>
        <w:tc>
          <w:tcPr>
            <w:tcW w:w="1381" w:type="dxa"/>
            <w:vAlign w:val="center"/>
          </w:tcPr>
          <w:p w14:paraId="107625E6">
            <w:pPr>
              <w:ind w:left="-53" w:leftChars="-25" w:right="-53" w:rightChars="-25"/>
              <w:jc w:val="center"/>
              <w:rPr>
                <w:rFonts w:cs="Times New Roman"/>
                <w:color w:val="FF9900"/>
              </w:rPr>
            </w:pPr>
            <w:r>
              <w:rPr>
                <w:rFonts w:hint="eastAsia" w:cs="Times New Roman"/>
              </w:rPr>
              <w:t>无</w:t>
            </w:r>
          </w:p>
        </w:tc>
        <w:tc>
          <w:tcPr>
            <w:tcW w:w="1319" w:type="dxa"/>
            <w:vAlign w:val="center"/>
          </w:tcPr>
          <w:p w14:paraId="5CAE1121">
            <w:pPr>
              <w:ind w:left="-53" w:leftChars="-25" w:right="-53" w:rightChars="-25"/>
              <w:jc w:val="right"/>
              <w:rPr>
                <w:rFonts w:cs="Times New Roman"/>
                <w:spacing w:val="-6"/>
              </w:rPr>
            </w:pPr>
            <w:r>
              <w:rPr>
                <w:rFonts w:hint="eastAsia" w:cs="Times New Roman"/>
                <w:spacing w:val="-6"/>
              </w:rPr>
              <w:t>0</w:t>
            </w:r>
          </w:p>
        </w:tc>
        <w:tc>
          <w:tcPr>
            <w:tcW w:w="985" w:type="dxa"/>
            <w:vAlign w:val="center"/>
          </w:tcPr>
          <w:p w14:paraId="2324A9ED">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境外法人</w:t>
            </w:r>
          </w:p>
        </w:tc>
      </w:tr>
      <w:tr w14:paraId="1F25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23309607">
            <w:pPr>
              <w:ind w:left="-53" w:leftChars="-25" w:right="-53" w:rightChars="-25"/>
            </w:pPr>
            <w:r>
              <w:t>王建云</w:t>
            </w:r>
          </w:p>
        </w:tc>
        <w:tc>
          <w:tcPr>
            <w:tcW w:w="1134" w:type="dxa"/>
            <w:vAlign w:val="center"/>
          </w:tcPr>
          <w:p w14:paraId="4EC30903">
            <w:pPr>
              <w:ind w:left="-53" w:leftChars="-25" w:right="-53" w:rightChars="-25"/>
              <w:jc w:val="right"/>
            </w:pPr>
            <w:r>
              <w:t>27,202,000</w:t>
            </w:r>
          </w:p>
        </w:tc>
        <w:tc>
          <w:tcPr>
            <w:tcW w:w="1417" w:type="dxa"/>
            <w:vAlign w:val="center"/>
          </w:tcPr>
          <w:p w14:paraId="68BA3504">
            <w:pPr>
              <w:ind w:left="-53" w:leftChars="-25" w:right="-53" w:rightChars="-25"/>
              <w:jc w:val="right"/>
              <w:rPr>
                <w:rFonts w:asciiTheme="minorEastAsia" w:hAnsiTheme="minorEastAsia"/>
              </w:rPr>
            </w:pPr>
            <w:r>
              <w:rPr>
                <w:rFonts w:asciiTheme="minorEastAsia" w:hAnsiTheme="minorEastAsia"/>
              </w:rPr>
              <w:t>33,987,000</w:t>
            </w:r>
          </w:p>
        </w:tc>
        <w:tc>
          <w:tcPr>
            <w:tcW w:w="709" w:type="dxa"/>
            <w:vAlign w:val="center"/>
          </w:tcPr>
          <w:p w14:paraId="4F43023A">
            <w:pPr>
              <w:ind w:left="-53" w:leftChars="-25" w:right="-53" w:rightChars="-25"/>
              <w:jc w:val="right"/>
              <w:rPr>
                <w:rFonts w:asciiTheme="minorEastAsia" w:hAnsiTheme="minorEastAsia"/>
              </w:rPr>
            </w:pPr>
            <w:r>
              <w:rPr>
                <w:rFonts w:asciiTheme="minorEastAsia" w:hAnsiTheme="minorEastAsia"/>
              </w:rPr>
              <w:t>0.75</w:t>
            </w:r>
          </w:p>
        </w:tc>
        <w:tc>
          <w:tcPr>
            <w:tcW w:w="851" w:type="dxa"/>
            <w:vAlign w:val="center"/>
          </w:tcPr>
          <w:p w14:paraId="6BD2268B">
            <w:pPr>
              <w:ind w:left="-53" w:leftChars="-25" w:right="-53" w:rightChars="-25"/>
              <w:jc w:val="right"/>
            </w:pPr>
            <w:r>
              <w:t>0</w:t>
            </w:r>
          </w:p>
        </w:tc>
        <w:tc>
          <w:tcPr>
            <w:tcW w:w="1381" w:type="dxa"/>
            <w:vAlign w:val="center"/>
          </w:tcPr>
          <w:p w14:paraId="1ECA97AE">
            <w:pPr>
              <w:ind w:left="-53" w:leftChars="-25" w:right="-53" w:rightChars="-25"/>
              <w:jc w:val="center"/>
              <w:rPr>
                <w:rFonts w:cs="Times New Roman"/>
                <w:color w:val="FF9900"/>
              </w:rPr>
            </w:pPr>
            <w:r>
              <w:rPr>
                <w:rFonts w:hint="eastAsia" w:cs="Times New Roman"/>
              </w:rPr>
              <w:t>无</w:t>
            </w:r>
          </w:p>
        </w:tc>
        <w:tc>
          <w:tcPr>
            <w:tcW w:w="1319" w:type="dxa"/>
            <w:vAlign w:val="center"/>
          </w:tcPr>
          <w:p w14:paraId="261D5AE5">
            <w:pPr>
              <w:ind w:left="-53" w:leftChars="-25" w:right="-53" w:rightChars="-25"/>
              <w:jc w:val="right"/>
              <w:rPr>
                <w:rFonts w:cs="Times New Roman"/>
                <w:spacing w:val="-6"/>
              </w:rPr>
            </w:pPr>
            <w:r>
              <w:rPr>
                <w:rFonts w:hint="eastAsia" w:cs="Times New Roman"/>
                <w:spacing w:val="-6"/>
              </w:rPr>
              <w:t>0</w:t>
            </w:r>
          </w:p>
        </w:tc>
        <w:tc>
          <w:tcPr>
            <w:tcW w:w="985" w:type="dxa"/>
            <w:vAlign w:val="center"/>
          </w:tcPr>
          <w:p w14:paraId="223F093F">
            <w:pPr>
              <w:ind w:left="-53" w:leftChars="-25" w:right="-53" w:rightChars="-25"/>
              <w:jc w:val="center"/>
              <w:rPr>
                <w:color w:val="000000" w:themeColor="text1"/>
                <w:spacing w:val="-20"/>
                <w14:textFill>
                  <w14:solidFill>
                    <w14:schemeClr w14:val="tx1"/>
                  </w14:solidFill>
                </w14:textFill>
              </w:rPr>
            </w:pPr>
            <w:r>
              <w:rPr>
                <w:rFonts w:hint="eastAsia"/>
                <w:color w:val="000000" w:themeColor="text1"/>
                <w:spacing w:val="-20"/>
                <w14:textFill>
                  <w14:solidFill>
                    <w14:schemeClr w14:val="tx1"/>
                  </w14:solidFill>
                </w14:textFill>
              </w:rPr>
              <w:t>境内自然人</w:t>
            </w:r>
          </w:p>
        </w:tc>
      </w:tr>
      <w:tr w14:paraId="2113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7B0BFC2D">
            <w:pPr>
              <w:ind w:left="-53" w:leftChars="-25" w:right="-53" w:rightChars="-25"/>
            </w:pPr>
            <w:r>
              <w:t>张家港市和裕投资发展有限公司</w:t>
            </w:r>
          </w:p>
        </w:tc>
        <w:tc>
          <w:tcPr>
            <w:tcW w:w="1134" w:type="dxa"/>
            <w:vAlign w:val="center"/>
          </w:tcPr>
          <w:p w14:paraId="7727FF0A">
            <w:pPr>
              <w:ind w:left="-53" w:leftChars="-25" w:right="-53" w:rightChars="-25"/>
              <w:jc w:val="right"/>
            </w:pPr>
            <w:r>
              <w:t>0</w:t>
            </w:r>
          </w:p>
        </w:tc>
        <w:tc>
          <w:tcPr>
            <w:tcW w:w="1417" w:type="dxa"/>
            <w:vAlign w:val="center"/>
          </w:tcPr>
          <w:p w14:paraId="62220E94">
            <w:pPr>
              <w:ind w:left="-53" w:leftChars="-25" w:right="-53" w:rightChars="-25"/>
              <w:jc w:val="right"/>
              <w:rPr>
                <w:rFonts w:asciiTheme="minorEastAsia" w:hAnsiTheme="minorEastAsia"/>
              </w:rPr>
            </w:pPr>
            <w:r>
              <w:rPr>
                <w:rFonts w:asciiTheme="minorEastAsia" w:hAnsiTheme="minorEastAsia"/>
              </w:rPr>
              <w:t>25,021,800</w:t>
            </w:r>
          </w:p>
        </w:tc>
        <w:tc>
          <w:tcPr>
            <w:tcW w:w="709" w:type="dxa"/>
            <w:vAlign w:val="center"/>
          </w:tcPr>
          <w:p w14:paraId="06DACA95">
            <w:pPr>
              <w:ind w:left="-53" w:leftChars="-25" w:right="-53" w:rightChars="-25"/>
              <w:jc w:val="right"/>
              <w:rPr>
                <w:rFonts w:asciiTheme="minorEastAsia" w:hAnsiTheme="minorEastAsia"/>
              </w:rPr>
            </w:pPr>
            <w:r>
              <w:rPr>
                <w:rFonts w:asciiTheme="minorEastAsia" w:hAnsiTheme="minorEastAsia"/>
              </w:rPr>
              <w:t>0.55</w:t>
            </w:r>
          </w:p>
        </w:tc>
        <w:tc>
          <w:tcPr>
            <w:tcW w:w="851" w:type="dxa"/>
            <w:vAlign w:val="center"/>
          </w:tcPr>
          <w:p w14:paraId="3D249DB3">
            <w:pPr>
              <w:ind w:left="-53" w:leftChars="-25" w:right="-53" w:rightChars="-25"/>
              <w:jc w:val="right"/>
            </w:pPr>
            <w:r>
              <w:t>0</w:t>
            </w:r>
          </w:p>
        </w:tc>
        <w:tc>
          <w:tcPr>
            <w:tcW w:w="1381" w:type="dxa"/>
            <w:vAlign w:val="center"/>
          </w:tcPr>
          <w:p w14:paraId="0723A69D">
            <w:pPr>
              <w:ind w:left="-53" w:leftChars="-25" w:right="-53" w:rightChars="-25"/>
              <w:jc w:val="center"/>
              <w:rPr>
                <w:rFonts w:cs="Times New Roman"/>
                <w:color w:val="FF9900"/>
              </w:rPr>
            </w:pPr>
            <w:r>
              <w:rPr>
                <w:rFonts w:hint="eastAsia" w:cs="Times New Roman"/>
              </w:rPr>
              <w:t>无</w:t>
            </w:r>
          </w:p>
        </w:tc>
        <w:tc>
          <w:tcPr>
            <w:tcW w:w="1319" w:type="dxa"/>
            <w:vAlign w:val="center"/>
          </w:tcPr>
          <w:p w14:paraId="15FD4404">
            <w:pPr>
              <w:ind w:left="-53" w:leftChars="-25" w:right="-53" w:rightChars="-25"/>
              <w:jc w:val="right"/>
              <w:rPr>
                <w:rFonts w:cs="Times New Roman"/>
                <w:spacing w:val="-6"/>
              </w:rPr>
            </w:pPr>
            <w:r>
              <w:rPr>
                <w:rFonts w:hint="eastAsia" w:cs="Times New Roman"/>
                <w:spacing w:val="-6"/>
              </w:rPr>
              <w:t>0</w:t>
            </w:r>
          </w:p>
        </w:tc>
        <w:tc>
          <w:tcPr>
            <w:tcW w:w="985" w:type="dxa"/>
            <w:vAlign w:val="center"/>
          </w:tcPr>
          <w:p w14:paraId="732F20F7">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境内非国有法人</w:t>
            </w:r>
          </w:p>
        </w:tc>
      </w:tr>
      <w:tr w14:paraId="3522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7A1D8900">
            <w:pPr>
              <w:ind w:left="-53" w:leftChars="-25" w:right="-53" w:rightChars="-25"/>
            </w:pPr>
            <w:r>
              <w:t>四川天府银行股份有限公司成都锦江支行</w:t>
            </w:r>
          </w:p>
        </w:tc>
        <w:tc>
          <w:tcPr>
            <w:tcW w:w="1134" w:type="dxa"/>
            <w:vAlign w:val="center"/>
          </w:tcPr>
          <w:p w14:paraId="70CFEB29">
            <w:pPr>
              <w:ind w:left="-53" w:leftChars="-25" w:right="-53" w:rightChars="-25"/>
              <w:jc w:val="right"/>
            </w:pPr>
            <w:r>
              <w:t>0</w:t>
            </w:r>
          </w:p>
        </w:tc>
        <w:tc>
          <w:tcPr>
            <w:tcW w:w="1417" w:type="dxa"/>
            <w:vAlign w:val="center"/>
          </w:tcPr>
          <w:p w14:paraId="28D3BBE4">
            <w:pPr>
              <w:ind w:left="-53" w:leftChars="-25" w:right="-53" w:rightChars="-25"/>
              <w:jc w:val="right"/>
              <w:rPr>
                <w:rFonts w:asciiTheme="minorEastAsia" w:hAnsiTheme="minorEastAsia"/>
              </w:rPr>
            </w:pPr>
            <w:r>
              <w:rPr>
                <w:rFonts w:asciiTheme="minorEastAsia" w:hAnsiTheme="minorEastAsia"/>
              </w:rPr>
              <w:t>24,265,105</w:t>
            </w:r>
          </w:p>
        </w:tc>
        <w:tc>
          <w:tcPr>
            <w:tcW w:w="709" w:type="dxa"/>
            <w:vAlign w:val="center"/>
          </w:tcPr>
          <w:p w14:paraId="767D9CA8">
            <w:pPr>
              <w:ind w:left="-53" w:leftChars="-25" w:right="-53" w:rightChars="-25"/>
              <w:jc w:val="right"/>
              <w:rPr>
                <w:rFonts w:asciiTheme="minorEastAsia" w:hAnsiTheme="minorEastAsia"/>
              </w:rPr>
            </w:pPr>
            <w:r>
              <w:rPr>
                <w:rFonts w:asciiTheme="minorEastAsia" w:hAnsiTheme="minorEastAsia"/>
              </w:rPr>
              <w:t>0.54</w:t>
            </w:r>
          </w:p>
        </w:tc>
        <w:tc>
          <w:tcPr>
            <w:tcW w:w="851" w:type="dxa"/>
            <w:vAlign w:val="center"/>
          </w:tcPr>
          <w:p w14:paraId="5461066C">
            <w:pPr>
              <w:ind w:left="-53" w:leftChars="-25" w:right="-53" w:rightChars="-25"/>
              <w:jc w:val="right"/>
            </w:pPr>
            <w:r>
              <w:t>0</w:t>
            </w:r>
          </w:p>
        </w:tc>
        <w:tc>
          <w:tcPr>
            <w:tcW w:w="1381" w:type="dxa"/>
            <w:vAlign w:val="center"/>
          </w:tcPr>
          <w:p w14:paraId="3788E701">
            <w:pPr>
              <w:ind w:left="-53" w:leftChars="-25" w:right="-53" w:rightChars="-25"/>
              <w:jc w:val="center"/>
              <w:rPr>
                <w:rFonts w:cs="Times New Roman"/>
                <w:color w:val="FF9900"/>
              </w:rPr>
            </w:pPr>
            <w:r>
              <w:rPr>
                <w:rFonts w:hint="eastAsia" w:cs="Times New Roman"/>
              </w:rPr>
              <w:t>无</w:t>
            </w:r>
          </w:p>
        </w:tc>
        <w:tc>
          <w:tcPr>
            <w:tcW w:w="1319" w:type="dxa"/>
            <w:vAlign w:val="center"/>
          </w:tcPr>
          <w:p w14:paraId="0073BE52">
            <w:pPr>
              <w:ind w:left="-53" w:leftChars="-25" w:right="-53" w:rightChars="-25"/>
              <w:jc w:val="right"/>
              <w:rPr>
                <w:rFonts w:cs="Times New Roman"/>
                <w:spacing w:val="-6"/>
              </w:rPr>
            </w:pPr>
            <w:r>
              <w:rPr>
                <w:rFonts w:hint="eastAsia" w:cs="Times New Roman"/>
                <w:spacing w:val="-6"/>
              </w:rPr>
              <w:t>0</w:t>
            </w:r>
          </w:p>
        </w:tc>
        <w:tc>
          <w:tcPr>
            <w:tcW w:w="985" w:type="dxa"/>
            <w:vAlign w:val="center"/>
          </w:tcPr>
          <w:p w14:paraId="67182B47">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14:paraId="5D40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269" w:type="dxa"/>
            <w:vAlign w:val="center"/>
          </w:tcPr>
          <w:p w14:paraId="11441F7F">
            <w:pPr>
              <w:ind w:left="-53" w:leftChars="-25" w:right="-53" w:rightChars="-25"/>
            </w:pPr>
            <w:r>
              <w:t>宁波保税区鑫达国际贸易有限公司</w:t>
            </w:r>
          </w:p>
        </w:tc>
        <w:tc>
          <w:tcPr>
            <w:tcW w:w="1134" w:type="dxa"/>
            <w:vAlign w:val="center"/>
          </w:tcPr>
          <w:p w14:paraId="41F62A48">
            <w:pPr>
              <w:ind w:left="-53" w:leftChars="-25" w:right="-53" w:rightChars="-25"/>
              <w:jc w:val="right"/>
            </w:pPr>
            <w:r>
              <w:t>0</w:t>
            </w:r>
          </w:p>
        </w:tc>
        <w:tc>
          <w:tcPr>
            <w:tcW w:w="1417" w:type="dxa"/>
            <w:vAlign w:val="center"/>
          </w:tcPr>
          <w:p w14:paraId="3A2E276D">
            <w:pPr>
              <w:ind w:left="-53" w:leftChars="-25" w:right="-53" w:rightChars="-25"/>
              <w:jc w:val="right"/>
              <w:rPr>
                <w:rFonts w:asciiTheme="minorEastAsia" w:hAnsiTheme="minorEastAsia"/>
              </w:rPr>
            </w:pPr>
            <w:r>
              <w:rPr>
                <w:rFonts w:asciiTheme="minorEastAsia" w:hAnsiTheme="minorEastAsia"/>
              </w:rPr>
              <w:t>22,770,100</w:t>
            </w:r>
          </w:p>
        </w:tc>
        <w:tc>
          <w:tcPr>
            <w:tcW w:w="709" w:type="dxa"/>
            <w:vAlign w:val="center"/>
          </w:tcPr>
          <w:p w14:paraId="369EE9E7">
            <w:pPr>
              <w:ind w:left="-53" w:leftChars="-25" w:right="-53" w:rightChars="-25"/>
              <w:jc w:val="right"/>
              <w:rPr>
                <w:rFonts w:asciiTheme="minorEastAsia" w:hAnsiTheme="minorEastAsia"/>
              </w:rPr>
            </w:pPr>
            <w:r>
              <w:rPr>
                <w:rFonts w:asciiTheme="minorEastAsia" w:hAnsiTheme="minorEastAsia"/>
              </w:rPr>
              <w:t>0.50</w:t>
            </w:r>
          </w:p>
        </w:tc>
        <w:tc>
          <w:tcPr>
            <w:tcW w:w="851" w:type="dxa"/>
            <w:vAlign w:val="center"/>
          </w:tcPr>
          <w:p w14:paraId="7F36CADE">
            <w:pPr>
              <w:ind w:left="-53" w:leftChars="-25" w:right="-53" w:rightChars="-25"/>
              <w:jc w:val="right"/>
            </w:pPr>
            <w:r>
              <w:t>0</w:t>
            </w:r>
          </w:p>
        </w:tc>
        <w:tc>
          <w:tcPr>
            <w:tcW w:w="1381" w:type="dxa"/>
            <w:vAlign w:val="center"/>
          </w:tcPr>
          <w:p w14:paraId="157199F1">
            <w:pPr>
              <w:ind w:left="-53" w:leftChars="-25" w:right="-53" w:rightChars="-25"/>
              <w:jc w:val="center"/>
              <w:rPr>
                <w:rFonts w:cs="Times New Roman"/>
                <w:color w:val="FF9900"/>
              </w:rPr>
            </w:pPr>
            <w:r>
              <w:rPr>
                <w:rFonts w:hint="eastAsia" w:cs="Times New Roman"/>
              </w:rPr>
              <w:t>无</w:t>
            </w:r>
          </w:p>
        </w:tc>
        <w:tc>
          <w:tcPr>
            <w:tcW w:w="1319" w:type="dxa"/>
            <w:vAlign w:val="center"/>
          </w:tcPr>
          <w:p w14:paraId="504D01D3">
            <w:pPr>
              <w:ind w:left="-53" w:leftChars="-25" w:right="-53" w:rightChars="-25"/>
              <w:jc w:val="right"/>
              <w:rPr>
                <w:rFonts w:cs="Times New Roman"/>
                <w:spacing w:val="-6"/>
              </w:rPr>
            </w:pPr>
            <w:r>
              <w:rPr>
                <w:rFonts w:hint="eastAsia" w:cs="Times New Roman"/>
                <w:spacing w:val="-6"/>
              </w:rPr>
              <w:t>0</w:t>
            </w:r>
          </w:p>
        </w:tc>
        <w:tc>
          <w:tcPr>
            <w:tcW w:w="985" w:type="dxa"/>
            <w:vAlign w:val="center"/>
          </w:tcPr>
          <w:p w14:paraId="200926E1">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境内非国有法人</w:t>
            </w:r>
          </w:p>
        </w:tc>
      </w:tr>
      <w:tr w14:paraId="64ED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f36efd0621247ffb7b2462dd9753e27"/>
            <w:id w:val="97994079"/>
          </w:sdtPr>
          <w:sdtContent>
            <w:tc>
              <w:tcPr>
                <w:tcW w:w="10065" w:type="dxa"/>
                <w:gridSpan w:val="8"/>
                <w:vAlign w:val="center"/>
              </w:tcPr>
              <w:p w14:paraId="4CFAF26A">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前十名无限售条件股东持股情况（不含通过转融通出借股份）</w:t>
                </w:r>
              </w:p>
            </w:tc>
          </w:sdtContent>
        </w:sdt>
      </w:tr>
      <w:tr w14:paraId="6AA4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c8c7d50ba2b44858757eeaaa20b5499"/>
            <w:id w:val="-1696540547"/>
          </w:sdtPr>
          <w:sdtContent>
            <w:tc>
              <w:tcPr>
                <w:tcW w:w="3403" w:type="dxa"/>
                <w:gridSpan w:val="2"/>
                <w:vMerge w:val="restart"/>
                <w:vAlign w:val="center"/>
              </w:tcPr>
              <w:p w14:paraId="33DFA4B5">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股东名称</w:t>
                </w:r>
              </w:p>
            </w:tc>
          </w:sdtContent>
        </w:sdt>
        <w:sdt>
          <w:sdtPr>
            <w:tag w:val="_PLD_e4987b1a07a6489c82ab5ef0aa3370ea"/>
            <w:id w:val="-1747333608"/>
          </w:sdtPr>
          <w:sdtContent>
            <w:tc>
              <w:tcPr>
                <w:tcW w:w="2977" w:type="dxa"/>
                <w:gridSpan w:val="3"/>
                <w:vMerge w:val="restart"/>
                <w:vAlign w:val="center"/>
              </w:tcPr>
              <w:p w14:paraId="13311F56">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持有无限售条件流通股的数量</w:t>
                </w:r>
              </w:p>
            </w:tc>
          </w:sdtContent>
        </w:sdt>
        <w:sdt>
          <w:sdtPr>
            <w:tag w:val="_PLD_26ce78cac14a427ca05aa80b21b65936"/>
            <w:id w:val="-761531101"/>
          </w:sdtPr>
          <w:sdtContent>
            <w:tc>
              <w:tcPr>
                <w:tcW w:w="3685" w:type="dxa"/>
                <w:gridSpan w:val="3"/>
                <w:tcBorders>
                  <w:bottom w:val="single" w:color="auto" w:sz="4" w:space="0"/>
                </w:tcBorders>
                <w:vAlign w:val="center"/>
              </w:tcPr>
              <w:p w14:paraId="45E2CF8B">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股份种类</w:t>
                </w:r>
                <w:r>
                  <w:rPr>
                    <w:rFonts w:hint="eastAsia"/>
                    <w:color w:val="000000" w:themeColor="text1"/>
                    <w14:textFill>
                      <w14:solidFill>
                        <w14:schemeClr w14:val="tx1"/>
                      </w14:solidFill>
                    </w14:textFill>
                  </w:rPr>
                  <w:t>及数量</w:t>
                </w:r>
              </w:p>
            </w:tc>
          </w:sdtContent>
        </w:sdt>
      </w:tr>
      <w:tr w14:paraId="175C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Merge w:val="continue"/>
            <w:vAlign w:val="center"/>
          </w:tcPr>
          <w:p w14:paraId="6A757131">
            <w:pPr>
              <w:ind w:left="-53" w:leftChars="-25" w:right="-53" w:rightChars="-25"/>
              <w:jc w:val="center"/>
              <w:rPr>
                <w:color w:val="000000" w:themeColor="text1"/>
                <w14:textFill>
                  <w14:solidFill>
                    <w14:schemeClr w14:val="tx1"/>
                  </w14:solidFill>
                </w14:textFill>
              </w:rPr>
            </w:pPr>
          </w:p>
        </w:tc>
        <w:tc>
          <w:tcPr>
            <w:tcW w:w="2977" w:type="dxa"/>
            <w:gridSpan w:val="3"/>
            <w:vMerge w:val="continue"/>
            <w:vAlign w:val="center"/>
          </w:tcPr>
          <w:p w14:paraId="4EF96B19">
            <w:pPr>
              <w:ind w:left="-53" w:leftChars="-25" w:right="-53" w:rightChars="-25"/>
              <w:jc w:val="center"/>
              <w:rPr>
                <w:color w:val="000000" w:themeColor="text1"/>
                <w14:textFill>
                  <w14:solidFill>
                    <w14:schemeClr w14:val="tx1"/>
                  </w14:solidFill>
                </w14:textFill>
              </w:rPr>
            </w:pPr>
          </w:p>
        </w:tc>
        <w:sdt>
          <w:sdtPr>
            <w:tag w:val="_PLD_05580a00e3f942c0b2da618818a84669"/>
            <w:id w:val="-1390103953"/>
          </w:sdtPr>
          <w:sdtContent>
            <w:tc>
              <w:tcPr>
                <w:tcW w:w="1381" w:type="dxa"/>
                <w:vAlign w:val="center"/>
              </w:tcPr>
              <w:p w14:paraId="649DA672">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种类</w:t>
                </w:r>
              </w:p>
            </w:tc>
          </w:sdtContent>
        </w:sdt>
        <w:sdt>
          <w:sdtPr>
            <w:tag w:val="_PLD_7f8ec6251e234192b411b34b07ccd732"/>
            <w:id w:val="-1525552119"/>
          </w:sdtPr>
          <w:sdtContent>
            <w:tc>
              <w:tcPr>
                <w:tcW w:w="2304" w:type="dxa"/>
                <w:gridSpan w:val="2"/>
                <w:vAlign w:val="center"/>
              </w:tcPr>
              <w:p w14:paraId="032D6F95">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数量</w:t>
                </w:r>
              </w:p>
            </w:tc>
          </w:sdtContent>
        </w:sdt>
      </w:tr>
      <w:tr w14:paraId="521B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48752321">
            <w:pPr>
              <w:ind w:left="-53" w:leftChars="-25" w:right="-53" w:rightChars="-25"/>
            </w:pPr>
            <w:r>
              <w:t>重庆满江红</w:t>
            </w:r>
            <w:r>
              <w:rPr>
                <w:rFonts w:hint="eastAsia"/>
              </w:rPr>
              <w:t>私募</w:t>
            </w:r>
            <w:r>
              <w:t>股权投资基金合伙企业(有限合伙)</w:t>
            </w:r>
          </w:p>
        </w:tc>
        <w:tc>
          <w:tcPr>
            <w:tcW w:w="2977" w:type="dxa"/>
            <w:gridSpan w:val="3"/>
            <w:vAlign w:val="center"/>
          </w:tcPr>
          <w:p w14:paraId="76F9A1B2">
            <w:pPr>
              <w:jc w:val="right"/>
              <w:rPr>
                <w:rFonts w:asciiTheme="minorEastAsia" w:hAnsiTheme="minorEastAsia" w:eastAsiaTheme="minorEastAsia"/>
              </w:rPr>
            </w:pPr>
            <w:r>
              <w:rPr>
                <w:rFonts w:asciiTheme="minorEastAsia" w:hAnsiTheme="minorEastAsia" w:eastAsiaTheme="minorEastAsia"/>
              </w:rPr>
              <w:t>1,349,550,000</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187491274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36D38348">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752584D4">
            <w:pPr>
              <w:jc w:val="right"/>
              <w:rPr>
                <w:rFonts w:asciiTheme="minorEastAsia" w:hAnsiTheme="minorEastAsia" w:eastAsiaTheme="minorEastAsia"/>
              </w:rPr>
            </w:pPr>
            <w:r>
              <w:rPr>
                <w:rFonts w:asciiTheme="minorEastAsia" w:hAnsiTheme="minorEastAsia" w:eastAsiaTheme="minorEastAsia"/>
              </w:rPr>
              <w:t>1,349,550,000</w:t>
            </w:r>
          </w:p>
        </w:tc>
      </w:tr>
      <w:tr w14:paraId="71B81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4519F981">
            <w:pPr>
              <w:ind w:left="-53" w:leftChars="-25" w:right="-53" w:rightChars="-25"/>
            </w:pPr>
            <w:r>
              <w:t>重庆江河汇企业管理有限责任公司</w:t>
            </w:r>
          </w:p>
        </w:tc>
        <w:tc>
          <w:tcPr>
            <w:tcW w:w="2977" w:type="dxa"/>
            <w:gridSpan w:val="3"/>
            <w:vAlign w:val="center"/>
          </w:tcPr>
          <w:p w14:paraId="0E1F7D1C">
            <w:pPr>
              <w:jc w:val="right"/>
              <w:rPr>
                <w:rFonts w:asciiTheme="minorEastAsia" w:hAnsiTheme="minorEastAsia" w:eastAsiaTheme="minorEastAsia"/>
              </w:rPr>
            </w:pPr>
            <w:r>
              <w:rPr>
                <w:rFonts w:asciiTheme="minorEastAsia" w:hAnsiTheme="minorEastAsia" w:eastAsiaTheme="minorEastAsia"/>
              </w:rPr>
              <w:t>900,000,000</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21678935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040D8EF6">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0B3C351A">
            <w:pPr>
              <w:jc w:val="right"/>
              <w:rPr>
                <w:rFonts w:asciiTheme="minorEastAsia" w:hAnsiTheme="minorEastAsia" w:eastAsiaTheme="minorEastAsia"/>
              </w:rPr>
            </w:pPr>
            <w:r>
              <w:rPr>
                <w:rFonts w:asciiTheme="minorEastAsia" w:hAnsiTheme="minorEastAsia" w:eastAsiaTheme="minorEastAsia"/>
              </w:rPr>
              <w:t>900,000,000</w:t>
            </w:r>
          </w:p>
        </w:tc>
      </w:tr>
      <w:tr w14:paraId="78D4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1BDA9CE4">
            <w:pPr>
              <w:ind w:left="-53" w:leftChars="-25" w:right="-53" w:rightChars="-25"/>
            </w:pPr>
            <w:r>
              <w:t>重庆力帆控股有限公司</w:t>
            </w:r>
          </w:p>
        </w:tc>
        <w:tc>
          <w:tcPr>
            <w:tcW w:w="2977" w:type="dxa"/>
            <w:gridSpan w:val="3"/>
            <w:vAlign w:val="center"/>
          </w:tcPr>
          <w:p w14:paraId="43CEB7BF">
            <w:pPr>
              <w:jc w:val="right"/>
              <w:rPr>
                <w:rFonts w:asciiTheme="minorEastAsia" w:hAnsiTheme="minorEastAsia" w:eastAsiaTheme="minorEastAsia"/>
              </w:rPr>
            </w:pPr>
            <w:r>
              <w:rPr>
                <w:rFonts w:asciiTheme="minorEastAsia" w:hAnsiTheme="minorEastAsia" w:eastAsiaTheme="minorEastAsia"/>
              </w:rPr>
              <w:t>618,559,784</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83411149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243441D7">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31FF6E37">
            <w:pPr>
              <w:jc w:val="right"/>
              <w:rPr>
                <w:rFonts w:asciiTheme="minorEastAsia" w:hAnsiTheme="minorEastAsia" w:eastAsiaTheme="minorEastAsia"/>
              </w:rPr>
            </w:pPr>
            <w:r>
              <w:rPr>
                <w:rFonts w:asciiTheme="minorEastAsia" w:hAnsiTheme="minorEastAsia" w:eastAsiaTheme="minorEastAsia"/>
              </w:rPr>
              <w:t>618,559,784</w:t>
            </w:r>
          </w:p>
        </w:tc>
      </w:tr>
      <w:tr w14:paraId="55BB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22C3FC7E">
            <w:pPr>
              <w:ind w:left="-53" w:leftChars="-25" w:right="-53" w:rightChars="-25"/>
            </w:pPr>
            <w:r>
              <w:t>力帆实业（集团）股份有限公司破产企业财产处置专用账户</w:t>
            </w:r>
          </w:p>
        </w:tc>
        <w:tc>
          <w:tcPr>
            <w:tcW w:w="2977" w:type="dxa"/>
            <w:gridSpan w:val="3"/>
            <w:vAlign w:val="center"/>
          </w:tcPr>
          <w:p w14:paraId="58F36077">
            <w:pPr>
              <w:jc w:val="right"/>
              <w:rPr>
                <w:rFonts w:asciiTheme="minorEastAsia" w:hAnsiTheme="minorEastAsia" w:eastAsiaTheme="minorEastAsia"/>
              </w:rPr>
            </w:pPr>
            <w:r>
              <w:rPr>
                <w:rFonts w:asciiTheme="minorEastAsia" w:hAnsiTheme="minorEastAsia" w:eastAsiaTheme="minorEastAsia"/>
              </w:rPr>
              <w:t>180,363,519</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206289847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7A74C4DE">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43175A74">
            <w:pPr>
              <w:jc w:val="right"/>
              <w:rPr>
                <w:rFonts w:asciiTheme="minorEastAsia" w:hAnsiTheme="minorEastAsia" w:eastAsiaTheme="minorEastAsia"/>
              </w:rPr>
            </w:pPr>
            <w:r>
              <w:rPr>
                <w:rFonts w:asciiTheme="minorEastAsia" w:hAnsiTheme="minorEastAsia" w:eastAsiaTheme="minorEastAsia"/>
              </w:rPr>
              <w:t>180,363,519</w:t>
            </w:r>
          </w:p>
        </w:tc>
      </w:tr>
      <w:tr w14:paraId="6BDB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60582B56">
            <w:pPr>
              <w:ind w:left="-53" w:leftChars="-25" w:right="-53" w:rightChars="-25"/>
            </w:pPr>
            <w:r>
              <w:t>中国农业银行股份有限公司重庆市分行</w:t>
            </w:r>
          </w:p>
        </w:tc>
        <w:tc>
          <w:tcPr>
            <w:tcW w:w="2977" w:type="dxa"/>
            <w:gridSpan w:val="3"/>
            <w:vAlign w:val="center"/>
          </w:tcPr>
          <w:p w14:paraId="4CBB8E2A">
            <w:pPr>
              <w:jc w:val="right"/>
              <w:rPr>
                <w:rFonts w:asciiTheme="minorEastAsia" w:hAnsiTheme="minorEastAsia" w:eastAsiaTheme="minorEastAsia"/>
              </w:rPr>
            </w:pPr>
            <w:r>
              <w:rPr>
                <w:rFonts w:asciiTheme="minorEastAsia" w:hAnsiTheme="minorEastAsia" w:eastAsiaTheme="minorEastAsia"/>
              </w:rPr>
              <w:t>71,094,499</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75255512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43E267A5">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1C763997">
            <w:pPr>
              <w:jc w:val="right"/>
              <w:rPr>
                <w:rFonts w:asciiTheme="minorEastAsia" w:hAnsiTheme="minorEastAsia" w:eastAsiaTheme="minorEastAsia"/>
              </w:rPr>
            </w:pPr>
            <w:r>
              <w:rPr>
                <w:rFonts w:asciiTheme="minorEastAsia" w:hAnsiTheme="minorEastAsia" w:eastAsiaTheme="minorEastAsia"/>
              </w:rPr>
              <w:t>71,094,499</w:t>
            </w:r>
          </w:p>
        </w:tc>
      </w:tr>
      <w:tr w14:paraId="0FFB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63660A6B">
            <w:pPr>
              <w:ind w:left="-53" w:leftChars="-25" w:right="-53" w:rightChars="-25"/>
            </w:pPr>
            <w:r>
              <w:t>香港中央结算有限公司</w:t>
            </w:r>
          </w:p>
        </w:tc>
        <w:tc>
          <w:tcPr>
            <w:tcW w:w="2977" w:type="dxa"/>
            <w:gridSpan w:val="3"/>
            <w:vAlign w:val="center"/>
          </w:tcPr>
          <w:p w14:paraId="4A221E25">
            <w:pPr>
              <w:jc w:val="right"/>
              <w:rPr>
                <w:rFonts w:asciiTheme="minorEastAsia" w:hAnsiTheme="minorEastAsia" w:eastAsiaTheme="minorEastAsia"/>
              </w:rPr>
            </w:pPr>
            <w:r>
              <w:rPr>
                <w:rFonts w:asciiTheme="minorEastAsia" w:hAnsiTheme="minorEastAsia" w:eastAsiaTheme="minorEastAsia"/>
              </w:rPr>
              <w:t>47,689,458</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123558770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45DB5EE6">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6CF647BE">
            <w:pPr>
              <w:jc w:val="right"/>
              <w:rPr>
                <w:rFonts w:asciiTheme="minorEastAsia" w:hAnsiTheme="minorEastAsia" w:eastAsiaTheme="minorEastAsia"/>
              </w:rPr>
            </w:pPr>
            <w:r>
              <w:rPr>
                <w:rFonts w:asciiTheme="minorEastAsia" w:hAnsiTheme="minorEastAsia" w:eastAsiaTheme="minorEastAsia"/>
              </w:rPr>
              <w:t>47,689,458</w:t>
            </w:r>
          </w:p>
        </w:tc>
      </w:tr>
      <w:tr w14:paraId="0194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6089E8F2">
            <w:pPr>
              <w:ind w:left="-53" w:leftChars="-25" w:right="-53" w:rightChars="-25"/>
            </w:pPr>
            <w:r>
              <w:t>王建云</w:t>
            </w:r>
          </w:p>
        </w:tc>
        <w:tc>
          <w:tcPr>
            <w:tcW w:w="2977" w:type="dxa"/>
            <w:gridSpan w:val="3"/>
            <w:vAlign w:val="center"/>
          </w:tcPr>
          <w:p w14:paraId="0177B7AF">
            <w:pPr>
              <w:jc w:val="right"/>
              <w:rPr>
                <w:rFonts w:asciiTheme="minorEastAsia" w:hAnsiTheme="minorEastAsia" w:eastAsiaTheme="minorEastAsia"/>
              </w:rPr>
            </w:pPr>
            <w:r>
              <w:rPr>
                <w:rFonts w:asciiTheme="minorEastAsia" w:hAnsiTheme="minorEastAsia" w:eastAsiaTheme="minorEastAsia"/>
              </w:rPr>
              <w:t>33,987,000</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134361331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76618FD9">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79C38515">
            <w:pPr>
              <w:jc w:val="right"/>
              <w:rPr>
                <w:rFonts w:asciiTheme="minorEastAsia" w:hAnsiTheme="minorEastAsia" w:eastAsiaTheme="minorEastAsia"/>
              </w:rPr>
            </w:pPr>
            <w:r>
              <w:rPr>
                <w:rFonts w:asciiTheme="minorEastAsia" w:hAnsiTheme="minorEastAsia" w:eastAsiaTheme="minorEastAsia"/>
              </w:rPr>
              <w:t>33,987,000</w:t>
            </w:r>
          </w:p>
        </w:tc>
      </w:tr>
      <w:tr w14:paraId="796C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6ABB236F">
            <w:pPr>
              <w:ind w:left="-53" w:leftChars="-25" w:right="-53" w:rightChars="-25"/>
            </w:pPr>
            <w:r>
              <w:t>张家港市和裕投资发展有限公司</w:t>
            </w:r>
          </w:p>
        </w:tc>
        <w:tc>
          <w:tcPr>
            <w:tcW w:w="2977" w:type="dxa"/>
            <w:gridSpan w:val="3"/>
            <w:vAlign w:val="center"/>
          </w:tcPr>
          <w:p w14:paraId="256C406D">
            <w:pPr>
              <w:jc w:val="right"/>
              <w:rPr>
                <w:rFonts w:asciiTheme="minorEastAsia" w:hAnsiTheme="minorEastAsia" w:eastAsiaTheme="minorEastAsia"/>
              </w:rPr>
            </w:pPr>
            <w:r>
              <w:rPr>
                <w:rFonts w:asciiTheme="minorEastAsia" w:hAnsiTheme="minorEastAsia" w:eastAsiaTheme="minorEastAsia"/>
              </w:rPr>
              <w:t>25,021,800</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65427093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11C57BCA">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339D8872">
            <w:pPr>
              <w:jc w:val="right"/>
              <w:rPr>
                <w:rFonts w:asciiTheme="minorEastAsia" w:hAnsiTheme="minorEastAsia" w:eastAsiaTheme="minorEastAsia"/>
              </w:rPr>
            </w:pPr>
            <w:r>
              <w:rPr>
                <w:rFonts w:asciiTheme="minorEastAsia" w:hAnsiTheme="minorEastAsia" w:eastAsiaTheme="minorEastAsia"/>
              </w:rPr>
              <w:t>25,021,800</w:t>
            </w:r>
          </w:p>
        </w:tc>
      </w:tr>
      <w:tr w14:paraId="2268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42C86A85">
            <w:pPr>
              <w:ind w:left="-53" w:leftChars="-25" w:right="-53" w:rightChars="-25"/>
            </w:pPr>
            <w:r>
              <w:t>四川天府银行股份有限公司成都锦江支行</w:t>
            </w:r>
          </w:p>
        </w:tc>
        <w:tc>
          <w:tcPr>
            <w:tcW w:w="2977" w:type="dxa"/>
            <w:gridSpan w:val="3"/>
            <w:vAlign w:val="center"/>
          </w:tcPr>
          <w:p w14:paraId="002EFA69">
            <w:pPr>
              <w:jc w:val="right"/>
              <w:rPr>
                <w:rFonts w:asciiTheme="minorEastAsia" w:hAnsiTheme="minorEastAsia" w:eastAsiaTheme="minorEastAsia"/>
              </w:rPr>
            </w:pPr>
            <w:r>
              <w:rPr>
                <w:rFonts w:asciiTheme="minorEastAsia" w:hAnsiTheme="minorEastAsia" w:eastAsiaTheme="minorEastAsia"/>
              </w:rPr>
              <w:t>24,265,105</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158849436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3C5D4EA4">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5728064C">
            <w:pPr>
              <w:jc w:val="right"/>
              <w:rPr>
                <w:rFonts w:asciiTheme="minorEastAsia" w:hAnsiTheme="minorEastAsia" w:eastAsiaTheme="minorEastAsia"/>
              </w:rPr>
            </w:pPr>
            <w:r>
              <w:rPr>
                <w:rFonts w:asciiTheme="minorEastAsia" w:hAnsiTheme="minorEastAsia" w:eastAsiaTheme="minorEastAsia"/>
              </w:rPr>
              <w:t>24,265,105</w:t>
            </w:r>
          </w:p>
        </w:tc>
      </w:tr>
      <w:tr w14:paraId="6A7D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4446BC98">
            <w:pPr>
              <w:ind w:left="-53" w:leftChars="-25" w:right="-53" w:rightChars="-25"/>
            </w:pPr>
            <w:r>
              <w:t>宁波保税区鑫达国际贸易有限公司</w:t>
            </w:r>
          </w:p>
        </w:tc>
        <w:tc>
          <w:tcPr>
            <w:tcW w:w="2977" w:type="dxa"/>
            <w:gridSpan w:val="3"/>
            <w:vAlign w:val="center"/>
          </w:tcPr>
          <w:p w14:paraId="22B90834">
            <w:pPr>
              <w:jc w:val="right"/>
              <w:rPr>
                <w:rFonts w:asciiTheme="minorEastAsia" w:hAnsiTheme="minorEastAsia" w:eastAsiaTheme="minorEastAsia"/>
              </w:rPr>
            </w:pPr>
            <w:r>
              <w:rPr>
                <w:rFonts w:asciiTheme="minorEastAsia" w:hAnsiTheme="minorEastAsia" w:eastAsiaTheme="minorEastAsia"/>
              </w:rPr>
              <w:t>22,770,100</w:t>
            </w:r>
          </w:p>
        </w:tc>
        <w:sdt>
          <w:sdtPr>
            <w:rPr>
              <w:rFonts w:asciiTheme="minorEastAsia" w:hAnsiTheme="minorEastAsia" w:eastAsiaTheme="minorEastAsia"/>
              <w:bCs/>
              <w:color w:val="000000" w:themeColor="text1"/>
              <w14:textFill>
                <w14:solidFill>
                  <w14:schemeClr w14:val="tx1"/>
                </w14:solidFill>
              </w14:textFill>
            </w:rPr>
            <w:alias w:val="前十名无限售条件股东期末持有流通股的种类"/>
            <w:tag w:val="_GBC_5d0d3dfc3b8545ce906ab8a21728fb94"/>
            <w:id w:val="48050819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rFonts w:asciiTheme="minorEastAsia" w:hAnsiTheme="minorEastAsia" w:eastAsiaTheme="minorEastAsia"/>
              <w:bCs/>
              <w:color w:val="000000" w:themeColor="text1"/>
              <w14:textFill>
                <w14:solidFill>
                  <w14:schemeClr w14:val="tx1"/>
                </w14:solidFill>
              </w14:textFill>
            </w:rPr>
          </w:sdtEndPr>
          <w:sdtContent>
            <w:tc>
              <w:tcPr>
                <w:tcW w:w="1381" w:type="dxa"/>
                <w:vAlign w:val="center"/>
              </w:tcPr>
              <w:p w14:paraId="05C18211">
                <w:pPr>
                  <w:ind w:left="-53" w:leftChars="-25" w:right="-53" w:rightChars="-25"/>
                  <w:jc w:val="center"/>
                  <w:rPr>
                    <w:rFonts w:asciiTheme="minorEastAsia" w:hAnsiTheme="minorEastAsia" w:eastAsiaTheme="minorEastAsia"/>
                    <w:bCs/>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人民币普通股</w:t>
                </w:r>
              </w:p>
            </w:tc>
          </w:sdtContent>
        </w:sdt>
        <w:tc>
          <w:tcPr>
            <w:tcW w:w="2304" w:type="dxa"/>
            <w:gridSpan w:val="2"/>
            <w:vAlign w:val="center"/>
          </w:tcPr>
          <w:p w14:paraId="5162EF05">
            <w:pPr>
              <w:jc w:val="right"/>
              <w:rPr>
                <w:rFonts w:asciiTheme="minorEastAsia" w:hAnsiTheme="minorEastAsia" w:eastAsiaTheme="minorEastAsia"/>
              </w:rPr>
            </w:pPr>
            <w:r>
              <w:rPr>
                <w:rFonts w:asciiTheme="minorEastAsia" w:hAnsiTheme="minorEastAsia" w:eastAsiaTheme="minorEastAsia"/>
              </w:rPr>
              <w:t>22,770,100</w:t>
            </w:r>
          </w:p>
        </w:tc>
      </w:tr>
      <w:tr w14:paraId="67CB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6D559F93">
            <w:pPr>
              <w:ind w:left="-53" w:leftChars="-25" w:right="-53" w:rightChars="-25"/>
              <w:rPr>
                <w:color w:val="000000" w:themeColor="text1"/>
                <w14:textFill>
                  <w14:solidFill>
                    <w14:schemeClr w14:val="tx1"/>
                  </w14:solidFill>
                </w14:textFill>
              </w:rPr>
            </w:pPr>
            <w:r>
              <w:rPr>
                <w:rFonts w:hint="eastAsia"/>
                <w:color w:val="000000" w:themeColor="text1"/>
                <w14:textFill>
                  <w14:solidFill>
                    <w14:schemeClr w14:val="tx1"/>
                  </w14:solidFill>
                </w14:textFill>
              </w:rPr>
              <w:t>前十名股东中回购专户情况说明</w:t>
            </w:r>
          </w:p>
        </w:tc>
        <w:tc>
          <w:tcPr>
            <w:tcW w:w="6662" w:type="dxa"/>
            <w:gridSpan w:val="6"/>
            <w:vAlign w:val="center"/>
          </w:tcPr>
          <w:p w14:paraId="3A195AC8">
            <w:pPr>
              <w:jc w:val="center"/>
              <w:rPr>
                <w:rFonts w:cs="Times New Roman"/>
              </w:rPr>
            </w:pPr>
            <w:r>
              <w:rPr>
                <w:rFonts w:hint="eastAsia" w:cs="Times New Roman"/>
              </w:rPr>
              <w:t>/</w:t>
            </w:r>
          </w:p>
        </w:tc>
      </w:tr>
      <w:tr w14:paraId="3AC9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47204C84">
            <w:pPr>
              <w:ind w:left="-53" w:leftChars="-25" w:right="-53" w:rightChars="-25"/>
              <w:rPr>
                <w:color w:val="000000" w:themeColor="text1"/>
                <w14:textFill>
                  <w14:solidFill>
                    <w14:schemeClr w14:val="tx1"/>
                  </w14:solidFill>
                </w14:textFill>
              </w:rPr>
            </w:pPr>
            <w:r>
              <w:rPr>
                <w:color w:val="000000" w:themeColor="text1"/>
                <w14:textFill>
                  <w14:solidFill>
                    <w14:schemeClr w14:val="tx1"/>
                  </w14:solidFill>
                </w14:textFill>
              </w:rPr>
              <w:t>上述股东</w:t>
            </w:r>
            <w:r>
              <w:rPr>
                <w:rFonts w:hint="eastAsia"/>
                <w:color w:val="000000" w:themeColor="text1"/>
                <w14:textFill>
                  <w14:solidFill>
                    <w14:schemeClr w14:val="tx1"/>
                  </w14:solidFill>
                </w14:textFill>
              </w:rPr>
              <w:t>委托表决权、受托表决权、放弃表决权</w:t>
            </w:r>
            <w:r>
              <w:rPr>
                <w:color w:val="000000" w:themeColor="text1"/>
                <w14:textFill>
                  <w14:solidFill>
                    <w14:schemeClr w14:val="tx1"/>
                  </w14:solidFill>
                </w14:textFill>
              </w:rPr>
              <w:t>的说明</w:t>
            </w:r>
          </w:p>
        </w:tc>
        <w:tc>
          <w:tcPr>
            <w:tcW w:w="6662" w:type="dxa"/>
            <w:gridSpan w:val="6"/>
            <w:vAlign w:val="center"/>
          </w:tcPr>
          <w:p w14:paraId="74C29E5C">
            <w:pPr>
              <w:jc w:val="center"/>
              <w:rPr>
                <w:rFonts w:cs="Times New Roman"/>
              </w:rPr>
            </w:pPr>
            <w:r>
              <w:rPr>
                <w:rFonts w:hint="eastAsia" w:cs="Times New Roman"/>
              </w:rPr>
              <w:t>/</w:t>
            </w:r>
          </w:p>
        </w:tc>
      </w:tr>
      <w:tr w14:paraId="1BDC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239FC6AC">
            <w:pPr>
              <w:ind w:left="-53" w:leftChars="-25" w:right="-53" w:rightChars="-25"/>
              <w:rPr>
                <w:color w:val="000000" w:themeColor="text1"/>
                <w14:textFill>
                  <w14:solidFill>
                    <w14:schemeClr w14:val="tx1"/>
                  </w14:solidFill>
                </w14:textFill>
              </w:rPr>
            </w:pPr>
            <w:r>
              <w:rPr>
                <w:color w:val="000000" w:themeColor="text1"/>
                <w14:textFill>
                  <w14:solidFill>
                    <w14:schemeClr w14:val="tx1"/>
                  </w14:solidFill>
                </w14:textFill>
              </w:rPr>
              <w:t>上述股东关联关系或一致行动的说明</w:t>
            </w:r>
          </w:p>
        </w:tc>
        <w:tc>
          <w:tcPr>
            <w:tcW w:w="6662" w:type="dxa"/>
            <w:gridSpan w:val="6"/>
            <w:vAlign w:val="center"/>
          </w:tcPr>
          <w:p w14:paraId="27F520C7">
            <w:pPr>
              <w:ind w:right="-53" w:rightChars="-25"/>
            </w:pPr>
            <w:r>
              <w:rPr>
                <w:rFonts w:hint="eastAsia"/>
              </w:rPr>
              <w:t>公司未知上述股东之间是否存在关联关系或属于《上市公司持股变动信息披露管理办法》规定的一致行动人。</w:t>
            </w:r>
          </w:p>
        </w:tc>
      </w:tr>
      <w:tr w14:paraId="2032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03" w:type="dxa"/>
            <w:gridSpan w:val="2"/>
            <w:vAlign w:val="center"/>
          </w:tcPr>
          <w:p w14:paraId="54327559">
            <w:pPr>
              <w:ind w:left="-53" w:leftChars="-25" w:right="-53" w:rightChars="-25"/>
              <w:rPr>
                <w:color w:val="000000" w:themeColor="text1"/>
                <w14:textFill>
                  <w14:solidFill>
                    <w14:schemeClr w14:val="tx1"/>
                  </w14:solidFill>
                </w14:textFill>
              </w:rPr>
            </w:pPr>
            <w:r>
              <w:rPr>
                <w:rFonts w:hint="eastAsia"/>
                <w:color w:val="000000" w:themeColor="text1"/>
                <w14:textFill>
                  <w14:solidFill>
                    <w14:schemeClr w14:val="tx1"/>
                  </w14:solidFill>
                </w14:textFill>
              </w:rPr>
              <w:t>表决权恢复的优先股股东及持股数量的说明</w:t>
            </w:r>
          </w:p>
        </w:tc>
        <w:tc>
          <w:tcPr>
            <w:tcW w:w="6662" w:type="dxa"/>
            <w:gridSpan w:val="6"/>
            <w:vAlign w:val="center"/>
          </w:tcPr>
          <w:p w14:paraId="320FBA14">
            <w:pPr>
              <w:ind w:left="-53" w:leftChars="-25" w:right="-53" w:rightChars="-25"/>
              <w:jc w:val="center"/>
            </w:pPr>
            <w:r>
              <w:t>/</w:t>
            </w:r>
          </w:p>
        </w:tc>
      </w:tr>
    </w:tbl>
    <w:p w14:paraId="3BDBBD20"/>
    <w:p w14:paraId="33A5BA20">
      <w:pPr>
        <w:rPr>
          <w:color w:val="000000" w:themeColor="text1"/>
          <w14:textFill>
            <w14:solidFill>
              <w14:schemeClr w14:val="tx1"/>
            </w14:solidFill>
          </w14:textFill>
        </w:rPr>
      </w:pPr>
      <w:r>
        <w:rPr>
          <w:rFonts w:hint="eastAsia"/>
          <w:color w:val="000000" w:themeColor="text1"/>
          <w14:textFill>
            <w14:solidFill>
              <w14:schemeClr w14:val="tx1"/>
            </w14:solidFill>
          </w14:textFill>
        </w:rPr>
        <w:t>持股</w:t>
      </w:r>
      <w:r>
        <w:rPr>
          <w:color w:val="000000" w:themeColor="text1"/>
          <w14:textFill>
            <w14:solidFill>
              <w14:schemeClr w14:val="tx1"/>
            </w14:solidFill>
          </w14:textFill>
        </w:rPr>
        <w:t>5%以上股东、前</w:t>
      </w:r>
      <w:r>
        <w:rPr>
          <w:rFonts w:hint="eastAsia"/>
          <w:color w:val="000000" w:themeColor="text1"/>
          <w14:textFill>
            <w14:solidFill>
              <w14:schemeClr w14:val="tx1"/>
            </w14:solidFill>
          </w14:textFill>
        </w:rPr>
        <w:t>十</w:t>
      </w:r>
      <w:r>
        <w:rPr>
          <w:color w:val="000000" w:themeColor="text1"/>
          <w14:textFill>
            <w14:solidFill>
              <w14:schemeClr w14:val="tx1"/>
            </w14:solidFill>
          </w14:textFill>
        </w:rPr>
        <w:t>名股东及前</w:t>
      </w:r>
      <w:r>
        <w:rPr>
          <w:rFonts w:hint="eastAsia"/>
          <w:color w:val="000000" w:themeColor="text1"/>
          <w14:textFill>
            <w14:solidFill>
              <w14:schemeClr w14:val="tx1"/>
            </w14:solidFill>
          </w14:textFill>
        </w:rPr>
        <w:t>十</w:t>
      </w:r>
      <w:r>
        <w:rPr>
          <w:color w:val="000000" w:themeColor="text1"/>
          <w14:textFill>
            <w14:solidFill>
              <w14:schemeClr w14:val="tx1"/>
            </w14:solidFill>
          </w14:textFill>
        </w:rPr>
        <w:t>名无限售流通股股东参与转融通业务出借股份情况</w:t>
      </w:r>
    </w:p>
    <w:sdt>
      <w:sdtPr>
        <w:rPr>
          <w:bCs/>
          <w:color w:val="000000" w:themeColor="text1"/>
          <w14:textFill>
            <w14:solidFill>
              <w14:schemeClr w14:val="tx1"/>
            </w14:solidFill>
          </w14:textFill>
        </w:rPr>
        <w:alias w:val="是否适用：前十名股东参与转融通业务出借股份情况[双击切换]"/>
        <w:tag w:val="_GBC_781f403c98a6480ab0058d21456ae70f"/>
        <w:id w:val="-1899271606"/>
        <w:placeholder>
          <w:docPart w:val="GBC22222222222222222222222222222"/>
        </w:placeholder>
      </w:sdtPr>
      <w:sdtEndPr>
        <w:rPr>
          <w:bCs/>
          <w:color w:val="000000" w:themeColor="text1"/>
          <w14:textFill>
            <w14:solidFill>
              <w14:schemeClr w14:val="tx1"/>
            </w14:solidFill>
          </w14:textFill>
        </w:rPr>
      </w:sdtEndPr>
      <w:sdtContent>
        <w:p w14:paraId="1C8402CA">
          <w:pPr>
            <w:rPr>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p w14:paraId="7B9067A5">
      <w:pPr>
        <w:rPr>
          <w:color w:val="000000" w:themeColor="text1"/>
          <w14:textFill>
            <w14:solidFill>
              <w14:schemeClr w14:val="tx1"/>
            </w14:solidFill>
          </w14:textFill>
        </w:rPr>
      </w:pPr>
    </w:p>
    <w:bookmarkEnd w:id="84"/>
    <w:p w14:paraId="64EC783C">
      <w:pPr>
        <w:rPr>
          <w:color w:val="000000" w:themeColor="text1"/>
          <w14:textFill>
            <w14:solidFill>
              <w14:schemeClr w14:val="tx1"/>
            </w14:solidFill>
          </w14:textFill>
        </w:rPr>
      </w:pPr>
      <w:bookmarkStart w:id="89" w:name="_Hlk155094189"/>
      <w:r>
        <w:rPr>
          <w:rFonts w:hint="eastAsia"/>
          <w:color w:val="000000" w:themeColor="text1"/>
          <w14:textFill>
            <w14:solidFill>
              <w14:schemeClr w14:val="tx1"/>
            </w14:solidFill>
          </w14:textFill>
        </w:rPr>
        <w:t>前十</w:t>
      </w:r>
      <w:r>
        <w:rPr>
          <w:color w:val="000000" w:themeColor="text1"/>
          <w14:textFill>
            <w14:solidFill>
              <w14:schemeClr w14:val="tx1"/>
            </w14:solidFill>
          </w14:textFill>
        </w:rPr>
        <w:t>名股东及前</w:t>
      </w:r>
      <w:r>
        <w:rPr>
          <w:rFonts w:hint="eastAsia"/>
          <w:color w:val="000000" w:themeColor="text1"/>
          <w14:textFill>
            <w14:solidFill>
              <w14:schemeClr w14:val="tx1"/>
            </w14:solidFill>
          </w14:textFill>
        </w:rPr>
        <w:t>十</w:t>
      </w:r>
      <w:r>
        <w:rPr>
          <w:color w:val="000000" w:themeColor="text1"/>
          <w14:textFill>
            <w14:solidFill>
              <w14:schemeClr w14:val="tx1"/>
            </w14:solidFill>
          </w14:textFill>
        </w:rPr>
        <w:t>名无限售流通股股东因转融通出借/归还原因导致较上期发生变化</w:t>
      </w:r>
    </w:p>
    <w:sdt>
      <w:sdtPr>
        <w:rPr>
          <w:rFonts w:hint="eastAsia"/>
          <w:color w:val="000000" w:themeColor="text1"/>
          <w14:textFill>
            <w14:solidFill>
              <w14:schemeClr w14:val="tx1"/>
            </w14:solidFill>
          </w14:textFill>
        </w:rPr>
        <w:alias w:val="是否适用：前十名股东较上期发生变化[双击切换]"/>
        <w:tag w:val="_GBC_892ba31f016544c894d3e29851e8125d"/>
        <w:id w:val="-275876254"/>
        <w:placeholder>
          <w:docPart w:val="GBC22222222222222222222222222222"/>
        </w:placeholder>
      </w:sdtPr>
      <w:sdtEndPr>
        <w:rPr>
          <w:rFonts w:hint="eastAsia"/>
          <w:color w:val="000000" w:themeColor="text1"/>
          <w14:textFill>
            <w14:solidFill>
              <w14:schemeClr w14:val="tx1"/>
            </w14:solidFill>
          </w14:textFill>
        </w:rPr>
      </w:sdtEndPr>
      <w:sdtContent>
        <w:p w14:paraId="19F1AC3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FB96285">
      <w:pPr>
        <w:rPr>
          <w:color w:val="000000" w:themeColor="text1"/>
          <w14:textFill>
            <w14:solidFill>
              <w14:schemeClr w14:val="tx1"/>
            </w14:solidFill>
          </w14:textFill>
        </w:rPr>
      </w:pPr>
    </w:p>
    <w:bookmarkEnd w:id="85"/>
    <w:bookmarkEnd w:id="86"/>
    <w:bookmarkEnd w:id="87"/>
    <w:bookmarkEnd w:id="88"/>
    <w:bookmarkEnd w:id="89"/>
    <w:p w14:paraId="45477F5C">
      <w:pPr>
        <w:rPr>
          <w:color w:val="000000" w:themeColor="text1"/>
          <w14:textFill>
            <w14:solidFill>
              <w14:schemeClr w14:val="tx1"/>
            </w14:solidFill>
          </w14:textFill>
        </w:rPr>
      </w:pPr>
      <w:r>
        <w:rPr>
          <w:color w:val="000000" w:themeColor="text1"/>
          <w14:textFill>
            <w14:solidFill>
              <w14:schemeClr w14:val="tx1"/>
            </w14:solidFill>
          </w14:textFill>
        </w:rPr>
        <w:t>前十名有限售条件股东持股数量及限售条件</w:t>
      </w:r>
    </w:p>
    <w:sdt>
      <w:sdtPr>
        <w:rPr>
          <w:bCs/>
          <w:color w:val="000000" w:themeColor="text1"/>
          <w14:textFill>
            <w14:solidFill>
              <w14:schemeClr w14:val="tx1"/>
            </w14:solidFill>
          </w14:textFill>
        </w:rPr>
        <w:alias w:val="是否适用：前十名有限售条件股东持股数量及限售条件[双击切换]"/>
        <w:tag w:val="_GBC_681c25d581914cb19d4b007c00511b6a"/>
        <w:id w:val="-90861050"/>
        <w:placeholder>
          <w:docPart w:val="GBC22222222222222222222222222222"/>
        </w:placeholder>
      </w:sdtPr>
      <w:sdtEndPr>
        <w:rPr>
          <w:bCs/>
          <w:color w:val="000000" w:themeColor="text1"/>
          <w14:textFill>
            <w14:solidFill>
              <w14:schemeClr w14:val="tx1"/>
            </w14:solidFill>
          </w14:textFill>
        </w:rPr>
      </w:sdtEndPr>
      <w:sdtContent>
        <w:p w14:paraId="03C14A7C">
          <w:pPr>
            <w:rPr>
              <w:bCs/>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p w14:paraId="05C7C27B">
      <w:pPr>
        <w:rPr>
          <w:color w:val="000000" w:themeColor="text1"/>
          <w14:textFill>
            <w14:solidFill>
              <w14:schemeClr w14:val="tx1"/>
            </w14:solidFill>
          </w14:textFill>
        </w:rPr>
      </w:pPr>
    </w:p>
    <w:p w14:paraId="37FF36F6">
      <w:pPr>
        <w:pStyle w:val="4"/>
        <w:numPr>
          <w:ilvl w:val="1"/>
          <w:numId w:val="27"/>
        </w:numPr>
        <w:rPr>
          <w:rFonts w:ascii="宋体" w:hAnsi="宋体"/>
          <w:color w:val="000000" w:themeColor="text1"/>
          <w14:textFill>
            <w14:solidFill>
              <w14:schemeClr w14:val="tx1"/>
            </w14:solidFill>
          </w14:textFill>
        </w:rPr>
      </w:pPr>
      <w:bookmarkStart w:id="90" w:name="_Hlk167800260"/>
      <w:bookmarkEnd w:id="90"/>
      <w:bookmarkStart w:id="91" w:name="_Toc342566000"/>
      <w:bookmarkStart w:id="92" w:name="_Toc342059487"/>
      <w:r>
        <w:rPr>
          <w:rFonts w:ascii="宋体" w:hAnsi="宋体"/>
          <w:color w:val="000000" w:themeColor="text1"/>
          <w14:textFill>
            <w14:solidFill>
              <w14:schemeClr w14:val="tx1"/>
            </w14:solidFill>
          </w14:textFill>
        </w:rPr>
        <w:t>战略投资者或一般法人因配售新股成为前十名股东</w:t>
      </w:r>
    </w:p>
    <w:sdt>
      <w:sdtPr>
        <w:rPr>
          <w:color w:val="000000" w:themeColor="text1"/>
          <w14:textFill>
            <w14:solidFill>
              <w14:schemeClr w14:val="tx1"/>
            </w14:solidFill>
          </w14:textFill>
        </w:rPr>
        <w:alias w:val="是否适用：战略投资者或一般法人因配售新股成为前10名股东[双击切换]"/>
        <w:tag w:val="_GBC_fe7bdc72bd78490fb48d0f3eaca6248e"/>
        <w:id w:val="1155345308"/>
        <w:placeholder>
          <w:docPart w:val="GBC22222222222222222222222222222"/>
        </w:placeholder>
      </w:sdtPr>
      <w:sdtEndPr>
        <w:rPr>
          <w:color w:val="000000" w:themeColor="text1"/>
          <w14:textFill>
            <w14:solidFill>
              <w14:schemeClr w14:val="tx1"/>
            </w14:solidFill>
          </w14:textFill>
        </w:rPr>
      </w:sdtEndPr>
      <w:sdtContent>
        <w:p w14:paraId="3376AF8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912C82">
      <w:pPr>
        <w:rPr>
          <w:color w:val="000000" w:themeColor="text1"/>
          <w14:textFill>
            <w14:solidFill>
              <w14:schemeClr w14:val="tx1"/>
            </w14:solidFill>
          </w14:textFill>
        </w:rPr>
      </w:pPr>
    </w:p>
    <w:p w14:paraId="08713388">
      <w:pPr>
        <w:pStyle w:val="3"/>
        <w:numPr>
          <w:ilvl w:val="0"/>
          <w:numId w:val="24"/>
        </w:numPr>
        <w:spacing w:line="360" w:lineRule="auto"/>
        <w:ind w:left="422" w:hanging="422"/>
        <w:rPr>
          <w:rFonts w:ascii="宋体" w:hAnsi="宋体"/>
          <w:color w:val="000000" w:themeColor="text1"/>
          <w14:textFill>
            <w14:solidFill>
              <w14:schemeClr w14:val="tx1"/>
            </w14:solidFill>
          </w14:textFill>
        </w:rPr>
      </w:pPr>
      <w:bookmarkStart w:id="93" w:name="_Toc342566004"/>
      <w:bookmarkStart w:id="94" w:name="_Toc342057944"/>
      <w:r>
        <w:rPr>
          <w:rFonts w:ascii="宋体" w:hAnsi="宋体"/>
          <w:color w:val="000000" w:themeColor="text1"/>
          <w14:textFill>
            <w14:solidFill>
              <w14:schemeClr w14:val="tx1"/>
            </w14:solidFill>
          </w14:textFill>
        </w:rPr>
        <w:t>董事和高级管理人员情况</w:t>
      </w:r>
    </w:p>
    <w:p w14:paraId="4BA588C9">
      <w:pPr>
        <w:pStyle w:val="4"/>
        <w:numPr>
          <w:ilvl w:val="2"/>
          <w:numId w:val="28"/>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现任及报告期内离任董事和高级管理人员持股变动情况</w:t>
      </w:r>
    </w:p>
    <w:sdt>
      <w:sdtPr>
        <w:rPr>
          <w:color w:val="000000" w:themeColor="text1"/>
          <w14:textFill>
            <w14:solidFill>
              <w14:schemeClr w14:val="tx1"/>
            </w14:solidFill>
          </w14:textFill>
        </w:rPr>
        <w:alias w:val="是否适用：董事、监事和高级管理人员持股变动[双击切换]"/>
        <w:tag w:val="_GBC_e4aa9f89c24b4cbb80c479762adcf568"/>
        <w:id w:val="1432242737"/>
        <w:placeholder>
          <w:docPart w:val="GBC22222222222222222222222222222"/>
        </w:placeholder>
      </w:sdtPr>
      <w:sdtEndPr>
        <w:rPr>
          <w:color w:val="000000" w:themeColor="text1"/>
          <w14:textFill>
            <w14:solidFill>
              <w14:schemeClr w14:val="tx1"/>
            </w14:solidFill>
          </w14:textFill>
        </w:rPr>
      </w:sdtEndPr>
      <w:sdtContent>
        <w:p w14:paraId="6DB5CD8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8FE8E32">
      <w:pPr>
        <w:rPr>
          <w:color w:val="000000" w:themeColor="text1"/>
          <w14:textFill>
            <w14:solidFill>
              <w14:schemeClr w14:val="tx1"/>
            </w14:solidFill>
          </w14:textFill>
        </w:rPr>
      </w:pPr>
    </w:p>
    <w:p w14:paraId="3A465A29">
      <w:pPr>
        <w:rPr>
          <w:color w:val="000000" w:themeColor="text1"/>
          <w14:textFill>
            <w14:solidFill>
              <w14:schemeClr w14:val="tx1"/>
            </w14:solidFill>
          </w14:textFill>
        </w:rPr>
      </w:pPr>
      <w:r>
        <w:rPr>
          <w:color w:val="000000" w:themeColor="text1"/>
          <w14:textFill>
            <w14:solidFill>
              <w14:schemeClr w14:val="tx1"/>
            </w14:solidFill>
          </w14:textFill>
        </w:rPr>
        <w:t>其</w:t>
      </w:r>
      <w:r>
        <w:rPr>
          <w:rFonts w:hint="eastAsia"/>
          <w:color w:val="000000" w:themeColor="text1"/>
          <w14:textFill>
            <w14:solidFill>
              <w14:schemeClr w14:val="tx1"/>
            </w14:solidFill>
          </w14:textFill>
        </w:rPr>
        <w:t>他</w:t>
      </w:r>
      <w:r>
        <w:rPr>
          <w:color w:val="000000" w:themeColor="text1"/>
          <w14:textFill>
            <w14:solidFill>
              <w14:schemeClr w14:val="tx1"/>
            </w14:solidFill>
          </w14:textFill>
        </w:rPr>
        <w:t>情况说明</w:t>
      </w:r>
    </w:p>
    <w:sdt>
      <w:sdtPr>
        <w:rPr>
          <w:color w:val="000000" w:themeColor="text1"/>
          <w14:textFill>
            <w14:solidFill>
              <w14:schemeClr w14:val="tx1"/>
            </w14:solidFill>
          </w14:textFill>
        </w:rPr>
        <w:alias w:val="是否适用：董事、监事 和高级管理人员持股变动及报酬情况其他情况说明[双击切换]"/>
        <w:tag w:val="_GBC_6604d619d6f94a81b12f8155637bb211"/>
        <w:id w:val="-2048513960"/>
        <w:placeholder>
          <w:docPart w:val="GBC22222222222222222222222222222"/>
        </w:placeholder>
      </w:sdtPr>
      <w:sdtEndPr>
        <w:rPr>
          <w:color w:val="000000" w:themeColor="text1"/>
          <w14:textFill>
            <w14:solidFill>
              <w14:schemeClr w14:val="tx1"/>
            </w14:solidFill>
          </w14:textFill>
        </w:rPr>
      </w:sdtEndPr>
      <w:sdtContent>
        <w:p w14:paraId="70C6695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F71797E">
      <w:pPr>
        <w:rPr>
          <w:color w:val="000000" w:themeColor="text1"/>
          <w14:textFill>
            <w14:solidFill>
              <w14:schemeClr w14:val="tx1"/>
            </w14:solidFill>
          </w14:textFill>
        </w:rPr>
      </w:pPr>
    </w:p>
    <w:bookmarkEnd w:id="93"/>
    <w:bookmarkEnd w:id="94"/>
    <w:p w14:paraId="41A636C9">
      <w:pPr>
        <w:pStyle w:val="4"/>
        <w:numPr>
          <w:ilvl w:val="2"/>
          <w:numId w:val="28"/>
        </w:numPr>
        <w:rPr>
          <w:rFonts w:ascii="宋体" w:hAnsi="宋体"/>
          <w:color w:val="000000" w:themeColor="text1"/>
          <w14:textFill>
            <w14:solidFill>
              <w14:schemeClr w14:val="tx1"/>
            </w14:solidFill>
          </w14:textFill>
        </w:rPr>
      </w:pPr>
      <w:bookmarkStart w:id="95" w:name="_Toc342566005"/>
      <w:bookmarkStart w:id="96" w:name="_Toc342057945"/>
      <w:r>
        <w:rPr>
          <w:rFonts w:ascii="宋体" w:hAnsi="宋体"/>
          <w:color w:val="000000" w:themeColor="text1"/>
          <w14:textFill>
            <w14:solidFill>
              <w14:schemeClr w14:val="tx1"/>
            </w14:solidFill>
          </w14:textFill>
        </w:rPr>
        <w:t>董事、高级管理人员报告期内被授予的股权激励情况</w:t>
      </w:r>
      <w:bookmarkEnd w:id="95"/>
      <w:bookmarkEnd w:id="96"/>
    </w:p>
    <w:p w14:paraId="250E135D">
      <w:pPr>
        <w:kinsoku w:val="0"/>
        <w:overflowPunct w:val="0"/>
        <w:autoSpaceDE w:val="0"/>
        <w:autoSpaceDN w:val="0"/>
        <w:adjustRightInd w:val="0"/>
        <w:snapToGrid w:val="0"/>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董事、监事、高级管理人员报告期内被授予的股权激励情况[双击切换]"/>
          <w:tag w:val="_GBC_3c204ebee7cf4fc2a7c4a3ad63ffe1c4"/>
          <w:id w:val="-126709494"/>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7600B692">
      <w:pPr>
        <w:rPr>
          <w:color w:val="000000" w:themeColor="text1"/>
          <w14:textFill>
            <w14:solidFill>
              <w14:schemeClr w14:val="tx1"/>
            </w14:solidFill>
          </w14:textFill>
        </w:rPr>
      </w:pPr>
    </w:p>
    <w:p w14:paraId="36830C3E">
      <w:pPr>
        <w:pStyle w:val="4"/>
        <w:numPr>
          <w:ilvl w:val="2"/>
          <w:numId w:val="28"/>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其他董事、监事、高级管理人员情况说明[双击切换]"/>
        <w:tag w:val="_GBC_8e7eb434c4c34c1b86cdb9f39b70c323"/>
        <w:id w:val="-1715651945"/>
        <w:placeholder>
          <w:docPart w:val="GBC22222222222222222222222222222"/>
        </w:placeholder>
      </w:sdtPr>
      <w:sdtEndPr>
        <w:rPr>
          <w:color w:val="000000" w:themeColor="text1"/>
          <w14:textFill>
            <w14:solidFill>
              <w14:schemeClr w14:val="tx1"/>
            </w14:solidFill>
          </w14:textFill>
        </w:rPr>
      </w:sdtEndPr>
      <w:sdtContent>
        <w:p w14:paraId="411A6EC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026DA34">
      <w:pPr>
        <w:rPr>
          <w:color w:val="000000" w:themeColor="text1"/>
          <w14:textFill>
            <w14:solidFill>
              <w14:schemeClr w14:val="tx1"/>
            </w14:solidFill>
          </w14:textFill>
        </w:rPr>
      </w:pPr>
    </w:p>
    <w:bookmarkEnd w:id="91"/>
    <w:bookmarkEnd w:id="92"/>
    <w:p w14:paraId="420E96F3">
      <w:pPr>
        <w:pStyle w:val="3"/>
        <w:numPr>
          <w:ilvl w:val="0"/>
          <w:numId w:val="24"/>
        </w:numPr>
        <w:spacing w:line="360" w:lineRule="auto"/>
        <w:ind w:left="422" w:hanging="422"/>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控股股东或实际控制人变更情况</w:t>
      </w:r>
    </w:p>
    <w:sdt>
      <w:sdtPr>
        <w:rPr>
          <w:color w:val="000000" w:themeColor="text1"/>
          <w14:textFill>
            <w14:solidFill>
              <w14:schemeClr w14:val="tx1"/>
            </w14:solidFill>
          </w14:textFill>
        </w:rPr>
        <w:alias w:val="是否适用：控股股东及实际控制人变更情况[双击切换]"/>
        <w:tag w:val="_GBC_84ff369a3f714dbbbec5a13460906f4b"/>
        <w:id w:val="378366856"/>
        <w:placeholder>
          <w:docPart w:val="GBC22222222222222222222222222222"/>
        </w:placeholder>
      </w:sdtPr>
      <w:sdtEndPr>
        <w:rPr>
          <w:color w:val="000000" w:themeColor="text1"/>
          <w14:textFill>
            <w14:solidFill>
              <w14:schemeClr w14:val="tx1"/>
            </w14:solidFill>
          </w14:textFill>
        </w:rPr>
      </w:sdtEndPr>
      <w:sdtContent>
        <w:p w14:paraId="7096E1E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7819E2">
      <w:pPr>
        <w:rPr>
          <w:color w:val="000000" w:themeColor="text1"/>
          <w14:textFill>
            <w14:solidFill>
              <w14:schemeClr w14:val="tx1"/>
            </w14:solidFill>
          </w14:textFill>
        </w:rPr>
      </w:pPr>
    </w:p>
    <w:p w14:paraId="29A22914">
      <w:pPr>
        <w:pStyle w:val="3"/>
        <w:numPr>
          <w:ilvl w:val="0"/>
          <w:numId w:val="24"/>
        </w:numPr>
        <w:spacing w:line="360" w:lineRule="auto"/>
        <w:ind w:left="422" w:hanging="422"/>
        <w:rPr>
          <w:rFonts w:ascii="宋体" w:hAnsi="宋体"/>
          <w:color w:val="000000" w:themeColor="text1"/>
          <w14:textFill>
            <w14:solidFill>
              <w14:schemeClr w14:val="tx1"/>
            </w14:solidFill>
          </w14:textFill>
        </w:rPr>
      </w:pPr>
      <w:bookmarkStart w:id="97" w:name="_Toc76114279"/>
      <w:bookmarkStart w:id="98" w:name="_Toc392233017"/>
      <w:r>
        <w:rPr>
          <w:rFonts w:ascii="宋体" w:hAnsi="宋体"/>
          <w:color w:val="000000" w:themeColor="text1"/>
          <w14:textFill>
            <w14:solidFill>
              <w14:schemeClr w14:val="tx1"/>
            </w14:solidFill>
          </w14:textFill>
        </w:rPr>
        <w:t>优先股相关情况</w:t>
      </w:r>
    </w:p>
    <w:bookmarkEnd w:id="97"/>
    <w:bookmarkEnd w:id="98"/>
    <w:sdt>
      <w:sdtPr>
        <w:rPr>
          <w:color w:val="000000" w:themeColor="text1"/>
          <w14:textFill>
            <w14:solidFill>
              <w14:schemeClr w14:val="tx1"/>
            </w14:solidFill>
          </w14:textFill>
        </w:rPr>
        <w:alias w:val="是否适用：优先股相关情况[双击切换]"/>
        <w:tag w:val="_GBC_2113adbee8464e1c828b3d6d35c60abf"/>
        <w:id w:val="-1721588279"/>
        <w:placeholder>
          <w:docPart w:val="GBC22222222222222222222222222222"/>
        </w:placeholder>
      </w:sdtPr>
      <w:sdtEndPr>
        <w:rPr>
          <w:color w:val="000000" w:themeColor="text1"/>
          <w14:textFill>
            <w14:solidFill>
              <w14:schemeClr w14:val="tx1"/>
            </w14:solidFill>
          </w14:textFill>
        </w:rPr>
      </w:sdtEndPr>
      <w:sdtContent>
        <w:p w14:paraId="2449117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FDC5558">
      <w:pPr>
        <w:rPr>
          <w:color w:val="000000" w:themeColor="text1"/>
          <w14:textFill>
            <w14:solidFill>
              <w14:schemeClr w14:val="tx1"/>
            </w14:solidFill>
          </w14:textFill>
        </w:rPr>
      </w:pPr>
    </w:p>
    <w:p w14:paraId="22ECC5C4">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p w14:paraId="2FBF4321">
      <w:pPr>
        <w:pStyle w:val="2"/>
        <w:numPr>
          <w:ilvl w:val="0"/>
          <w:numId w:val="3"/>
        </w:numPr>
        <w:rPr>
          <w:rFonts w:ascii="黑体" w:hAnsi="黑体"/>
          <w:color w:val="000000" w:themeColor="text1"/>
          <w14:textFill>
            <w14:solidFill>
              <w14:schemeClr w14:val="tx1"/>
            </w14:solidFill>
          </w14:textFill>
        </w:rPr>
      </w:pPr>
      <w:bookmarkStart w:id="99" w:name="_Toc76114280"/>
      <w:bookmarkStart w:id="100" w:name="_Toc437440717"/>
      <w:bookmarkStart w:id="101" w:name="_Toc200030545"/>
      <w:bookmarkStart w:id="102" w:name="_Toc438111012"/>
      <w:r>
        <w:rPr>
          <w:rFonts w:hint="eastAsia" w:ascii="黑体" w:hAnsi="黑体"/>
          <w:color w:val="000000" w:themeColor="text1"/>
          <w14:textFill>
            <w14:solidFill>
              <w14:schemeClr w14:val="tx1"/>
            </w14:solidFill>
          </w14:textFill>
        </w:rPr>
        <w:t>债券相关情况</w:t>
      </w:r>
    </w:p>
    <w:bookmarkEnd w:id="99"/>
    <w:bookmarkEnd w:id="100"/>
    <w:bookmarkEnd w:id="101"/>
    <w:bookmarkEnd w:id="102"/>
    <w:p w14:paraId="1F7F3C76">
      <w:pPr>
        <w:pStyle w:val="3"/>
        <w:numPr>
          <w:ilvl w:val="0"/>
          <w:numId w:val="2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公司债券（含企业债券）和非金融企业债务融资工具</w:t>
      </w:r>
    </w:p>
    <w:sdt>
      <w:sdtPr>
        <w:rPr>
          <w:color w:val="000000" w:themeColor="text1"/>
          <w14:textFill>
            <w14:solidFill>
              <w14:schemeClr w14:val="tx1"/>
            </w14:solidFill>
          </w14:textFill>
        </w:rPr>
        <w:alias w:val="是否适用：债券相关情况[双击切换]"/>
        <w:tag w:val="_GBC_8e6b9cf2d8c24a6faf41199f98e408b3"/>
        <w:id w:val="-2088069511"/>
        <w:placeholder>
          <w:docPart w:val="GBC22222222222222222222222222222"/>
        </w:placeholder>
      </w:sdtPr>
      <w:sdtEndPr>
        <w:rPr>
          <w:color w:val="000000" w:themeColor="text1"/>
          <w14:textFill>
            <w14:solidFill>
              <w14:schemeClr w14:val="tx1"/>
            </w14:solidFill>
          </w14:textFill>
        </w:rPr>
      </w:sdtEndPr>
      <w:sdtContent>
        <w:p w14:paraId="73443C7D">
          <w:pPr>
            <w:rPr>
              <w:color w:val="000000" w:themeColor="text1"/>
              <w14:textFill>
                <w14:solidFill>
                  <w14:schemeClr w14:val="tx1"/>
                </w14:solidFill>
              </w14:textFill>
            </w:rPr>
          </w:pPr>
          <w:bookmarkStart w:id="103" w:name="_Hlk73352152"/>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03"/>
    <w:p w14:paraId="3A46B797">
      <w:pPr>
        <w:rPr>
          <w:color w:val="000000" w:themeColor="text1"/>
          <w14:textFill>
            <w14:solidFill>
              <w14:schemeClr w14:val="tx1"/>
            </w14:solidFill>
          </w14:textFill>
        </w:rPr>
      </w:pPr>
    </w:p>
    <w:p w14:paraId="2D8EB1D4">
      <w:pPr>
        <w:pStyle w:val="3"/>
        <w:numPr>
          <w:ilvl w:val="0"/>
          <w:numId w:val="2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可转换公司债券情况</w:t>
      </w:r>
    </w:p>
    <w:sdt>
      <w:sdtPr>
        <w:rPr>
          <w:color w:val="000000" w:themeColor="text1"/>
          <w14:textFill>
            <w14:solidFill>
              <w14:schemeClr w14:val="tx1"/>
            </w14:solidFill>
          </w14:textFill>
        </w:rPr>
        <w:alias w:val="是否适用：可转换公司债券情况[双击切换]"/>
        <w:tag w:val="_GBC_6a49e99841294af3b87ba6216b1997d9"/>
        <w:id w:val="-268706387"/>
        <w:placeholder>
          <w:docPart w:val="GBC22222222222222222222222222222"/>
        </w:placeholder>
      </w:sdtPr>
      <w:sdtEndPr>
        <w:rPr>
          <w:color w:val="000000" w:themeColor="text1"/>
          <w14:textFill>
            <w14:solidFill>
              <w14:schemeClr w14:val="tx1"/>
            </w14:solidFill>
          </w14:textFill>
        </w:rPr>
      </w:sdtEndPr>
      <w:sdtContent>
        <w:p w14:paraId="7A57C15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44BC63B">
      <w:pPr>
        <w:rPr>
          <w:color w:val="000000" w:themeColor="text1"/>
          <w14:textFill>
            <w14:solidFill>
              <w14:schemeClr w14:val="tx1"/>
            </w14:solidFill>
          </w14:textFill>
        </w:rPr>
      </w:pPr>
    </w:p>
    <w:p w14:paraId="2F6DD1D0">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p>
    <w:p w14:paraId="40E0AD43">
      <w:pPr>
        <w:pStyle w:val="2"/>
        <w:numPr>
          <w:ilvl w:val="0"/>
          <w:numId w:val="3"/>
        </w:numPr>
        <w:rPr>
          <w:rFonts w:ascii="黑体" w:hAnsi="黑体"/>
          <w:color w:val="000000" w:themeColor="text1"/>
          <w14:textFill>
            <w14:solidFill>
              <w14:schemeClr w14:val="tx1"/>
            </w14:solidFill>
          </w14:textFill>
        </w:rPr>
      </w:pPr>
      <w:bookmarkStart w:id="104" w:name="_Toc200030546"/>
      <w:bookmarkStart w:id="105" w:name="_Toc76114281"/>
      <w:r>
        <w:rPr>
          <w:rFonts w:hint="eastAsia" w:ascii="黑体" w:hAnsi="黑体"/>
          <w:color w:val="000000" w:themeColor="text1"/>
          <w14:textFill>
            <w14:solidFill>
              <w14:schemeClr w14:val="tx1"/>
            </w14:solidFill>
          </w14:textFill>
        </w:rPr>
        <w:t>财务报告</w:t>
      </w:r>
    </w:p>
    <w:bookmarkEnd w:id="104"/>
    <w:bookmarkEnd w:id="105"/>
    <w:p w14:paraId="2E3E854B">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审计报告</w:t>
      </w:r>
    </w:p>
    <w:sdt>
      <w:sdtPr>
        <w:rPr>
          <w:color w:val="000000" w:themeColor="text1"/>
          <w14:textFill>
            <w14:solidFill>
              <w14:schemeClr w14:val="tx1"/>
            </w14:solidFill>
          </w14:textFill>
        </w:rPr>
        <w:alias w:val="是否适用：审计报告[双击切换]"/>
        <w:tag w:val="_GBC_33dac3baf6634fba91e3026ebaaad280"/>
        <w:id w:val="-1821877090"/>
        <w:placeholder>
          <w:docPart w:val="GBC22222222222222222222222222222"/>
        </w:placeholder>
      </w:sdtPr>
      <w:sdtEndPr>
        <w:rPr>
          <w:color w:val="000000" w:themeColor="text1"/>
          <w14:textFill>
            <w14:solidFill>
              <w14:schemeClr w14:val="tx1"/>
            </w14:solidFill>
          </w14:textFill>
        </w:rPr>
      </w:sdtEndPr>
      <w:sdtContent>
        <w:p w14:paraId="4FF0548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CB94949">
      <w:pPr>
        <w:rPr>
          <w:color w:val="000000" w:themeColor="text1"/>
          <w14:textFill>
            <w14:solidFill>
              <w14:schemeClr w14:val="tx1"/>
            </w14:solidFill>
          </w14:textFill>
        </w:rPr>
      </w:pPr>
    </w:p>
    <w:p w14:paraId="5C1114FC">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财务报表</w:t>
      </w:r>
    </w:p>
    <w:p w14:paraId="6E5ECA37">
      <w:pPr>
        <w:pStyle w:val="4"/>
        <w:jc w:val="center"/>
        <w:rPr>
          <w:rFonts w:ascii="宋体" w:hAnsi="宋体"/>
          <w:color w:val="000000" w:themeColor="text1"/>
          <w14:textFill>
            <w14:solidFill>
              <w14:schemeClr w14:val="tx1"/>
            </w14:solidFill>
          </w14:textFill>
        </w:rPr>
      </w:pPr>
      <w:bookmarkStart w:id="106" w:name="_Hlk10208794"/>
      <w:r>
        <w:rPr>
          <w:rFonts w:hint="eastAsia" w:ascii="宋体" w:hAnsi="宋体"/>
          <w:color w:val="000000" w:themeColor="text1"/>
          <w14:textFill>
            <w14:solidFill>
              <w14:schemeClr w14:val="tx1"/>
            </w14:solidFill>
          </w14:textFill>
        </w:rPr>
        <w:t>合并资产负债表</w:t>
      </w:r>
    </w:p>
    <w:p w14:paraId="714E24D0">
      <w:pPr>
        <w:snapToGrid w:val="0"/>
        <w:spacing w:line="240" w:lineRule="atLeast"/>
        <w:jc w:val="center"/>
        <w:rPr>
          <w:b/>
          <w:color w:val="000000" w:themeColor="text1"/>
          <w14:textFill>
            <w14:solidFill>
              <w14:schemeClr w14:val="tx1"/>
            </w14:solidFill>
          </w14:textFill>
        </w:rPr>
      </w:pPr>
      <w:r>
        <w:rPr>
          <w:color w:val="000000" w:themeColor="text1"/>
          <w14:textFill>
            <w14:solidFill>
              <w14:schemeClr w14:val="tx1"/>
            </w14:solidFill>
          </w14:textFill>
        </w:rPr>
        <w:t>2025年6月30日</w:t>
      </w:r>
    </w:p>
    <w:p w14:paraId="6C03D4E2">
      <w:pPr>
        <w:rPr>
          <w:color w:val="000000" w:themeColor="text1"/>
          <w14:textFill>
            <w14:solidFill>
              <w14:schemeClr w14:val="tx1"/>
            </w14:solidFill>
          </w14:textFill>
        </w:rPr>
      </w:pPr>
      <w:r>
        <w:rPr>
          <w:color w:val="000000" w:themeColor="text1"/>
          <w14:textFill>
            <w14:solidFill>
              <w14:schemeClr w14:val="tx1"/>
            </w14:solidFill>
          </w14:textFill>
        </w:rPr>
        <w:t xml:space="preserve">编制单位： </w:t>
      </w:r>
      <w:sdt>
        <w:sdtPr>
          <w:rPr>
            <w:color w:val="000000" w:themeColor="text1"/>
            <w14:textFill>
              <w14:solidFill>
                <w14:schemeClr w14:val="tx1"/>
              </w14:solidFill>
            </w14:textFill>
          </w:rPr>
          <w:alias w:val="公司法定中文名称"/>
          <w:tag w:val="_GBC_76dae7aa62d842859c05c05e750163c2"/>
          <w:id w:val="2022349993"/>
          <w:placeholder>
            <w:docPart w:val="GBC22222222222222222222222222222"/>
          </w:placeholder>
          <w:dataBinding w:prefixMappings="xmlns:clcid-cgi='clcid-cgi'" w:xpath="/*/clcid-cgi:GongSiFaDingZhongWenMingCheng[not(@periodRef)]" w:storeItemID="{89EBAB94-44A0-46A2-B712-30D997D04A6D}"/>
          <w:text/>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重庆千里科技股份有限公司</w:t>
          </w:r>
        </w:sdtContent>
      </w:sdt>
    </w:p>
    <w:p w14:paraId="37F65A0B">
      <w:pPr>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合并资产负债表"/>
          <w:tag w:val="_GBC_710dced47e5943589779e071c78c5512"/>
          <w:id w:val="20713744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合并资产负债表"/>
          <w:tag w:val="_GBC_7e2679155b104d33ba04158c7414bcff"/>
          <w:id w:val="-21446458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14:paraId="3DE52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d3f74748a444e6ea0d191e81e54edca"/>
            <w:id w:val="-514305817"/>
          </w:sdtPr>
          <w:sdtContent>
            <w:tc>
              <w:tcPr>
                <w:tcW w:w="1629" w:type="pct"/>
                <w:tcBorders>
                  <w:top w:val="outset" w:color="auto" w:sz="6" w:space="0"/>
                  <w:left w:val="outset" w:color="auto" w:sz="6" w:space="0"/>
                  <w:bottom w:val="outset" w:color="auto" w:sz="6" w:space="0"/>
                  <w:right w:val="outset" w:color="auto" w:sz="6" w:space="0"/>
                </w:tcBorders>
                <w:vAlign w:val="center"/>
              </w:tcPr>
              <w:p w14:paraId="66537AB5">
                <w:pPr>
                  <w:jc w:val="center"/>
                  <w:rPr>
                    <w:b/>
                    <w:color w:val="000000" w:themeColor="text1"/>
                    <w14:textFill>
                      <w14:solidFill>
                        <w14:schemeClr w14:val="tx1"/>
                      </w14:solidFill>
                    </w14:textFill>
                  </w:rPr>
                </w:pPr>
                <w:bookmarkStart w:id="107" w:name="_Hlk137046697"/>
                <w:r>
                  <w:rPr>
                    <w:b/>
                    <w:color w:val="000000" w:themeColor="text1"/>
                    <w14:textFill>
                      <w14:solidFill>
                        <w14:schemeClr w14:val="tx1"/>
                      </w14:solidFill>
                    </w14:textFill>
                  </w:rPr>
                  <w:t>项目</w:t>
                </w:r>
              </w:p>
            </w:tc>
          </w:sdtContent>
        </w:sdt>
        <w:sdt>
          <w:sdtPr>
            <w:tag w:val="_PLD_da216b439a53487e85f12225916c5563"/>
            <w:id w:val="79031423"/>
          </w:sdtPr>
          <w:sdtContent>
            <w:tc>
              <w:tcPr>
                <w:tcW w:w="627" w:type="pct"/>
                <w:tcBorders>
                  <w:top w:val="outset" w:color="auto" w:sz="6" w:space="0"/>
                  <w:left w:val="outset" w:color="auto" w:sz="6" w:space="0"/>
                  <w:bottom w:val="outset" w:color="auto" w:sz="6" w:space="0"/>
                  <w:right w:val="outset" w:color="auto" w:sz="6" w:space="0"/>
                </w:tcBorders>
                <w:vAlign w:val="center"/>
              </w:tcPr>
              <w:p w14:paraId="34645EE4">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附注</w:t>
                </w:r>
              </w:p>
            </w:tc>
          </w:sdtContent>
        </w:sdt>
        <w:sdt>
          <w:sdtPr>
            <w:tag w:val="_PLD_21df1d74f3114abf83688ef31bc4d9a7"/>
            <w:id w:val="893321888"/>
          </w:sdtPr>
          <w:sdtContent>
            <w:tc>
              <w:tcPr>
                <w:tcW w:w="1411" w:type="pct"/>
                <w:tcBorders>
                  <w:top w:val="outset" w:color="auto" w:sz="6" w:space="0"/>
                  <w:left w:val="outset" w:color="auto" w:sz="6" w:space="0"/>
                  <w:bottom w:val="outset" w:color="auto" w:sz="6" w:space="0"/>
                  <w:right w:val="outset" w:color="auto" w:sz="6" w:space="0"/>
                </w:tcBorders>
                <w:vAlign w:val="center"/>
              </w:tcPr>
              <w:p w14:paraId="366A30D1">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2025年6月</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0日</w:t>
                </w:r>
              </w:p>
            </w:tc>
          </w:sdtContent>
        </w:sdt>
        <w:sdt>
          <w:sdtPr>
            <w:tag w:val="_PLD_d92c936206d34a64b4b2139999e7311b"/>
            <w:id w:val="163596867"/>
          </w:sdtPr>
          <w:sdtContent>
            <w:tc>
              <w:tcPr>
                <w:tcW w:w="1333" w:type="pct"/>
                <w:tcBorders>
                  <w:top w:val="outset" w:color="auto" w:sz="6" w:space="0"/>
                  <w:left w:val="outset" w:color="auto" w:sz="6" w:space="0"/>
                  <w:bottom w:val="outset" w:color="auto" w:sz="6" w:space="0"/>
                  <w:right w:val="outset" w:color="auto" w:sz="6" w:space="0"/>
                </w:tcBorders>
                <w:vAlign w:val="center"/>
              </w:tcPr>
              <w:p w14:paraId="22264D7E">
                <w:pPr>
                  <w:jc w:val="center"/>
                  <w:rPr>
                    <w:b/>
                    <w:color w:val="000000" w:themeColor="text1"/>
                    <w14:textFill>
                      <w14:solidFill>
                        <w14:schemeClr w14:val="tx1"/>
                      </w14:solidFill>
                    </w14:textFill>
                  </w:rPr>
                </w:pPr>
                <w:r>
                  <w:rPr>
                    <w:b/>
                    <w:color w:val="000000" w:themeColor="text1"/>
                    <w14:textFill>
                      <w14:solidFill>
                        <w14:schemeClr w14:val="tx1"/>
                      </w14:solidFill>
                    </w14:textFill>
                  </w:rPr>
                  <w:t>2024年12月31日</w:t>
                </w:r>
              </w:p>
            </w:tc>
          </w:sdtContent>
        </w:sdt>
      </w:tr>
      <w:tr w14:paraId="40E158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47a329e79ad491ca413bdaf35b1f19b"/>
            <w:id w:val="1395236065"/>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515CE7E2">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流动资产：</w:t>
                </w:r>
              </w:p>
            </w:tc>
          </w:sdtContent>
        </w:sdt>
      </w:tr>
      <w:tr w14:paraId="4A568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8504DE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货币资金</w:t>
            </w:r>
          </w:p>
        </w:tc>
        <w:tc>
          <w:tcPr>
            <w:tcW w:w="627" w:type="pct"/>
            <w:tcBorders>
              <w:top w:val="outset" w:color="auto" w:sz="6" w:space="0"/>
              <w:left w:val="outset" w:color="auto" w:sz="6" w:space="0"/>
              <w:bottom w:val="outset" w:color="auto" w:sz="6" w:space="0"/>
              <w:right w:val="outset" w:color="auto" w:sz="6" w:space="0"/>
            </w:tcBorders>
            <w:vAlign w:val="center"/>
          </w:tcPr>
          <w:p w14:paraId="3B23E6B0">
            <w:r>
              <w:rPr>
                <w:rFonts w:hint="eastAsia"/>
              </w:rPr>
              <w:t>七、1</w:t>
            </w:r>
          </w:p>
        </w:tc>
        <w:tc>
          <w:tcPr>
            <w:tcW w:w="1411" w:type="pct"/>
            <w:tcBorders>
              <w:top w:val="outset" w:color="auto" w:sz="6" w:space="0"/>
              <w:left w:val="outset" w:color="auto" w:sz="6" w:space="0"/>
              <w:bottom w:val="outset" w:color="auto" w:sz="6" w:space="0"/>
              <w:right w:val="outset" w:color="auto" w:sz="6" w:space="0"/>
            </w:tcBorders>
            <w:vAlign w:val="center"/>
          </w:tcPr>
          <w:p w14:paraId="7561D23C">
            <w:pPr>
              <w:jc w:val="right"/>
            </w:pPr>
            <w:r>
              <w:t>3,237,108,034.23</w:t>
            </w:r>
          </w:p>
        </w:tc>
        <w:tc>
          <w:tcPr>
            <w:tcW w:w="1333" w:type="pct"/>
            <w:tcBorders>
              <w:top w:val="outset" w:color="auto" w:sz="6" w:space="0"/>
              <w:left w:val="outset" w:color="auto" w:sz="6" w:space="0"/>
              <w:bottom w:val="outset" w:color="auto" w:sz="6" w:space="0"/>
              <w:right w:val="outset" w:color="auto" w:sz="6" w:space="0"/>
            </w:tcBorders>
            <w:vAlign w:val="center"/>
          </w:tcPr>
          <w:p w14:paraId="771DF3F6">
            <w:pPr>
              <w:jc w:val="right"/>
            </w:pPr>
            <w:r>
              <w:t>3,679,404,796.07</w:t>
            </w:r>
          </w:p>
        </w:tc>
      </w:tr>
      <w:tr w14:paraId="7D56FC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DF7D77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结算备付金</w:t>
            </w:r>
          </w:p>
        </w:tc>
        <w:tc>
          <w:tcPr>
            <w:tcW w:w="627" w:type="pct"/>
            <w:tcBorders>
              <w:top w:val="outset" w:color="auto" w:sz="6" w:space="0"/>
              <w:left w:val="outset" w:color="auto" w:sz="6" w:space="0"/>
              <w:bottom w:val="outset" w:color="auto" w:sz="6" w:space="0"/>
              <w:right w:val="outset" w:color="auto" w:sz="6" w:space="0"/>
            </w:tcBorders>
            <w:vAlign w:val="center"/>
          </w:tcPr>
          <w:p w14:paraId="16984ACC"/>
        </w:tc>
        <w:tc>
          <w:tcPr>
            <w:tcW w:w="1411" w:type="pct"/>
            <w:tcBorders>
              <w:top w:val="outset" w:color="auto" w:sz="6" w:space="0"/>
              <w:left w:val="outset" w:color="auto" w:sz="6" w:space="0"/>
              <w:bottom w:val="outset" w:color="auto" w:sz="6" w:space="0"/>
              <w:right w:val="outset" w:color="auto" w:sz="6" w:space="0"/>
            </w:tcBorders>
            <w:vAlign w:val="center"/>
          </w:tcPr>
          <w:p w14:paraId="31CB7D58">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1E893EFB">
            <w:pPr>
              <w:jc w:val="right"/>
              <w:rPr>
                <w:rFonts w:eastAsia="Times New Roman" w:cs="Times New Roman"/>
                <w:sz w:val="20"/>
                <w:szCs w:val="20"/>
              </w:rPr>
            </w:pPr>
          </w:p>
        </w:tc>
      </w:tr>
      <w:tr w14:paraId="0BCD63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340216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拆出资金</w:t>
            </w:r>
          </w:p>
        </w:tc>
        <w:tc>
          <w:tcPr>
            <w:tcW w:w="627" w:type="pct"/>
            <w:tcBorders>
              <w:top w:val="outset" w:color="auto" w:sz="6" w:space="0"/>
              <w:left w:val="outset" w:color="auto" w:sz="6" w:space="0"/>
              <w:bottom w:val="outset" w:color="auto" w:sz="6" w:space="0"/>
              <w:right w:val="outset" w:color="auto" w:sz="6" w:space="0"/>
            </w:tcBorders>
            <w:vAlign w:val="center"/>
          </w:tcPr>
          <w:p w14:paraId="6C7FA0D2"/>
        </w:tc>
        <w:tc>
          <w:tcPr>
            <w:tcW w:w="1411" w:type="pct"/>
            <w:tcBorders>
              <w:top w:val="outset" w:color="auto" w:sz="6" w:space="0"/>
              <w:left w:val="outset" w:color="auto" w:sz="6" w:space="0"/>
              <w:bottom w:val="outset" w:color="auto" w:sz="6" w:space="0"/>
              <w:right w:val="outset" w:color="auto" w:sz="6" w:space="0"/>
            </w:tcBorders>
            <w:vAlign w:val="center"/>
          </w:tcPr>
          <w:p w14:paraId="5A8BBFB0">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13303971">
            <w:pPr>
              <w:jc w:val="right"/>
              <w:rPr>
                <w:rFonts w:eastAsia="Times New Roman" w:cs="Times New Roman"/>
                <w:sz w:val="20"/>
                <w:szCs w:val="20"/>
              </w:rPr>
            </w:pPr>
          </w:p>
        </w:tc>
      </w:tr>
      <w:tr w14:paraId="2E7879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FB791E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交易性金融资产</w:t>
            </w:r>
          </w:p>
        </w:tc>
        <w:tc>
          <w:tcPr>
            <w:tcW w:w="627" w:type="pct"/>
            <w:tcBorders>
              <w:top w:val="outset" w:color="auto" w:sz="6" w:space="0"/>
              <w:left w:val="outset" w:color="auto" w:sz="6" w:space="0"/>
              <w:bottom w:val="outset" w:color="auto" w:sz="6" w:space="0"/>
              <w:right w:val="outset" w:color="auto" w:sz="6" w:space="0"/>
            </w:tcBorders>
            <w:vAlign w:val="center"/>
          </w:tcPr>
          <w:p w14:paraId="50BCCEE5"/>
        </w:tc>
        <w:tc>
          <w:tcPr>
            <w:tcW w:w="1411" w:type="pct"/>
            <w:tcBorders>
              <w:top w:val="outset" w:color="auto" w:sz="6" w:space="0"/>
              <w:left w:val="outset" w:color="auto" w:sz="6" w:space="0"/>
              <w:bottom w:val="outset" w:color="auto" w:sz="6" w:space="0"/>
              <w:right w:val="outset" w:color="auto" w:sz="6" w:space="0"/>
            </w:tcBorders>
            <w:vAlign w:val="center"/>
          </w:tcPr>
          <w:p w14:paraId="0D35A113">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5B430D58">
            <w:pPr>
              <w:jc w:val="right"/>
              <w:rPr>
                <w:rFonts w:eastAsia="Times New Roman" w:cs="Times New Roman"/>
                <w:sz w:val="20"/>
                <w:szCs w:val="20"/>
              </w:rPr>
            </w:pPr>
          </w:p>
        </w:tc>
      </w:tr>
      <w:tr w14:paraId="6DC230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386C0C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衍生金融资产</w:t>
            </w:r>
          </w:p>
        </w:tc>
        <w:tc>
          <w:tcPr>
            <w:tcW w:w="627" w:type="pct"/>
            <w:tcBorders>
              <w:top w:val="outset" w:color="auto" w:sz="6" w:space="0"/>
              <w:left w:val="outset" w:color="auto" w:sz="6" w:space="0"/>
              <w:bottom w:val="outset" w:color="auto" w:sz="6" w:space="0"/>
              <w:right w:val="outset" w:color="auto" w:sz="6" w:space="0"/>
            </w:tcBorders>
            <w:vAlign w:val="center"/>
          </w:tcPr>
          <w:p w14:paraId="427FC006"/>
        </w:tc>
        <w:tc>
          <w:tcPr>
            <w:tcW w:w="1411" w:type="pct"/>
            <w:tcBorders>
              <w:top w:val="outset" w:color="auto" w:sz="6" w:space="0"/>
              <w:left w:val="outset" w:color="auto" w:sz="6" w:space="0"/>
              <w:bottom w:val="outset" w:color="auto" w:sz="6" w:space="0"/>
              <w:right w:val="outset" w:color="auto" w:sz="6" w:space="0"/>
            </w:tcBorders>
            <w:vAlign w:val="center"/>
          </w:tcPr>
          <w:p w14:paraId="3732466A">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334DE250">
            <w:pPr>
              <w:jc w:val="right"/>
              <w:rPr>
                <w:rFonts w:eastAsia="Times New Roman" w:cs="Times New Roman"/>
                <w:sz w:val="20"/>
                <w:szCs w:val="20"/>
              </w:rPr>
            </w:pPr>
          </w:p>
        </w:tc>
      </w:tr>
      <w:tr w14:paraId="3A650D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419342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应收票据</w:t>
            </w:r>
          </w:p>
        </w:tc>
        <w:tc>
          <w:tcPr>
            <w:tcW w:w="627" w:type="pct"/>
            <w:tcBorders>
              <w:top w:val="outset" w:color="auto" w:sz="6" w:space="0"/>
              <w:left w:val="outset" w:color="auto" w:sz="6" w:space="0"/>
              <w:bottom w:val="outset" w:color="auto" w:sz="6" w:space="0"/>
              <w:right w:val="outset" w:color="auto" w:sz="6" w:space="0"/>
            </w:tcBorders>
            <w:vAlign w:val="center"/>
          </w:tcPr>
          <w:p w14:paraId="0A4C47F6">
            <w:r>
              <w:rPr>
                <w:rFonts w:hint="eastAsia"/>
              </w:rPr>
              <w:t>七、</w:t>
            </w:r>
            <w:r>
              <w:t>4</w:t>
            </w:r>
          </w:p>
        </w:tc>
        <w:tc>
          <w:tcPr>
            <w:tcW w:w="1411" w:type="pct"/>
            <w:tcBorders>
              <w:top w:val="outset" w:color="auto" w:sz="6" w:space="0"/>
              <w:left w:val="outset" w:color="auto" w:sz="6" w:space="0"/>
              <w:bottom w:val="outset" w:color="auto" w:sz="6" w:space="0"/>
              <w:right w:val="outset" w:color="auto" w:sz="6" w:space="0"/>
            </w:tcBorders>
            <w:vAlign w:val="center"/>
          </w:tcPr>
          <w:p w14:paraId="328BDC3C">
            <w:pPr>
              <w:jc w:val="right"/>
              <w:rPr>
                <w:rFonts w:ascii="宋体" w:hAnsi="宋体"/>
                <w:sz w:val="24"/>
                <w:szCs w:val="24"/>
              </w:rPr>
            </w:pPr>
            <w:r>
              <w:t>172,837,833.17</w:t>
            </w:r>
          </w:p>
        </w:tc>
        <w:tc>
          <w:tcPr>
            <w:tcW w:w="1333" w:type="pct"/>
            <w:tcBorders>
              <w:top w:val="outset" w:color="auto" w:sz="6" w:space="0"/>
              <w:left w:val="outset" w:color="auto" w:sz="6" w:space="0"/>
              <w:bottom w:val="outset" w:color="auto" w:sz="6" w:space="0"/>
              <w:right w:val="outset" w:color="auto" w:sz="6" w:space="0"/>
            </w:tcBorders>
            <w:vAlign w:val="center"/>
          </w:tcPr>
          <w:p w14:paraId="76D1A7F8">
            <w:pPr>
              <w:jc w:val="right"/>
            </w:pPr>
            <w:r>
              <w:t>180,861,290.88</w:t>
            </w:r>
          </w:p>
        </w:tc>
      </w:tr>
      <w:tr w14:paraId="244784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DC2025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w:t>
            </w:r>
          </w:p>
        </w:tc>
        <w:tc>
          <w:tcPr>
            <w:tcW w:w="627" w:type="pct"/>
            <w:tcBorders>
              <w:top w:val="outset" w:color="auto" w:sz="6" w:space="0"/>
              <w:left w:val="outset" w:color="auto" w:sz="6" w:space="0"/>
              <w:bottom w:val="outset" w:color="auto" w:sz="6" w:space="0"/>
              <w:right w:val="outset" w:color="auto" w:sz="6" w:space="0"/>
            </w:tcBorders>
            <w:vAlign w:val="center"/>
          </w:tcPr>
          <w:p w14:paraId="24F03368">
            <w:r>
              <w:rPr>
                <w:rFonts w:hint="eastAsia"/>
              </w:rPr>
              <w:t>七、</w:t>
            </w:r>
            <w:r>
              <w:t>5</w:t>
            </w:r>
          </w:p>
        </w:tc>
        <w:tc>
          <w:tcPr>
            <w:tcW w:w="1411" w:type="pct"/>
            <w:tcBorders>
              <w:top w:val="outset" w:color="auto" w:sz="6" w:space="0"/>
              <w:left w:val="outset" w:color="auto" w:sz="6" w:space="0"/>
              <w:bottom w:val="outset" w:color="auto" w:sz="6" w:space="0"/>
              <w:right w:val="outset" w:color="auto" w:sz="6" w:space="0"/>
            </w:tcBorders>
            <w:vAlign w:val="center"/>
          </w:tcPr>
          <w:p w14:paraId="142A6CB2">
            <w:pPr>
              <w:jc w:val="right"/>
            </w:pPr>
            <w:r>
              <w:t>1,263,547,543.90</w:t>
            </w:r>
          </w:p>
        </w:tc>
        <w:tc>
          <w:tcPr>
            <w:tcW w:w="1333" w:type="pct"/>
            <w:tcBorders>
              <w:top w:val="outset" w:color="auto" w:sz="6" w:space="0"/>
              <w:left w:val="outset" w:color="auto" w:sz="6" w:space="0"/>
              <w:bottom w:val="outset" w:color="auto" w:sz="6" w:space="0"/>
              <w:right w:val="outset" w:color="auto" w:sz="6" w:space="0"/>
            </w:tcBorders>
            <w:vAlign w:val="center"/>
          </w:tcPr>
          <w:p w14:paraId="754D69BD">
            <w:pPr>
              <w:jc w:val="right"/>
            </w:pPr>
            <w:r>
              <w:t>1,305,650,090.91</w:t>
            </w:r>
          </w:p>
        </w:tc>
      </w:tr>
      <w:tr w14:paraId="2E9295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D64D51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应收款项融资</w:t>
            </w:r>
          </w:p>
        </w:tc>
        <w:tc>
          <w:tcPr>
            <w:tcW w:w="627" w:type="pct"/>
            <w:tcBorders>
              <w:top w:val="outset" w:color="auto" w:sz="6" w:space="0"/>
              <w:left w:val="outset" w:color="auto" w:sz="6" w:space="0"/>
              <w:bottom w:val="outset" w:color="auto" w:sz="6" w:space="0"/>
              <w:right w:val="outset" w:color="auto" w:sz="6" w:space="0"/>
            </w:tcBorders>
            <w:vAlign w:val="center"/>
          </w:tcPr>
          <w:p w14:paraId="1BB494AA">
            <w:r>
              <w:rPr>
                <w:rFonts w:hint="eastAsia"/>
              </w:rPr>
              <w:t>七、</w:t>
            </w:r>
            <w:r>
              <w:t>7</w:t>
            </w:r>
          </w:p>
        </w:tc>
        <w:tc>
          <w:tcPr>
            <w:tcW w:w="1411" w:type="pct"/>
            <w:tcBorders>
              <w:top w:val="outset" w:color="auto" w:sz="6" w:space="0"/>
              <w:left w:val="outset" w:color="auto" w:sz="6" w:space="0"/>
              <w:bottom w:val="outset" w:color="auto" w:sz="6" w:space="0"/>
              <w:right w:val="outset" w:color="auto" w:sz="6" w:space="0"/>
            </w:tcBorders>
            <w:vAlign w:val="center"/>
          </w:tcPr>
          <w:p w14:paraId="45E41FF4">
            <w:pPr>
              <w:jc w:val="right"/>
            </w:pPr>
            <w:r>
              <w:t>248,761,333.31</w:t>
            </w:r>
          </w:p>
        </w:tc>
        <w:tc>
          <w:tcPr>
            <w:tcW w:w="1333" w:type="pct"/>
            <w:tcBorders>
              <w:top w:val="outset" w:color="auto" w:sz="6" w:space="0"/>
              <w:left w:val="outset" w:color="auto" w:sz="6" w:space="0"/>
              <w:bottom w:val="outset" w:color="auto" w:sz="6" w:space="0"/>
              <w:right w:val="outset" w:color="auto" w:sz="6" w:space="0"/>
            </w:tcBorders>
            <w:vAlign w:val="center"/>
          </w:tcPr>
          <w:p w14:paraId="0A6A8388">
            <w:pPr>
              <w:jc w:val="right"/>
            </w:pPr>
            <w:r>
              <w:t>24,235,235.08</w:t>
            </w:r>
          </w:p>
        </w:tc>
      </w:tr>
      <w:tr w14:paraId="697A3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C5C9BA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预付款项</w:t>
            </w:r>
          </w:p>
        </w:tc>
        <w:tc>
          <w:tcPr>
            <w:tcW w:w="627" w:type="pct"/>
            <w:tcBorders>
              <w:top w:val="outset" w:color="auto" w:sz="6" w:space="0"/>
              <w:left w:val="outset" w:color="auto" w:sz="6" w:space="0"/>
              <w:bottom w:val="outset" w:color="auto" w:sz="6" w:space="0"/>
              <w:right w:val="outset" w:color="auto" w:sz="6" w:space="0"/>
            </w:tcBorders>
            <w:vAlign w:val="center"/>
          </w:tcPr>
          <w:p w14:paraId="4406322C">
            <w:r>
              <w:rPr>
                <w:rFonts w:hint="eastAsia"/>
              </w:rPr>
              <w:t>七、</w:t>
            </w:r>
            <w:r>
              <w:t>8</w:t>
            </w:r>
          </w:p>
        </w:tc>
        <w:tc>
          <w:tcPr>
            <w:tcW w:w="1411" w:type="pct"/>
            <w:tcBorders>
              <w:top w:val="outset" w:color="auto" w:sz="6" w:space="0"/>
              <w:left w:val="outset" w:color="auto" w:sz="6" w:space="0"/>
              <w:bottom w:val="outset" w:color="auto" w:sz="6" w:space="0"/>
              <w:right w:val="outset" w:color="auto" w:sz="6" w:space="0"/>
            </w:tcBorders>
            <w:vAlign w:val="center"/>
          </w:tcPr>
          <w:p w14:paraId="60EBE516">
            <w:pPr>
              <w:jc w:val="right"/>
            </w:pPr>
            <w:r>
              <w:t>16,268,253.04</w:t>
            </w:r>
          </w:p>
        </w:tc>
        <w:tc>
          <w:tcPr>
            <w:tcW w:w="1333" w:type="pct"/>
            <w:tcBorders>
              <w:top w:val="outset" w:color="auto" w:sz="6" w:space="0"/>
              <w:left w:val="outset" w:color="auto" w:sz="6" w:space="0"/>
              <w:bottom w:val="outset" w:color="auto" w:sz="6" w:space="0"/>
              <w:right w:val="outset" w:color="auto" w:sz="6" w:space="0"/>
            </w:tcBorders>
            <w:vAlign w:val="center"/>
          </w:tcPr>
          <w:p w14:paraId="5A3AE724">
            <w:pPr>
              <w:jc w:val="right"/>
            </w:pPr>
            <w:r>
              <w:t>19,363,730.22</w:t>
            </w:r>
          </w:p>
        </w:tc>
      </w:tr>
      <w:tr w14:paraId="19F291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7B6827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应收保费</w:t>
            </w:r>
          </w:p>
        </w:tc>
        <w:tc>
          <w:tcPr>
            <w:tcW w:w="627" w:type="pct"/>
            <w:tcBorders>
              <w:top w:val="outset" w:color="auto" w:sz="6" w:space="0"/>
              <w:left w:val="outset" w:color="auto" w:sz="6" w:space="0"/>
              <w:bottom w:val="outset" w:color="auto" w:sz="6" w:space="0"/>
              <w:right w:val="outset" w:color="auto" w:sz="6" w:space="0"/>
            </w:tcBorders>
            <w:vAlign w:val="center"/>
          </w:tcPr>
          <w:p w14:paraId="03943E1F"/>
        </w:tc>
        <w:tc>
          <w:tcPr>
            <w:tcW w:w="1411" w:type="pct"/>
            <w:tcBorders>
              <w:top w:val="outset" w:color="auto" w:sz="6" w:space="0"/>
              <w:left w:val="outset" w:color="auto" w:sz="6" w:space="0"/>
              <w:bottom w:val="outset" w:color="auto" w:sz="6" w:space="0"/>
              <w:right w:val="outset" w:color="auto" w:sz="6" w:space="0"/>
            </w:tcBorders>
            <w:vAlign w:val="center"/>
          </w:tcPr>
          <w:p w14:paraId="00380592">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38A6B138">
            <w:pPr>
              <w:jc w:val="right"/>
              <w:rPr>
                <w:rFonts w:eastAsia="Times New Roman" w:cs="Times New Roman"/>
                <w:sz w:val="20"/>
                <w:szCs w:val="20"/>
              </w:rPr>
            </w:pPr>
          </w:p>
        </w:tc>
      </w:tr>
      <w:tr w14:paraId="786E0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7F8400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应收分保账款</w:t>
            </w:r>
          </w:p>
        </w:tc>
        <w:tc>
          <w:tcPr>
            <w:tcW w:w="627" w:type="pct"/>
            <w:tcBorders>
              <w:top w:val="outset" w:color="auto" w:sz="6" w:space="0"/>
              <w:left w:val="outset" w:color="auto" w:sz="6" w:space="0"/>
              <w:bottom w:val="outset" w:color="auto" w:sz="6" w:space="0"/>
              <w:right w:val="outset" w:color="auto" w:sz="6" w:space="0"/>
            </w:tcBorders>
            <w:vAlign w:val="center"/>
          </w:tcPr>
          <w:p w14:paraId="42FD1E64"/>
        </w:tc>
        <w:tc>
          <w:tcPr>
            <w:tcW w:w="1411" w:type="pct"/>
            <w:tcBorders>
              <w:top w:val="outset" w:color="auto" w:sz="6" w:space="0"/>
              <w:left w:val="outset" w:color="auto" w:sz="6" w:space="0"/>
              <w:bottom w:val="outset" w:color="auto" w:sz="6" w:space="0"/>
              <w:right w:val="outset" w:color="auto" w:sz="6" w:space="0"/>
            </w:tcBorders>
            <w:vAlign w:val="center"/>
          </w:tcPr>
          <w:p w14:paraId="471D4A29">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36529082">
            <w:pPr>
              <w:jc w:val="right"/>
              <w:rPr>
                <w:rFonts w:eastAsia="Times New Roman" w:cs="Times New Roman"/>
                <w:sz w:val="20"/>
                <w:szCs w:val="20"/>
              </w:rPr>
            </w:pPr>
          </w:p>
        </w:tc>
      </w:tr>
      <w:tr w14:paraId="22C94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FA8301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应收分保合同准备金</w:t>
            </w:r>
          </w:p>
        </w:tc>
        <w:tc>
          <w:tcPr>
            <w:tcW w:w="627" w:type="pct"/>
            <w:tcBorders>
              <w:top w:val="outset" w:color="auto" w:sz="6" w:space="0"/>
              <w:left w:val="outset" w:color="auto" w:sz="6" w:space="0"/>
              <w:bottom w:val="outset" w:color="auto" w:sz="6" w:space="0"/>
              <w:right w:val="outset" w:color="auto" w:sz="6" w:space="0"/>
            </w:tcBorders>
            <w:vAlign w:val="center"/>
          </w:tcPr>
          <w:p w14:paraId="3F636939"/>
        </w:tc>
        <w:tc>
          <w:tcPr>
            <w:tcW w:w="1411" w:type="pct"/>
            <w:tcBorders>
              <w:top w:val="outset" w:color="auto" w:sz="6" w:space="0"/>
              <w:left w:val="outset" w:color="auto" w:sz="6" w:space="0"/>
              <w:bottom w:val="outset" w:color="auto" w:sz="6" w:space="0"/>
              <w:right w:val="outset" w:color="auto" w:sz="6" w:space="0"/>
            </w:tcBorders>
            <w:vAlign w:val="center"/>
          </w:tcPr>
          <w:p w14:paraId="10A66E7A">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4A30A8AE">
            <w:pPr>
              <w:jc w:val="right"/>
              <w:rPr>
                <w:rFonts w:eastAsia="Times New Roman" w:cs="Times New Roman"/>
                <w:sz w:val="20"/>
                <w:szCs w:val="20"/>
              </w:rPr>
            </w:pPr>
          </w:p>
        </w:tc>
      </w:tr>
      <w:tr w14:paraId="765AD0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B6C578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w:t>
            </w:r>
          </w:p>
        </w:tc>
        <w:tc>
          <w:tcPr>
            <w:tcW w:w="627" w:type="pct"/>
            <w:tcBorders>
              <w:top w:val="outset" w:color="auto" w:sz="6" w:space="0"/>
              <w:left w:val="outset" w:color="auto" w:sz="6" w:space="0"/>
              <w:bottom w:val="outset" w:color="auto" w:sz="6" w:space="0"/>
              <w:right w:val="outset" w:color="auto" w:sz="6" w:space="0"/>
            </w:tcBorders>
            <w:vAlign w:val="center"/>
          </w:tcPr>
          <w:p w14:paraId="1CB9EF61">
            <w:r>
              <w:rPr>
                <w:rFonts w:hint="eastAsia"/>
              </w:rPr>
              <w:t>七、</w:t>
            </w:r>
            <w:r>
              <w:t>9</w:t>
            </w:r>
          </w:p>
        </w:tc>
        <w:tc>
          <w:tcPr>
            <w:tcW w:w="1411" w:type="pct"/>
            <w:tcBorders>
              <w:top w:val="outset" w:color="auto" w:sz="6" w:space="0"/>
              <w:left w:val="outset" w:color="auto" w:sz="6" w:space="0"/>
              <w:bottom w:val="outset" w:color="auto" w:sz="6" w:space="0"/>
              <w:right w:val="outset" w:color="auto" w:sz="6" w:space="0"/>
            </w:tcBorders>
            <w:vAlign w:val="center"/>
          </w:tcPr>
          <w:p w14:paraId="079DA1EC">
            <w:pPr>
              <w:jc w:val="right"/>
              <w:rPr>
                <w:rFonts w:ascii="宋体" w:hAnsi="宋体"/>
                <w:sz w:val="24"/>
                <w:szCs w:val="24"/>
              </w:rPr>
            </w:pPr>
            <w:r>
              <w:t>184,651,601.17</w:t>
            </w:r>
          </w:p>
        </w:tc>
        <w:tc>
          <w:tcPr>
            <w:tcW w:w="1333" w:type="pct"/>
            <w:tcBorders>
              <w:top w:val="outset" w:color="auto" w:sz="6" w:space="0"/>
              <w:left w:val="outset" w:color="auto" w:sz="6" w:space="0"/>
              <w:bottom w:val="outset" w:color="auto" w:sz="6" w:space="0"/>
              <w:right w:val="outset" w:color="auto" w:sz="6" w:space="0"/>
            </w:tcBorders>
            <w:vAlign w:val="center"/>
          </w:tcPr>
          <w:p w14:paraId="603EFCD6">
            <w:pPr>
              <w:jc w:val="right"/>
            </w:pPr>
            <w:r>
              <w:t>297,068,762.66</w:t>
            </w:r>
          </w:p>
        </w:tc>
      </w:tr>
      <w:tr w14:paraId="7333A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2F4746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其中：应收利息</w:t>
            </w:r>
          </w:p>
        </w:tc>
        <w:tc>
          <w:tcPr>
            <w:tcW w:w="627" w:type="pct"/>
            <w:tcBorders>
              <w:top w:val="outset" w:color="auto" w:sz="6" w:space="0"/>
              <w:left w:val="outset" w:color="auto" w:sz="6" w:space="0"/>
              <w:bottom w:val="outset" w:color="auto" w:sz="6" w:space="0"/>
              <w:right w:val="outset" w:color="auto" w:sz="6" w:space="0"/>
            </w:tcBorders>
            <w:vAlign w:val="center"/>
          </w:tcPr>
          <w:p w14:paraId="5D8F0FCF"/>
        </w:tc>
        <w:tc>
          <w:tcPr>
            <w:tcW w:w="1411" w:type="pct"/>
            <w:tcBorders>
              <w:top w:val="outset" w:color="auto" w:sz="6" w:space="0"/>
              <w:left w:val="outset" w:color="auto" w:sz="6" w:space="0"/>
              <w:bottom w:val="outset" w:color="auto" w:sz="6" w:space="0"/>
              <w:right w:val="outset" w:color="auto" w:sz="6" w:space="0"/>
            </w:tcBorders>
            <w:vAlign w:val="center"/>
          </w:tcPr>
          <w:p w14:paraId="614C100A">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385A35CC">
            <w:pPr>
              <w:jc w:val="right"/>
              <w:rPr>
                <w:rFonts w:eastAsia="Times New Roman" w:cs="Times New Roman"/>
                <w:sz w:val="20"/>
                <w:szCs w:val="20"/>
              </w:rPr>
            </w:pPr>
          </w:p>
        </w:tc>
      </w:tr>
      <w:tr w14:paraId="6AE9F5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01D9399">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应收股利</w:t>
            </w:r>
          </w:p>
        </w:tc>
        <w:tc>
          <w:tcPr>
            <w:tcW w:w="627" w:type="pct"/>
            <w:tcBorders>
              <w:top w:val="outset" w:color="auto" w:sz="6" w:space="0"/>
              <w:left w:val="outset" w:color="auto" w:sz="6" w:space="0"/>
              <w:bottom w:val="outset" w:color="auto" w:sz="6" w:space="0"/>
              <w:right w:val="outset" w:color="auto" w:sz="6" w:space="0"/>
            </w:tcBorders>
            <w:vAlign w:val="center"/>
          </w:tcPr>
          <w:p w14:paraId="406725FB">
            <w:r>
              <w:rPr>
                <w:rFonts w:hint="eastAsia"/>
              </w:rPr>
              <w:t>七、9</w:t>
            </w:r>
          </w:p>
        </w:tc>
        <w:tc>
          <w:tcPr>
            <w:tcW w:w="1411" w:type="pct"/>
            <w:tcBorders>
              <w:top w:val="outset" w:color="auto" w:sz="6" w:space="0"/>
              <w:left w:val="outset" w:color="auto" w:sz="6" w:space="0"/>
              <w:bottom w:val="outset" w:color="auto" w:sz="6" w:space="0"/>
              <w:right w:val="outset" w:color="auto" w:sz="6" w:space="0"/>
            </w:tcBorders>
            <w:vAlign w:val="center"/>
          </w:tcPr>
          <w:p w14:paraId="5EEB9211">
            <w:pPr>
              <w:jc w:val="right"/>
              <w:rPr>
                <w:rFonts w:ascii="宋体" w:hAnsi="宋体"/>
                <w:sz w:val="24"/>
                <w:szCs w:val="24"/>
              </w:rPr>
            </w:pPr>
            <w:r>
              <w:t>1,000,000.00</w:t>
            </w:r>
          </w:p>
        </w:tc>
        <w:tc>
          <w:tcPr>
            <w:tcW w:w="1333" w:type="pct"/>
            <w:tcBorders>
              <w:top w:val="outset" w:color="auto" w:sz="6" w:space="0"/>
              <w:left w:val="outset" w:color="auto" w:sz="6" w:space="0"/>
              <w:bottom w:val="outset" w:color="auto" w:sz="6" w:space="0"/>
              <w:right w:val="outset" w:color="auto" w:sz="6" w:space="0"/>
            </w:tcBorders>
            <w:vAlign w:val="center"/>
          </w:tcPr>
          <w:p w14:paraId="4F0BD347">
            <w:pPr>
              <w:jc w:val="right"/>
            </w:pPr>
            <w:r>
              <w:t>1,000,000.00</w:t>
            </w:r>
          </w:p>
        </w:tc>
      </w:tr>
      <w:tr w14:paraId="5D15E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D76178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买入返售金融资产</w:t>
            </w:r>
          </w:p>
        </w:tc>
        <w:tc>
          <w:tcPr>
            <w:tcW w:w="627" w:type="pct"/>
            <w:tcBorders>
              <w:top w:val="outset" w:color="auto" w:sz="6" w:space="0"/>
              <w:left w:val="outset" w:color="auto" w:sz="6" w:space="0"/>
              <w:bottom w:val="outset" w:color="auto" w:sz="6" w:space="0"/>
              <w:right w:val="outset" w:color="auto" w:sz="6" w:space="0"/>
            </w:tcBorders>
            <w:vAlign w:val="center"/>
          </w:tcPr>
          <w:p w14:paraId="40072C1D"/>
        </w:tc>
        <w:tc>
          <w:tcPr>
            <w:tcW w:w="1411" w:type="pct"/>
            <w:tcBorders>
              <w:top w:val="outset" w:color="auto" w:sz="6" w:space="0"/>
              <w:left w:val="outset" w:color="auto" w:sz="6" w:space="0"/>
              <w:bottom w:val="outset" w:color="auto" w:sz="6" w:space="0"/>
              <w:right w:val="outset" w:color="auto" w:sz="6" w:space="0"/>
            </w:tcBorders>
            <w:vAlign w:val="center"/>
          </w:tcPr>
          <w:p w14:paraId="3B99DC0D">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14CDE274">
            <w:pPr>
              <w:jc w:val="right"/>
            </w:pPr>
          </w:p>
        </w:tc>
      </w:tr>
      <w:tr w14:paraId="663EA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138D82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存货</w:t>
            </w:r>
          </w:p>
        </w:tc>
        <w:tc>
          <w:tcPr>
            <w:tcW w:w="627" w:type="pct"/>
            <w:tcBorders>
              <w:top w:val="outset" w:color="auto" w:sz="6" w:space="0"/>
              <w:left w:val="outset" w:color="auto" w:sz="6" w:space="0"/>
              <w:bottom w:val="outset" w:color="auto" w:sz="6" w:space="0"/>
              <w:right w:val="outset" w:color="auto" w:sz="6" w:space="0"/>
            </w:tcBorders>
            <w:vAlign w:val="center"/>
          </w:tcPr>
          <w:p w14:paraId="4954493D">
            <w:r>
              <w:rPr>
                <w:rFonts w:hint="eastAsia"/>
              </w:rPr>
              <w:t>七、</w:t>
            </w:r>
            <w:r>
              <w:t>10</w:t>
            </w:r>
          </w:p>
        </w:tc>
        <w:tc>
          <w:tcPr>
            <w:tcW w:w="1411" w:type="pct"/>
            <w:tcBorders>
              <w:top w:val="outset" w:color="auto" w:sz="6" w:space="0"/>
              <w:left w:val="outset" w:color="auto" w:sz="6" w:space="0"/>
              <w:bottom w:val="outset" w:color="auto" w:sz="6" w:space="0"/>
              <w:right w:val="outset" w:color="auto" w:sz="6" w:space="0"/>
            </w:tcBorders>
            <w:vAlign w:val="center"/>
          </w:tcPr>
          <w:p w14:paraId="64716728">
            <w:pPr>
              <w:jc w:val="right"/>
            </w:pPr>
            <w:r>
              <w:t>2,271,331,984.42</w:t>
            </w:r>
          </w:p>
        </w:tc>
        <w:tc>
          <w:tcPr>
            <w:tcW w:w="1333" w:type="pct"/>
            <w:tcBorders>
              <w:top w:val="outset" w:color="auto" w:sz="6" w:space="0"/>
              <w:left w:val="outset" w:color="auto" w:sz="6" w:space="0"/>
              <w:bottom w:val="outset" w:color="auto" w:sz="6" w:space="0"/>
              <w:right w:val="outset" w:color="auto" w:sz="6" w:space="0"/>
            </w:tcBorders>
            <w:vAlign w:val="center"/>
          </w:tcPr>
          <w:p w14:paraId="2F7BC2B6">
            <w:pPr>
              <w:jc w:val="right"/>
            </w:pPr>
            <w:r>
              <w:t>2,266,953,664.64</w:t>
            </w:r>
          </w:p>
        </w:tc>
      </w:tr>
      <w:tr w14:paraId="1CAEC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AAF178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vAlign w:val="center"/>
          </w:tcPr>
          <w:p w14:paraId="064D49DE"/>
        </w:tc>
        <w:tc>
          <w:tcPr>
            <w:tcW w:w="1411" w:type="pct"/>
            <w:tcBorders>
              <w:top w:val="outset" w:color="auto" w:sz="6" w:space="0"/>
              <w:left w:val="outset" w:color="auto" w:sz="6" w:space="0"/>
              <w:bottom w:val="outset" w:color="auto" w:sz="6" w:space="0"/>
              <w:right w:val="outset" w:color="auto" w:sz="6" w:space="0"/>
            </w:tcBorders>
            <w:vAlign w:val="center"/>
          </w:tcPr>
          <w:p w14:paraId="0C4A7938">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746EA53E">
            <w:pPr>
              <w:jc w:val="right"/>
            </w:pPr>
          </w:p>
        </w:tc>
      </w:tr>
      <w:tr w14:paraId="6FDE7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6FBEFD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合同资产</w:t>
            </w:r>
          </w:p>
        </w:tc>
        <w:tc>
          <w:tcPr>
            <w:tcW w:w="627" w:type="pct"/>
            <w:tcBorders>
              <w:top w:val="outset" w:color="auto" w:sz="6" w:space="0"/>
              <w:left w:val="outset" w:color="auto" w:sz="6" w:space="0"/>
              <w:bottom w:val="outset" w:color="auto" w:sz="6" w:space="0"/>
              <w:right w:val="outset" w:color="auto" w:sz="6" w:space="0"/>
            </w:tcBorders>
            <w:vAlign w:val="center"/>
          </w:tcPr>
          <w:p w14:paraId="5A5F3A80"/>
        </w:tc>
        <w:tc>
          <w:tcPr>
            <w:tcW w:w="1411" w:type="pct"/>
            <w:tcBorders>
              <w:top w:val="outset" w:color="auto" w:sz="6" w:space="0"/>
              <w:left w:val="outset" w:color="auto" w:sz="6" w:space="0"/>
              <w:bottom w:val="outset" w:color="auto" w:sz="6" w:space="0"/>
              <w:right w:val="outset" w:color="auto" w:sz="6" w:space="0"/>
            </w:tcBorders>
            <w:vAlign w:val="center"/>
          </w:tcPr>
          <w:p w14:paraId="77D59746">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5EB056DA">
            <w:pPr>
              <w:jc w:val="right"/>
            </w:pPr>
          </w:p>
        </w:tc>
      </w:tr>
      <w:tr w14:paraId="41CFCB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731354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持有待售资产</w:t>
            </w:r>
          </w:p>
        </w:tc>
        <w:tc>
          <w:tcPr>
            <w:tcW w:w="627" w:type="pct"/>
            <w:tcBorders>
              <w:top w:val="outset" w:color="auto" w:sz="6" w:space="0"/>
              <w:left w:val="outset" w:color="auto" w:sz="6" w:space="0"/>
              <w:bottom w:val="outset" w:color="auto" w:sz="6" w:space="0"/>
              <w:right w:val="outset" w:color="auto" w:sz="6" w:space="0"/>
            </w:tcBorders>
            <w:vAlign w:val="center"/>
          </w:tcPr>
          <w:p w14:paraId="05F77DC3"/>
        </w:tc>
        <w:tc>
          <w:tcPr>
            <w:tcW w:w="1411" w:type="pct"/>
            <w:tcBorders>
              <w:top w:val="outset" w:color="auto" w:sz="6" w:space="0"/>
              <w:left w:val="outset" w:color="auto" w:sz="6" w:space="0"/>
              <w:bottom w:val="outset" w:color="auto" w:sz="6" w:space="0"/>
              <w:right w:val="outset" w:color="auto" w:sz="6" w:space="0"/>
            </w:tcBorders>
            <w:vAlign w:val="center"/>
          </w:tcPr>
          <w:p w14:paraId="50DCF486">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5B14A138">
            <w:pPr>
              <w:jc w:val="right"/>
            </w:pPr>
          </w:p>
        </w:tc>
      </w:tr>
      <w:tr w14:paraId="76E52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A78126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一年内到期的非流动资产</w:t>
            </w:r>
          </w:p>
        </w:tc>
        <w:tc>
          <w:tcPr>
            <w:tcW w:w="627" w:type="pct"/>
            <w:tcBorders>
              <w:top w:val="outset" w:color="auto" w:sz="6" w:space="0"/>
              <w:left w:val="outset" w:color="auto" w:sz="6" w:space="0"/>
              <w:bottom w:val="outset" w:color="auto" w:sz="6" w:space="0"/>
              <w:right w:val="outset" w:color="auto" w:sz="6" w:space="0"/>
            </w:tcBorders>
            <w:vAlign w:val="center"/>
          </w:tcPr>
          <w:p w14:paraId="4D6C1A72"/>
        </w:tc>
        <w:tc>
          <w:tcPr>
            <w:tcW w:w="1411" w:type="pct"/>
            <w:tcBorders>
              <w:top w:val="outset" w:color="auto" w:sz="6" w:space="0"/>
              <w:left w:val="outset" w:color="auto" w:sz="6" w:space="0"/>
              <w:bottom w:val="outset" w:color="auto" w:sz="6" w:space="0"/>
              <w:right w:val="outset" w:color="auto" w:sz="6" w:space="0"/>
            </w:tcBorders>
            <w:vAlign w:val="center"/>
          </w:tcPr>
          <w:p w14:paraId="6343A767">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94D487C">
            <w:pPr>
              <w:jc w:val="right"/>
            </w:pPr>
          </w:p>
        </w:tc>
      </w:tr>
      <w:tr w14:paraId="6BA97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EC42BC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其他流动资产</w:t>
            </w:r>
          </w:p>
        </w:tc>
        <w:tc>
          <w:tcPr>
            <w:tcW w:w="627" w:type="pct"/>
            <w:tcBorders>
              <w:top w:val="outset" w:color="auto" w:sz="6" w:space="0"/>
              <w:left w:val="outset" w:color="auto" w:sz="6" w:space="0"/>
              <w:bottom w:val="outset" w:color="auto" w:sz="6" w:space="0"/>
              <w:right w:val="outset" w:color="auto" w:sz="6" w:space="0"/>
            </w:tcBorders>
            <w:vAlign w:val="center"/>
          </w:tcPr>
          <w:p w14:paraId="18DE4AA6">
            <w:r>
              <w:rPr>
                <w:rFonts w:hint="eastAsia"/>
              </w:rPr>
              <w:t>七、1</w:t>
            </w:r>
            <w:r>
              <w:t>3</w:t>
            </w:r>
          </w:p>
        </w:tc>
        <w:tc>
          <w:tcPr>
            <w:tcW w:w="1411" w:type="pct"/>
            <w:tcBorders>
              <w:top w:val="outset" w:color="auto" w:sz="6" w:space="0"/>
              <w:left w:val="outset" w:color="auto" w:sz="6" w:space="0"/>
              <w:bottom w:val="outset" w:color="auto" w:sz="6" w:space="0"/>
              <w:right w:val="outset" w:color="auto" w:sz="6" w:space="0"/>
            </w:tcBorders>
            <w:vAlign w:val="center"/>
          </w:tcPr>
          <w:p w14:paraId="578F2F1F">
            <w:pPr>
              <w:jc w:val="right"/>
            </w:pPr>
            <w:r>
              <w:t>466,969,207.95</w:t>
            </w:r>
          </w:p>
        </w:tc>
        <w:tc>
          <w:tcPr>
            <w:tcW w:w="1333" w:type="pct"/>
            <w:tcBorders>
              <w:top w:val="outset" w:color="auto" w:sz="6" w:space="0"/>
              <w:left w:val="outset" w:color="auto" w:sz="6" w:space="0"/>
              <w:bottom w:val="outset" w:color="auto" w:sz="6" w:space="0"/>
              <w:right w:val="outset" w:color="auto" w:sz="6" w:space="0"/>
            </w:tcBorders>
            <w:vAlign w:val="center"/>
          </w:tcPr>
          <w:p w14:paraId="171EC409">
            <w:pPr>
              <w:jc w:val="right"/>
            </w:pPr>
            <w:r>
              <w:t>312,221,517.80</w:t>
            </w:r>
          </w:p>
        </w:tc>
      </w:tr>
      <w:tr w14:paraId="5B487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FED383D">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流动资产合计</w:t>
            </w:r>
          </w:p>
        </w:tc>
        <w:tc>
          <w:tcPr>
            <w:tcW w:w="627" w:type="pct"/>
            <w:tcBorders>
              <w:top w:val="outset" w:color="auto" w:sz="6" w:space="0"/>
              <w:left w:val="outset" w:color="auto" w:sz="6" w:space="0"/>
              <w:bottom w:val="outset" w:color="auto" w:sz="6" w:space="0"/>
              <w:right w:val="outset" w:color="auto" w:sz="6" w:space="0"/>
            </w:tcBorders>
            <w:vAlign w:val="center"/>
          </w:tcPr>
          <w:p w14:paraId="1D5F6105"/>
        </w:tc>
        <w:tc>
          <w:tcPr>
            <w:tcW w:w="1411" w:type="pct"/>
            <w:tcBorders>
              <w:top w:val="outset" w:color="auto" w:sz="6" w:space="0"/>
              <w:left w:val="outset" w:color="auto" w:sz="6" w:space="0"/>
              <w:bottom w:val="outset" w:color="auto" w:sz="6" w:space="0"/>
              <w:right w:val="outset" w:color="auto" w:sz="6" w:space="0"/>
            </w:tcBorders>
            <w:vAlign w:val="center"/>
          </w:tcPr>
          <w:p w14:paraId="39DCA0F7">
            <w:pPr>
              <w:jc w:val="right"/>
            </w:pPr>
            <w:r>
              <w:t>7,861,475,791.19</w:t>
            </w:r>
          </w:p>
        </w:tc>
        <w:tc>
          <w:tcPr>
            <w:tcW w:w="1333" w:type="pct"/>
            <w:tcBorders>
              <w:top w:val="outset" w:color="auto" w:sz="6" w:space="0"/>
              <w:left w:val="outset" w:color="auto" w:sz="6" w:space="0"/>
              <w:bottom w:val="outset" w:color="auto" w:sz="6" w:space="0"/>
              <w:right w:val="outset" w:color="auto" w:sz="6" w:space="0"/>
            </w:tcBorders>
            <w:vAlign w:val="center"/>
          </w:tcPr>
          <w:p w14:paraId="4D7115C3">
            <w:pPr>
              <w:jc w:val="right"/>
            </w:pPr>
            <w:r>
              <w:t>8,085,759,088.26</w:t>
            </w:r>
          </w:p>
        </w:tc>
      </w:tr>
      <w:tr w14:paraId="37638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6ac6acc14e74939b5cc43190a3afd2b"/>
            <w:id w:val="-801313221"/>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53B96794">
                <w:pPr>
                  <w:rPr>
                    <w:color w:val="000000" w:themeColor="text1"/>
                    <w14:textFill>
                      <w14:solidFill>
                        <w14:schemeClr w14:val="tx1"/>
                      </w14:solidFill>
                    </w14:textFill>
                  </w:rPr>
                </w:pPr>
                <w:r>
                  <w:rPr>
                    <w:rFonts w:hint="eastAsia"/>
                    <w:b/>
                    <w:color w:val="000000" w:themeColor="text1"/>
                    <w14:textFill>
                      <w14:solidFill>
                        <w14:schemeClr w14:val="tx1"/>
                      </w14:solidFill>
                    </w14:textFill>
                  </w:rPr>
                  <w:t>非流动资产：</w:t>
                </w:r>
              </w:p>
            </w:tc>
          </w:sdtContent>
        </w:sdt>
      </w:tr>
      <w:tr w14:paraId="73592D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EBD770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发放贷款和垫款</w:t>
            </w:r>
          </w:p>
        </w:tc>
        <w:tc>
          <w:tcPr>
            <w:tcW w:w="627" w:type="pct"/>
            <w:tcBorders>
              <w:top w:val="outset" w:color="auto" w:sz="6" w:space="0"/>
              <w:left w:val="outset" w:color="auto" w:sz="6" w:space="0"/>
              <w:bottom w:val="outset" w:color="auto" w:sz="6" w:space="0"/>
              <w:right w:val="outset" w:color="auto" w:sz="6" w:space="0"/>
            </w:tcBorders>
            <w:vAlign w:val="center"/>
          </w:tcPr>
          <w:p w14:paraId="4375B0A6"/>
        </w:tc>
        <w:tc>
          <w:tcPr>
            <w:tcW w:w="1411" w:type="pct"/>
            <w:tcBorders>
              <w:top w:val="outset" w:color="auto" w:sz="6" w:space="0"/>
              <w:left w:val="outset" w:color="auto" w:sz="6" w:space="0"/>
              <w:bottom w:val="outset" w:color="auto" w:sz="6" w:space="0"/>
              <w:right w:val="outset" w:color="auto" w:sz="6" w:space="0"/>
            </w:tcBorders>
            <w:vAlign w:val="center"/>
          </w:tcPr>
          <w:p w14:paraId="7AFBE3E0">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3479339F">
            <w:pPr>
              <w:jc w:val="right"/>
            </w:pPr>
          </w:p>
        </w:tc>
      </w:tr>
      <w:tr w14:paraId="7B7DD0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FA3349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债权投资</w:t>
            </w:r>
          </w:p>
        </w:tc>
        <w:tc>
          <w:tcPr>
            <w:tcW w:w="627" w:type="pct"/>
            <w:tcBorders>
              <w:top w:val="outset" w:color="auto" w:sz="6" w:space="0"/>
              <w:left w:val="outset" w:color="auto" w:sz="6" w:space="0"/>
              <w:bottom w:val="outset" w:color="auto" w:sz="6" w:space="0"/>
              <w:right w:val="outset" w:color="auto" w:sz="6" w:space="0"/>
            </w:tcBorders>
            <w:vAlign w:val="center"/>
          </w:tcPr>
          <w:p w14:paraId="1A497635"/>
        </w:tc>
        <w:tc>
          <w:tcPr>
            <w:tcW w:w="1411" w:type="pct"/>
            <w:tcBorders>
              <w:top w:val="outset" w:color="auto" w:sz="6" w:space="0"/>
              <w:left w:val="outset" w:color="auto" w:sz="6" w:space="0"/>
              <w:bottom w:val="outset" w:color="auto" w:sz="6" w:space="0"/>
              <w:right w:val="outset" w:color="auto" w:sz="6" w:space="0"/>
            </w:tcBorders>
            <w:vAlign w:val="center"/>
          </w:tcPr>
          <w:p w14:paraId="1A353BC5">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1A7BDBEE">
            <w:pPr>
              <w:jc w:val="right"/>
            </w:pPr>
          </w:p>
        </w:tc>
      </w:tr>
      <w:tr w14:paraId="10C90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4E1782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其他债权投资</w:t>
            </w:r>
          </w:p>
        </w:tc>
        <w:tc>
          <w:tcPr>
            <w:tcW w:w="627" w:type="pct"/>
            <w:tcBorders>
              <w:top w:val="outset" w:color="auto" w:sz="6" w:space="0"/>
              <w:left w:val="outset" w:color="auto" w:sz="6" w:space="0"/>
              <w:bottom w:val="outset" w:color="auto" w:sz="6" w:space="0"/>
              <w:right w:val="outset" w:color="auto" w:sz="6" w:space="0"/>
            </w:tcBorders>
            <w:vAlign w:val="center"/>
          </w:tcPr>
          <w:p w14:paraId="01D639C7"/>
        </w:tc>
        <w:tc>
          <w:tcPr>
            <w:tcW w:w="1411" w:type="pct"/>
            <w:tcBorders>
              <w:top w:val="outset" w:color="auto" w:sz="6" w:space="0"/>
              <w:left w:val="outset" w:color="auto" w:sz="6" w:space="0"/>
              <w:bottom w:val="outset" w:color="auto" w:sz="6" w:space="0"/>
              <w:right w:val="outset" w:color="auto" w:sz="6" w:space="0"/>
            </w:tcBorders>
            <w:vAlign w:val="center"/>
          </w:tcPr>
          <w:p w14:paraId="506F54B2">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6BFDAE1A">
            <w:pPr>
              <w:jc w:val="right"/>
            </w:pPr>
          </w:p>
        </w:tc>
      </w:tr>
      <w:tr w14:paraId="5165DC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E32AD2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长期应收款</w:t>
            </w:r>
          </w:p>
        </w:tc>
        <w:tc>
          <w:tcPr>
            <w:tcW w:w="627" w:type="pct"/>
            <w:tcBorders>
              <w:top w:val="outset" w:color="auto" w:sz="6" w:space="0"/>
              <w:left w:val="outset" w:color="auto" w:sz="6" w:space="0"/>
              <w:bottom w:val="outset" w:color="auto" w:sz="6" w:space="0"/>
              <w:right w:val="outset" w:color="auto" w:sz="6" w:space="0"/>
            </w:tcBorders>
            <w:vAlign w:val="center"/>
          </w:tcPr>
          <w:p w14:paraId="5A2D336B"/>
        </w:tc>
        <w:tc>
          <w:tcPr>
            <w:tcW w:w="1411" w:type="pct"/>
            <w:tcBorders>
              <w:top w:val="outset" w:color="auto" w:sz="6" w:space="0"/>
              <w:left w:val="outset" w:color="auto" w:sz="6" w:space="0"/>
              <w:bottom w:val="outset" w:color="auto" w:sz="6" w:space="0"/>
              <w:right w:val="outset" w:color="auto" w:sz="6" w:space="0"/>
            </w:tcBorders>
            <w:vAlign w:val="center"/>
          </w:tcPr>
          <w:p w14:paraId="1BFF1D79">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1B0E6A1A">
            <w:pPr>
              <w:jc w:val="right"/>
            </w:pPr>
          </w:p>
        </w:tc>
      </w:tr>
      <w:tr w14:paraId="3ACD55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965660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长期股权投资</w:t>
            </w:r>
          </w:p>
        </w:tc>
        <w:tc>
          <w:tcPr>
            <w:tcW w:w="627" w:type="pct"/>
            <w:tcBorders>
              <w:top w:val="outset" w:color="auto" w:sz="6" w:space="0"/>
              <w:left w:val="outset" w:color="auto" w:sz="6" w:space="0"/>
              <w:bottom w:val="outset" w:color="auto" w:sz="6" w:space="0"/>
              <w:right w:val="outset" w:color="auto" w:sz="6" w:space="0"/>
            </w:tcBorders>
            <w:vAlign w:val="center"/>
          </w:tcPr>
          <w:p w14:paraId="426B751A">
            <w:r>
              <w:rPr>
                <w:rFonts w:hint="eastAsia"/>
              </w:rPr>
              <w:t>七、1</w:t>
            </w:r>
            <w:r>
              <w:t>7</w:t>
            </w:r>
          </w:p>
        </w:tc>
        <w:tc>
          <w:tcPr>
            <w:tcW w:w="1411" w:type="pct"/>
            <w:tcBorders>
              <w:top w:val="outset" w:color="auto" w:sz="6" w:space="0"/>
              <w:left w:val="outset" w:color="auto" w:sz="6" w:space="0"/>
              <w:bottom w:val="outset" w:color="auto" w:sz="6" w:space="0"/>
              <w:right w:val="outset" w:color="auto" w:sz="6" w:space="0"/>
            </w:tcBorders>
            <w:vAlign w:val="center"/>
          </w:tcPr>
          <w:p w14:paraId="04F66EEC">
            <w:pPr>
              <w:jc w:val="right"/>
            </w:pPr>
            <w:r>
              <w:t>5,259,709,887.48</w:t>
            </w:r>
          </w:p>
        </w:tc>
        <w:tc>
          <w:tcPr>
            <w:tcW w:w="1333" w:type="pct"/>
            <w:tcBorders>
              <w:top w:val="outset" w:color="auto" w:sz="6" w:space="0"/>
              <w:left w:val="outset" w:color="auto" w:sz="6" w:space="0"/>
              <w:bottom w:val="outset" w:color="auto" w:sz="6" w:space="0"/>
              <w:right w:val="outset" w:color="auto" w:sz="6" w:space="0"/>
            </w:tcBorders>
            <w:vAlign w:val="center"/>
          </w:tcPr>
          <w:p w14:paraId="79835452">
            <w:pPr>
              <w:jc w:val="right"/>
            </w:pPr>
            <w:r>
              <w:t>5,187,772,019.22</w:t>
            </w:r>
          </w:p>
        </w:tc>
      </w:tr>
      <w:tr w14:paraId="48A08B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0B8454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其他权益工具投资</w:t>
            </w:r>
          </w:p>
        </w:tc>
        <w:tc>
          <w:tcPr>
            <w:tcW w:w="627" w:type="pct"/>
            <w:tcBorders>
              <w:top w:val="outset" w:color="auto" w:sz="6" w:space="0"/>
              <w:left w:val="outset" w:color="auto" w:sz="6" w:space="0"/>
              <w:bottom w:val="outset" w:color="auto" w:sz="6" w:space="0"/>
              <w:right w:val="outset" w:color="auto" w:sz="6" w:space="0"/>
            </w:tcBorders>
            <w:vAlign w:val="center"/>
          </w:tcPr>
          <w:p w14:paraId="6B3889C8">
            <w:r>
              <w:rPr>
                <w:rFonts w:hint="eastAsia"/>
              </w:rPr>
              <w:t>七、1</w:t>
            </w:r>
            <w:r>
              <w:t>8</w:t>
            </w:r>
          </w:p>
        </w:tc>
        <w:tc>
          <w:tcPr>
            <w:tcW w:w="1411" w:type="pct"/>
            <w:tcBorders>
              <w:top w:val="outset" w:color="auto" w:sz="6" w:space="0"/>
              <w:left w:val="outset" w:color="auto" w:sz="6" w:space="0"/>
              <w:bottom w:val="outset" w:color="auto" w:sz="6" w:space="0"/>
              <w:right w:val="outset" w:color="auto" w:sz="6" w:space="0"/>
            </w:tcBorders>
            <w:vAlign w:val="center"/>
          </w:tcPr>
          <w:p w14:paraId="064B0E48">
            <w:pPr>
              <w:jc w:val="right"/>
            </w:pPr>
            <w:r>
              <w:t>6,755,605.27</w:t>
            </w:r>
          </w:p>
        </w:tc>
        <w:tc>
          <w:tcPr>
            <w:tcW w:w="1333" w:type="pct"/>
            <w:tcBorders>
              <w:top w:val="outset" w:color="auto" w:sz="6" w:space="0"/>
              <w:left w:val="outset" w:color="auto" w:sz="6" w:space="0"/>
              <w:bottom w:val="outset" w:color="auto" w:sz="6" w:space="0"/>
              <w:right w:val="outset" w:color="auto" w:sz="6" w:space="0"/>
            </w:tcBorders>
            <w:vAlign w:val="center"/>
          </w:tcPr>
          <w:p w14:paraId="06FDA006">
            <w:pPr>
              <w:jc w:val="right"/>
            </w:pPr>
            <w:r>
              <w:t>6,727,715.07</w:t>
            </w:r>
          </w:p>
        </w:tc>
      </w:tr>
      <w:tr w14:paraId="2BC1AE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E40B58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其他非流动金融资产</w:t>
            </w:r>
          </w:p>
        </w:tc>
        <w:tc>
          <w:tcPr>
            <w:tcW w:w="627" w:type="pct"/>
            <w:tcBorders>
              <w:top w:val="outset" w:color="auto" w:sz="6" w:space="0"/>
              <w:left w:val="outset" w:color="auto" w:sz="6" w:space="0"/>
              <w:bottom w:val="outset" w:color="auto" w:sz="6" w:space="0"/>
              <w:right w:val="outset" w:color="auto" w:sz="6" w:space="0"/>
            </w:tcBorders>
            <w:vAlign w:val="center"/>
          </w:tcPr>
          <w:p w14:paraId="1414C01B"/>
        </w:tc>
        <w:tc>
          <w:tcPr>
            <w:tcW w:w="1411" w:type="pct"/>
            <w:tcBorders>
              <w:top w:val="outset" w:color="auto" w:sz="6" w:space="0"/>
              <w:left w:val="outset" w:color="auto" w:sz="6" w:space="0"/>
              <w:bottom w:val="outset" w:color="auto" w:sz="6" w:space="0"/>
              <w:right w:val="outset" w:color="auto" w:sz="6" w:space="0"/>
            </w:tcBorders>
            <w:vAlign w:val="center"/>
          </w:tcPr>
          <w:p w14:paraId="6A3F08F1">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1D7C6987">
            <w:pPr>
              <w:jc w:val="right"/>
              <w:rPr>
                <w:rFonts w:eastAsia="Times New Roman" w:cs="Times New Roman"/>
                <w:sz w:val="20"/>
                <w:szCs w:val="20"/>
              </w:rPr>
            </w:pPr>
          </w:p>
        </w:tc>
      </w:tr>
      <w:tr w14:paraId="5F848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C5AA97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投资性房地产</w:t>
            </w:r>
          </w:p>
        </w:tc>
        <w:tc>
          <w:tcPr>
            <w:tcW w:w="627" w:type="pct"/>
            <w:tcBorders>
              <w:top w:val="outset" w:color="auto" w:sz="6" w:space="0"/>
              <w:left w:val="outset" w:color="auto" w:sz="6" w:space="0"/>
              <w:bottom w:val="outset" w:color="auto" w:sz="6" w:space="0"/>
              <w:right w:val="outset" w:color="auto" w:sz="6" w:space="0"/>
            </w:tcBorders>
            <w:vAlign w:val="center"/>
          </w:tcPr>
          <w:p w14:paraId="7A031A90">
            <w:r>
              <w:rPr>
                <w:rFonts w:hint="eastAsia"/>
              </w:rPr>
              <w:t>七、</w:t>
            </w:r>
            <w:r>
              <w:t>20</w:t>
            </w:r>
          </w:p>
        </w:tc>
        <w:tc>
          <w:tcPr>
            <w:tcW w:w="1411" w:type="pct"/>
            <w:tcBorders>
              <w:top w:val="outset" w:color="auto" w:sz="6" w:space="0"/>
              <w:left w:val="outset" w:color="auto" w:sz="6" w:space="0"/>
              <w:bottom w:val="outset" w:color="auto" w:sz="6" w:space="0"/>
              <w:right w:val="outset" w:color="auto" w:sz="6" w:space="0"/>
            </w:tcBorders>
            <w:vAlign w:val="center"/>
          </w:tcPr>
          <w:p w14:paraId="21DBC877">
            <w:pPr>
              <w:jc w:val="right"/>
              <w:rPr>
                <w:rFonts w:ascii="宋体" w:hAnsi="宋体"/>
                <w:sz w:val="24"/>
                <w:szCs w:val="24"/>
              </w:rPr>
            </w:pPr>
            <w:r>
              <w:t>3,137,253,000.00</w:t>
            </w:r>
          </w:p>
        </w:tc>
        <w:tc>
          <w:tcPr>
            <w:tcW w:w="1333" w:type="pct"/>
            <w:tcBorders>
              <w:top w:val="outset" w:color="auto" w:sz="6" w:space="0"/>
              <w:left w:val="outset" w:color="auto" w:sz="6" w:space="0"/>
              <w:bottom w:val="outset" w:color="auto" w:sz="6" w:space="0"/>
              <w:right w:val="outset" w:color="auto" w:sz="6" w:space="0"/>
            </w:tcBorders>
            <w:vAlign w:val="center"/>
          </w:tcPr>
          <w:p w14:paraId="21E72AB7">
            <w:pPr>
              <w:jc w:val="right"/>
            </w:pPr>
            <w:r>
              <w:t>3,160,669,700.00</w:t>
            </w:r>
          </w:p>
        </w:tc>
      </w:tr>
      <w:tr w14:paraId="074F7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AD7153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w:t>
            </w:r>
          </w:p>
        </w:tc>
        <w:tc>
          <w:tcPr>
            <w:tcW w:w="627" w:type="pct"/>
            <w:tcBorders>
              <w:top w:val="outset" w:color="auto" w:sz="6" w:space="0"/>
              <w:left w:val="outset" w:color="auto" w:sz="6" w:space="0"/>
              <w:bottom w:val="outset" w:color="auto" w:sz="6" w:space="0"/>
              <w:right w:val="outset" w:color="auto" w:sz="6" w:space="0"/>
            </w:tcBorders>
            <w:vAlign w:val="center"/>
          </w:tcPr>
          <w:p w14:paraId="22CAFAFB">
            <w:r>
              <w:rPr>
                <w:rFonts w:hint="eastAsia"/>
              </w:rPr>
              <w:t>七、2</w:t>
            </w:r>
            <w:r>
              <w:t>1</w:t>
            </w:r>
          </w:p>
        </w:tc>
        <w:tc>
          <w:tcPr>
            <w:tcW w:w="1411" w:type="pct"/>
            <w:tcBorders>
              <w:top w:val="outset" w:color="auto" w:sz="6" w:space="0"/>
              <w:left w:val="outset" w:color="auto" w:sz="6" w:space="0"/>
              <w:bottom w:val="outset" w:color="auto" w:sz="6" w:space="0"/>
              <w:right w:val="outset" w:color="auto" w:sz="6" w:space="0"/>
            </w:tcBorders>
            <w:vAlign w:val="center"/>
          </w:tcPr>
          <w:p w14:paraId="65880556">
            <w:pPr>
              <w:jc w:val="right"/>
            </w:pPr>
            <w:r>
              <w:t>1,804,065,438.24</w:t>
            </w:r>
          </w:p>
        </w:tc>
        <w:tc>
          <w:tcPr>
            <w:tcW w:w="1333" w:type="pct"/>
            <w:tcBorders>
              <w:top w:val="outset" w:color="auto" w:sz="6" w:space="0"/>
              <w:left w:val="outset" w:color="auto" w:sz="6" w:space="0"/>
              <w:bottom w:val="outset" w:color="auto" w:sz="6" w:space="0"/>
              <w:right w:val="outset" w:color="auto" w:sz="6" w:space="0"/>
            </w:tcBorders>
            <w:vAlign w:val="center"/>
          </w:tcPr>
          <w:p w14:paraId="54D004CA">
            <w:pPr>
              <w:jc w:val="right"/>
            </w:pPr>
            <w:r>
              <w:t>1,909,894,632.83</w:t>
            </w:r>
          </w:p>
        </w:tc>
      </w:tr>
      <w:tr w14:paraId="117D8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243567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在建工程</w:t>
            </w:r>
          </w:p>
        </w:tc>
        <w:tc>
          <w:tcPr>
            <w:tcW w:w="627" w:type="pct"/>
            <w:tcBorders>
              <w:top w:val="outset" w:color="auto" w:sz="6" w:space="0"/>
              <w:left w:val="outset" w:color="auto" w:sz="6" w:space="0"/>
              <w:bottom w:val="outset" w:color="auto" w:sz="6" w:space="0"/>
              <w:right w:val="outset" w:color="auto" w:sz="6" w:space="0"/>
            </w:tcBorders>
            <w:vAlign w:val="center"/>
          </w:tcPr>
          <w:p w14:paraId="26FBE446">
            <w:r>
              <w:rPr>
                <w:rFonts w:hint="eastAsia"/>
              </w:rPr>
              <w:t>七、2</w:t>
            </w:r>
            <w:r>
              <w:t>2</w:t>
            </w:r>
          </w:p>
        </w:tc>
        <w:tc>
          <w:tcPr>
            <w:tcW w:w="1411" w:type="pct"/>
            <w:tcBorders>
              <w:top w:val="outset" w:color="auto" w:sz="6" w:space="0"/>
              <w:left w:val="outset" w:color="auto" w:sz="6" w:space="0"/>
              <w:bottom w:val="outset" w:color="auto" w:sz="6" w:space="0"/>
              <w:right w:val="outset" w:color="auto" w:sz="6" w:space="0"/>
            </w:tcBorders>
            <w:vAlign w:val="center"/>
          </w:tcPr>
          <w:p w14:paraId="225810EA">
            <w:pPr>
              <w:jc w:val="right"/>
            </w:pPr>
            <w:r>
              <w:t>68,330,725.93</w:t>
            </w:r>
          </w:p>
        </w:tc>
        <w:tc>
          <w:tcPr>
            <w:tcW w:w="1333" w:type="pct"/>
            <w:tcBorders>
              <w:top w:val="outset" w:color="auto" w:sz="6" w:space="0"/>
              <w:left w:val="outset" w:color="auto" w:sz="6" w:space="0"/>
              <w:bottom w:val="outset" w:color="auto" w:sz="6" w:space="0"/>
              <w:right w:val="outset" w:color="auto" w:sz="6" w:space="0"/>
            </w:tcBorders>
            <w:vAlign w:val="center"/>
          </w:tcPr>
          <w:p w14:paraId="2E6E9242">
            <w:pPr>
              <w:jc w:val="right"/>
            </w:pPr>
            <w:r>
              <w:t>32,939,674.43</w:t>
            </w:r>
          </w:p>
        </w:tc>
      </w:tr>
      <w:tr w14:paraId="33FE21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5DDEC1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生产性生物资产</w:t>
            </w:r>
          </w:p>
        </w:tc>
        <w:tc>
          <w:tcPr>
            <w:tcW w:w="627" w:type="pct"/>
            <w:tcBorders>
              <w:top w:val="outset" w:color="auto" w:sz="6" w:space="0"/>
              <w:left w:val="outset" w:color="auto" w:sz="6" w:space="0"/>
              <w:bottom w:val="outset" w:color="auto" w:sz="6" w:space="0"/>
              <w:right w:val="outset" w:color="auto" w:sz="6" w:space="0"/>
            </w:tcBorders>
            <w:vAlign w:val="center"/>
          </w:tcPr>
          <w:p w14:paraId="15359AFF"/>
        </w:tc>
        <w:tc>
          <w:tcPr>
            <w:tcW w:w="1411" w:type="pct"/>
            <w:tcBorders>
              <w:top w:val="outset" w:color="auto" w:sz="6" w:space="0"/>
              <w:left w:val="outset" w:color="auto" w:sz="6" w:space="0"/>
              <w:bottom w:val="outset" w:color="auto" w:sz="6" w:space="0"/>
              <w:right w:val="outset" w:color="auto" w:sz="6" w:space="0"/>
            </w:tcBorders>
            <w:vAlign w:val="center"/>
          </w:tcPr>
          <w:p w14:paraId="38ED60AA">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257F6AB0">
            <w:pPr>
              <w:jc w:val="right"/>
            </w:pPr>
          </w:p>
        </w:tc>
      </w:tr>
      <w:tr w14:paraId="248FE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A02A46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油气资产</w:t>
            </w:r>
          </w:p>
        </w:tc>
        <w:tc>
          <w:tcPr>
            <w:tcW w:w="627" w:type="pct"/>
            <w:tcBorders>
              <w:top w:val="outset" w:color="auto" w:sz="6" w:space="0"/>
              <w:left w:val="outset" w:color="auto" w:sz="6" w:space="0"/>
              <w:bottom w:val="outset" w:color="auto" w:sz="6" w:space="0"/>
              <w:right w:val="outset" w:color="auto" w:sz="6" w:space="0"/>
            </w:tcBorders>
            <w:vAlign w:val="center"/>
          </w:tcPr>
          <w:p w14:paraId="5685B397"/>
        </w:tc>
        <w:tc>
          <w:tcPr>
            <w:tcW w:w="1411" w:type="pct"/>
            <w:tcBorders>
              <w:top w:val="outset" w:color="auto" w:sz="6" w:space="0"/>
              <w:left w:val="outset" w:color="auto" w:sz="6" w:space="0"/>
              <w:bottom w:val="outset" w:color="auto" w:sz="6" w:space="0"/>
              <w:right w:val="outset" w:color="auto" w:sz="6" w:space="0"/>
            </w:tcBorders>
            <w:vAlign w:val="center"/>
          </w:tcPr>
          <w:p w14:paraId="06D251CA">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673F9C6">
            <w:pPr>
              <w:jc w:val="right"/>
            </w:pPr>
          </w:p>
        </w:tc>
      </w:tr>
      <w:tr w14:paraId="1EA4A2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22A5FF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使用权资产</w:t>
            </w:r>
          </w:p>
        </w:tc>
        <w:tc>
          <w:tcPr>
            <w:tcW w:w="627" w:type="pct"/>
            <w:tcBorders>
              <w:top w:val="outset" w:color="auto" w:sz="6" w:space="0"/>
              <w:left w:val="outset" w:color="auto" w:sz="6" w:space="0"/>
              <w:bottom w:val="outset" w:color="auto" w:sz="6" w:space="0"/>
              <w:right w:val="outset" w:color="auto" w:sz="6" w:space="0"/>
            </w:tcBorders>
            <w:vAlign w:val="center"/>
          </w:tcPr>
          <w:p w14:paraId="54E18164">
            <w:r>
              <w:rPr>
                <w:rFonts w:hint="eastAsia"/>
              </w:rPr>
              <w:t>七、2</w:t>
            </w:r>
            <w:r>
              <w:t>5</w:t>
            </w:r>
          </w:p>
        </w:tc>
        <w:tc>
          <w:tcPr>
            <w:tcW w:w="1411" w:type="pct"/>
            <w:tcBorders>
              <w:top w:val="outset" w:color="auto" w:sz="6" w:space="0"/>
              <w:left w:val="outset" w:color="auto" w:sz="6" w:space="0"/>
              <w:bottom w:val="outset" w:color="auto" w:sz="6" w:space="0"/>
              <w:right w:val="outset" w:color="auto" w:sz="6" w:space="0"/>
            </w:tcBorders>
            <w:vAlign w:val="center"/>
          </w:tcPr>
          <w:p w14:paraId="678566FE">
            <w:pPr>
              <w:jc w:val="right"/>
            </w:pPr>
            <w:r>
              <w:t>369,620.39</w:t>
            </w:r>
          </w:p>
        </w:tc>
        <w:tc>
          <w:tcPr>
            <w:tcW w:w="1333" w:type="pct"/>
            <w:tcBorders>
              <w:top w:val="outset" w:color="auto" w:sz="6" w:space="0"/>
              <w:left w:val="outset" w:color="auto" w:sz="6" w:space="0"/>
              <w:bottom w:val="outset" w:color="auto" w:sz="6" w:space="0"/>
              <w:right w:val="outset" w:color="auto" w:sz="6" w:space="0"/>
            </w:tcBorders>
            <w:vAlign w:val="center"/>
          </w:tcPr>
          <w:p w14:paraId="20B67243">
            <w:pPr>
              <w:jc w:val="right"/>
            </w:pPr>
            <w:r>
              <w:t>943,341.64</w:t>
            </w:r>
          </w:p>
        </w:tc>
      </w:tr>
      <w:tr w14:paraId="1C6C43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B5CBD9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无形资产</w:t>
            </w:r>
          </w:p>
        </w:tc>
        <w:tc>
          <w:tcPr>
            <w:tcW w:w="627" w:type="pct"/>
            <w:tcBorders>
              <w:top w:val="outset" w:color="auto" w:sz="6" w:space="0"/>
              <w:left w:val="outset" w:color="auto" w:sz="6" w:space="0"/>
              <w:bottom w:val="outset" w:color="auto" w:sz="6" w:space="0"/>
              <w:right w:val="outset" w:color="auto" w:sz="6" w:space="0"/>
            </w:tcBorders>
            <w:vAlign w:val="center"/>
          </w:tcPr>
          <w:p w14:paraId="1A3558AF">
            <w:r>
              <w:rPr>
                <w:rFonts w:hint="eastAsia"/>
              </w:rPr>
              <w:t>七、2</w:t>
            </w:r>
            <w:r>
              <w:t>6</w:t>
            </w:r>
          </w:p>
        </w:tc>
        <w:tc>
          <w:tcPr>
            <w:tcW w:w="1411" w:type="pct"/>
            <w:tcBorders>
              <w:top w:val="outset" w:color="auto" w:sz="6" w:space="0"/>
              <w:left w:val="outset" w:color="auto" w:sz="6" w:space="0"/>
              <w:bottom w:val="outset" w:color="auto" w:sz="6" w:space="0"/>
              <w:right w:val="outset" w:color="auto" w:sz="6" w:space="0"/>
            </w:tcBorders>
            <w:vAlign w:val="center"/>
          </w:tcPr>
          <w:p w14:paraId="06D50285">
            <w:pPr>
              <w:jc w:val="right"/>
            </w:pPr>
            <w:r>
              <w:t>1,514,988,195.49</w:t>
            </w:r>
          </w:p>
        </w:tc>
        <w:tc>
          <w:tcPr>
            <w:tcW w:w="1333" w:type="pct"/>
            <w:tcBorders>
              <w:top w:val="outset" w:color="auto" w:sz="6" w:space="0"/>
              <w:left w:val="outset" w:color="auto" w:sz="6" w:space="0"/>
              <w:bottom w:val="outset" w:color="auto" w:sz="6" w:space="0"/>
              <w:right w:val="outset" w:color="auto" w:sz="6" w:space="0"/>
            </w:tcBorders>
            <w:vAlign w:val="center"/>
          </w:tcPr>
          <w:p w14:paraId="435120B7">
            <w:pPr>
              <w:jc w:val="right"/>
            </w:pPr>
            <w:r>
              <w:t>1,667,612,421.70</w:t>
            </w:r>
          </w:p>
        </w:tc>
      </w:tr>
      <w:tr w14:paraId="6AFA82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E976DD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vAlign w:val="center"/>
          </w:tcPr>
          <w:p w14:paraId="1C8CC7BD"/>
        </w:tc>
        <w:tc>
          <w:tcPr>
            <w:tcW w:w="1411" w:type="pct"/>
            <w:tcBorders>
              <w:top w:val="outset" w:color="auto" w:sz="6" w:space="0"/>
              <w:left w:val="outset" w:color="auto" w:sz="6" w:space="0"/>
              <w:bottom w:val="outset" w:color="auto" w:sz="6" w:space="0"/>
              <w:right w:val="outset" w:color="auto" w:sz="6" w:space="0"/>
            </w:tcBorders>
            <w:vAlign w:val="center"/>
          </w:tcPr>
          <w:p w14:paraId="3984840E">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272FF1D5">
            <w:pPr>
              <w:jc w:val="right"/>
            </w:pPr>
          </w:p>
        </w:tc>
      </w:tr>
      <w:tr w14:paraId="5772E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7A803E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开发支出</w:t>
            </w:r>
          </w:p>
        </w:tc>
        <w:tc>
          <w:tcPr>
            <w:tcW w:w="627" w:type="pct"/>
            <w:tcBorders>
              <w:top w:val="outset" w:color="auto" w:sz="6" w:space="0"/>
              <w:left w:val="outset" w:color="auto" w:sz="6" w:space="0"/>
              <w:bottom w:val="outset" w:color="auto" w:sz="6" w:space="0"/>
              <w:right w:val="outset" w:color="auto" w:sz="6" w:space="0"/>
            </w:tcBorders>
            <w:vAlign w:val="center"/>
          </w:tcPr>
          <w:p w14:paraId="12485AB4">
            <w:r>
              <w:rPr>
                <w:rFonts w:hint="eastAsia"/>
              </w:rPr>
              <w:t>八、2</w:t>
            </w:r>
          </w:p>
        </w:tc>
        <w:tc>
          <w:tcPr>
            <w:tcW w:w="1411" w:type="pct"/>
            <w:tcBorders>
              <w:top w:val="outset" w:color="auto" w:sz="6" w:space="0"/>
              <w:left w:val="outset" w:color="auto" w:sz="6" w:space="0"/>
              <w:bottom w:val="outset" w:color="auto" w:sz="6" w:space="0"/>
              <w:right w:val="outset" w:color="auto" w:sz="6" w:space="0"/>
            </w:tcBorders>
            <w:vAlign w:val="center"/>
          </w:tcPr>
          <w:p w14:paraId="1D476E23">
            <w:pPr>
              <w:jc w:val="right"/>
            </w:pPr>
            <w:r>
              <w:t>603,961,077.27</w:t>
            </w:r>
          </w:p>
        </w:tc>
        <w:tc>
          <w:tcPr>
            <w:tcW w:w="1333" w:type="pct"/>
            <w:tcBorders>
              <w:top w:val="outset" w:color="auto" w:sz="6" w:space="0"/>
              <w:left w:val="outset" w:color="auto" w:sz="6" w:space="0"/>
              <w:bottom w:val="outset" w:color="auto" w:sz="6" w:space="0"/>
              <w:right w:val="outset" w:color="auto" w:sz="6" w:space="0"/>
            </w:tcBorders>
            <w:vAlign w:val="center"/>
          </w:tcPr>
          <w:p w14:paraId="05C683E3">
            <w:pPr>
              <w:jc w:val="right"/>
            </w:pPr>
            <w:r>
              <w:t>545,705,428.47</w:t>
            </w:r>
          </w:p>
        </w:tc>
      </w:tr>
      <w:tr w14:paraId="7C3D2A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F7C0BB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vAlign w:val="center"/>
          </w:tcPr>
          <w:p w14:paraId="218AF6A9"/>
        </w:tc>
        <w:tc>
          <w:tcPr>
            <w:tcW w:w="1411" w:type="pct"/>
            <w:tcBorders>
              <w:top w:val="outset" w:color="auto" w:sz="6" w:space="0"/>
              <w:left w:val="outset" w:color="auto" w:sz="6" w:space="0"/>
              <w:bottom w:val="outset" w:color="auto" w:sz="6" w:space="0"/>
              <w:right w:val="outset" w:color="auto" w:sz="6" w:space="0"/>
            </w:tcBorders>
            <w:vAlign w:val="center"/>
          </w:tcPr>
          <w:p w14:paraId="08E93CEA">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629E5804">
            <w:pPr>
              <w:jc w:val="right"/>
            </w:pPr>
          </w:p>
        </w:tc>
      </w:tr>
      <w:tr w14:paraId="35D3CD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DC5BE6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商誉</w:t>
            </w:r>
          </w:p>
        </w:tc>
        <w:tc>
          <w:tcPr>
            <w:tcW w:w="627" w:type="pct"/>
            <w:tcBorders>
              <w:top w:val="outset" w:color="auto" w:sz="6" w:space="0"/>
              <w:left w:val="outset" w:color="auto" w:sz="6" w:space="0"/>
              <w:bottom w:val="outset" w:color="auto" w:sz="6" w:space="0"/>
              <w:right w:val="outset" w:color="auto" w:sz="6" w:space="0"/>
            </w:tcBorders>
            <w:vAlign w:val="center"/>
          </w:tcPr>
          <w:p w14:paraId="49BB646C">
            <w:r>
              <w:rPr>
                <w:rFonts w:hint="eastAsia"/>
              </w:rPr>
              <w:t>七、2</w:t>
            </w:r>
            <w:r>
              <w:t>7</w:t>
            </w:r>
          </w:p>
        </w:tc>
        <w:tc>
          <w:tcPr>
            <w:tcW w:w="1411" w:type="pct"/>
            <w:tcBorders>
              <w:top w:val="outset" w:color="auto" w:sz="6" w:space="0"/>
              <w:left w:val="outset" w:color="auto" w:sz="6" w:space="0"/>
              <w:bottom w:val="outset" w:color="auto" w:sz="6" w:space="0"/>
              <w:right w:val="outset" w:color="auto" w:sz="6" w:space="0"/>
            </w:tcBorders>
            <w:vAlign w:val="center"/>
          </w:tcPr>
          <w:p w14:paraId="02E4D187">
            <w:pPr>
              <w:jc w:val="right"/>
            </w:pPr>
            <w:r>
              <w:rPr>
                <w:rFonts w:hint="eastAsia"/>
                <w:sz w:val="20"/>
                <w:szCs w:val="20"/>
              </w:rPr>
              <w:t xml:space="preserve">167,565,932.51 </w:t>
            </w:r>
          </w:p>
        </w:tc>
        <w:tc>
          <w:tcPr>
            <w:tcW w:w="1333" w:type="pct"/>
            <w:tcBorders>
              <w:top w:val="outset" w:color="auto" w:sz="6" w:space="0"/>
              <w:left w:val="outset" w:color="auto" w:sz="6" w:space="0"/>
              <w:bottom w:val="outset" w:color="auto" w:sz="6" w:space="0"/>
              <w:right w:val="outset" w:color="auto" w:sz="6" w:space="0"/>
            </w:tcBorders>
            <w:vAlign w:val="center"/>
          </w:tcPr>
          <w:p w14:paraId="6F5A3A16">
            <w:pPr>
              <w:jc w:val="right"/>
            </w:pPr>
            <w:r>
              <w:rPr>
                <w:rFonts w:hint="eastAsia"/>
                <w:sz w:val="20"/>
                <w:szCs w:val="20"/>
              </w:rPr>
              <w:t xml:space="preserve">202,096,471.52 </w:t>
            </w:r>
          </w:p>
        </w:tc>
      </w:tr>
      <w:tr w14:paraId="26FAF2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790AD7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长期待摊费用</w:t>
            </w:r>
          </w:p>
        </w:tc>
        <w:tc>
          <w:tcPr>
            <w:tcW w:w="627" w:type="pct"/>
            <w:tcBorders>
              <w:top w:val="outset" w:color="auto" w:sz="6" w:space="0"/>
              <w:left w:val="outset" w:color="auto" w:sz="6" w:space="0"/>
              <w:bottom w:val="outset" w:color="auto" w:sz="6" w:space="0"/>
              <w:right w:val="outset" w:color="auto" w:sz="6" w:space="0"/>
            </w:tcBorders>
            <w:vAlign w:val="center"/>
          </w:tcPr>
          <w:p w14:paraId="5CDD9F63">
            <w:r>
              <w:rPr>
                <w:rFonts w:hint="eastAsia"/>
              </w:rPr>
              <w:t>七、2</w:t>
            </w:r>
            <w:r>
              <w:t>8</w:t>
            </w:r>
          </w:p>
        </w:tc>
        <w:tc>
          <w:tcPr>
            <w:tcW w:w="1411" w:type="pct"/>
            <w:tcBorders>
              <w:top w:val="outset" w:color="auto" w:sz="6" w:space="0"/>
              <w:left w:val="outset" w:color="auto" w:sz="6" w:space="0"/>
              <w:bottom w:val="outset" w:color="auto" w:sz="6" w:space="0"/>
              <w:right w:val="outset" w:color="auto" w:sz="6" w:space="0"/>
            </w:tcBorders>
            <w:vAlign w:val="center"/>
          </w:tcPr>
          <w:p w14:paraId="612D8224">
            <w:pPr>
              <w:jc w:val="right"/>
            </w:pPr>
            <w:r>
              <w:t>22,504,044.44</w:t>
            </w:r>
          </w:p>
        </w:tc>
        <w:tc>
          <w:tcPr>
            <w:tcW w:w="1333" w:type="pct"/>
            <w:tcBorders>
              <w:top w:val="outset" w:color="auto" w:sz="6" w:space="0"/>
              <w:left w:val="outset" w:color="auto" w:sz="6" w:space="0"/>
              <w:bottom w:val="outset" w:color="auto" w:sz="6" w:space="0"/>
              <w:right w:val="outset" w:color="auto" w:sz="6" w:space="0"/>
            </w:tcBorders>
            <w:vAlign w:val="center"/>
          </w:tcPr>
          <w:p w14:paraId="79F248F8">
            <w:pPr>
              <w:jc w:val="right"/>
            </w:pPr>
            <w:r>
              <w:t>24,819,156.74</w:t>
            </w:r>
          </w:p>
        </w:tc>
      </w:tr>
      <w:tr w14:paraId="194114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8C8EE3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递延所得税资产</w:t>
            </w:r>
          </w:p>
        </w:tc>
        <w:tc>
          <w:tcPr>
            <w:tcW w:w="627" w:type="pct"/>
            <w:tcBorders>
              <w:top w:val="outset" w:color="auto" w:sz="6" w:space="0"/>
              <w:left w:val="outset" w:color="auto" w:sz="6" w:space="0"/>
              <w:bottom w:val="outset" w:color="auto" w:sz="6" w:space="0"/>
              <w:right w:val="outset" w:color="auto" w:sz="6" w:space="0"/>
            </w:tcBorders>
            <w:vAlign w:val="center"/>
          </w:tcPr>
          <w:p w14:paraId="5AB96211">
            <w:r>
              <w:rPr>
                <w:rFonts w:hint="eastAsia"/>
              </w:rPr>
              <w:t>七、2</w:t>
            </w:r>
            <w:r>
              <w:t>9</w:t>
            </w:r>
          </w:p>
        </w:tc>
        <w:tc>
          <w:tcPr>
            <w:tcW w:w="1411" w:type="pct"/>
            <w:tcBorders>
              <w:top w:val="outset" w:color="auto" w:sz="6" w:space="0"/>
              <w:left w:val="outset" w:color="auto" w:sz="6" w:space="0"/>
              <w:bottom w:val="outset" w:color="auto" w:sz="6" w:space="0"/>
              <w:right w:val="outset" w:color="auto" w:sz="6" w:space="0"/>
            </w:tcBorders>
            <w:vAlign w:val="center"/>
          </w:tcPr>
          <w:p w14:paraId="7A0FF6DE">
            <w:pPr>
              <w:jc w:val="right"/>
            </w:pPr>
            <w:r>
              <w:t>716,884,718.55</w:t>
            </w:r>
          </w:p>
        </w:tc>
        <w:tc>
          <w:tcPr>
            <w:tcW w:w="1333" w:type="pct"/>
            <w:tcBorders>
              <w:top w:val="outset" w:color="auto" w:sz="6" w:space="0"/>
              <w:left w:val="outset" w:color="auto" w:sz="6" w:space="0"/>
              <w:bottom w:val="outset" w:color="auto" w:sz="6" w:space="0"/>
              <w:right w:val="outset" w:color="auto" w:sz="6" w:space="0"/>
            </w:tcBorders>
            <w:vAlign w:val="center"/>
          </w:tcPr>
          <w:p w14:paraId="0F6D8488">
            <w:pPr>
              <w:jc w:val="right"/>
            </w:pPr>
            <w:r>
              <w:t>883,075,086.44</w:t>
            </w:r>
          </w:p>
        </w:tc>
      </w:tr>
      <w:tr w14:paraId="165BAB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1C2262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其他非流动资产</w:t>
            </w:r>
          </w:p>
        </w:tc>
        <w:tc>
          <w:tcPr>
            <w:tcW w:w="627" w:type="pct"/>
            <w:tcBorders>
              <w:top w:val="outset" w:color="auto" w:sz="6" w:space="0"/>
              <w:left w:val="outset" w:color="auto" w:sz="6" w:space="0"/>
              <w:bottom w:val="outset" w:color="auto" w:sz="6" w:space="0"/>
              <w:right w:val="outset" w:color="auto" w:sz="6" w:space="0"/>
            </w:tcBorders>
            <w:vAlign w:val="center"/>
          </w:tcPr>
          <w:p w14:paraId="73AEBC39">
            <w:r>
              <w:rPr>
                <w:rFonts w:hint="eastAsia"/>
              </w:rPr>
              <w:t>七、</w:t>
            </w:r>
            <w:r>
              <w:t>30</w:t>
            </w:r>
          </w:p>
        </w:tc>
        <w:tc>
          <w:tcPr>
            <w:tcW w:w="1411" w:type="pct"/>
            <w:tcBorders>
              <w:top w:val="outset" w:color="auto" w:sz="6" w:space="0"/>
              <w:left w:val="outset" w:color="auto" w:sz="6" w:space="0"/>
              <w:bottom w:val="outset" w:color="auto" w:sz="6" w:space="0"/>
              <w:right w:val="outset" w:color="auto" w:sz="6" w:space="0"/>
            </w:tcBorders>
            <w:vAlign w:val="center"/>
          </w:tcPr>
          <w:p w14:paraId="6CD7BFF8">
            <w:pPr>
              <w:jc w:val="right"/>
            </w:pPr>
            <w:r>
              <w:t>1,232,419,264.31</w:t>
            </w:r>
          </w:p>
        </w:tc>
        <w:tc>
          <w:tcPr>
            <w:tcW w:w="1333" w:type="pct"/>
            <w:tcBorders>
              <w:top w:val="outset" w:color="auto" w:sz="6" w:space="0"/>
              <w:left w:val="outset" w:color="auto" w:sz="6" w:space="0"/>
              <w:bottom w:val="outset" w:color="auto" w:sz="6" w:space="0"/>
              <w:right w:val="outset" w:color="auto" w:sz="6" w:space="0"/>
            </w:tcBorders>
            <w:vAlign w:val="center"/>
          </w:tcPr>
          <w:p w14:paraId="379AFE53">
            <w:pPr>
              <w:jc w:val="right"/>
            </w:pPr>
            <w:r>
              <w:t>5,647,530.22</w:t>
            </w:r>
          </w:p>
        </w:tc>
      </w:tr>
      <w:tr w14:paraId="70A27E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41C5889">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非流动资产合计</w:t>
            </w:r>
          </w:p>
        </w:tc>
        <w:tc>
          <w:tcPr>
            <w:tcW w:w="627" w:type="pct"/>
            <w:tcBorders>
              <w:top w:val="outset" w:color="auto" w:sz="6" w:space="0"/>
              <w:left w:val="outset" w:color="auto" w:sz="6" w:space="0"/>
              <w:bottom w:val="outset" w:color="auto" w:sz="6" w:space="0"/>
              <w:right w:val="outset" w:color="auto" w:sz="6" w:space="0"/>
            </w:tcBorders>
            <w:vAlign w:val="center"/>
          </w:tcPr>
          <w:p w14:paraId="5E848AF5"/>
        </w:tc>
        <w:tc>
          <w:tcPr>
            <w:tcW w:w="1411" w:type="pct"/>
            <w:tcBorders>
              <w:top w:val="outset" w:color="auto" w:sz="6" w:space="0"/>
              <w:left w:val="outset" w:color="auto" w:sz="6" w:space="0"/>
              <w:bottom w:val="outset" w:color="auto" w:sz="6" w:space="0"/>
              <w:right w:val="outset" w:color="auto" w:sz="6" w:space="0"/>
            </w:tcBorders>
            <w:vAlign w:val="center"/>
          </w:tcPr>
          <w:p w14:paraId="15247451">
            <w:pPr>
              <w:jc w:val="right"/>
            </w:pPr>
            <w:r>
              <w:t>14,534,807,509.88</w:t>
            </w:r>
          </w:p>
        </w:tc>
        <w:tc>
          <w:tcPr>
            <w:tcW w:w="1333" w:type="pct"/>
            <w:tcBorders>
              <w:top w:val="outset" w:color="auto" w:sz="6" w:space="0"/>
              <w:left w:val="outset" w:color="auto" w:sz="6" w:space="0"/>
              <w:bottom w:val="outset" w:color="auto" w:sz="6" w:space="0"/>
              <w:right w:val="outset" w:color="auto" w:sz="6" w:space="0"/>
            </w:tcBorders>
            <w:vAlign w:val="center"/>
          </w:tcPr>
          <w:p w14:paraId="65DEE6DE">
            <w:pPr>
              <w:jc w:val="right"/>
            </w:pPr>
            <w:r>
              <w:t>13,627,903,178.28</w:t>
            </w:r>
          </w:p>
        </w:tc>
      </w:tr>
      <w:tr w14:paraId="1AA18E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D5EBA98">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资产总计</w:t>
            </w:r>
          </w:p>
        </w:tc>
        <w:tc>
          <w:tcPr>
            <w:tcW w:w="627" w:type="pct"/>
            <w:tcBorders>
              <w:top w:val="outset" w:color="auto" w:sz="6" w:space="0"/>
              <w:left w:val="outset" w:color="auto" w:sz="6" w:space="0"/>
              <w:bottom w:val="outset" w:color="auto" w:sz="6" w:space="0"/>
              <w:right w:val="outset" w:color="auto" w:sz="6" w:space="0"/>
            </w:tcBorders>
            <w:vAlign w:val="center"/>
          </w:tcPr>
          <w:p w14:paraId="3D59C8F8"/>
        </w:tc>
        <w:tc>
          <w:tcPr>
            <w:tcW w:w="1411" w:type="pct"/>
            <w:tcBorders>
              <w:top w:val="outset" w:color="auto" w:sz="6" w:space="0"/>
              <w:left w:val="outset" w:color="auto" w:sz="6" w:space="0"/>
              <w:bottom w:val="outset" w:color="auto" w:sz="6" w:space="0"/>
              <w:right w:val="outset" w:color="auto" w:sz="6" w:space="0"/>
            </w:tcBorders>
            <w:vAlign w:val="center"/>
          </w:tcPr>
          <w:p w14:paraId="43ECEAD4">
            <w:pPr>
              <w:jc w:val="right"/>
            </w:pPr>
            <w:r>
              <w:t>22,396,283,301.07</w:t>
            </w:r>
          </w:p>
        </w:tc>
        <w:tc>
          <w:tcPr>
            <w:tcW w:w="1333" w:type="pct"/>
            <w:tcBorders>
              <w:top w:val="outset" w:color="auto" w:sz="6" w:space="0"/>
              <w:left w:val="outset" w:color="auto" w:sz="6" w:space="0"/>
              <w:bottom w:val="outset" w:color="auto" w:sz="6" w:space="0"/>
              <w:right w:val="outset" w:color="auto" w:sz="6" w:space="0"/>
            </w:tcBorders>
            <w:vAlign w:val="center"/>
          </w:tcPr>
          <w:p w14:paraId="29112FC8">
            <w:pPr>
              <w:jc w:val="right"/>
            </w:pPr>
            <w:r>
              <w:t>21,713,662,266.54</w:t>
            </w:r>
          </w:p>
        </w:tc>
      </w:tr>
      <w:tr w14:paraId="32A3E1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75d0f637964c329fb26d2b4f648745"/>
            <w:id w:val="-1308783944"/>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3F67EEEA">
                <w:pPr>
                  <w:rPr>
                    <w:color w:val="000000" w:themeColor="text1"/>
                    <w14:textFill>
                      <w14:solidFill>
                        <w14:schemeClr w14:val="tx1"/>
                      </w14:solidFill>
                    </w14:textFill>
                  </w:rPr>
                </w:pPr>
                <w:r>
                  <w:rPr>
                    <w:rFonts w:hint="eastAsia"/>
                    <w:b/>
                    <w:color w:val="000000" w:themeColor="text1"/>
                    <w14:textFill>
                      <w14:solidFill>
                        <w14:schemeClr w14:val="tx1"/>
                      </w14:solidFill>
                    </w14:textFill>
                  </w:rPr>
                  <w:t>流动负债：</w:t>
                </w:r>
              </w:p>
            </w:tc>
          </w:sdtContent>
        </w:sdt>
      </w:tr>
      <w:tr w14:paraId="6A598E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6FEFBB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短期借款</w:t>
            </w:r>
          </w:p>
        </w:tc>
        <w:tc>
          <w:tcPr>
            <w:tcW w:w="627" w:type="pct"/>
            <w:tcBorders>
              <w:top w:val="outset" w:color="auto" w:sz="6" w:space="0"/>
              <w:left w:val="outset" w:color="auto" w:sz="6" w:space="0"/>
              <w:bottom w:val="outset" w:color="auto" w:sz="6" w:space="0"/>
              <w:right w:val="outset" w:color="auto" w:sz="6" w:space="0"/>
            </w:tcBorders>
            <w:vAlign w:val="center"/>
          </w:tcPr>
          <w:p w14:paraId="21225A40">
            <w:r>
              <w:rPr>
                <w:rFonts w:hint="eastAsia"/>
              </w:rPr>
              <w:t>七、</w:t>
            </w:r>
            <w:r>
              <w:t>32</w:t>
            </w:r>
          </w:p>
        </w:tc>
        <w:tc>
          <w:tcPr>
            <w:tcW w:w="1411" w:type="pct"/>
            <w:tcBorders>
              <w:top w:val="outset" w:color="auto" w:sz="6" w:space="0"/>
              <w:left w:val="outset" w:color="auto" w:sz="6" w:space="0"/>
              <w:bottom w:val="outset" w:color="auto" w:sz="6" w:space="0"/>
              <w:right w:val="outset" w:color="auto" w:sz="6" w:space="0"/>
            </w:tcBorders>
            <w:vAlign w:val="center"/>
          </w:tcPr>
          <w:p w14:paraId="4A0B7C0D">
            <w:pPr>
              <w:jc w:val="right"/>
            </w:pPr>
            <w:r>
              <w:t>520,325,111.10</w:t>
            </w:r>
          </w:p>
        </w:tc>
        <w:tc>
          <w:tcPr>
            <w:tcW w:w="1333" w:type="pct"/>
            <w:tcBorders>
              <w:top w:val="outset" w:color="auto" w:sz="6" w:space="0"/>
              <w:left w:val="outset" w:color="auto" w:sz="6" w:space="0"/>
              <w:bottom w:val="outset" w:color="auto" w:sz="6" w:space="0"/>
              <w:right w:val="outset" w:color="auto" w:sz="6" w:space="0"/>
            </w:tcBorders>
            <w:vAlign w:val="center"/>
          </w:tcPr>
          <w:p w14:paraId="7BD1F2BA">
            <w:pPr>
              <w:jc w:val="right"/>
            </w:pPr>
            <w:r>
              <w:t>617,420,222.22</w:t>
            </w:r>
          </w:p>
        </w:tc>
      </w:tr>
      <w:tr w14:paraId="7DCFF5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843DDD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向中央银行借款</w:t>
            </w:r>
          </w:p>
        </w:tc>
        <w:tc>
          <w:tcPr>
            <w:tcW w:w="627" w:type="pct"/>
            <w:tcBorders>
              <w:top w:val="outset" w:color="auto" w:sz="6" w:space="0"/>
              <w:left w:val="outset" w:color="auto" w:sz="6" w:space="0"/>
              <w:bottom w:val="outset" w:color="auto" w:sz="6" w:space="0"/>
              <w:right w:val="outset" w:color="auto" w:sz="6" w:space="0"/>
            </w:tcBorders>
            <w:vAlign w:val="center"/>
          </w:tcPr>
          <w:p w14:paraId="011E1277"/>
        </w:tc>
        <w:tc>
          <w:tcPr>
            <w:tcW w:w="1411" w:type="pct"/>
            <w:tcBorders>
              <w:top w:val="outset" w:color="auto" w:sz="6" w:space="0"/>
              <w:left w:val="outset" w:color="auto" w:sz="6" w:space="0"/>
              <w:bottom w:val="outset" w:color="auto" w:sz="6" w:space="0"/>
              <w:right w:val="outset" w:color="auto" w:sz="6" w:space="0"/>
            </w:tcBorders>
            <w:vAlign w:val="center"/>
          </w:tcPr>
          <w:p w14:paraId="4A5CE550">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35B698C1">
            <w:pPr>
              <w:jc w:val="right"/>
              <w:rPr>
                <w:rFonts w:eastAsia="Times New Roman" w:cs="Times New Roman"/>
                <w:sz w:val="20"/>
                <w:szCs w:val="20"/>
              </w:rPr>
            </w:pPr>
          </w:p>
        </w:tc>
      </w:tr>
      <w:tr w14:paraId="4496B9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649888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拆入资金</w:t>
            </w:r>
          </w:p>
        </w:tc>
        <w:tc>
          <w:tcPr>
            <w:tcW w:w="627" w:type="pct"/>
            <w:tcBorders>
              <w:top w:val="outset" w:color="auto" w:sz="6" w:space="0"/>
              <w:left w:val="outset" w:color="auto" w:sz="6" w:space="0"/>
              <w:bottom w:val="outset" w:color="auto" w:sz="6" w:space="0"/>
              <w:right w:val="outset" w:color="auto" w:sz="6" w:space="0"/>
            </w:tcBorders>
            <w:vAlign w:val="center"/>
          </w:tcPr>
          <w:p w14:paraId="4A99A536"/>
        </w:tc>
        <w:tc>
          <w:tcPr>
            <w:tcW w:w="1411" w:type="pct"/>
            <w:tcBorders>
              <w:top w:val="outset" w:color="auto" w:sz="6" w:space="0"/>
              <w:left w:val="outset" w:color="auto" w:sz="6" w:space="0"/>
              <w:bottom w:val="outset" w:color="auto" w:sz="6" w:space="0"/>
              <w:right w:val="outset" w:color="auto" w:sz="6" w:space="0"/>
            </w:tcBorders>
            <w:vAlign w:val="center"/>
          </w:tcPr>
          <w:p w14:paraId="1F692D26">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01704734">
            <w:pPr>
              <w:jc w:val="right"/>
              <w:rPr>
                <w:rFonts w:eastAsia="Times New Roman" w:cs="Times New Roman"/>
                <w:sz w:val="20"/>
                <w:szCs w:val="20"/>
              </w:rPr>
            </w:pPr>
          </w:p>
        </w:tc>
      </w:tr>
      <w:tr w14:paraId="209D6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09B0C8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交易性金融负债</w:t>
            </w:r>
          </w:p>
        </w:tc>
        <w:tc>
          <w:tcPr>
            <w:tcW w:w="627" w:type="pct"/>
            <w:tcBorders>
              <w:top w:val="outset" w:color="auto" w:sz="6" w:space="0"/>
              <w:left w:val="outset" w:color="auto" w:sz="6" w:space="0"/>
              <w:bottom w:val="outset" w:color="auto" w:sz="6" w:space="0"/>
              <w:right w:val="outset" w:color="auto" w:sz="6" w:space="0"/>
            </w:tcBorders>
            <w:vAlign w:val="center"/>
          </w:tcPr>
          <w:p w14:paraId="08578309"/>
        </w:tc>
        <w:tc>
          <w:tcPr>
            <w:tcW w:w="1411" w:type="pct"/>
            <w:tcBorders>
              <w:top w:val="outset" w:color="auto" w:sz="6" w:space="0"/>
              <w:left w:val="outset" w:color="auto" w:sz="6" w:space="0"/>
              <w:bottom w:val="outset" w:color="auto" w:sz="6" w:space="0"/>
              <w:right w:val="outset" w:color="auto" w:sz="6" w:space="0"/>
            </w:tcBorders>
            <w:vAlign w:val="center"/>
          </w:tcPr>
          <w:p w14:paraId="3373282D">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098A62C4">
            <w:pPr>
              <w:jc w:val="right"/>
              <w:rPr>
                <w:rFonts w:eastAsia="Times New Roman" w:cs="Times New Roman"/>
                <w:sz w:val="20"/>
                <w:szCs w:val="20"/>
              </w:rPr>
            </w:pPr>
          </w:p>
        </w:tc>
      </w:tr>
      <w:tr w14:paraId="0ED446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E4FE3A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衍生金融负债</w:t>
            </w:r>
          </w:p>
        </w:tc>
        <w:tc>
          <w:tcPr>
            <w:tcW w:w="627" w:type="pct"/>
            <w:tcBorders>
              <w:top w:val="outset" w:color="auto" w:sz="6" w:space="0"/>
              <w:left w:val="outset" w:color="auto" w:sz="6" w:space="0"/>
              <w:bottom w:val="outset" w:color="auto" w:sz="6" w:space="0"/>
              <w:right w:val="outset" w:color="auto" w:sz="6" w:space="0"/>
            </w:tcBorders>
            <w:vAlign w:val="center"/>
          </w:tcPr>
          <w:p w14:paraId="460DE7A1"/>
        </w:tc>
        <w:tc>
          <w:tcPr>
            <w:tcW w:w="1411" w:type="pct"/>
            <w:tcBorders>
              <w:top w:val="outset" w:color="auto" w:sz="6" w:space="0"/>
              <w:left w:val="outset" w:color="auto" w:sz="6" w:space="0"/>
              <w:bottom w:val="outset" w:color="auto" w:sz="6" w:space="0"/>
              <w:right w:val="outset" w:color="auto" w:sz="6" w:space="0"/>
            </w:tcBorders>
            <w:vAlign w:val="center"/>
          </w:tcPr>
          <w:p w14:paraId="0E0C4B28">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32D1DB71">
            <w:pPr>
              <w:jc w:val="right"/>
              <w:rPr>
                <w:rFonts w:eastAsia="Times New Roman" w:cs="Times New Roman"/>
                <w:sz w:val="20"/>
                <w:szCs w:val="20"/>
              </w:rPr>
            </w:pPr>
          </w:p>
        </w:tc>
      </w:tr>
      <w:tr w14:paraId="1CA817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BDEB14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应付票据</w:t>
            </w:r>
          </w:p>
        </w:tc>
        <w:tc>
          <w:tcPr>
            <w:tcW w:w="627" w:type="pct"/>
            <w:tcBorders>
              <w:top w:val="outset" w:color="auto" w:sz="6" w:space="0"/>
              <w:left w:val="outset" w:color="auto" w:sz="6" w:space="0"/>
              <w:bottom w:val="outset" w:color="auto" w:sz="6" w:space="0"/>
              <w:right w:val="outset" w:color="auto" w:sz="6" w:space="0"/>
            </w:tcBorders>
            <w:vAlign w:val="center"/>
          </w:tcPr>
          <w:p w14:paraId="79E420F6">
            <w:r>
              <w:rPr>
                <w:rFonts w:hint="eastAsia"/>
              </w:rPr>
              <w:t>七、3</w:t>
            </w:r>
            <w:r>
              <w:t>5</w:t>
            </w:r>
          </w:p>
        </w:tc>
        <w:tc>
          <w:tcPr>
            <w:tcW w:w="1411" w:type="pct"/>
            <w:tcBorders>
              <w:top w:val="outset" w:color="auto" w:sz="6" w:space="0"/>
              <w:left w:val="outset" w:color="auto" w:sz="6" w:space="0"/>
              <w:bottom w:val="outset" w:color="auto" w:sz="6" w:space="0"/>
              <w:right w:val="outset" w:color="auto" w:sz="6" w:space="0"/>
            </w:tcBorders>
            <w:vAlign w:val="center"/>
          </w:tcPr>
          <w:p w14:paraId="6C2F294F">
            <w:pPr>
              <w:jc w:val="right"/>
              <w:rPr>
                <w:rFonts w:ascii="宋体" w:hAnsi="宋体"/>
                <w:sz w:val="24"/>
                <w:szCs w:val="24"/>
              </w:rPr>
            </w:pPr>
            <w:r>
              <w:t>2,874,687,812.84</w:t>
            </w:r>
          </w:p>
        </w:tc>
        <w:tc>
          <w:tcPr>
            <w:tcW w:w="1333" w:type="pct"/>
            <w:tcBorders>
              <w:top w:val="outset" w:color="auto" w:sz="6" w:space="0"/>
              <w:left w:val="outset" w:color="auto" w:sz="6" w:space="0"/>
              <w:bottom w:val="outset" w:color="auto" w:sz="6" w:space="0"/>
              <w:right w:val="outset" w:color="auto" w:sz="6" w:space="0"/>
            </w:tcBorders>
            <w:vAlign w:val="center"/>
          </w:tcPr>
          <w:p w14:paraId="21C7FF52">
            <w:pPr>
              <w:jc w:val="right"/>
            </w:pPr>
            <w:r>
              <w:t>2,215,191,068.44</w:t>
            </w:r>
          </w:p>
        </w:tc>
      </w:tr>
      <w:tr w14:paraId="0AF15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044D3E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应付账款</w:t>
            </w:r>
          </w:p>
        </w:tc>
        <w:tc>
          <w:tcPr>
            <w:tcW w:w="627" w:type="pct"/>
            <w:tcBorders>
              <w:top w:val="outset" w:color="auto" w:sz="6" w:space="0"/>
              <w:left w:val="outset" w:color="auto" w:sz="6" w:space="0"/>
              <w:bottom w:val="outset" w:color="auto" w:sz="6" w:space="0"/>
              <w:right w:val="outset" w:color="auto" w:sz="6" w:space="0"/>
            </w:tcBorders>
            <w:vAlign w:val="center"/>
          </w:tcPr>
          <w:p w14:paraId="3111CD32">
            <w:r>
              <w:rPr>
                <w:rFonts w:hint="eastAsia"/>
              </w:rPr>
              <w:t>七、3</w:t>
            </w:r>
            <w:r>
              <w:t>6</w:t>
            </w:r>
          </w:p>
        </w:tc>
        <w:tc>
          <w:tcPr>
            <w:tcW w:w="1411" w:type="pct"/>
            <w:tcBorders>
              <w:top w:val="outset" w:color="auto" w:sz="6" w:space="0"/>
              <w:left w:val="outset" w:color="auto" w:sz="6" w:space="0"/>
              <w:bottom w:val="outset" w:color="auto" w:sz="6" w:space="0"/>
              <w:right w:val="outset" w:color="auto" w:sz="6" w:space="0"/>
            </w:tcBorders>
            <w:vAlign w:val="center"/>
          </w:tcPr>
          <w:p w14:paraId="4FD7304F">
            <w:pPr>
              <w:jc w:val="right"/>
            </w:pPr>
            <w:r>
              <w:t>3,262,857,651.27</w:t>
            </w:r>
          </w:p>
        </w:tc>
        <w:tc>
          <w:tcPr>
            <w:tcW w:w="1333" w:type="pct"/>
            <w:tcBorders>
              <w:top w:val="outset" w:color="auto" w:sz="6" w:space="0"/>
              <w:left w:val="outset" w:color="auto" w:sz="6" w:space="0"/>
              <w:bottom w:val="outset" w:color="auto" w:sz="6" w:space="0"/>
              <w:right w:val="outset" w:color="auto" w:sz="6" w:space="0"/>
            </w:tcBorders>
            <w:vAlign w:val="center"/>
          </w:tcPr>
          <w:p w14:paraId="5E79A2FD">
            <w:pPr>
              <w:jc w:val="right"/>
            </w:pPr>
            <w:r>
              <w:t>3,463,744,717.31</w:t>
            </w:r>
          </w:p>
        </w:tc>
      </w:tr>
      <w:tr w14:paraId="528A1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FE9EAF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预收款项</w:t>
            </w:r>
          </w:p>
        </w:tc>
        <w:tc>
          <w:tcPr>
            <w:tcW w:w="627" w:type="pct"/>
            <w:tcBorders>
              <w:top w:val="outset" w:color="auto" w:sz="6" w:space="0"/>
              <w:left w:val="outset" w:color="auto" w:sz="6" w:space="0"/>
              <w:bottom w:val="outset" w:color="auto" w:sz="6" w:space="0"/>
              <w:right w:val="outset" w:color="auto" w:sz="6" w:space="0"/>
            </w:tcBorders>
            <w:vAlign w:val="center"/>
          </w:tcPr>
          <w:p w14:paraId="4B8E524A">
            <w:r>
              <w:rPr>
                <w:rFonts w:hint="eastAsia"/>
              </w:rPr>
              <w:t>七、3</w:t>
            </w:r>
            <w:r>
              <w:t>7</w:t>
            </w:r>
          </w:p>
        </w:tc>
        <w:tc>
          <w:tcPr>
            <w:tcW w:w="1411" w:type="pct"/>
            <w:tcBorders>
              <w:top w:val="outset" w:color="auto" w:sz="6" w:space="0"/>
              <w:left w:val="outset" w:color="auto" w:sz="6" w:space="0"/>
              <w:bottom w:val="outset" w:color="auto" w:sz="6" w:space="0"/>
              <w:right w:val="outset" w:color="auto" w:sz="6" w:space="0"/>
            </w:tcBorders>
            <w:vAlign w:val="center"/>
          </w:tcPr>
          <w:p w14:paraId="4CEE72CA">
            <w:pPr>
              <w:jc w:val="right"/>
            </w:pPr>
            <w:r>
              <w:t>26,335,039.99</w:t>
            </w:r>
          </w:p>
        </w:tc>
        <w:tc>
          <w:tcPr>
            <w:tcW w:w="1333" w:type="pct"/>
            <w:tcBorders>
              <w:top w:val="outset" w:color="auto" w:sz="6" w:space="0"/>
              <w:left w:val="outset" w:color="auto" w:sz="6" w:space="0"/>
              <w:bottom w:val="outset" w:color="auto" w:sz="6" w:space="0"/>
              <w:right w:val="outset" w:color="auto" w:sz="6" w:space="0"/>
            </w:tcBorders>
            <w:vAlign w:val="center"/>
          </w:tcPr>
          <w:p w14:paraId="5425E2F1">
            <w:pPr>
              <w:jc w:val="right"/>
            </w:pPr>
            <w:r>
              <w:t>25,387,579.71</w:t>
            </w:r>
          </w:p>
        </w:tc>
      </w:tr>
      <w:tr w14:paraId="46B2D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FECE98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合同负债</w:t>
            </w:r>
          </w:p>
        </w:tc>
        <w:tc>
          <w:tcPr>
            <w:tcW w:w="627" w:type="pct"/>
            <w:tcBorders>
              <w:top w:val="outset" w:color="auto" w:sz="6" w:space="0"/>
              <w:left w:val="outset" w:color="auto" w:sz="6" w:space="0"/>
              <w:bottom w:val="outset" w:color="auto" w:sz="6" w:space="0"/>
              <w:right w:val="outset" w:color="auto" w:sz="6" w:space="0"/>
            </w:tcBorders>
            <w:vAlign w:val="center"/>
          </w:tcPr>
          <w:p w14:paraId="26F184FC">
            <w:r>
              <w:rPr>
                <w:rFonts w:hint="eastAsia"/>
              </w:rPr>
              <w:t>七、3</w:t>
            </w:r>
            <w:r>
              <w:t>8</w:t>
            </w:r>
          </w:p>
        </w:tc>
        <w:tc>
          <w:tcPr>
            <w:tcW w:w="1411" w:type="pct"/>
            <w:tcBorders>
              <w:top w:val="outset" w:color="auto" w:sz="6" w:space="0"/>
              <w:left w:val="outset" w:color="auto" w:sz="6" w:space="0"/>
              <w:bottom w:val="outset" w:color="auto" w:sz="6" w:space="0"/>
              <w:right w:val="outset" w:color="auto" w:sz="6" w:space="0"/>
            </w:tcBorders>
            <w:vAlign w:val="center"/>
          </w:tcPr>
          <w:p w14:paraId="5BA9BA00">
            <w:pPr>
              <w:jc w:val="right"/>
            </w:pPr>
            <w:r>
              <w:t>490,837,211.31</w:t>
            </w:r>
          </w:p>
        </w:tc>
        <w:tc>
          <w:tcPr>
            <w:tcW w:w="1333" w:type="pct"/>
            <w:tcBorders>
              <w:top w:val="outset" w:color="auto" w:sz="6" w:space="0"/>
              <w:left w:val="outset" w:color="auto" w:sz="6" w:space="0"/>
              <w:bottom w:val="outset" w:color="auto" w:sz="6" w:space="0"/>
              <w:right w:val="outset" w:color="auto" w:sz="6" w:space="0"/>
            </w:tcBorders>
            <w:vAlign w:val="center"/>
          </w:tcPr>
          <w:p w14:paraId="2416C501">
            <w:pPr>
              <w:jc w:val="right"/>
            </w:pPr>
            <w:r>
              <w:t>243,780,257.36</w:t>
            </w:r>
          </w:p>
        </w:tc>
      </w:tr>
      <w:tr w14:paraId="42AA2C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181D55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卖出回购金融资产款</w:t>
            </w:r>
          </w:p>
        </w:tc>
        <w:tc>
          <w:tcPr>
            <w:tcW w:w="627" w:type="pct"/>
            <w:tcBorders>
              <w:top w:val="outset" w:color="auto" w:sz="6" w:space="0"/>
              <w:left w:val="outset" w:color="auto" w:sz="6" w:space="0"/>
              <w:bottom w:val="outset" w:color="auto" w:sz="6" w:space="0"/>
              <w:right w:val="outset" w:color="auto" w:sz="6" w:space="0"/>
            </w:tcBorders>
            <w:vAlign w:val="center"/>
          </w:tcPr>
          <w:p w14:paraId="35A4D47A"/>
        </w:tc>
        <w:tc>
          <w:tcPr>
            <w:tcW w:w="1411" w:type="pct"/>
            <w:tcBorders>
              <w:top w:val="outset" w:color="auto" w:sz="6" w:space="0"/>
              <w:left w:val="outset" w:color="auto" w:sz="6" w:space="0"/>
              <w:bottom w:val="outset" w:color="auto" w:sz="6" w:space="0"/>
              <w:right w:val="outset" w:color="auto" w:sz="6" w:space="0"/>
            </w:tcBorders>
            <w:vAlign w:val="center"/>
          </w:tcPr>
          <w:p w14:paraId="6AABF242">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76B92C5C">
            <w:pPr>
              <w:jc w:val="right"/>
              <w:rPr>
                <w:rFonts w:eastAsia="Times New Roman" w:cs="Times New Roman"/>
                <w:sz w:val="20"/>
                <w:szCs w:val="20"/>
              </w:rPr>
            </w:pPr>
          </w:p>
        </w:tc>
      </w:tr>
      <w:tr w14:paraId="0AD67B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333ADC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吸收存款及同业存放</w:t>
            </w:r>
          </w:p>
        </w:tc>
        <w:tc>
          <w:tcPr>
            <w:tcW w:w="627" w:type="pct"/>
            <w:tcBorders>
              <w:top w:val="outset" w:color="auto" w:sz="6" w:space="0"/>
              <w:left w:val="outset" w:color="auto" w:sz="6" w:space="0"/>
              <w:bottom w:val="outset" w:color="auto" w:sz="6" w:space="0"/>
              <w:right w:val="outset" w:color="auto" w:sz="6" w:space="0"/>
            </w:tcBorders>
            <w:vAlign w:val="center"/>
          </w:tcPr>
          <w:p w14:paraId="43434218"/>
        </w:tc>
        <w:tc>
          <w:tcPr>
            <w:tcW w:w="1411" w:type="pct"/>
            <w:tcBorders>
              <w:top w:val="outset" w:color="auto" w:sz="6" w:space="0"/>
              <w:left w:val="outset" w:color="auto" w:sz="6" w:space="0"/>
              <w:bottom w:val="outset" w:color="auto" w:sz="6" w:space="0"/>
              <w:right w:val="outset" w:color="auto" w:sz="6" w:space="0"/>
            </w:tcBorders>
            <w:vAlign w:val="center"/>
          </w:tcPr>
          <w:p w14:paraId="6800C28C">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090532E3">
            <w:pPr>
              <w:jc w:val="right"/>
              <w:rPr>
                <w:rFonts w:eastAsia="Times New Roman" w:cs="Times New Roman"/>
                <w:sz w:val="20"/>
                <w:szCs w:val="20"/>
              </w:rPr>
            </w:pPr>
          </w:p>
        </w:tc>
      </w:tr>
      <w:tr w14:paraId="4DBB6F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70A733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代理买卖证券款</w:t>
            </w:r>
          </w:p>
        </w:tc>
        <w:tc>
          <w:tcPr>
            <w:tcW w:w="627" w:type="pct"/>
            <w:tcBorders>
              <w:top w:val="outset" w:color="auto" w:sz="6" w:space="0"/>
              <w:left w:val="outset" w:color="auto" w:sz="6" w:space="0"/>
              <w:bottom w:val="outset" w:color="auto" w:sz="6" w:space="0"/>
              <w:right w:val="outset" w:color="auto" w:sz="6" w:space="0"/>
            </w:tcBorders>
            <w:vAlign w:val="center"/>
          </w:tcPr>
          <w:p w14:paraId="1B1A69B8"/>
        </w:tc>
        <w:tc>
          <w:tcPr>
            <w:tcW w:w="1411" w:type="pct"/>
            <w:tcBorders>
              <w:top w:val="outset" w:color="auto" w:sz="6" w:space="0"/>
              <w:left w:val="outset" w:color="auto" w:sz="6" w:space="0"/>
              <w:bottom w:val="outset" w:color="auto" w:sz="6" w:space="0"/>
              <w:right w:val="outset" w:color="auto" w:sz="6" w:space="0"/>
            </w:tcBorders>
            <w:vAlign w:val="center"/>
          </w:tcPr>
          <w:p w14:paraId="3FB68531">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5EDD0701">
            <w:pPr>
              <w:jc w:val="right"/>
              <w:rPr>
                <w:rFonts w:eastAsia="Times New Roman" w:cs="Times New Roman"/>
                <w:sz w:val="20"/>
                <w:szCs w:val="20"/>
              </w:rPr>
            </w:pPr>
          </w:p>
        </w:tc>
      </w:tr>
      <w:tr w14:paraId="67A4D5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420633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代理承销证券款</w:t>
            </w:r>
          </w:p>
        </w:tc>
        <w:tc>
          <w:tcPr>
            <w:tcW w:w="627" w:type="pct"/>
            <w:tcBorders>
              <w:top w:val="outset" w:color="auto" w:sz="6" w:space="0"/>
              <w:left w:val="outset" w:color="auto" w:sz="6" w:space="0"/>
              <w:bottom w:val="outset" w:color="auto" w:sz="6" w:space="0"/>
              <w:right w:val="outset" w:color="auto" w:sz="6" w:space="0"/>
            </w:tcBorders>
            <w:vAlign w:val="center"/>
          </w:tcPr>
          <w:p w14:paraId="46FAE20A"/>
        </w:tc>
        <w:tc>
          <w:tcPr>
            <w:tcW w:w="1411" w:type="pct"/>
            <w:tcBorders>
              <w:top w:val="outset" w:color="auto" w:sz="6" w:space="0"/>
              <w:left w:val="outset" w:color="auto" w:sz="6" w:space="0"/>
              <w:bottom w:val="outset" w:color="auto" w:sz="6" w:space="0"/>
              <w:right w:val="outset" w:color="auto" w:sz="6" w:space="0"/>
            </w:tcBorders>
            <w:vAlign w:val="center"/>
          </w:tcPr>
          <w:p w14:paraId="24DC1B0B">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0AECD8D1">
            <w:pPr>
              <w:jc w:val="right"/>
              <w:rPr>
                <w:rFonts w:eastAsia="Times New Roman" w:cs="Times New Roman"/>
                <w:sz w:val="20"/>
                <w:szCs w:val="20"/>
              </w:rPr>
            </w:pPr>
          </w:p>
        </w:tc>
      </w:tr>
      <w:tr w14:paraId="105C43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0552CC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应付职工薪酬</w:t>
            </w:r>
          </w:p>
        </w:tc>
        <w:tc>
          <w:tcPr>
            <w:tcW w:w="627" w:type="pct"/>
            <w:tcBorders>
              <w:top w:val="outset" w:color="auto" w:sz="6" w:space="0"/>
              <w:left w:val="outset" w:color="auto" w:sz="6" w:space="0"/>
              <w:bottom w:val="outset" w:color="auto" w:sz="6" w:space="0"/>
              <w:right w:val="outset" w:color="auto" w:sz="6" w:space="0"/>
            </w:tcBorders>
            <w:vAlign w:val="center"/>
          </w:tcPr>
          <w:p w14:paraId="446CAC60">
            <w:r>
              <w:rPr>
                <w:rFonts w:hint="eastAsia"/>
              </w:rPr>
              <w:t>七、3</w:t>
            </w:r>
            <w:r>
              <w:t>9</w:t>
            </w:r>
          </w:p>
        </w:tc>
        <w:tc>
          <w:tcPr>
            <w:tcW w:w="1411" w:type="pct"/>
            <w:tcBorders>
              <w:top w:val="outset" w:color="auto" w:sz="6" w:space="0"/>
              <w:left w:val="outset" w:color="auto" w:sz="6" w:space="0"/>
              <w:bottom w:val="outset" w:color="auto" w:sz="6" w:space="0"/>
              <w:right w:val="outset" w:color="auto" w:sz="6" w:space="0"/>
            </w:tcBorders>
            <w:vAlign w:val="center"/>
          </w:tcPr>
          <w:p w14:paraId="2E837EBC">
            <w:pPr>
              <w:jc w:val="right"/>
              <w:rPr>
                <w:rFonts w:ascii="宋体" w:hAnsi="宋体"/>
                <w:sz w:val="24"/>
                <w:szCs w:val="24"/>
              </w:rPr>
            </w:pPr>
            <w:r>
              <w:t>111,678,669.82</w:t>
            </w:r>
          </w:p>
        </w:tc>
        <w:tc>
          <w:tcPr>
            <w:tcW w:w="1333" w:type="pct"/>
            <w:tcBorders>
              <w:top w:val="outset" w:color="auto" w:sz="6" w:space="0"/>
              <w:left w:val="outset" w:color="auto" w:sz="6" w:space="0"/>
              <w:bottom w:val="outset" w:color="auto" w:sz="6" w:space="0"/>
              <w:right w:val="outset" w:color="auto" w:sz="6" w:space="0"/>
            </w:tcBorders>
            <w:vAlign w:val="center"/>
          </w:tcPr>
          <w:p w14:paraId="4C0697CA">
            <w:pPr>
              <w:jc w:val="right"/>
            </w:pPr>
            <w:r>
              <w:t>76,105,904.00</w:t>
            </w:r>
          </w:p>
        </w:tc>
      </w:tr>
      <w:tr w14:paraId="40C74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32CE89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应交税费</w:t>
            </w:r>
          </w:p>
        </w:tc>
        <w:tc>
          <w:tcPr>
            <w:tcW w:w="627" w:type="pct"/>
            <w:tcBorders>
              <w:top w:val="outset" w:color="auto" w:sz="6" w:space="0"/>
              <w:left w:val="outset" w:color="auto" w:sz="6" w:space="0"/>
              <w:bottom w:val="outset" w:color="auto" w:sz="6" w:space="0"/>
              <w:right w:val="outset" w:color="auto" w:sz="6" w:space="0"/>
            </w:tcBorders>
            <w:vAlign w:val="center"/>
          </w:tcPr>
          <w:p w14:paraId="0FF8D892">
            <w:r>
              <w:rPr>
                <w:rFonts w:hint="eastAsia"/>
              </w:rPr>
              <w:t>七、</w:t>
            </w:r>
            <w:r>
              <w:t>40</w:t>
            </w:r>
          </w:p>
        </w:tc>
        <w:tc>
          <w:tcPr>
            <w:tcW w:w="1411" w:type="pct"/>
            <w:tcBorders>
              <w:top w:val="outset" w:color="auto" w:sz="6" w:space="0"/>
              <w:left w:val="outset" w:color="auto" w:sz="6" w:space="0"/>
              <w:bottom w:val="outset" w:color="auto" w:sz="6" w:space="0"/>
              <w:right w:val="outset" w:color="auto" w:sz="6" w:space="0"/>
            </w:tcBorders>
            <w:vAlign w:val="center"/>
          </w:tcPr>
          <w:p w14:paraId="7B654910">
            <w:pPr>
              <w:jc w:val="right"/>
            </w:pPr>
            <w:r>
              <w:t>27,750,507.75</w:t>
            </w:r>
          </w:p>
        </w:tc>
        <w:tc>
          <w:tcPr>
            <w:tcW w:w="1333" w:type="pct"/>
            <w:tcBorders>
              <w:top w:val="outset" w:color="auto" w:sz="6" w:space="0"/>
              <w:left w:val="outset" w:color="auto" w:sz="6" w:space="0"/>
              <w:bottom w:val="outset" w:color="auto" w:sz="6" w:space="0"/>
              <w:right w:val="outset" w:color="auto" w:sz="6" w:space="0"/>
            </w:tcBorders>
            <w:vAlign w:val="center"/>
          </w:tcPr>
          <w:p w14:paraId="315A958E">
            <w:pPr>
              <w:jc w:val="right"/>
            </w:pPr>
            <w:r>
              <w:t>83,760,312.35</w:t>
            </w:r>
          </w:p>
        </w:tc>
      </w:tr>
      <w:tr w14:paraId="1BF48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121179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其他应付款</w:t>
            </w:r>
          </w:p>
        </w:tc>
        <w:tc>
          <w:tcPr>
            <w:tcW w:w="627" w:type="pct"/>
            <w:tcBorders>
              <w:top w:val="outset" w:color="auto" w:sz="6" w:space="0"/>
              <w:left w:val="outset" w:color="auto" w:sz="6" w:space="0"/>
              <w:bottom w:val="outset" w:color="auto" w:sz="6" w:space="0"/>
              <w:right w:val="outset" w:color="auto" w:sz="6" w:space="0"/>
            </w:tcBorders>
            <w:vAlign w:val="center"/>
          </w:tcPr>
          <w:p w14:paraId="044419CC">
            <w:r>
              <w:rPr>
                <w:rFonts w:hint="eastAsia"/>
              </w:rPr>
              <w:t>七、</w:t>
            </w:r>
            <w:r>
              <w:t>41</w:t>
            </w:r>
          </w:p>
        </w:tc>
        <w:tc>
          <w:tcPr>
            <w:tcW w:w="1411" w:type="pct"/>
            <w:tcBorders>
              <w:top w:val="outset" w:color="auto" w:sz="6" w:space="0"/>
              <w:left w:val="outset" w:color="auto" w:sz="6" w:space="0"/>
              <w:bottom w:val="outset" w:color="auto" w:sz="6" w:space="0"/>
              <w:right w:val="outset" w:color="auto" w:sz="6" w:space="0"/>
            </w:tcBorders>
            <w:vAlign w:val="center"/>
          </w:tcPr>
          <w:p w14:paraId="2E056152">
            <w:pPr>
              <w:jc w:val="right"/>
            </w:pPr>
            <w:r>
              <w:t>1,057,830,080.42</w:t>
            </w:r>
          </w:p>
        </w:tc>
        <w:tc>
          <w:tcPr>
            <w:tcW w:w="1333" w:type="pct"/>
            <w:tcBorders>
              <w:top w:val="outset" w:color="auto" w:sz="6" w:space="0"/>
              <w:left w:val="outset" w:color="auto" w:sz="6" w:space="0"/>
              <w:bottom w:val="outset" w:color="auto" w:sz="6" w:space="0"/>
              <w:right w:val="outset" w:color="auto" w:sz="6" w:space="0"/>
            </w:tcBorders>
            <w:vAlign w:val="center"/>
          </w:tcPr>
          <w:p w14:paraId="6A3DE8D9">
            <w:pPr>
              <w:jc w:val="right"/>
            </w:pPr>
            <w:r>
              <w:t>1,060,879,966.95</w:t>
            </w:r>
          </w:p>
        </w:tc>
      </w:tr>
      <w:tr w14:paraId="3EBFB3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56EB62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其中：应付利息</w:t>
            </w:r>
          </w:p>
        </w:tc>
        <w:tc>
          <w:tcPr>
            <w:tcW w:w="627" w:type="pct"/>
            <w:tcBorders>
              <w:top w:val="outset" w:color="auto" w:sz="6" w:space="0"/>
              <w:left w:val="outset" w:color="auto" w:sz="6" w:space="0"/>
              <w:bottom w:val="outset" w:color="auto" w:sz="6" w:space="0"/>
              <w:right w:val="outset" w:color="auto" w:sz="6" w:space="0"/>
            </w:tcBorders>
            <w:vAlign w:val="center"/>
          </w:tcPr>
          <w:p w14:paraId="6B4866CE"/>
        </w:tc>
        <w:tc>
          <w:tcPr>
            <w:tcW w:w="1411" w:type="pct"/>
            <w:tcBorders>
              <w:top w:val="outset" w:color="auto" w:sz="6" w:space="0"/>
              <w:left w:val="outset" w:color="auto" w:sz="6" w:space="0"/>
              <w:bottom w:val="outset" w:color="auto" w:sz="6" w:space="0"/>
              <w:right w:val="outset" w:color="auto" w:sz="6" w:space="0"/>
            </w:tcBorders>
            <w:vAlign w:val="center"/>
          </w:tcPr>
          <w:p w14:paraId="769F3143">
            <w:pPr>
              <w:jc w:val="right"/>
            </w:pPr>
            <w:r>
              <w:t>2,233,814.64</w:t>
            </w:r>
          </w:p>
        </w:tc>
        <w:tc>
          <w:tcPr>
            <w:tcW w:w="1333" w:type="pct"/>
            <w:tcBorders>
              <w:top w:val="outset" w:color="auto" w:sz="6" w:space="0"/>
              <w:left w:val="outset" w:color="auto" w:sz="6" w:space="0"/>
              <w:bottom w:val="outset" w:color="auto" w:sz="6" w:space="0"/>
              <w:right w:val="outset" w:color="auto" w:sz="6" w:space="0"/>
            </w:tcBorders>
            <w:vAlign w:val="center"/>
          </w:tcPr>
          <w:p w14:paraId="51505521">
            <w:pPr>
              <w:jc w:val="right"/>
            </w:pPr>
            <w:r>
              <w:t>2,073,383.31</w:t>
            </w:r>
          </w:p>
        </w:tc>
      </w:tr>
      <w:tr w14:paraId="4B2DB4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CDEFF64">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应付股利</w:t>
            </w:r>
          </w:p>
        </w:tc>
        <w:tc>
          <w:tcPr>
            <w:tcW w:w="627" w:type="pct"/>
            <w:tcBorders>
              <w:top w:val="outset" w:color="auto" w:sz="6" w:space="0"/>
              <w:left w:val="outset" w:color="auto" w:sz="6" w:space="0"/>
              <w:bottom w:val="outset" w:color="auto" w:sz="6" w:space="0"/>
              <w:right w:val="outset" w:color="auto" w:sz="6" w:space="0"/>
            </w:tcBorders>
            <w:vAlign w:val="center"/>
          </w:tcPr>
          <w:p w14:paraId="2547593F"/>
        </w:tc>
        <w:tc>
          <w:tcPr>
            <w:tcW w:w="1411" w:type="pct"/>
            <w:tcBorders>
              <w:top w:val="outset" w:color="auto" w:sz="6" w:space="0"/>
              <w:left w:val="outset" w:color="auto" w:sz="6" w:space="0"/>
              <w:bottom w:val="outset" w:color="auto" w:sz="6" w:space="0"/>
              <w:right w:val="outset" w:color="auto" w:sz="6" w:space="0"/>
            </w:tcBorders>
            <w:vAlign w:val="center"/>
          </w:tcPr>
          <w:p w14:paraId="7A9E6C1A"/>
        </w:tc>
        <w:tc>
          <w:tcPr>
            <w:tcW w:w="1333" w:type="pct"/>
            <w:tcBorders>
              <w:top w:val="outset" w:color="auto" w:sz="6" w:space="0"/>
              <w:left w:val="outset" w:color="auto" w:sz="6" w:space="0"/>
              <w:bottom w:val="outset" w:color="auto" w:sz="6" w:space="0"/>
              <w:right w:val="outset" w:color="auto" w:sz="6" w:space="0"/>
            </w:tcBorders>
            <w:vAlign w:val="center"/>
          </w:tcPr>
          <w:p w14:paraId="55F688D9">
            <w:pPr>
              <w:rPr>
                <w:rFonts w:eastAsia="Times New Roman" w:cs="Times New Roman"/>
                <w:sz w:val="20"/>
                <w:szCs w:val="20"/>
              </w:rPr>
            </w:pPr>
          </w:p>
        </w:tc>
      </w:tr>
      <w:tr w14:paraId="668F6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D0EBC0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应付手续费及佣金</w:t>
            </w:r>
          </w:p>
        </w:tc>
        <w:tc>
          <w:tcPr>
            <w:tcW w:w="627" w:type="pct"/>
            <w:tcBorders>
              <w:top w:val="outset" w:color="auto" w:sz="6" w:space="0"/>
              <w:left w:val="outset" w:color="auto" w:sz="6" w:space="0"/>
              <w:bottom w:val="outset" w:color="auto" w:sz="6" w:space="0"/>
              <w:right w:val="outset" w:color="auto" w:sz="6" w:space="0"/>
            </w:tcBorders>
            <w:vAlign w:val="center"/>
          </w:tcPr>
          <w:p w14:paraId="1E977C53"/>
        </w:tc>
        <w:tc>
          <w:tcPr>
            <w:tcW w:w="1411" w:type="pct"/>
            <w:tcBorders>
              <w:top w:val="outset" w:color="auto" w:sz="6" w:space="0"/>
              <w:left w:val="outset" w:color="auto" w:sz="6" w:space="0"/>
              <w:bottom w:val="outset" w:color="auto" w:sz="6" w:space="0"/>
              <w:right w:val="outset" w:color="auto" w:sz="6" w:space="0"/>
            </w:tcBorders>
            <w:vAlign w:val="center"/>
          </w:tcPr>
          <w:p w14:paraId="611A411E">
            <w:pPr>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622AB8E2">
            <w:pPr>
              <w:rPr>
                <w:rFonts w:eastAsia="Times New Roman" w:cs="Times New Roman"/>
                <w:sz w:val="20"/>
                <w:szCs w:val="20"/>
              </w:rPr>
            </w:pPr>
          </w:p>
        </w:tc>
      </w:tr>
      <w:tr w14:paraId="6A3714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003A29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应付分保账款</w:t>
            </w:r>
          </w:p>
        </w:tc>
        <w:tc>
          <w:tcPr>
            <w:tcW w:w="627" w:type="pct"/>
            <w:tcBorders>
              <w:top w:val="outset" w:color="auto" w:sz="6" w:space="0"/>
              <w:left w:val="outset" w:color="auto" w:sz="6" w:space="0"/>
              <w:bottom w:val="outset" w:color="auto" w:sz="6" w:space="0"/>
              <w:right w:val="outset" w:color="auto" w:sz="6" w:space="0"/>
            </w:tcBorders>
            <w:vAlign w:val="center"/>
          </w:tcPr>
          <w:p w14:paraId="6A9BA318"/>
        </w:tc>
        <w:tc>
          <w:tcPr>
            <w:tcW w:w="1411" w:type="pct"/>
            <w:tcBorders>
              <w:top w:val="outset" w:color="auto" w:sz="6" w:space="0"/>
              <w:left w:val="outset" w:color="auto" w:sz="6" w:space="0"/>
              <w:bottom w:val="outset" w:color="auto" w:sz="6" w:space="0"/>
              <w:right w:val="outset" w:color="auto" w:sz="6" w:space="0"/>
            </w:tcBorders>
            <w:vAlign w:val="center"/>
          </w:tcPr>
          <w:p w14:paraId="4173CFB1">
            <w:pPr>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222A0FFD">
            <w:pPr>
              <w:rPr>
                <w:rFonts w:eastAsia="Times New Roman" w:cs="Times New Roman"/>
                <w:sz w:val="20"/>
                <w:szCs w:val="20"/>
              </w:rPr>
            </w:pPr>
          </w:p>
        </w:tc>
      </w:tr>
      <w:tr w14:paraId="3B4BA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C8C680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持有待售负债</w:t>
            </w:r>
          </w:p>
        </w:tc>
        <w:tc>
          <w:tcPr>
            <w:tcW w:w="627" w:type="pct"/>
            <w:tcBorders>
              <w:top w:val="outset" w:color="auto" w:sz="6" w:space="0"/>
              <w:left w:val="outset" w:color="auto" w:sz="6" w:space="0"/>
              <w:bottom w:val="outset" w:color="auto" w:sz="6" w:space="0"/>
              <w:right w:val="outset" w:color="auto" w:sz="6" w:space="0"/>
            </w:tcBorders>
            <w:vAlign w:val="center"/>
          </w:tcPr>
          <w:p w14:paraId="57A4C18E"/>
        </w:tc>
        <w:tc>
          <w:tcPr>
            <w:tcW w:w="1411" w:type="pct"/>
            <w:tcBorders>
              <w:top w:val="outset" w:color="auto" w:sz="6" w:space="0"/>
              <w:left w:val="outset" w:color="auto" w:sz="6" w:space="0"/>
              <w:bottom w:val="outset" w:color="auto" w:sz="6" w:space="0"/>
              <w:right w:val="outset" w:color="auto" w:sz="6" w:space="0"/>
            </w:tcBorders>
            <w:vAlign w:val="center"/>
          </w:tcPr>
          <w:p w14:paraId="69D37694">
            <w:pPr>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55EC61FF">
            <w:pPr>
              <w:rPr>
                <w:rFonts w:eastAsia="Times New Roman" w:cs="Times New Roman"/>
                <w:sz w:val="20"/>
                <w:szCs w:val="20"/>
              </w:rPr>
            </w:pPr>
          </w:p>
        </w:tc>
      </w:tr>
      <w:tr w14:paraId="5E3DE3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390506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一年内到期的非流动负债</w:t>
            </w:r>
          </w:p>
        </w:tc>
        <w:tc>
          <w:tcPr>
            <w:tcW w:w="627" w:type="pct"/>
            <w:tcBorders>
              <w:top w:val="outset" w:color="auto" w:sz="6" w:space="0"/>
              <w:left w:val="outset" w:color="auto" w:sz="6" w:space="0"/>
              <w:bottom w:val="outset" w:color="auto" w:sz="6" w:space="0"/>
              <w:right w:val="outset" w:color="auto" w:sz="6" w:space="0"/>
            </w:tcBorders>
            <w:vAlign w:val="center"/>
          </w:tcPr>
          <w:p w14:paraId="2DA6A430">
            <w:r>
              <w:rPr>
                <w:rFonts w:hint="eastAsia"/>
              </w:rPr>
              <w:t>七、</w:t>
            </w:r>
            <w:r>
              <w:t>43</w:t>
            </w:r>
          </w:p>
        </w:tc>
        <w:tc>
          <w:tcPr>
            <w:tcW w:w="1411" w:type="pct"/>
            <w:tcBorders>
              <w:top w:val="outset" w:color="auto" w:sz="6" w:space="0"/>
              <w:left w:val="outset" w:color="auto" w:sz="6" w:space="0"/>
              <w:bottom w:val="outset" w:color="auto" w:sz="6" w:space="0"/>
              <w:right w:val="outset" w:color="auto" w:sz="6" w:space="0"/>
            </w:tcBorders>
            <w:vAlign w:val="center"/>
          </w:tcPr>
          <w:p w14:paraId="1C37764C">
            <w:pPr>
              <w:jc w:val="right"/>
              <w:rPr>
                <w:rFonts w:ascii="宋体" w:hAnsi="宋体"/>
                <w:sz w:val="24"/>
                <w:szCs w:val="24"/>
              </w:rPr>
            </w:pPr>
            <w:r>
              <w:t>534,295,998.83</w:t>
            </w:r>
          </w:p>
        </w:tc>
        <w:tc>
          <w:tcPr>
            <w:tcW w:w="1333" w:type="pct"/>
            <w:tcBorders>
              <w:top w:val="outset" w:color="auto" w:sz="6" w:space="0"/>
              <w:left w:val="outset" w:color="auto" w:sz="6" w:space="0"/>
              <w:bottom w:val="outset" w:color="auto" w:sz="6" w:space="0"/>
              <w:right w:val="outset" w:color="auto" w:sz="6" w:space="0"/>
            </w:tcBorders>
            <w:vAlign w:val="center"/>
          </w:tcPr>
          <w:p w14:paraId="7C1BFB54">
            <w:pPr>
              <w:jc w:val="right"/>
            </w:pPr>
            <w:r>
              <w:t>579,331,409.42</w:t>
            </w:r>
          </w:p>
        </w:tc>
      </w:tr>
      <w:tr w14:paraId="5E8FA5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809253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其他流动负债</w:t>
            </w:r>
          </w:p>
        </w:tc>
        <w:tc>
          <w:tcPr>
            <w:tcW w:w="627" w:type="pct"/>
            <w:tcBorders>
              <w:top w:val="outset" w:color="auto" w:sz="6" w:space="0"/>
              <w:left w:val="outset" w:color="auto" w:sz="6" w:space="0"/>
              <w:bottom w:val="outset" w:color="auto" w:sz="6" w:space="0"/>
              <w:right w:val="outset" w:color="auto" w:sz="6" w:space="0"/>
            </w:tcBorders>
            <w:vAlign w:val="center"/>
          </w:tcPr>
          <w:p w14:paraId="2AEA0053">
            <w:r>
              <w:rPr>
                <w:rFonts w:hint="eastAsia"/>
              </w:rPr>
              <w:t>七、</w:t>
            </w:r>
            <w:r>
              <w:t>44</w:t>
            </w:r>
          </w:p>
        </w:tc>
        <w:tc>
          <w:tcPr>
            <w:tcW w:w="1411" w:type="pct"/>
            <w:tcBorders>
              <w:top w:val="outset" w:color="auto" w:sz="6" w:space="0"/>
              <w:left w:val="outset" w:color="auto" w:sz="6" w:space="0"/>
              <w:bottom w:val="outset" w:color="auto" w:sz="6" w:space="0"/>
              <w:right w:val="outset" w:color="auto" w:sz="6" w:space="0"/>
            </w:tcBorders>
            <w:vAlign w:val="center"/>
          </w:tcPr>
          <w:p w14:paraId="12FCD80E">
            <w:pPr>
              <w:jc w:val="right"/>
            </w:pPr>
            <w:r>
              <w:t>155,454,403.92</w:t>
            </w:r>
          </w:p>
        </w:tc>
        <w:tc>
          <w:tcPr>
            <w:tcW w:w="1333" w:type="pct"/>
            <w:tcBorders>
              <w:top w:val="outset" w:color="auto" w:sz="6" w:space="0"/>
              <w:left w:val="outset" w:color="auto" w:sz="6" w:space="0"/>
              <w:bottom w:val="outset" w:color="auto" w:sz="6" w:space="0"/>
              <w:right w:val="outset" w:color="auto" w:sz="6" w:space="0"/>
            </w:tcBorders>
            <w:vAlign w:val="center"/>
          </w:tcPr>
          <w:p w14:paraId="678AC472">
            <w:pPr>
              <w:jc w:val="right"/>
            </w:pPr>
            <w:r>
              <w:t>142,767,103.41</w:t>
            </w:r>
          </w:p>
        </w:tc>
      </w:tr>
      <w:tr w14:paraId="177353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3926E7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流动负债合计</w:t>
            </w:r>
          </w:p>
        </w:tc>
        <w:tc>
          <w:tcPr>
            <w:tcW w:w="627" w:type="pct"/>
            <w:tcBorders>
              <w:top w:val="outset" w:color="auto" w:sz="6" w:space="0"/>
              <w:left w:val="outset" w:color="auto" w:sz="6" w:space="0"/>
              <w:bottom w:val="outset" w:color="auto" w:sz="6" w:space="0"/>
              <w:right w:val="outset" w:color="auto" w:sz="6" w:space="0"/>
            </w:tcBorders>
            <w:vAlign w:val="center"/>
          </w:tcPr>
          <w:p w14:paraId="4C3B1954"/>
        </w:tc>
        <w:tc>
          <w:tcPr>
            <w:tcW w:w="1411" w:type="pct"/>
            <w:tcBorders>
              <w:top w:val="outset" w:color="auto" w:sz="6" w:space="0"/>
              <w:left w:val="outset" w:color="auto" w:sz="6" w:space="0"/>
              <w:bottom w:val="outset" w:color="auto" w:sz="6" w:space="0"/>
              <w:right w:val="outset" w:color="auto" w:sz="6" w:space="0"/>
            </w:tcBorders>
            <w:vAlign w:val="center"/>
          </w:tcPr>
          <w:p w14:paraId="3A4AD1FD">
            <w:pPr>
              <w:jc w:val="right"/>
            </w:pPr>
            <w:r>
              <w:t>9,062,052,487.25</w:t>
            </w:r>
          </w:p>
        </w:tc>
        <w:tc>
          <w:tcPr>
            <w:tcW w:w="1333" w:type="pct"/>
            <w:tcBorders>
              <w:top w:val="outset" w:color="auto" w:sz="6" w:space="0"/>
              <w:left w:val="outset" w:color="auto" w:sz="6" w:space="0"/>
              <w:bottom w:val="outset" w:color="auto" w:sz="6" w:space="0"/>
              <w:right w:val="outset" w:color="auto" w:sz="6" w:space="0"/>
            </w:tcBorders>
            <w:vAlign w:val="center"/>
          </w:tcPr>
          <w:p w14:paraId="5CC3CF9B">
            <w:pPr>
              <w:jc w:val="right"/>
            </w:pPr>
            <w:r>
              <w:t>8,508,368,541.17</w:t>
            </w:r>
          </w:p>
        </w:tc>
      </w:tr>
      <w:tr w14:paraId="08A940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2d79badc1945afbed8782cdacf599f"/>
            <w:id w:val="196047082"/>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3E4B4A3E">
                <w:pPr>
                  <w:rPr>
                    <w:color w:val="000000" w:themeColor="text1"/>
                    <w14:textFill>
                      <w14:solidFill>
                        <w14:schemeClr w14:val="tx1"/>
                      </w14:solidFill>
                    </w14:textFill>
                  </w:rPr>
                </w:pPr>
                <w:r>
                  <w:rPr>
                    <w:rFonts w:hint="eastAsia"/>
                    <w:b/>
                    <w:color w:val="000000" w:themeColor="text1"/>
                    <w14:textFill>
                      <w14:solidFill>
                        <w14:schemeClr w14:val="tx1"/>
                      </w14:solidFill>
                    </w14:textFill>
                  </w:rPr>
                  <w:t>非流动负债：</w:t>
                </w:r>
              </w:p>
            </w:tc>
          </w:sdtContent>
        </w:sdt>
      </w:tr>
      <w:tr w14:paraId="3D0F10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6518AA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保险合同准备金</w:t>
            </w:r>
          </w:p>
        </w:tc>
        <w:tc>
          <w:tcPr>
            <w:tcW w:w="627" w:type="pct"/>
            <w:tcBorders>
              <w:top w:val="outset" w:color="auto" w:sz="6" w:space="0"/>
              <w:left w:val="outset" w:color="auto" w:sz="6" w:space="0"/>
              <w:bottom w:val="outset" w:color="auto" w:sz="6" w:space="0"/>
              <w:right w:val="outset" w:color="auto" w:sz="6" w:space="0"/>
            </w:tcBorders>
            <w:vAlign w:val="center"/>
          </w:tcPr>
          <w:p w14:paraId="6A4A4266"/>
        </w:tc>
        <w:tc>
          <w:tcPr>
            <w:tcW w:w="1411" w:type="pct"/>
            <w:tcBorders>
              <w:top w:val="outset" w:color="auto" w:sz="6" w:space="0"/>
              <w:left w:val="outset" w:color="auto" w:sz="6" w:space="0"/>
              <w:bottom w:val="outset" w:color="auto" w:sz="6" w:space="0"/>
              <w:right w:val="outset" w:color="auto" w:sz="6" w:space="0"/>
            </w:tcBorders>
            <w:vAlign w:val="center"/>
          </w:tcPr>
          <w:p w14:paraId="03B9826F">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27A14D82">
            <w:pPr>
              <w:jc w:val="right"/>
            </w:pPr>
          </w:p>
        </w:tc>
      </w:tr>
      <w:tr w14:paraId="233C62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FD870E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长期借款</w:t>
            </w:r>
          </w:p>
        </w:tc>
        <w:tc>
          <w:tcPr>
            <w:tcW w:w="627" w:type="pct"/>
            <w:tcBorders>
              <w:top w:val="outset" w:color="auto" w:sz="6" w:space="0"/>
              <w:left w:val="outset" w:color="auto" w:sz="6" w:space="0"/>
              <w:bottom w:val="outset" w:color="auto" w:sz="6" w:space="0"/>
              <w:right w:val="outset" w:color="auto" w:sz="6" w:space="0"/>
            </w:tcBorders>
            <w:vAlign w:val="center"/>
          </w:tcPr>
          <w:p w14:paraId="49A5820E">
            <w:r>
              <w:rPr>
                <w:rFonts w:hint="eastAsia"/>
              </w:rPr>
              <w:t>七、</w:t>
            </w:r>
            <w:r>
              <w:t>45</w:t>
            </w:r>
          </w:p>
        </w:tc>
        <w:tc>
          <w:tcPr>
            <w:tcW w:w="1411" w:type="pct"/>
            <w:tcBorders>
              <w:top w:val="outset" w:color="auto" w:sz="6" w:space="0"/>
              <w:left w:val="outset" w:color="auto" w:sz="6" w:space="0"/>
              <w:bottom w:val="outset" w:color="auto" w:sz="6" w:space="0"/>
              <w:right w:val="outset" w:color="auto" w:sz="6" w:space="0"/>
            </w:tcBorders>
            <w:vAlign w:val="center"/>
          </w:tcPr>
          <w:p w14:paraId="08C36613">
            <w:pPr>
              <w:jc w:val="right"/>
            </w:pPr>
            <w:r>
              <w:t>727,963,424.36</w:t>
            </w:r>
          </w:p>
        </w:tc>
        <w:tc>
          <w:tcPr>
            <w:tcW w:w="1333" w:type="pct"/>
            <w:tcBorders>
              <w:top w:val="outset" w:color="auto" w:sz="6" w:space="0"/>
              <w:left w:val="outset" w:color="auto" w:sz="6" w:space="0"/>
              <w:bottom w:val="outset" w:color="auto" w:sz="6" w:space="0"/>
              <w:right w:val="outset" w:color="auto" w:sz="6" w:space="0"/>
            </w:tcBorders>
            <w:vAlign w:val="center"/>
          </w:tcPr>
          <w:p w14:paraId="4D0030D6">
            <w:pPr>
              <w:jc w:val="right"/>
            </w:pPr>
            <w:r>
              <w:t>820,931,249.99</w:t>
            </w:r>
          </w:p>
        </w:tc>
      </w:tr>
      <w:tr w14:paraId="6AA8C2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509144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应付债券</w:t>
            </w:r>
          </w:p>
        </w:tc>
        <w:tc>
          <w:tcPr>
            <w:tcW w:w="627" w:type="pct"/>
            <w:tcBorders>
              <w:top w:val="outset" w:color="auto" w:sz="6" w:space="0"/>
              <w:left w:val="outset" w:color="auto" w:sz="6" w:space="0"/>
              <w:bottom w:val="outset" w:color="auto" w:sz="6" w:space="0"/>
              <w:right w:val="outset" w:color="auto" w:sz="6" w:space="0"/>
            </w:tcBorders>
            <w:vAlign w:val="center"/>
          </w:tcPr>
          <w:p w14:paraId="033F9182"/>
        </w:tc>
        <w:tc>
          <w:tcPr>
            <w:tcW w:w="1411" w:type="pct"/>
            <w:tcBorders>
              <w:top w:val="outset" w:color="auto" w:sz="6" w:space="0"/>
              <w:left w:val="outset" w:color="auto" w:sz="6" w:space="0"/>
              <w:bottom w:val="outset" w:color="auto" w:sz="6" w:space="0"/>
              <w:right w:val="outset" w:color="auto" w:sz="6" w:space="0"/>
            </w:tcBorders>
            <w:vAlign w:val="center"/>
          </w:tcPr>
          <w:p w14:paraId="5A306ED2">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52504E05">
            <w:pPr>
              <w:jc w:val="right"/>
              <w:rPr>
                <w:rFonts w:eastAsia="Times New Roman" w:cs="Times New Roman"/>
                <w:sz w:val="20"/>
                <w:szCs w:val="20"/>
              </w:rPr>
            </w:pPr>
          </w:p>
        </w:tc>
      </w:tr>
      <w:tr w14:paraId="049E2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4128FC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其中：优先股</w:t>
            </w:r>
          </w:p>
        </w:tc>
        <w:tc>
          <w:tcPr>
            <w:tcW w:w="627" w:type="pct"/>
            <w:tcBorders>
              <w:top w:val="outset" w:color="auto" w:sz="6" w:space="0"/>
              <w:left w:val="outset" w:color="auto" w:sz="6" w:space="0"/>
              <w:bottom w:val="outset" w:color="auto" w:sz="6" w:space="0"/>
              <w:right w:val="outset" w:color="auto" w:sz="6" w:space="0"/>
            </w:tcBorders>
            <w:vAlign w:val="center"/>
          </w:tcPr>
          <w:p w14:paraId="11007697"/>
        </w:tc>
        <w:tc>
          <w:tcPr>
            <w:tcW w:w="1411" w:type="pct"/>
            <w:tcBorders>
              <w:top w:val="outset" w:color="auto" w:sz="6" w:space="0"/>
              <w:left w:val="outset" w:color="auto" w:sz="6" w:space="0"/>
              <w:bottom w:val="outset" w:color="auto" w:sz="6" w:space="0"/>
              <w:right w:val="outset" w:color="auto" w:sz="6" w:space="0"/>
            </w:tcBorders>
            <w:vAlign w:val="center"/>
          </w:tcPr>
          <w:p w14:paraId="6AF3F110">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1365155F">
            <w:pPr>
              <w:jc w:val="right"/>
              <w:rPr>
                <w:rFonts w:eastAsia="Times New Roman" w:cs="Times New Roman"/>
                <w:sz w:val="20"/>
                <w:szCs w:val="20"/>
              </w:rPr>
            </w:pPr>
          </w:p>
        </w:tc>
      </w:tr>
      <w:tr w14:paraId="5FDAF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0399822">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永续债</w:t>
            </w:r>
          </w:p>
        </w:tc>
        <w:tc>
          <w:tcPr>
            <w:tcW w:w="627" w:type="pct"/>
            <w:tcBorders>
              <w:top w:val="outset" w:color="auto" w:sz="6" w:space="0"/>
              <w:left w:val="outset" w:color="auto" w:sz="6" w:space="0"/>
              <w:bottom w:val="outset" w:color="auto" w:sz="6" w:space="0"/>
              <w:right w:val="outset" w:color="auto" w:sz="6" w:space="0"/>
            </w:tcBorders>
            <w:vAlign w:val="center"/>
          </w:tcPr>
          <w:p w14:paraId="62C0CB2F"/>
        </w:tc>
        <w:tc>
          <w:tcPr>
            <w:tcW w:w="1411" w:type="pct"/>
            <w:tcBorders>
              <w:top w:val="outset" w:color="auto" w:sz="6" w:space="0"/>
              <w:left w:val="outset" w:color="auto" w:sz="6" w:space="0"/>
              <w:bottom w:val="outset" w:color="auto" w:sz="6" w:space="0"/>
              <w:right w:val="outset" w:color="auto" w:sz="6" w:space="0"/>
            </w:tcBorders>
            <w:vAlign w:val="center"/>
          </w:tcPr>
          <w:p w14:paraId="764516FE">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243D421C">
            <w:pPr>
              <w:jc w:val="right"/>
              <w:rPr>
                <w:rFonts w:eastAsia="Times New Roman" w:cs="Times New Roman"/>
                <w:sz w:val="20"/>
                <w:szCs w:val="20"/>
              </w:rPr>
            </w:pPr>
          </w:p>
        </w:tc>
      </w:tr>
      <w:tr w14:paraId="179DEF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DBAA77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租赁负债</w:t>
            </w:r>
          </w:p>
        </w:tc>
        <w:tc>
          <w:tcPr>
            <w:tcW w:w="627" w:type="pct"/>
            <w:tcBorders>
              <w:top w:val="outset" w:color="auto" w:sz="6" w:space="0"/>
              <w:left w:val="outset" w:color="auto" w:sz="6" w:space="0"/>
              <w:bottom w:val="outset" w:color="auto" w:sz="6" w:space="0"/>
              <w:right w:val="outset" w:color="auto" w:sz="6" w:space="0"/>
            </w:tcBorders>
            <w:vAlign w:val="center"/>
          </w:tcPr>
          <w:p w14:paraId="33406932">
            <w:r>
              <w:rPr>
                <w:rFonts w:hint="eastAsia"/>
              </w:rPr>
              <w:t>七、</w:t>
            </w:r>
            <w:r>
              <w:t>47</w:t>
            </w:r>
          </w:p>
        </w:tc>
        <w:tc>
          <w:tcPr>
            <w:tcW w:w="1411" w:type="pct"/>
            <w:tcBorders>
              <w:top w:val="outset" w:color="auto" w:sz="6" w:space="0"/>
              <w:left w:val="outset" w:color="auto" w:sz="6" w:space="0"/>
              <w:bottom w:val="outset" w:color="auto" w:sz="6" w:space="0"/>
              <w:right w:val="outset" w:color="auto" w:sz="6" w:space="0"/>
            </w:tcBorders>
            <w:vAlign w:val="center"/>
          </w:tcPr>
          <w:p w14:paraId="49155325">
            <w:pPr>
              <w:jc w:val="right"/>
              <w:rPr>
                <w:rFonts w:ascii="宋体" w:hAnsi="宋体"/>
                <w:sz w:val="24"/>
                <w:szCs w:val="24"/>
              </w:rPr>
            </w:pPr>
          </w:p>
        </w:tc>
        <w:tc>
          <w:tcPr>
            <w:tcW w:w="1333" w:type="pct"/>
            <w:tcBorders>
              <w:top w:val="outset" w:color="auto" w:sz="6" w:space="0"/>
              <w:left w:val="outset" w:color="auto" w:sz="6" w:space="0"/>
              <w:bottom w:val="outset" w:color="auto" w:sz="6" w:space="0"/>
              <w:right w:val="outset" w:color="auto" w:sz="6" w:space="0"/>
            </w:tcBorders>
            <w:vAlign w:val="center"/>
          </w:tcPr>
          <w:p w14:paraId="235145BD">
            <w:pPr>
              <w:jc w:val="right"/>
            </w:pPr>
            <w:r>
              <w:t>90,596.77</w:t>
            </w:r>
          </w:p>
        </w:tc>
      </w:tr>
      <w:tr w14:paraId="51BB8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1028F4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长期应付款</w:t>
            </w:r>
          </w:p>
        </w:tc>
        <w:tc>
          <w:tcPr>
            <w:tcW w:w="627" w:type="pct"/>
            <w:tcBorders>
              <w:top w:val="outset" w:color="auto" w:sz="6" w:space="0"/>
              <w:left w:val="outset" w:color="auto" w:sz="6" w:space="0"/>
              <w:bottom w:val="outset" w:color="auto" w:sz="6" w:space="0"/>
              <w:right w:val="outset" w:color="auto" w:sz="6" w:space="0"/>
            </w:tcBorders>
            <w:vAlign w:val="center"/>
          </w:tcPr>
          <w:p w14:paraId="6C541260"/>
        </w:tc>
        <w:tc>
          <w:tcPr>
            <w:tcW w:w="1411" w:type="pct"/>
            <w:tcBorders>
              <w:top w:val="outset" w:color="auto" w:sz="6" w:space="0"/>
              <w:left w:val="outset" w:color="auto" w:sz="6" w:space="0"/>
              <w:bottom w:val="outset" w:color="auto" w:sz="6" w:space="0"/>
              <w:right w:val="outset" w:color="auto" w:sz="6" w:space="0"/>
            </w:tcBorders>
            <w:vAlign w:val="center"/>
          </w:tcPr>
          <w:p w14:paraId="1C9CD19B">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5B583CA6">
            <w:pPr>
              <w:jc w:val="right"/>
            </w:pPr>
          </w:p>
        </w:tc>
      </w:tr>
      <w:tr w14:paraId="5987B6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9584F4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长期应付职工薪酬</w:t>
            </w:r>
          </w:p>
        </w:tc>
        <w:tc>
          <w:tcPr>
            <w:tcW w:w="627" w:type="pct"/>
            <w:tcBorders>
              <w:top w:val="outset" w:color="auto" w:sz="6" w:space="0"/>
              <w:left w:val="outset" w:color="auto" w:sz="6" w:space="0"/>
              <w:bottom w:val="outset" w:color="auto" w:sz="6" w:space="0"/>
              <w:right w:val="outset" w:color="auto" w:sz="6" w:space="0"/>
            </w:tcBorders>
            <w:vAlign w:val="center"/>
          </w:tcPr>
          <w:p w14:paraId="03C7C87D"/>
        </w:tc>
        <w:tc>
          <w:tcPr>
            <w:tcW w:w="1411" w:type="pct"/>
            <w:tcBorders>
              <w:top w:val="outset" w:color="auto" w:sz="6" w:space="0"/>
              <w:left w:val="outset" w:color="auto" w:sz="6" w:space="0"/>
              <w:bottom w:val="outset" w:color="auto" w:sz="6" w:space="0"/>
              <w:right w:val="outset" w:color="auto" w:sz="6" w:space="0"/>
            </w:tcBorders>
            <w:vAlign w:val="center"/>
          </w:tcPr>
          <w:p w14:paraId="2BEEC713">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0243E241">
            <w:pPr>
              <w:jc w:val="right"/>
            </w:pPr>
          </w:p>
        </w:tc>
      </w:tr>
      <w:tr w14:paraId="465BBF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DFF629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预计负债</w:t>
            </w:r>
          </w:p>
        </w:tc>
        <w:tc>
          <w:tcPr>
            <w:tcW w:w="627" w:type="pct"/>
            <w:tcBorders>
              <w:top w:val="outset" w:color="auto" w:sz="6" w:space="0"/>
              <w:left w:val="outset" w:color="auto" w:sz="6" w:space="0"/>
              <w:bottom w:val="outset" w:color="auto" w:sz="6" w:space="0"/>
              <w:right w:val="outset" w:color="auto" w:sz="6" w:space="0"/>
            </w:tcBorders>
            <w:vAlign w:val="center"/>
          </w:tcPr>
          <w:p w14:paraId="40160D94">
            <w:r>
              <w:rPr>
                <w:rFonts w:hint="eastAsia"/>
              </w:rPr>
              <w:t>七、</w:t>
            </w:r>
            <w:r>
              <w:t>50</w:t>
            </w:r>
          </w:p>
        </w:tc>
        <w:tc>
          <w:tcPr>
            <w:tcW w:w="1411" w:type="pct"/>
            <w:tcBorders>
              <w:top w:val="outset" w:color="auto" w:sz="6" w:space="0"/>
              <w:left w:val="outset" w:color="auto" w:sz="6" w:space="0"/>
              <w:bottom w:val="outset" w:color="auto" w:sz="6" w:space="0"/>
              <w:right w:val="outset" w:color="auto" w:sz="6" w:space="0"/>
            </w:tcBorders>
            <w:vAlign w:val="center"/>
          </w:tcPr>
          <w:p w14:paraId="377D880E">
            <w:pPr>
              <w:jc w:val="right"/>
            </w:pPr>
            <w:r>
              <w:t>90,889,448.46</w:t>
            </w:r>
          </w:p>
        </w:tc>
        <w:tc>
          <w:tcPr>
            <w:tcW w:w="1333" w:type="pct"/>
            <w:tcBorders>
              <w:top w:val="outset" w:color="auto" w:sz="6" w:space="0"/>
              <w:left w:val="outset" w:color="auto" w:sz="6" w:space="0"/>
              <w:bottom w:val="outset" w:color="auto" w:sz="6" w:space="0"/>
              <w:right w:val="outset" w:color="auto" w:sz="6" w:space="0"/>
            </w:tcBorders>
            <w:vAlign w:val="center"/>
          </w:tcPr>
          <w:p w14:paraId="37DD0BA6">
            <w:pPr>
              <w:jc w:val="right"/>
            </w:pPr>
            <w:r>
              <w:t>85,365,169.01</w:t>
            </w:r>
          </w:p>
        </w:tc>
      </w:tr>
      <w:tr w14:paraId="0C724B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93A74A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递延收益</w:t>
            </w:r>
          </w:p>
        </w:tc>
        <w:tc>
          <w:tcPr>
            <w:tcW w:w="627" w:type="pct"/>
            <w:tcBorders>
              <w:top w:val="outset" w:color="auto" w:sz="6" w:space="0"/>
              <w:left w:val="outset" w:color="auto" w:sz="6" w:space="0"/>
              <w:bottom w:val="outset" w:color="auto" w:sz="6" w:space="0"/>
              <w:right w:val="outset" w:color="auto" w:sz="6" w:space="0"/>
            </w:tcBorders>
            <w:vAlign w:val="center"/>
          </w:tcPr>
          <w:p w14:paraId="6AE6AB6C">
            <w:r>
              <w:rPr>
                <w:rFonts w:hint="eastAsia"/>
              </w:rPr>
              <w:t>七、</w:t>
            </w:r>
            <w:r>
              <w:t>51</w:t>
            </w:r>
          </w:p>
        </w:tc>
        <w:tc>
          <w:tcPr>
            <w:tcW w:w="1411" w:type="pct"/>
            <w:tcBorders>
              <w:top w:val="outset" w:color="auto" w:sz="6" w:space="0"/>
              <w:left w:val="outset" w:color="auto" w:sz="6" w:space="0"/>
              <w:bottom w:val="outset" w:color="auto" w:sz="6" w:space="0"/>
              <w:right w:val="outset" w:color="auto" w:sz="6" w:space="0"/>
            </w:tcBorders>
            <w:vAlign w:val="center"/>
          </w:tcPr>
          <w:p w14:paraId="76B6F3DC">
            <w:pPr>
              <w:jc w:val="right"/>
            </w:pPr>
            <w:r>
              <w:t>336,273,523.78</w:t>
            </w:r>
          </w:p>
        </w:tc>
        <w:tc>
          <w:tcPr>
            <w:tcW w:w="1333" w:type="pct"/>
            <w:tcBorders>
              <w:top w:val="outset" w:color="auto" w:sz="6" w:space="0"/>
              <w:left w:val="outset" w:color="auto" w:sz="6" w:space="0"/>
              <w:bottom w:val="outset" w:color="auto" w:sz="6" w:space="0"/>
              <w:right w:val="outset" w:color="auto" w:sz="6" w:space="0"/>
            </w:tcBorders>
            <w:vAlign w:val="center"/>
          </w:tcPr>
          <w:p w14:paraId="1C563E8D">
            <w:pPr>
              <w:jc w:val="right"/>
            </w:pPr>
            <w:r>
              <w:t>11,361,475.85</w:t>
            </w:r>
          </w:p>
        </w:tc>
      </w:tr>
      <w:tr w14:paraId="0AC52B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0CE622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递延所得税负债</w:t>
            </w:r>
          </w:p>
        </w:tc>
        <w:tc>
          <w:tcPr>
            <w:tcW w:w="627" w:type="pct"/>
            <w:tcBorders>
              <w:top w:val="outset" w:color="auto" w:sz="6" w:space="0"/>
              <w:left w:val="outset" w:color="auto" w:sz="6" w:space="0"/>
              <w:bottom w:val="outset" w:color="auto" w:sz="6" w:space="0"/>
              <w:right w:val="outset" w:color="auto" w:sz="6" w:space="0"/>
            </w:tcBorders>
            <w:vAlign w:val="center"/>
          </w:tcPr>
          <w:p w14:paraId="54BAC940">
            <w:r>
              <w:rPr>
                <w:rFonts w:hint="eastAsia"/>
              </w:rPr>
              <w:t>七、29</w:t>
            </w:r>
          </w:p>
        </w:tc>
        <w:tc>
          <w:tcPr>
            <w:tcW w:w="1411" w:type="pct"/>
            <w:tcBorders>
              <w:top w:val="outset" w:color="auto" w:sz="6" w:space="0"/>
              <w:left w:val="outset" w:color="auto" w:sz="6" w:space="0"/>
              <w:bottom w:val="outset" w:color="auto" w:sz="6" w:space="0"/>
              <w:right w:val="outset" w:color="auto" w:sz="6" w:space="0"/>
            </w:tcBorders>
            <w:vAlign w:val="center"/>
          </w:tcPr>
          <w:p w14:paraId="438A05E8">
            <w:pPr>
              <w:jc w:val="right"/>
            </w:pPr>
            <w:r>
              <w:t>617,042,356.23</w:t>
            </w:r>
          </w:p>
        </w:tc>
        <w:tc>
          <w:tcPr>
            <w:tcW w:w="1333" w:type="pct"/>
            <w:tcBorders>
              <w:top w:val="outset" w:color="auto" w:sz="6" w:space="0"/>
              <w:left w:val="outset" w:color="auto" w:sz="6" w:space="0"/>
              <w:bottom w:val="outset" w:color="auto" w:sz="6" w:space="0"/>
              <w:right w:val="outset" w:color="auto" w:sz="6" w:space="0"/>
            </w:tcBorders>
            <w:vAlign w:val="center"/>
          </w:tcPr>
          <w:p w14:paraId="0084A1CA">
            <w:pPr>
              <w:jc w:val="right"/>
            </w:pPr>
            <w:r>
              <w:t>622,302,862.19</w:t>
            </w:r>
          </w:p>
        </w:tc>
      </w:tr>
      <w:tr w14:paraId="3F9EF7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701605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其他非流动负债</w:t>
            </w:r>
          </w:p>
        </w:tc>
        <w:tc>
          <w:tcPr>
            <w:tcW w:w="627" w:type="pct"/>
            <w:tcBorders>
              <w:top w:val="outset" w:color="auto" w:sz="6" w:space="0"/>
              <w:left w:val="outset" w:color="auto" w:sz="6" w:space="0"/>
              <w:bottom w:val="outset" w:color="auto" w:sz="6" w:space="0"/>
              <w:right w:val="outset" w:color="auto" w:sz="6" w:space="0"/>
            </w:tcBorders>
            <w:vAlign w:val="center"/>
          </w:tcPr>
          <w:p w14:paraId="1F6EC5FA"/>
        </w:tc>
        <w:tc>
          <w:tcPr>
            <w:tcW w:w="1411" w:type="pct"/>
            <w:tcBorders>
              <w:top w:val="outset" w:color="auto" w:sz="6" w:space="0"/>
              <w:left w:val="outset" w:color="auto" w:sz="6" w:space="0"/>
              <w:bottom w:val="outset" w:color="auto" w:sz="6" w:space="0"/>
              <w:right w:val="outset" w:color="auto" w:sz="6" w:space="0"/>
            </w:tcBorders>
            <w:vAlign w:val="center"/>
          </w:tcPr>
          <w:p w14:paraId="2CAD7294">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0E6ACB22">
            <w:pPr>
              <w:jc w:val="right"/>
              <w:rPr>
                <w:rFonts w:eastAsia="Times New Roman" w:cs="Times New Roman"/>
                <w:sz w:val="20"/>
                <w:szCs w:val="20"/>
              </w:rPr>
            </w:pPr>
          </w:p>
        </w:tc>
      </w:tr>
      <w:tr w14:paraId="3E26D4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725E3B3">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非流动负债合计</w:t>
            </w:r>
          </w:p>
        </w:tc>
        <w:tc>
          <w:tcPr>
            <w:tcW w:w="627" w:type="pct"/>
            <w:tcBorders>
              <w:top w:val="outset" w:color="auto" w:sz="6" w:space="0"/>
              <w:left w:val="outset" w:color="auto" w:sz="6" w:space="0"/>
              <w:bottom w:val="outset" w:color="auto" w:sz="6" w:space="0"/>
              <w:right w:val="outset" w:color="auto" w:sz="6" w:space="0"/>
            </w:tcBorders>
            <w:vAlign w:val="center"/>
          </w:tcPr>
          <w:p w14:paraId="53F31966"/>
        </w:tc>
        <w:tc>
          <w:tcPr>
            <w:tcW w:w="1411" w:type="pct"/>
            <w:tcBorders>
              <w:top w:val="outset" w:color="auto" w:sz="6" w:space="0"/>
              <w:left w:val="outset" w:color="auto" w:sz="6" w:space="0"/>
              <w:bottom w:val="outset" w:color="auto" w:sz="6" w:space="0"/>
              <w:right w:val="outset" w:color="auto" w:sz="6" w:space="0"/>
            </w:tcBorders>
            <w:vAlign w:val="center"/>
          </w:tcPr>
          <w:p w14:paraId="1A1D3234">
            <w:pPr>
              <w:jc w:val="right"/>
              <w:rPr>
                <w:rFonts w:ascii="宋体" w:hAnsi="宋体"/>
                <w:sz w:val="24"/>
                <w:szCs w:val="24"/>
              </w:rPr>
            </w:pPr>
            <w:r>
              <w:t>1,772,168,752.83</w:t>
            </w:r>
          </w:p>
        </w:tc>
        <w:tc>
          <w:tcPr>
            <w:tcW w:w="1333" w:type="pct"/>
            <w:tcBorders>
              <w:top w:val="outset" w:color="auto" w:sz="6" w:space="0"/>
              <w:left w:val="outset" w:color="auto" w:sz="6" w:space="0"/>
              <w:bottom w:val="outset" w:color="auto" w:sz="6" w:space="0"/>
              <w:right w:val="outset" w:color="auto" w:sz="6" w:space="0"/>
            </w:tcBorders>
            <w:vAlign w:val="center"/>
          </w:tcPr>
          <w:p w14:paraId="1EB16156">
            <w:pPr>
              <w:jc w:val="right"/>
            </w:pPr>
            <w:r>
              <w:t>1,540,051,353.81</w:t>
            </w:r>
          </w:p>
        </w:tc>
      </w:tr>
      <w:tr w14:paraId="6A4F45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3839856">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负债合计</w:t>
            </w:r>
          </w:p>
        </w:tc>
        <w:tc>
          <w:tcPr>
            <w:tcW w:w="627" w:type="pct"/>
            <w:tcBorders>
              <w:top w:val="outset" w:color="auto" w:sz="6" w:space="0"/>
              <w:left w:val="outset" w:color="auto" w:sz="6" w:space="0"/>
              <w:bottom w:val="outset" w:color="auto" w:sz="6" w:space="0"/>
              <w:right w:val="outset" w:color="auto" w:sz="6" w:space="0"/>
            </w:tcBorders>
            <w:vAlign w:val="center"/>
          </w:tcPr>
          <w:p w14:paraId="7635E57B"/>
        </w:tc>
        <w:tc>
          <w:tcPr>
            <w:tcW w:w="1411" w:type="pct"/>
            <w:tcBorders>
              <w:top w:val="outset" w:color="auto" w:sz="6" w:space="0"/>
              <w:left w:val="outset" w:color="auto" w:sz="6" w:space="0"/>
              <w:bottom w:val="outset" w:color="auto" w:sz="6" w:space="0"/>
              <w:right w:val="outset" w:color="auto" w:sz="6" w:space="0"/>
            </w:tcBorders>
            <w:vAlign w:val="center"/>
          </w:tcPr>
          <w:p w14:paraId="043E9CAC">
            <w:pPr>
              <w:jc w:val="right"/>
            </w:pPr>
            <w:r>
              <w:t>10,834,221,240.08</w:t>
            </w:r>
          </w:p>
        </w:tc>
        <w:tc>
          <w:tcPr>
            <w:tcW w:w="1333" w:type="pct"/>
            <w:tcBorders>
              <w:top w:val="outset" w:color="auto" w:sz="6" w:space="0"/>
              <w:left w:val="outset" w:color="auto" w:sz="6" w:space="0"/>
              <w:bottom w:val="outset" w:color="auto" w:sz="6" w:space="0"/>
              <w:right w:val="outset" w:color="auto" w:sz="6" w:space="0"/>
            </w:tcBorders>
            <w:vAlign w:val="center"/>
          </w:tcPr>
          <w:p w14:paraId="790C1EA0">
            <w:pPr>
              <w:jc w:val="right"/>
            </w:pPr>
            <w:r>
              <w:t>10,048,419,894.98</w:t>
            </w:r>
          </w:p>
        </w:tc>
      </w:tr>
      <w:tr w14:paraId="696465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e68479676b4c8c840de2211f0c67b8"/>
            <w:id w:val="692737868"/>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409D2C5D">
                <w:pPr>
                  <w:rPr>
                    <w:color w:val="000000" w:themeColor="text1"/>
                    <w14:textFill>
                      <w14:solidFill>
                        <w14:schemeClr w14:val="tx1"/>
                      </w14:solidFill>
                    </w14:textFill>
                  </w:rPr>
                </w:pPr>
                <w:r>
                  <w:rPr>
                    <w:rFonts w:hint="eastAsia"/>
                    <w:b/>
                    <w:color w:val="000000" w:themeColor="text1"/>
                    <w14:textFill>
                      <w14:solidFill>
                        <w14:schemeClr w14:val="tx1"/>
                      </w14:solidFill>
                    </w14:textFill>
                  </w:rPr>
                  <w:t>所有者权益（或股东权益）：</w:t>
                </w:r>
              </w:p>
            </w:tc>
          </w:sdtContent>
        </w:sdt>
      </w:tr>
      <w:tr w14:paraId="045F7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59D2B2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实收资本（或股本）</w:t>
            </w:r>
          </w:p>
        </w:tc>
        <w:tc>
          <w:tcPr>
            <w:tcW w:w="627" w:type="pct"/>
            <w:tcBorders>
              <w:top w:val="outset" w:color="auto" w:sz="6" w:space="0"/>
              <w:left w:val="outset" w:color="auto" w:sz="6" w:space="0"/>
              <w:bottom w:val="outset" w:color="auto" w:sz="6" w:space="0"/>
              <w:right w:val="outset" w:color="auto" w:sz="6" w:space="0"/>
            </w:tcBorders>
            <w:vAlign w:val="center"/>
          </w:tcPr>
          <w:p w14:paraId="616493E7">
            <w:r>
              <w:rPr>
                <w:rFonts w:hint="eastAsia"/>
              </w:rPr>
              <w:t>七、</w:t>
            </w:r>
            <w:r>
              <w:t>53</w:t>
            </w:r>
          </w:p>
        </w:tc>
        <w:tc>
          <w:tcPr>
            <w:tcW w:w="1411" w:type="pct"/>
            <w:tcBorders>
              <w:top w:val="outset" w:color="auto" w:sz="6" w:space="0"/>
              <w:left w:val="outset" w:color="auto" w:sz="6" w:space="0"/>
              <w:bottom w:val="outset" w:color="auto" w:sz="6" w:space="0"/>
              <w:right w:val="outset" w:color="auto" w:sz="6" w:space="0"/>
            </w:tcBorders>
            <w:vAlign w:val="center"/>
          </w:tcPr>
          <w:p w14:paraId="276DFF6E">
            <w:pPr>
              <w:jc w:val="right"/>
            </w:pPr>
            <w:r>
              <w:t>4,521,100,071.00</w:t>
            </w:r>
          </w:p>
        </w:tc>
        <w:tc>
          <w:tcPr>
            <w:tcW w:w="1333" w:type="pct"/>
            <w:tcBorders>
              <w:top w:val="outset" w:color="auto" w:sz="6" w:space="0"/>
              <w:left w:val="outset" w:color="auto" w:sz="6" w:space="0"/>
              <w:bottom w:val="outset" w:color="auto" w:sz="6" w:space="0"/>
              <w:right w:val="outset" w:color="auto" w:sz="6" w:space="0"/>
            </w:tcBorders>
            <w:vAlign w:val="center"/>
          </w:tcPr>
          <w:p w14:paraId="11F706FF">
            <w:pPr>
              <w:jc w:val="right"/>
            </w:pPr>
            <w:r>
              <w:t>4,521,100,071.00</w:t>
            </w:r>
          </w:p>
        </w:tc>
      </w:tr>
      <w:tr w14:paraId="18544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E90AEF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其他权益工具</w:t>
            </w:r>
          </w:p>
        </w:tc>
        <w:tc>
          <w:tcPr>
            <w:tcW w:w="627" w:type="pct"/>
            <w:tcBorders>
              <w:top w:val="outset" w:color="auto" w:sz="6" w:space="0"/>
              <w:left w:val="outset" w:color="auto" w:sz="6" w:space="0"/>
              <w:bottom w:val="outset" w:color="auto" w:sz="6" w:space="0"/>
              <w:right w:val="outset" w:color="auto" w:sz="6" w:space="0"/>
            </w:tcBorders>
            <w:vAlign w:val="center"/>
          </w:tcPr>
          <w:p w14:paraId="0D2E543C"/>
        </w:tc>
        <w:tc>
          <w:tcPr>
            <w:tcW w:w="1411" w:type="pct"/>
            <w:tcBorders>
              <w:top w:val="outset" w:color="auto" w:sz="6" w:space="0"/>
              <w:left w:val="outset" w:color="auto" w:sz="6" w:space="0"/>
              <w:bottom w:val="outset" w:color="auto" w:sz="6" w:space="0"/>
              <w:right w:val="outset" w:color="auto" w:sz="6" w:space="0"/>
            </w:tcBorders>
            <w:vAlign w:val="center"/>
          </w:tcPr>
          <w:p w14:paraId="167DF1A4">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7820CAA9">
            <w:pPr>
              <w:jc w:val="right"/>
            </w:pPr>
          </w:p>
        </w:tc>
      </w:tr>
      <w:tr w14:paraId="5715C8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152A4D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其中：优先股</w:t>
            </w:r>
          </w:p>
        </w:tc>
        <w:tc>
          <w:tcPr>
            <w:tcW w:w="627" w:type="pct"/>
            <w:tcBorders>
              <w:top w:val="outset" w:color="auto" w:sz="6" w:space="0"/>
              <w:left w:val="outset" w:color="auto" w:sz="6" w:space="0"/>
              <w:bottom w:val="outset" w:color="auto" w:sz="6" w:space="0"/>
              <w:right w:val="outset" w:color="auto" w:sz="6" w:space="0"/>
            </w:tcBorders>
            <w:vAlign w:val="center"/>
          </w:tcPr>
          <w:p w14:paraId="2E5DD0BC"/>
        </w:tc>
        <w:tc>
          <w:tcPr>
            <w:tcW w:w="1411" w:type="pct"/>
            <w:tcBorders>
              <w:top w:val="outset" w:color="auto" w:sz="6" w:space="0"/>
              <w:left w:val="outset" w:color="auto" w:sz="6" w:space="0"/>
              <w:bottom w:val="outset" w:color="auto" w:sz="6" w:space="0"/>
              <w:right w:val="outset" w:color="auto" w:sz="6" w:space="0"/>
            </w:tcBorders>
            <w:vAlign w:val="center"/>
          </w:tcPr>
          <w:p w14:paraId="2ACC2A3F">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0950D2E4">
            <w:pPr>
              <w:jc w:val="right"/>
            </w:pPr>
          </w:p>
        </w:tc>
      </w:tr>
      <w:tr w14:paraId="4673F2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1051116">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永续债</w:t>
            </w:r>
          </w:p>
        </w:tc>
        <w:tc>
          <w:tcPr>
            <w:tcW w:w="627" w:type="pct"/>
            <w:tcBorders>
              <w:top w:val="outset" w:color="auto" w:sz="6" w:space="0"/>
              <w:left w:val="outset" w:color="auto" w:sz="6" w:space="0"/>
              <w:bottom w:val="outset" w:color="auto" w:sz="6" w:space="0"/>
              <w:right w:val="outset" w:color="auto" w:sz="6" w:space="0"/>
            </w:tcBorders>
            <w:vAlign w:val="center"/>
          </w:tcPr>
          <w:p w14:paraId="79FD192E"/>
        </w:tc>
        <w:tc>
          <w:tcPr>
            <w:tcW w:w="1411" w:type="pct"/>
            <w:tcBorders>
              <w:top w:val="outset" w:color="auto" w:sz="6" w:space="0"/>
              <w:left w:val="outset" w:color="auto" w:sz="6" w:space="0"/>
              <w:bottom w:val="outset" w:color="auto" w:sz="6" w:space="0"/>
              <w:right w:val="outset" w:color="auto" w:sz="6" w:space="0"/>
            </w:tcBorders>
            <w:vAlign w:val="center"/>
          </w:tcPr>
          <w:p w14:paraId="3A07D375">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59F792DF">
            <w:pPr>
              <w:jc w:val="right"/>
            </w:pPr>
          </w:p>
        </w:tc>
      </w:tr>
      <w:tr w14:paraId="65121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901906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资本公积</w:t>
            </w:r>
          </w:p>
        </w:tc>
        <w:tc>
          <w:tcPr>
            <w:tcW w:w="627" w:type="pct"/>
            <w:tcBorders>
              <w:top w:val="outset" w:color="auto" w:sz="6" w:space="0"/>
              <w:left w:val="outset" w:color="auto" w:sz="6" w:space="0"/>
              <w:bottom w:val="outset" w:color="auto" w:sz="6" w:space="0"/>
              <w:right w:val="outset" w:color="auto" w:sz="6" w:space="0"/>
            </w:tcBorders>
            <w:vAlign w:val="center"/>
          </w:tcPr>
          <w:p w14:paraId="397386A2">
            <w:r>
              <w:rPr>
                <w:rFonts w:hint="eastAsia"/>
              </w:rPr>
              <w:t>七、</w:t>
            </w:r>
            <w:r>
              <w:t>55</w:t>
            </w:r>
          </w:p>
        </w:tc>
        <w:tc>
          <w:tcPr>
            <w:tcW w:w="1411" w:type="pct"/>
            <w:tcBorders>
              <w:top w:val="outset" w:color="auto" w:sz="6" w:space="0"/>
              <w:left w:val="outset" w:color="auto" w:sz="6" w:space="0"/>
              <w:bottom w:val="outset" w:color="auto" w:sz="6" w:space="0"/>
              <w:right w:val="outset" w:color="auto" w:sz="6" w:space="0"/>
            </w:tcBorders>
            <w:vAlign w:val="center"/>
          </w:tcPr>
          <w:p w14:paraId="2B1E9822">
            <w:pPr>
              <w:jc w:val="right"/>
            </w:pPr>
            <w:r>
              <w:t>8,643,001,174.57</w:t>
            </w:r>
          </w:p>
        </w:tc>
        <w:tc>
          <w:tcPr>
            <w:tcW w:w="1333" w:type="pct"/>
            <w:tcBorders>
              <w:top w:val="outset" w:color="auto" w:sz="6" w:space="0"/>
              <w:left w:val="outset" w:color="auto" w:sz="6" w:space="0"/>
              <w:bottom w:val="outset" w:color="auto" w:sz="6" w:space="0"/>
              <w:right w:val="outset" w:color="auto" w:sz="6" w:space="0"/>
            </w:tcBorders>
            <w:vAlign w:val="center"/>
          </w:tcPr>
          <w:p w14:paraId="43E7E673">
            <w:pPr>
              <w:jc w:val="right"/>
            </w:pPr>
            <w:r>
              <w:t>8,642,979,113.53</w:t>
            </w:r>
          </w:p>
        </w:tc>
      </w:tr>
      <w:tr w14:paraId="0485B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B63E82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减：库存股</w:t>
            </w:r>
          </w:p>
        </w:tc>
        <w:tc>
          <w:tcPr>
            <w:tcW w:w="627" w:type="pct"/>
            <w:tcBorders>
              <w:top w:val="outset" w:color="auto" w:sz="6" w:space="0"/>
              <w:left w:val="outset" w:color="auto" w:sz="6" w:space="0"/>
              <w:bottom w:val="outset" w:color="auto" w:sz="6" w:space="0"/>
              <w:right w:val="outset" w:color="auto" w:sz="6" w:space="0"/>
            </w:tcBorders>
            <w:vAlign w:val="center"/>
          </w:tcPr>
          <w:p w14:paraId="5300DC20">
            <w:r>
              <w:rPr>
                <w:rFonts w:hint="eastAsia"/>
              </w:rPr>
              <w:t>七、</w:t>
            </w:r>
            <w:r>
              <w:t>56</w:t>
            </w:r>
          </w:p>
        </w:tc>
        <w:tc>
          <w:tcPr>
            <w:tcW w:w="1411" w:type="pct"/>
            <w:tcBorders>
              <w:top w:val="outset" w:color="auto" w:sz="6" w:space="0"/>
              <w:left w:val="outset" w:color="auto" w:sz="6" w:space="0"/>
              <w:bottom w:val="outset" w:color="auto" w:sz="6" w:space="0"/>
              <w:right w:val="outset" w:color="auto" w:sz="6" w:space="0"/>
            </w:tcBorders>
            <w:vAlign w:val="center"/>
          </w:tcPr>
          <w:p w14:paraId="182D3934">
            <w:pPr>
              <w:jc w:val="right"/>
            </w:pPr>
            <w:r>
              <w:t>133,881,025.00</w:t>
            </w:r>
          </w:p>
        </w:tc>
        <w:tc>
          <w:tcPr>
            <w:tcW w:w="1333" w:type="pct"/>
            <w:tcBorders>
              <w:top w:val="outset" w:color="auto" w:sz="6" w:space="0"/>
              <w:left w:val="outset" w:color="auto" w:sz="6" w:space="0"/>
              <w:bottom w:val="outset" w:color="auto" w:sz="6" w:space="0"/>
              <w:right w:val="outset" w:color="auto" w:sz="6" w:space="0"/>
            </w:tcBorders>
            <w:vAlign w:val="center"/>
          </w:tcPr>
          <w:p w14:paraId="28510E66">
            <w:pPr>
              <w:jc w:val="right"/>
            </w:pPr>
            <w:r>
              <w:t>133,881,025.00</w:t>
            </w:r>
          </w:p>
        </w:tc>
      </w:tr>
      <w:tr w14:paraId="27F7DD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92A511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其他综合收益</w:t>
            </w:r>
          </w:p>
        </w:tc>
        <w:tc>
          <w:tcPr>
            <w:tcW w:w="627" w:type="pct"/>
            <w:tcBorders>
              <w:top w:val="outset" w:color="auto" w:sz="6" w:space="0"/>
              <w:left w:val="outset" w:color="auto" w:sz="6" w:space="0"/>
              <w:bottom w:val="outset" w:color="auto" w:sz="6" w:space="0"/>
              <w:right w:val="outset" w:color="auto" w:sz="6" w:space="0"/>
            </w:tcBorders>
            <w:vAlign w:val="center"/>
          </w:tcPr>
          <w:p w14:paraId="155EA7BD">
            <w:r>
              <w:rPr>
                <w:rFonts w:hint="eastAsia"/>
              </w:rPr>
              <w:t>七、</w:t>
            </w:r>
            <w:r>
              <w:t>57</w:t>
            </w:r>
          </w:p>
        </w:tc>
        <w:tc>
          <w:tcPr>
            <w:tcW w:w="1411" w:type="pct"/>
            <w:tcBorders>
              <w:top w:val="outset" w:color="auto" w:sz="6" w:space="0"/>
              <w:left w:val="outset" w:color="auto" w:sz="6" w:space="0"/>
              <w:bottom w:val="outset" w:color="auto" w:sz="6" w:space="0"/>
              <w:right w:val="outset" w:color="auto" w:sz="6" w:space="0"/>
            </w:tcBorders>
            <w:vAlign w:val="center"/>
          </w:tcPr>
          <w:p w14:paraId="49DF260A">
            <w:pPr>
              <w:jc w:val="right"/>
            </w:pPr>
            <w:r>
              <w:t>-147,376,035.36</w:t>
            </w:r>
          </w:p>
        </w:tc>
        <w:tc>
          <w:tcPr>
            <w:tcW w:w="1333" w:type="pct"/>
            <w:tcBorders>
              <w:top w:val="outset" w:color="auto" w:sz="6" w:space="0"/>
              <w:left w:val="outset" w:color="auto" w:sz="6" w:space="0"/>
              <w:bottom w:val="outset" w:color="auto" w:sz="6" w:space="0"/>
              <w:right w:val="outset" w:color="auto" w:sz="6" w:space="0"/>
            </w:tcBorders>
            <w:vAlign w:val="center"/>
          </w:tcPr>
          <w:p w14:paraId="13D51D2C">
            <w:pPr>
              <w:jc w:val="right"/>
            </w:pPr>
            <w:r>
              <w:t>-158,791,211.08</w:t>
            </w:r>
          </w:p>
        </w:tc>
      </w:tr>
      <w:tr w14:paraId="1CCC2B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EA2C2F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专项储备</w:t>
            </w:r>
          </w:p>
        </w:tc>
        <w:tc>
          <w:tcPr>
            <w:tcW w:w="627" w:type="pct"/>
            <w:tcBorders>
              <w:top w:val="outset" w:color="auto" w:sz="6" w:space="0"/>
              <w:left w:val="outset" w:color="auto" w:sz="6" w:space="0"/>
              <w:bottom w:val="outset" w:color="auto" w:sz="6" w:space="0"/>
              <w:right w:val="outset" w:color="auto" w:sz="6" w:space="0"/>
            </w:tcBorders>
            <w:vAlign w:val="center"/>
          </w:tcPr>
          <w:p w14:paraId="5A0F8568"/>
        </w:tc>
        <w:tc>
          <w:tcPr>
            <w:tcW w:w="1411" w:type="pct"/>
            <w:tcBorders>
              <w:top w:val="outset" w:color="auto" w:sz="6" w:space="0"/>
              <w:left w:val="outset" w:color="auto" w:sz="6" w:space="0"/>
              <w:bottom w:val="outset" w:color="auto" w:sz="6" w:space="0"/>
              <w:right w:val="outset" w:color="auto" w:sz="6" w:space="0"/>
            </w:tcBorders>
            <w:vAlign w:val="center"/>
          </w:tcPr>
          <w:p w14:paraId="087C2A2A">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7FC6E8F1">
            <w:pPr>
              <w:jc w:val="right"/>
            </w:pPr>
          </w:p>
        </w:tc>
      </w:tr>
      <w:tr w14:paraId="461BC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5C2198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盈余公积</w:t>
            </w:r>
          </w:p>
        </w:tc>
        <w:tc>
          <w:tcPr>
            <w:tcW w:w="627" w:type="pct"/>
            <w:tcBorders>
              <w:top w:val="outset" w:color="auto" w:sz="6" w:space="0"/>
              <w:left w:val="outset" w:color="auto" w:sz="6" w:space="0"/>
              <w:bottom w:val="outset" w:color="auto" w:sz="6" w:space="0"/>
              <w:right w:val="outset" w:color="auto" w:sz="6" w:space="0"/>
            </w:tcBorders>
            <w:vAlign w:val="center"/>
          </w:tcPr>
          <w:p w14:paraId="487A5CB2">
            <w:r>
              <w:rPr>
                <w:rFonts w:hint="eastAsia"/>
              </w:rPr>
              <w:t>七、</w:t>
            </w:r>
            <w:r>
              <w:t>59</w:t>
            </w:r>
          </w:p>
        </w:tc>
        <w:tc>
          <w:tcPr>
            <w:tcW w:w="1411" w:type="pct"/>
            <w:tcBorders>
              <w:top w:val="outset" w:color="auto" w:sz="6" w:space="0"/>
              <w:left w:val="outset" w:color="auto" w:sz="6" w:space="0"/>
              <w:bottom w:val="outset" w:color="auto" w:sz="6" w:space="0"/>
              <w:right w:val="outset" w:color="auto" w:sz="6" w:space="0"/>
            </w:tcBorders>
            <w:vAlign w:val="center"/>
          </w:tcPr>
          <w:p w14:paraId="0722576D">
            <w:pPr>
              <w:jc w:val="right"/>
            </w:pPr>
            <w:r>
              <w:t>426,993,753.64</w:t>
            </w:r>
          </w:p>
        </w:tc>
        <w:tc>
          <w:tcPr>
            <w:tcW w:w="1333" w:type="pct"/>
            <w:tcBorders>
              <w:top w:val="outset" w:color="auto" w:sz="6" w:space="0"/>
              <w:left w:val="outset" w:color="auto" w:sz="6" w:space="0"/>
              <w:bottom w:val="outset" w:color="auto" w:sz="6" w:space="0"/>
              <w:right w:val="outset" w:color="auto" w:sz="6" w:space="0"/>
            </w:tcBorders>
            <w:vAlign w:val="center"/>
          </w:tcPr>
          <w:p w14:paraId="7CDF9DE4">
            <w:pPr>
              <w:jc w:val="right"/>
            </w:pPr>
            <w:r>
              <w:t>426,993,753.64</w:t>
            </w:r>
          </w:p>
        </w:tc>
      </w:tr>
      <w:tr w14:paraId="7415F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048C7C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一般风险准备</w:t>
            </w:r>
          </w:p>
        </w:tc>
        <w:tc>
          <w:tcPr>
            <w:tcW w:w="627" w:type="pct"/>
            <w:tcBorders>
              <w:top w:val="outset" w:color="auto" w:sz="6" w:space="0"/>
              <w:left w:val="outset" w:color="auto" w:sz="6" w:space="0"/>
              <w:bottom w:val="outset" w:color="auto" w:sz="6" w:space="0"/>
              <w:right w:val="outset" w:color="auto" w:sz="6" w:space="0"/>
            </w:tcBorders>
            <w:vAlign w:val="center"/>
          </w:tcPr>
          <w:p w14:paraId="3050A566"/>
        </w:tc>
        <w:tc>
          <w:tcPr>
            <w:tcW w:w="1411" w:type="pct"/>
            <w:tcBorders>
              <w:top w:val="outset" w:color="auto" w:sz="6" w:space="0"/>
              <w:left w:val="outset" w:color="auto" w:sz="6" w:space="0"/>
              <w:bottom w:val="outset" w:color="auto" w:sz="6" w:space="0"/>
              <w:right w:val="outset" w:color="auto" w:sz="6" w:space="0"/>
            </w:tcBorders>
            <w:vAlign w:val="center"/>
          </w:tcPr>
          <w:p w14:paraId="39EA618D">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39808D5">
            <w:pPr>
              <w:jc w:val="right"/>
              <w:rPr>
                <w:rFonts w:eastAsia="Times New Roman" w:cs="Times New Roman"/>
                <w:sz w:val="20"/>
                <w:szCs w:val="20"/>
              </w:rPr>
            </w:pPr>
          </w:p>
        </w:tc>
      </w:tr>
      <w:tr w14:paraId="72B84C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A53A18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未分配利润</w:t>
            </w:r>
          </w:p>
        </w:tc>
        <w:tc>
          <w:tcPr>
            <w:tcW w:w="627" w:type="pct"/>
            <w:tcBorders>
              <w:top w:val="outset" w:color="auto" w:sz="6" w:space="0"/>
              <w:left w:val="outset" w:color="auto" w:sz="6" w:space="0"/>
              <w:bottom w:val="outset" w:color="auto" w:sz="6" w:space="0"/>
              <w:right w:val="outset" w:color="auto" w:sz="6" w:space="0"/>
            </w:tcBorders>
            <w:vAlign w:val="center"/>
          </w:tcPr>
          <w:p w14:paraId="020EF66B">
            <w:r>
              <w:rPr>
                <w:rFonts w:hint="eastAsia"/>
              </w:rPr>
              <w:t>七、</w:t>
            </w:r>
            <w:r>
              <w:t>60</w:t>
            </w:r>
          </w:p>
        </w:tc>
        <w:tc>
          <w:tcPr>
            <w:tcW w:w="1411" w:type="pct"/>
            <w:tcBorders>
              <w:top w:val="outset" w:color="auto" w:sz="6" w:space="0"/>
              <w:left w:val="outset" w:color="auto" w:sz="6" w:space="0"/>
              <w:bottom w:val="outset" w:color="auto" w:sz="6" w:space="0"/>
              <w:right w:val="outset" w:color="auto" w:sz="6" w:space="0"/>
            </w:tcBorders>
            <w:vAlign w:val="center"/>
          </w:tcPr>
          <w:p w14:paraId="2DB85B06">
            <w:pPr>
              <w:jc w:val="right"/>
              <w:rPr>
                <w:rFonts w:ascii="宋体" w:hAnsi="宋体"/>
                <w:sz w:val="24"/>
                <w:szCs w:val="24"/>
              </w:rPr>
            </w:pPr>
            <w:r>
              <w:t>-2,755,900,481.79</w:t>
            </w:r>
          </w:p>
        </w:tc>
        <w:tc>
          <w:tcPr>
            <w:tcW w:w="1333" w:type="pct"/>
            <w:tcBorders>
              <w:top w:val="outset" w:color="auto" w:sz="6" w:space="0"/>
              <w:left w:val="outset" w:color="auto" w:sz="6" w:space="0"/>
              <w:bottom w:val="outset" w:color="auto" w:sz="6" w:space="0"/>
              <w:right w:val="outset" w:color="auto" w:sz="6" w:space="0"/>
            </w:tcBorders>
            <w:vAlign w:val="center"/>
          </w:tcPr>
          <w:p w14:paraId="670DBEEE">
            <w:pPr>
              <w:jc w:val="right"/>
            </w:pPr>
            <w:r>
              <w:t>-2,787,071,264.98</w:t>
            </w:r>
          </w:p>
        </w:tc>
      </w:tr>
      <w:tr w14:paraId="4119E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D123A7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归属于母公司所有者权益（或股东权益）合计</w:t>
            </w:r>
          </w:p>
        </w:tc>
        <w:tc>
          <w:tcPr>
            <w:tcW w:w="627" w:type="pct"/>
            <w:tcBorders>
              <w:top w:val="outset" w:color="auto" w:sz="6" w:space="0"/>
              <w:left w:val="outset" w:color="auto" w:sz="6" w:space="0"/>
              <w:bottom w:val="outset" w:color="auto" w:sz="6" w:space="0"/>
              <w:right w:val="outset" w:color="auto" w:sz="6" w:space="0"/>
            </w:tcBorders>
            <w:vAlign w:val="center"/>
          </w:tcPr>
          <w:p w14:paraId="7EA65E36"/>
        </w:tc>
        <w:tc>
          <w:tcPr>
            <w:tcW w:w="1411" w:type="pct"/>
            <w:tcBorders>
              <w:top w:val="outset" w:color="auto" w:sz="6" w:space="0"/>
              <w:left w:val="outset" w:color="auto" w:sz="6" w:space="0"/>
              <w:bottom w:val="outset" w:color="auto" w:sz="6" w:space="0"/>
              <w:right w:val="outset" w:color="auto" w:sz="6" w:space="0"/>
            </w:tcBorders>
            <w:vAlign w:val="center"/>
          </w:tcPr>
          <w:p w14:paraId="5AD56EDB">
            <w:pPr>
              <w:jc w:val="right"/>
            </w:pPr>
            <w:r>
              <w:t>10,553,937,457.06</w:t>
            </w:r>
          </w:p>
        </w:tc>
        <w:tc>
          <w:tcPr>
            <w:tcW w:w="1333" w:type="pct"/>
            <w:tcBorders>
              <w:top w:val="outset" w:color="auto" w:sz="6" w:space="0"/>
              <w:left w:val="outset" w:color="auto" w:sz="6" w:space="0"/>
              <w:bottom w:val="outset" w:color="auto" w:sz="6" w:space="0"/>
              <w:right w:val="outset" w:color="auto" w:sz="6" w:space="0"/>
            </w:tcBorders>
            <w:vAlign w:val="center"/>
          </w:tcPr>
          <w:p w14:paraId="5B97491C">
            <w:pPr>
              <w:jc w:val="right"/>
            </w:pPr>
            <w:r>
              <w:t>10,511,329,437.11</w:t>
            </w:r>
          </w:p>
        </w:tc>
      </w:tr>
      <w:tr w14:paraId="4CE5B9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55F166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少数股东权益</w:t>
            </w:r>
          </w:p>
        </w:tc>
        <w:tc>
          <w:tcPr>
            <w:tcW w:w="627" w:type="pct"/>
            <w:tcBorders>
              <w:top w:val="outset" w:color="auto" w:sz="6" w:space="0"/>
              <w:left w:val="outset" w:color="auto" w:sz="6" w:space="0"/>
              <w:bottom w:val="outset" w:color="auto" w:sz="6" w:space="0"/>
              <w:right w:val="outset" w:color="auto" w:sz="6" w:space="0"/>
            </w:tcBorders>
            <w:vAlign w:val="center"/>
          </w:tcPr>
          <w:p w14:paraId="1EDCEB70"/>
        </w:tc>
        <w:tc>
          <w:tcPr>
            <w:tcW w:w="1411" w:type="pct"/>
            <w:tcBorders>
              <w:top w:val="outset" w:color="auto" w:sz="6" w:space="0"/>
              <w:left w:val="outset" w:color="auto" w:sz="6" w:space="0"/>
              <w:bottom w:val="outset" w:color="auto" w:sz="6" w:space="0"/>
              <w:right w:val="outset" w:color="auto" w:sz="6" w:space="0"/>
            </w:tcBorders>
            <w:vAlign w:val="center"/>
          </w:tcPr>
          <w:p w14:paraId="179E5991">
            <w:pPr>
              <w:jc w:val="right"/>
            </w:pPr>
            <w:r>
              <w:t>1,008,124,603.93</w:t>
            </w:r>
          </w:p>
        </w:tc>
        <w:tc>
          <w:tcPr>
            <w:tcW w:w="1333" w:type="pct"/>
            <w:tcBorders>
              <w:top w:val="outset" w:color="auto" w:sz="6" w:space="0"/>
              <w:left w:val="outset" w:color="auto" w:sz="6" w:space="0"/>
              <w:bottom w:val="outset" w:color="auto" w:sz="6" w:space="0"/>
              <w:right w:val="outset" w:color="auto" w:sz="6" w:space="0"/>
            </w:tcBorders>
            <w:vAlign w:val="center"/>
          </w:tcPr>
          <w:p w14:paraId="0BDE3125">
            <w:pPr>
              <w:jc w:val="right"/>
            </w:pPr>
            <w:r>
              <w:t>1,153,912,934.45</w:t>
            </w:r>
          </w:p>
        </w:tc>
      </w:tr>
      <w:tr w14:paraId="40DE7F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42432BE">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所有者权益（或股东权益）合计</w:t>
            </w:r>
          </w:p>
        </w:tc>
        <w:tc>
          <w:tcPr>
            <w:tcW w:w="627" w:type="pct"/>
            <w:tcBorders>
              <w:top w:val="outset" w:color="auto" w:sz="6" w:space="0"/>
              <w:left w:val="outset" w:color="auto" w:sz="6" w:space="0"/>
              <w:bottom w:val="outset" w:color="auto" w:sz="6" w:space="0"/>
              <w:right w:val="outset" w:color="auto" w:sz="6" w:space="0"/>
            </w:tcBorders>
            <w:vAlign w:val="center"/>
          </w:tcPr>
          <w:p w14:paraId="682182B5"/>
        </w:tc>
        <w:tc>
          <w:tcPr>
            <w:tcW w:w="1411" w:type="pct"/>
            <w:tcBorders>
              <w:top w:val="outset" w:color="auto" w:sz="6" w:space="0"/>
              <w:left w:val="outset" w:color="auto" w:sz="6" w:space="0"/>
              <w:bottom w:val="outset" w:color="auto" w:sz="6" w:space="0"/>
              <w:right w:val="outset" w:color="auto" w:sz="6" w:space="0"/>
            </w:tcBorders>
            <w:vAlign w:val="center"/>
          </w:tcPr>
          <w:p w14:paraId="05FC4573">
            <w:pPr>
              <w:jc w:val="right"/>
            </w:pPr>
            <w:r>
              <w:t>11,562,062,060.99</w:t>
            </w:r>
          </w:p>
        </w:tc>
        <w:tc>
          <w:tcPr>
            <w:tcW w:w="1333" w:type="pct"/>
            <w:tcBorders>
              <w:top w:val="outset" w:color="auto" w:sz="6" w:space="0"/>
              <w:left w:val="outset" w:color="auto" w:sz="6" w:space="0"/>
              <w:bottom w:val="outset" w:color="auto" w:sz="6" w:space="0"/>
              <w:right w:val="outset" w:color="auto" w:sz="6" w:space="0"/>
            </w:tcBorders>
            <w:vAlign w:val="center"/>
          </w:tcPr>
          <w:p w14:paraId="0B3DF68D">
            <w:pPr>
              <w:jc w:val="right"/>
            </w:pPr>
            <w:r>
              <w:t>11,665,242,371.56</w:t>
            </w:r>
          </w:p>
        </w:tc>
      </w:tr>
      <w:tr w14:paraId="72804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4E5F041">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负债和所有者权益（或股东权益）总计</w:t>
            </w:r>
          </w:p>
        </w:tc>
        <w:tc>
          <w:tcPr>
            <w:tcW w:w="627" w:type="pct"/>
            <w:tcBorders>
              <w:top w:val="outset" w:color="auto" w:sz="6" w:space="0"/>
              <w:left w:val="outset" w:color="auto" w:sz="6" w:space="0"/>
              <w:bottom w:val="outset" w:color="auto" w:sz="6" w:space="0"/>
              <w:right w:val="outset" w:color="auto" w:sz="6" w:space="0"/>
            </w:tcBorders>
            <w:vAlign w:val="center"/>
          </w:tcPr>
          <w:p w14:paraId="201C1650"/>
        </w:tc>
        <w:tc>
          <w:tcPr>
            <w:tcW w:w="1411" w:type="pct"/>
            <w:tcBorders>
              <w:top w:val="outset" w:color="auto" w:sz="6" w:space="0"/>
              <w:left w:val="outset" w:color="auto" w:sz="6" w:space="0"/>
              <w:bottom w:val="outset" w:color="auto" w:sz="6" w:space="0"/>
              <w:right w:val="outset" w:color="auto" w:sz="6" w:space="0"/>
            </w:tcBorders>
            <w:vAlign w:val="center"/>
          </w:tcPr>
          <w:p w14:paraId="17675467">
            <w:pPr>
              <w:jc w:val="right"/>
            </w:pPr>
            <w:r>
              <w:t>22,396,283,301.07</w:t>
            </w:r>
          </w:p>
        </w:tc>
        <w:tc>
          <w:tcPr>
            <w:tcW w:w="1333" w:type="pct"/>
            <w:tcBorders>
              <w:top w:val="outset" w:color="auto" w:sz="6" w:space="0"/>
              <w:left w:val="outset" w:color="auto" w:sz="6" w:space="0"/>
              <w:bottom w:val="outset" w:color="auto" w:sz="6" w:space="0"/>
              <w:right w:val="outset" w:color="auto" w:sz="6" w:space="0"/>
            </w:tcBorders>
            <w:vAlign w:val="center"/>
          </w:tcPr>
          <w:p w14:paraId="524D3419">
            <w:pPr>
              <w:jc w:val="right"/>
            </w:pPr>
            <w:r>
              <w:t>21,713,662,266.54</w:t>
            </w:r>
          </w:p>
        </w:tc>
      </w:tr>
      <w:bookmarkEnd w:id="107"/>
    </w:tbl>
    <w:p w14:paraId="260DA64D">
      <w:pPr>
        <w:rPr>
          <w:color w:val="000000" w:themeColor="text1"/>
          <w14:textFill>
            <w14:solidFill>
              <w14:schemeClr w14:val="tx1"/>
            </w14:solidFill>
          </w14:textFill>
        </w:rPr>
      </w:pPr>
    </w:p>
    <w:p w14:paraId="6E4942E3">
      <w:pPr>
        <w:ind w:right="-153" w:rightChars="-73"/>
        <w:rPr>
          <w:color w:val="000000" w:themeColor="text1"/>
          <w:u w:val="single"/>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82350876809b4479afe9f3c55db147dd"/>
          <w:id w:val="1309827148"/>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印奇</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9caf2fff268b41a7b3fe74fc4a3d6533"/>
          <w:id w:val="-1416473321"/>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黄强</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8cacbe4a6fcc41699e67ce809516ec50"/>
          <w:id w:val="-1680502624"/>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徐衬</w:t>
          </w:r>
        </w:sdtContent>
      </w:sdt>
    </w:p>
    <w:p w14:paraId="73220092">
      <w:pPr>
        <w:ind w:right="-153" w:rightChars="-73"/>
        <w:rPr>
          <w:b/>
          <w:bCs/>
          <w:color w:val="000000" w:themeColor="text1"/>
          <w:u w:val="single"/>
          <w14:textFill>
            <w14:solidFill>
              <w14:schemeClr w14:val="tx1"/>
            </w14:solidFill>
          </w14:textFill>
        </w:rPr>
      </w:pPr>
    </w:p>
    <w:p w14:paraId="13F54B13">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55A8798D">
      <w:pPr>
        <w:snapToGrid w:val="0"/>
        <w:spacing w:line="240" w:lineRule="atLeast"/>
        <w:ind w:right="-1594" w:rightChars="-759"/>
        <w:rPr>
          <w:color w:val="000000" w:themeColor="text1"/>
          <w14:textFill>
            <w14:solidFill>
              <w14:schemeClr w14:val="tx1"/>
            </w14:solidFill>
          </w14:textFill>
        </w:rPr>
      </w:pPr>
    </w:p>
    <w:p w14:paraId="6FCDEF28">
      <w:pPr>
        <w:pStyle w:val="4"/>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母公司</w:t>
      </w:r>
      <w:r>
        <w:rPr>
          <w:rFonts w:ascii="宋体" w:hAnsi="宋体"/>
          <w:color w:val="000000" w:themeColor="text1"/>
          <w14:textFill>
            <w14:solidFill>
              <w14:schemeClr w14:val="tx1"/>
            </w14:solidFill>
          </w14:textFill>
        </w:rPr>
        <w:t>资产负债表</w:t>
      </w:r>
    </w:p>
    <w:p w14:paraId="563C6FB7">
      <w:pPr>
        <w:snapToGrid w:val="0"/>
        <w:spacing w:line="240" w:lineRule="atLeast"/>
        <w:jc w:val="center"/>
        <w:rPr>
          <w:b/>
          <w:color w:val="000000" w:themeColor="text1"/>
          <w14:textFill>
            <w14:solidFill>
              <w14:schemeClr w14:val="tx1"/>
            </w14:solidFill>
          </w14:textFill>
        </w:rPr>
      </w:pPr>
      <w:r>
        <w:rPr>
          <w:color w:val="000000" w:themeColor="text1"/>
          <w14:textFill>
            <w14:solidFill>
              <w14:schemeClr w14:val="tx1"/>
            </w14:solidFill>
          </w14:textFill>
        </w:rPr>
        <w:t>2025年6月30日</w:t>
      </w:r>
    </w:p>
    <w:p w14:paraId="22ED1975">
      <w:pPr>
        <w:rPr>
          <w:color w:val="000000" w:themeColor="text1"/>
          <w14:textFill>
            <w14:solidFill>
              <w14:schemeClr w14:val="tx1"/>
            </w14:solidFill>
          </w14:textFill>
        </w:rPr>
      </w:pPr>
      <w:r>
        <w:rPr>
          <w:color w:val="000000" w:themeColor="text1"/>
          <w14:textFill>
            <w14:solidFill>
              <w14:schemeClr w14:val="tx1"/>
            </w14:solidFill>
          </w14:textFill>
        </w:rPr>
        <w:t>编制单位：</w:t>
      </w:r>
      <w:sdt>
        <w:sdtPr>
          <w:rPr>
            <w:color w:val="000000" w:themeColor="text1"/>
            <w14:textFill>
              <w14:solidFill>
                <w14:schemeClr w14:val="tx1"/>
              </w14:solidFill>
            </w14:textFill>
          </w:rPr>
          <w:alias w:val="公司法定中文名称"/>
          <w:tag w:val="_GBC_824a3e7402834e78aa66a9ee77d287bc"/>
          <w:id w:val="-1212183937"/>
          <w:placeholder>
            <w:docPart w:val="GBC22222222222222222222222222222"/>
          </w:placeholder>
          <w:dataBinding w:prefixMappings="xmlns:clcid-cgi='clcid-cgi'" w:xpath="/*/clcid-cgi:GongSiFaDingZhongWenMingCheng[not(@periodRef)]" w:storeItemID="{89EBAB94-44A0-46A2-B712-30D997D04A6D}"/>
          <w:text/>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重庆千里科技股份有限公司</w:t>
          </w:r>
        </w:sdtContent>
      </w:sdt>
      <w:r>
        <w:rPr>
          <w:color w:val="000000" w:themeColor="text1"/>
          <w14:textFill>
            <w14:solidFill>
              <w14:schemeClr w14:val="tx1"/>
            </w14:solidFill>
          </w14:textFill>
        </w:rPr>
        <w:t> </w:t>
      </w:r>
    </w:p>
    <w:p w14:paraId="746FECC6">
      <w:pPr>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母公司资产负债表"/>
          <w:tag w:val="_GBC_7be010b1a07f4048a3805d40208ccda4"/>
          <w:id w:val="-18473862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母公司资产负债表"/>
          <w:tag w:val="_GBC_ecd35f8ce6f84d6f8ad30e1e244c15ff"/>
          <w:id w:val="-16840494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14:paraId="0A95CC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b231a79acb54050b640bf23dd34ab8c"/>
            <w:id w:val="897717296"/>
          </w:sdtPr>
          <w:sdtContent>
            <w:tc>
              <w:tcPr>
                <w:tcW w:w="1629" w:type="pct"/>
                <w:tcBorders>
                  <w:top w:val="outset" w:color="auto" w:sz="6" w:space="0"/>
                  <w:left w:val="outset" w:color="auto" w:sz="6" w:space="0"/>
                  <w:bottom w:val="outset" w:color="auto" w:sz="6" w:space="0"/>
                  <w:right w:val="outset" w:color="auto" w:sz="6" w:space="0"/>
                </w:tcBorders>
                <w:vAlign w:val="center"/>
              </w:tcPr>
              <w:p w14:paraId="0B53ADBA">
                <w:pPr>
                  <w:jc w:val="center"/>
                  <w:rPr>
                    <w:b/>
                    <w:bCs/>
                    <w:color w:val="000000" w:themeColor="text1"/>
                    <w14:textFill>
                      <w14:solidFill>
                        <w14:schemeClr w14:val="tx1"/>
                      </w14:solidFill>
                    </w14:textFill>
                  </w:rPr>
                </w:pPr>
                <w:bookmarkStart w:id="108" w:name="_Hlk105686791"/>
                <w:r>
                  <w:rPr>
                    <w:b/>
                    <w:color w:val="000000" w:themeColor="text1"/>
                    <w14:textFill>
                      <w14:solidFill>
                        <w14:schemeClr w14:val="tx1"/>
                      </w14:solidFill>
                    </w14:textFill>
                  </w:rPr>
                  <w:t>项目</w:t>
                </w:r>
              </w:p>
            </w:tc>
          </w:sdtContent>
        </w:sdt>
        <w:sdt>
          <w:sdtPr>
            <w:tag w:val="_PLD_5e370aa08a144a709185abd9b2f11c20"/>
            <w:id w:val="-744645250"/>
          </w:sdtPr>
          <w:sdtContent>
            <w:tc>
              <w:tcPr>
                <w:tcW w:w="627" w:type="pct"/>
                <w:tcBorders>
                  <w:top w:val="outset" w:color="auto" w:sz="6" w:space="0"/>
                  <w:left w:val="outset" w:color="auto" w:sz="6" w:space="0"/>
                  <w:bottom w:val="outset" w:color="auto" w:sz="6" w:space="0"/>
                  <w:right w:val="outset" w:color="auto" w:sz="6" w:space="0"/>
                </w:tcBorders>
                <w:vAlign w:val="center"/>
              </w:tcPr>
              <w:p w14:paraId="0E8585D6">
                <w:pPr>
                  <w:jc w:val="center"/>
                  <w:rPr>
                    <w:b/>
                    <w:bCs/>
                    <w:color w:val="000000" w:themeColor="text1"/>
                    <w14:textFill>
                      <w14:solidFill>
                        <w14:schemeClr w14:val="tx1"/>
                      </w14:solidFill>
                    </w14:textFill>
                  </w:rPr>
                </w:pPr>
                <w:r>
                  <w:rPr>
                    <w:rFonts w:hint="eastAsia"/>
                    <w:b/>
                    <w:color w:val="000000" w:themeColor="text1"/>
                    <w14:textFill>
                      <w14:solidFill>
                        <w14:schemeClr w14:val="tx1"/>
                      </w14:solidFill>
                    </w14:textFill>
                  </w:rPr>
                  <w:t>附注</w:t>
                </w:r>
              </w:p>
            </w:tc>
          </w:sdtContent>
        </w:sdt>
        <w:sdt>
          <w:sdtPr>
            <w:tag w:val="_PLD_0aa0a7a0cd4c45afa7cfb1bcfbba36c3"/>
            <w:id w:val="1136756557"/>
          </w:sdtPr>
          <w:sdtContent>
            <w:tc>
              <w:tcPr>
                <w:tcW w:w="1411" w:type="pct"/>
                <w:tcBorders>
                  <w:top w:val="outset" w:color="auto" w:sz="6" w:space="0"/>
                  <w:left w:val="outset" w:color="auto" w:sz="6" w:space="0"/>
                  <w:bottom w:val="outset" w:color="auto" w:sz="6" w:space="0"/>
                  <w:right w:val="outset" w:color="auto" w:sz="6" w:space="0"/>
                </w:tcBorders>
                <w:vAlign w:val="center"/>
              </w:tcPr>
              <w:p w14:paraId="21F0BB40">
                <w:pPr>
                  <w:jc w:val="center"/>
                  <w:rPr>
                    <w:b/>
                    <w:bCs/>
                    <w:color w:val="000000" w:themeColor="text1"/>
                    <w14:textFill>
                      <w14:solidFill>
                        <w14:schemeClr w14:val="tx1"/>
                      </w14:solidFill>
                    </w14:textFill>
                  </w:rPr>
                </w:pPr>
                <w:r>
                  <w:rPr>
                    <w:rFonts w:hint="eastAsia"/>
                    <w:b/>
                    <w:color w:val="000000" w:themeColor="text1"/>
                    <w14:textFill>
                      <w14:solidFill>
                        <w14:schemeClr w14:val="tx1"/>
                      </w14:solidFill>
                    </w14:textFill>
                  </w:rPr>
                  <w:t>2025年6月</w:t>
                </w: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0日</w:t>
                </w:r>
              </w:p>
            </w:tc>
          </w:sdtContent>
        </w:sdt>
        <w:sdt>
          <w:sdtPr>
            <w:tag w:val="_PLD_e986dda0dbc74346a9296e5a4646b696"/>
            <w:id w:val="-289662740"/>
          </w:sdtPr>
          <w:sdtContent>
            <w:tc>
              <w:tcPr>
                <w:tcW w:w="1333" w:type="pct"/>
                <w:tcBorders>
                  <w:top w:val="outset" w:color="auto" w:sz="6" w:space="0"/>
                  <w:left w:val="outset" w:color="auto" w:sz="6" w:space="0"/>
                  <w:bottom w:val="outset" w:color="auto" w:sz="6" w:space="0"/>
                  <w:right w:val="outset" w:color="auto" w:sz="6" w:space="0"/>
                </w:tcBorders>
                <w:vAlign w:val="center"/>
              </w:tcPr>
              <w:p w14:paraId="1E0D5908">
                <w:pPr>
                  <w:jc w:val="center"/>
                  <w:rPr>
                    <w:b/>
                    <w:bCs/>
                    <w:color w:val="000000" w:themeColor="text1"/>
                    <w14:textFill>
                      <w14:solidFill>
                        <w14:schemeClr w14:val="tx1"/>
                      </w14:solidFill>
                    </w14:textFill>
                  </w:rPr>
                </w:pPr>
                <w:r>
                  <w:rPr>
                    <w:b/>
                    <w:color w:val="000000" w:themeColor="text1"/>
                    <w14:textFill>
                      <w14:solidFill>
                        <w14:schemeClr w14:val="tx1"/>
                      </w14:solidFill>
                    </w14:textFill>
                  </w:rPr>
                  <w:t>2024年12月31日</w:t>
                </w:r>
              </w:p>
            </w:tc>
          </w:sdtContent>
        </w:sdt>
      </w:tr>
      <w:tr w14:paraId="37A71E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ae72669eea4837a1a220d585585bdf"/>
            <w:id w:val="1891072991"/>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23DFDD55">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流动资产：</w:t>
                </w:r>
              </w:p>
            </w:tc>
          </w:sdtContent>
        </w:sdt>
      </w:tr>
      <w:tr w14:paraId="751C3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A620AE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货币资金</w:t>
            </w:r>
          </w:p>
        </w:tc>
        <w:tc>
          <w:tcPr>
            <w:tcW w:w="627" w:type="pct"/>
            <w:tcBorders>
              <w:top w:val="outset" w:color="auto" w:sz="6" w:space="0"/>
              <w:left w:val="outset" w:color="auto" w:sz="6" w:space="0"/>
              <w:bottom w:val="outset" w:color="auto" w:sz="6" w:space="0"/>
              <w:right w:val="outset" w:color="auto" w:sz="6" w:space="0"/>
            </w:tcBorders>
            <w:vAlign w:val="center"/>
          </w:tcPr>
          <w:p w14:paraId="303CB6C4"/>
        </w:tc>
        <w:tc>
          <w:tcPr>
            <w:tcW w:w="1411" w:type="pct"/>
            <w:tcBorders>
              <w:top w:val="outset" w:color="auto" w:sz="6" w:space="0"/>
              <w:left w:val="outset" w:color="auto" w:sz="6" w:space="0"/>
              <w:bottom w:val="outset" w:color="auto" w:sz="6" w:space="0"/>
              <w:right w:val="outset" w:color="auto" w:sz="6" w:space="0"/>
            </w:tcBorders>
            <w:vAlign w:val="center"/>
          </w:tcPr>
          <w:p w14:paraId="0EFB825E">
            <w:pPr>
              <w:jc w:val="right"/>
            </w:pPr>
            <w:r>
              <w:t>483,783,974.49</w:t>
            </w:r>
          </w:p>
        </w:tc>
        <w:tc>
          <w:tcPr>
            <w:tcW w:w="1333" w:type="pct"/>
            <w:tcBorders>
              <w:top w:val="outset" w:color="auto" w:sz="6" w:space="0"/>
              <w:left w:val="outset" w:color="auto" w:sz="6" w:space="0"/>
              <w:bottom w:val="outset" w:color="auto" w:sz="6" w:space="0"/>
              <w:right w:val="outset" w:color="auto" w:sz="6" w:space="0"/>
            </w:tcBorders>
            <w:vAlign w:val="center"/>
          </w:tcPr>
          <w:p w14:paraId="24953F6A">
            <w:pPr>
              <w:jc w:val="right"/>
            </w:pPr>
            <w:r>
              <w:t>435,119,516.06</w:t>
            </w:r>
          </w:p>
        </w:tc>
      </w:tr>
      <w:tr w14:paraId="1809F2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D16BAD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交易性金融资产</w:t>
            </w:r>
          </w:p>
        </w:tc>
        <w:tc>
          <w:tcPr>
            <w:tcW w:w="627" w:type="pct"/>
            <w:tcBorders>
              <w:top w:val="outset" w:color="auto" w:sz="6" w:space="0"/>
              <w:left w:val="outset" w:color="auto" w:sz="6" w:space="0"/>
              <w:bottom w:val="outset" w:color="auto" w:sz="6" w:space="0"/>
              <w:right w:val="outset" w:color="auto" w:sz="6" w:space="0"/>
            </w:tcBorders>
            <w:vAlign w:val="center"/>
          </w:tcPr>
          <w:p w14:paraId="0D130CC5"/>
        </w:tc>
        <w:tc>
          <w:tcPr>
            <w:tcW w:w="1411" w:type="pct"/>
            <w:tcBorders>
              <w:top w:val="outset" w:color="auto" w:sz="6" w:space="0"/>
              <w:left w:val="outset" w:color="auto" w:sz="6" w:space="0"/>
              <w:bottom w:val="outset" w:color="auto" w:sz="6" w:space="0"/>
              <w:right w:val="outset" w:color="auto" w:sz="6" w:space="0"/>
            </w:tcBorders>
            <w:vAlign w:val="center"/>
          </w:tcPr>
          <w:p w14:paraId="20E9DC2A">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3C914F45">
            <w:pPr>
              <w:jc w:val="right"/>
              <w:rPr>
                <w:rFonts w:eastAsia="Times New Roman" w:cs="Times New Roman"/>
                <w:sz w:val="20"/>
                <w:szCs w:val="20"/>
              </w:rPr>
            </w:pPr>
          </w:p>
        </w:tc>
      </w:tr>
      <w:tr w14:paraId="586C04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7298F7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衍生金融资产</w:t>
            </w:r>
          </w:p>
        </w:tc>
        <w:tc>
          <w:tcPr>
            <w:tcW w:w="627" w:type="pct"/>
            <w:tcBorders>
              <w:top w:val="outset" w:color="auto" w:sz="6" w:space="0"/>
              <w:left w:val="outset" w:color="auto" w:sz="6" w:space="0"/>
              <w:bottom w:val="outset" w:color="auto" w:sz="6" w:space="0"/>
              <w:right w:val="outset" w:color="auto" w:sz="6" w:space="0"/>
            </w:tcBorders>
            <w:vAlign w:val="center"/>
          </w:tcPr>
          <w:p w14:paraId="76E8AE42"/>
        </w:tc>
        <w:tc>
          <w:tcPr>
            <w:tcW w:w="1411" w:type="pct"/>
            <w:tcBorders>
              <w:top w:val="outset" w:color="auto" w:sz="6" w:space="0"/>
              <w:left w:val="outset" w:color="auto" w:sz="6" w:space="0"/>
              <w:bottom w:val="outset" w:color="auto" w:sz="6" w:space="0"/>
              <w:right w:val="outset" w:color="auto" w:sz="6" w:space="0"/>
            </w:tcBorders>
            <w:vAlign w:val="center"/>
          </w:tcPr>
          <w:p w14:paraId="2B906B97">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049B796E">
            <w:pPr>
              <w:jc w:val="right"/>
              <w:rPr>
                <w:rFonts w:eastAsia="Times New Roman" w:cs="Times New Roman"/>
                <w:sz w:val="20"/>
                <w:szCs w:val="20"/>
              </w:rPr>
            </w:pPr>
          </w:p>
        </w:tc>
      </w:tr>
      <w:tr w14:paraId="06D449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CDE762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应收票据</w:t>
            </w:r>
          </w:p>
        </w:tc>
        <w:tc>
          <w:tcPr>
            <w:tcW w:w="627" w:type="pct"/>
            <w:tcBorders>
              <w:top w:val="outset" w:color="auto" w:sz="6" w:space="0"/>
              <w:left w:val="outset" w:color="auto" w:sz="6" w:space="0"/>
              <w:bottom w:val="outset" w:color="auto" w:sz="6" w:space="0"/>
              <w:right w:val="outset" w:color="auto" w:sz="6" w:space="0"/>
            </w:tcBorders>
            <w:vAlign w:val="center"/>
          </w:tcPr>
          <w:p w14:paraId="73E79AEC"/>
        </w:tc>
        <w:tc>
          <w:tcPr>
            <w:tcW w:w="1411" w:type="pct"/>
            <w:tcBorders>
              <w:top w:val="outset" w:color="auto" w:sz="6" w:space="0"/>
              <w:left w:val="outset" w:color="auto" w:sz="6" w:space="0"/>
              <w:bottom w:val="outset" w:color="auto" w:sz="6" w:space="0"/>
              <w:right w:val="outset" w:color="auto" w:sz="6" w:space="0"/>
            </w:tcBorders>
            <w:vAlign w:val="center"/>
          </w:tcPr>
          <w:p w14:paraId="7196B018">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1F91F47C">
            <w:pPr>
              <w:jc w:val="right"/>
              <w:rPr>
                <w:rFonts w:eastAsia="Times New Roman" w:cs="Times New Roman"/>
                <w:sz w:val="20"/>
                <w:szCs w:val="20"/>
              </w:rPr>
            </w:pPr>
          </w:p>
        </w:tc>
      </w:tr>
      <w:tr w14:paraId="7A15EF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403246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w:t>
            </w:r>
          </w:p>
        </w:tc>
        <w:tc>
          <w:tcPr>
            <w:tcW w:w="627" w:type="pct"/>
            <w:tcBorders>
              <w:top w:val="outset" w:color="auto" w:sz="6" w:space="0"/>
              <w:left w:val="outset" w:color="auto" w:sz="6" w:space="0"/>
              <w:bottom w:val="outset" w:color="auto" w:sz="6" w:space="0"/>
              <w:right w:val="outset" w:color="auto" w:sz="6" w:space="0"/>
            </w:tcBorders>
            <w:vAlign w:val="center"/>
          </w:tcPr>
          <w:p w14:paraId="5F04F8BA"/>
        </w:tc>
        <w:tc>
          <w:tcPr>
            <w:tcW w:w="1411" w:type="pct"/>
            <w:tcBorders>
              <w:top w:val="outset" w:color="auto" w:sz="6" w:space="0"/>
              <w:left w:val="outset" w:color="auto" w:sz="6" w:space="0"/>
              <w:bottom w:val="outset" w:color="auto" w:sz="6" w:space="0"/>
              <w:right w:val="outset" w:color="auto" w:sz="6" w:space="0"/>
            </w:tcBorders>
            <w:vAlign w:val="center"/>
          </w:tcPr>
          <w:p w14:paraId="7C1A9C6D">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0F80B74E">
            <w:pPr>
              <w:jc w:val="right"/>
              <w:rPr>
                <w:rFonts w:eastAsia="Times New Roman" w:cs="Times New Roman"/>
                <w:sz w:val="20"/>
                <w:szCs w:val="20"/>
              </w:rPr>
            </w:pPr>
          </w:p>
        </w:tc>
      </w:tr>
      <w:tr w14:paraId="32FEB8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B31BFD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应收款项融资</w:t>
            </w:r>
          </w:p>
        </w:tc>
        <w:tc>
          <w:tcPr>
            <w:tcW w:w="627" w:type="pct"/>
            <w:tcBorders>
              <w:top w:val="outset" w:color="auto" w:sz="6" w:space="0"/>
              <w:left w:val="outset" w:color="auto" w:sz="6" w:space="0"/>
              <w:bottom w:val="outset" w:color="auto" w:sz="6" w:space="0"/>
              <w:right w:val="outset" w:color="auto" w:sz="6" w:space="0"/>
            </w:tcBorders>
            <w:vAlign w:val="center"/>
          </w:tcPr>
          <w:p w14:paraId="15F9A7F4"/>
        </w:tc>
        <w:tc>
          <w:tcPr>
            <w:tcW w:w="1411" w:type="pct"/>
            <w:tcBorders>
              <w:top w:val="outset" w:color="auto" w:sz="6" w:space="0"/>
              <w:left w:val="outset" w:color="auto" w:sz="6" w:space="0"/>
              <w:bottom w:val="outset" w:color="auto" w:sz="6" w:space="0"/>
              <w:right w:val="outset" w:color="auto" w:sz="6" w:space="0"/>
            </w:tcBorders>
            <w:vAlign w:val="center"/>
          </w:tcPr>
          <w:p w14:paraId="1D5EE68B">
            <w:pPr>
              <w:jc w:val="right"/>
              <w:rPr>
                <w:rFonts w:ascii="宋体" w:hAnsi="宋体"/>
                <w:sz w:val="24"/>
                <w:szCs w:val="24"/>
              </w:rPr>
            </w:pPr>
            <w:r>
              <w:t>112,866.97</w:t>
            </w:r>
          </w:p>
        </w:tc>
        <w:tc>
          <w:tcPr>
            <w:tcW w:w="1333" w:type="pct"/>
            <w:tcBorders>
              <w:top w:val="outset" w:color="auto" w:sz="6" w:space="0"/>
              <w:left w:val="outset" w:color="auto" w:sz="6" w:space="0"/>
              <w:bottom w:val="outset" w:color="auto" w:sz="6" w:space="0"/>
              <w:right w:val="outset" w:color="auto" w:sz="6" w:space="0"/>
            </w:tcBorders>
            <w:vAlign w:val="center"/>
          </w:tcPr>
          <w:p w14:paraId="398CAE5A">
            <w:pPr>
              <w:jc w:val="right"/>
            </w:pPr>
          </w:p>
        </w:tc>
      </w:tr>
      <w:tr w14:paraId="4B6249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0C3440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预付款项</w:t>
            </w:r>
          </w:p>
        </w:tc>
        <w:tc>
          <w:tcPr>
            <w:tcW w:w="627" w:type="pct"/>
            <w:tcBorders>
              <w:top w:val="outset" w:color="auto" w:sz="6" w:space="0"/>
              <w:left w:val="outset" w:color="auto" w:sz="6" w:space="0"/>
              <w:bottom w:val="outset" w:color="auto" w:sz="6" w:space="0"/>
              <w:right w:val="outset" w:color="auto" w:sz="6" w:space="0"/>
            </w:tcBorders>
            <w:vAlign w:val="center"/>
          </w:tcPr>
          <w:p w14:paraId="3903CA04"/>
        </w:tc>
        <w:tc>
          <w:tcPr>
            <w:tcW w:w="1411" w:type="pct"/>
            <w:tcBorders>
              <w:top w:val="outset" w:color="auto" w:sz="6" w:space="0"/>
              <w:left w:val="outset" w:color="auto" w:sz="6" w:space="0"/>
              <w:bottom w:val="outset" w:color="auto" w:sz="6" w:space="0"/>
              <w:right w:val="outset" w:color="auto" w:sz="6" w:space="0"/>
            </w:tcBorders>
            <w:vAlign w:val="center"/>
          </w:tcPr>
          <w:p w14:paraId="3523289C">
            <w:pPr>
              <w:jc w:val="right"/>
              <w:rPr>
                <w:rFonts w:ascii="宋体" w:hAnsi="宋体"/>
                <w:sz w:val="24"/>
                <w:szCs w:val="24"/>
              </w:rPr>
            </w:pPr>
            <w:r>
              <w:t>95,828.95</w:t>
            </w:r>
          </w:p>
        </w:tc>
        <w:tc>
          <w:tcPr>
            <w:tcW w:w="1333" w:type="pct"/>
            <w:tcBorders>
              <w:top w:val="outset" w:color="auto" w:sz="6" w:space="0"/>
              <w:left w:val="outset" w:color="auto" w:sz="6" w:space="0"/>
              <w:bottom w:val="outset" w:color="auto" w:sz="6" w:space="0"/>
              <w:right w:val="outset" w:color="auto" w:sz="6" w:space="0"/>
            </w:tcBorders>
            <w:vAlign w:val="center"/>
          </w:tcPr>
          <w:p w14:paraId="32C48A9F">
            <w:pPr>
              <w:jc w:val="right"/>
            </w:pPr>
            <w:r>
              <w:t>700,278.35</w:t>
            </w:r>
          </w:p>
        </w:tc>
      </w:tr>
      <w:tr w14:paraId="6A74D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2C7417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w:t>
            </w:r>
          </w:p>
        </w:tc>
        <w:tc>
          <w:tcPr>
            <w:tcW w:w="627" w:type="pct"/>
            <w:tcBorders>
              <w:top w:val="outset" w:color="auto" w:sz="6" w:space="0"/>
              <w:left w:val="outset" w:color="auto" w:sz="6" w:space="0"/>
              <w:bottom w:val="outset" w:color="auto" w:sz="6" w:space="0"/>
              <w:right w:val="outset" w:color="auto" w:sz="6" w:space="0"/>
            </w:tcBorders>
            <w:vAlign w:val="center"/>
          </w:tcPr>
          <w:p w14:paraId="3B25A65E">
            <w:r>
              <w:rPr>
                <w:rFonts w:hint="eastAsia"/>
              </w:rPr>
              <w:t>十九、</w:t>
            </w:r>
            <w:r>
              <w:t>2</w:t>
            </w:r>
          </w:p>
        </w:tc>
        <w:tc>
          <w:tcPr>
            <w:tcW w:w="1411" w:type="pct"/>
            <w:tcBorders>
              <w:top w:val="outset" w:color="auto" w:sz="6" w:space="0"/>
              <w:left w:val="outset" w:color="auto" w:sz="6" w:space="0"/>
              <w:bottom w:val="outset" w:color="auto" w:sz="6" w:space="0"/>
              <w:right w:val="outset" w:color="auto" w:sz="6" w:space="0"/>
            </w:tcBorders>
            <w:vAlign w:val="center"/>
          </w:tcPr>
          <w:p w14:paraId="3B258744">
            <w:pPr>
              <w:jc w:val="right"/>
            </w:pPr>
            <w:r>
              <w:t>5,779,046,242.06</w:t>
            </w:r>
          </w:p>
        </w:tc>
        <w:tc>
          <w:tcPr>
            <w:tcW w:w="1333" w:type="pct"/>
            <w:tcBorders>
              <w:top w:val="outset" w:color="auto" w:sz="6" w:space="0"/>
              <w:left w:val="outset" w:color="auto" w:sz="6" w:space="0"/>
              <w:bottom w:val="outset" w:color="auto" w:sz="6" w:space="0"/>
              <w:right w:val="outset" w:color="auto" w:sz="6" w:space="0"/>
            </w:tcBorders>
            <w:vAlign w:val="center"/>
          </w:tcPr>
          <w:p w14:paraId="265BEBB6">
            <w:pPr>
              <w:jc w:val="right"/>
            </w:pPr>
            <w:r>
              <w:t>5,777,624,889.99</w:t>
            </w:r>
          </w:p>
        </w:tc>
      </w:tr>
      <w:tr w14:paraId="1832E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2E8BD1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其中：应收利息</w:t>
            </w:r>
          </w:p>
        </w:tc>
        <w:tc>
          <w:tcPr>
            <w:tcW w:w="627" w:type="pct"/>
            <w:tcBorders>
              <w:top w:val="outset" w:color="auto" w:sz="6" w:space="0"/>
              <w:left w:val="outset" w:color="auto" w:sz="6" w:space="0"/>
              <w:bottom w:val="outset" w:color="auto" w:sz="6" w:space="0"/>
              <w:right w:val="outset" w:color="auto" w:sz="6" w:space="0"/>
            </w:tcBorders>
            <w:vAlign w:val="center"/>
          </w:tcPr>
          <w:p w14:paraId="0E395B4E">
            <w:r>
              <w:rPr>
                <w:rFonts w:hint="eastAsia"/>
              </w:rPr>
              <w:t>十九、2</w:t>
            </w:r>
          </w:p>
        </w:tc>
        <w:tc>
          <w:tcPr>
            <w:tcW w:w="1411" w:type="pct"/>
            <w:tcBorders>
              <w:top w:val="outset" w:color="auto" w:sz="6" w:space="0"/>
              <w:left w:val="outset" w:color="auto" w:sz="6" w:space="0"/>
              <w:bottom w:val="outset" w:color="auto" w:sz="6" w:space="0"/>
              <w:right w:val="outset" w:color="auto" w:sz="6" w:space="0"/>
            </w:tcBorders>
            <w:vAlign w:val="center"/>
          </w:tcPr>
          <w:p w14:paraId="56C09234">
            <w:pPr>
              <w:jc w:val="right"/>
            </w:pPr>
            <w:r>
              <w:t>50,327,624.50</w:t>
            </w:r>
          </w:p>
        </w:tc>
        <w:tc>
          <w:tcPr>
            <w:tcW w:w="1333" w:type="pct"/>
            <w:tcBorders>
              <w:top w:val="outset" w:color="auto" w:sz="6" w:space="0"/>
              <w:left w:val="outset" w:color="auto" w:sz="6" w:space="0"/>
              <w:bottom w:val="outset" w:color="auto" w:sz="6" w:space="0"/>
              <w:right w:val="outset" w:color="auto" w:sz="6" w:space="0"/>
            </w:tcBorders>
            <w:vAlign w:val="center"/>
          </w:tcPr>
          <w:p w14:paraId="4D13183B">
            <w:pPr>
              <w:jc w:val="right"/>
            </w:pPr>
            <w:r>
              <w:t>42,123,029.60</w:t>
            </w:r>
          </w:p>
        </w:tc>
      </w:tr>
      <w:tr w14:paraId="432D00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B44D6FA">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应收股利</w:t>
            </w:r>
          </w:p>
        </w:tc>
        <w:tc>
          <w:tcPr>
            <w:tcW w:w="627" w:type="pct"/>
            <w:tcBorders>
              <w:top w:val="outset" w:color="auto" w:sz="6" w:space="0"/>
              <w:left w:val="outset" w:color="auto" w:sz="6" w:space="0"/>
              <w:bottom w:val="outset" w:color="auto" w:sz="6" w:space="0"/>
              <w:right w:val="outset" w:color="auto" w:sz="6" w:space="0"/>
            </w:tcBorders>
            <w:vAlign w:val="center"/>
          </w:tcPr>
          <w:p w14:paraId="2E4F4DA9">
            <w:r>
              <w:rPr>
                <w:rFonts w:hint="eastAsia"/>
              </w:rPr>
              <w:t>十九、2</w:t>
            </w:r>
          </w:p>
        </w:tc>
        <w:tc>
          <w:tcPr>
            <w:tcW w:w="1411" w:type="pct"/>
            <w:tcBorders>
              <w:top w:val="outset" w:color="auto" w:sz="6" w:space="0"/>
              <w:left w:val="outset" w:color="auto" w:sz="6" w:space="0"/>
              <w:bottom w:val="outset" w:color="auto" w:sz="6" w:space="0"/>
              <w:right w:val="outset" w:color="auto" w:sz="6" w:space="0"/>
            </w:tcBorders>
            <w:vAlign w:val="center"/>
          </w:tcPr>
          <w:p w14:paraId="490BDB89">
            <w:pPr>
              <w:jc w:val="right"/>
            </w:pPr>
            <w:r>
              <w:t>19,171,026.48</w:t>
            </w:r>
          </w:p>
        </w:tc>
        <w:tc>
          <w:tcPr>
            <w:tcW w:w="1333" w:type="pct"/>
            <w:tcBorders>
              <w:top w:val="outset" w:color="auto" w:sz="6" w:space="0"/>
              <w:left w:val="outset" w:color="auto" w:sz="6" w:space="0"/>
              <w:bottom w:val="outset" w:color="auto" w:sz="6" w:space="0"/>
              <w:right w:val="outset" w:color="auto" w:sz="6" w:space="0"/>
            </w:tcBorders>
            <w:vAlign w:val="center"/>
          </w:tcPr>
          <w:p w14:paraId="01908D5A">
            <w:pPr>
              <w:jc w:val="right"/>
            </w:pPr>
            <w:r>
              <w:t>19,171,026.48</w:t>
            </w:r>
          </w:p>
        </w:tc>
      </w:tr>
      <w:tr w14:paraId="13B118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F4102D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存货</w:t>
            </w:r>
          </w:p>
        </w:tc>
        <w:tc>
          <w:tcPr>
            <w:tcW w:w="627" w:type="pct"/>
            <w:tcBorders>
              <w:top w:val="outset" w:color="auto" w:sz="6" w:space="0"/>
              <w:left w:val="outset" w:color="auto" w:sz="6" w:space="0"/>
              <w:bottom w:val="outset" w:color="auto" w:sz="6" w:space="0"/>
              <w:right w:val="outset" w:color="auto" w:sz="6" w:space="0"/>
            </w:tcBorders>
            <w:vAlign w:val="center"/>
          </w:tcPr>
          <w:p w14:paraId="2CF12A2C"/>
        </w:tc>
        <w:tc>
          <w:tcPr>
            <w:tcW w:w="1411" w:type="pct"/>
            <w:tcBorders>
              <w:top w:val="outset" w:color="auto" w:sz="6" w:space="0"/>
              <w:left w:val="outset" w:color="auto" w:sz="6" w:space="0"/>
              <w:bottom w:val="outset" w:color="auto" w:sz="6" w:space="0"/>
              <w:right w:val="outset" w:color="auto" w:sz="6" w:space="0"/>
            </w:tcBorders>
            <w:vAlign w:val="center"/>
          </w:tcPr>
          <w:p w14:paraId="789CDE1C">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63A97A6">
            <w:pPr>
              <w:jc w:val="right"/>
            </w:pPr>
          </w:p>
        </w:tc>
      </w:tr>
      <w:tr w14:paraId="4E2745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234264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vAlign w:val="center"/>
          </w:tcPr>
          <w:p w14:paraId="35D76F4C"/>
        </w:tc>
        <w:tc>
          <w:tcPr>
            <w:tcW w:w="1411" w:type="pct"/>
            <w:tcBorders>
              <w:top w:val="outset" w:color="auto" w:sz="6" w:space="0"/>
              <w:left w:val="outset" w:color="auto" w:sz="6" w:space="0"/>
              <w:bottom w:val="outset" w:color="auto" w:sz="6" w:space="0"/>
              <w:right w:val="outset" w:color="auto" w:sz="6" w:space="0"/>
            </w:tcBorders>
            <w:vAlign w:val="center"/>
          </w:tcPr>
          <w:p w14:paraId="34035F0B">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2DF6289E">
            <w:pPr>
              <w:jc w:val="right"/>
            </w:pPr>
          </w:p>
        </w:tc>
      </w:tr>
      <w:tr w14:paraId="72E8FE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595D52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合同资产</w:t>
            </w:r>
          </w:p>
        </w:tc>
        <w:tc>
          <w:tcPr>
            <w:tcW w:w="627" w:type="pct"/>
            <w:tcBorders>
              <w:top w:val="outset" w:color="auto" w:sz="6" w:space="0"/>
              <w:left w:val="outset" w:color="auto" w:sz="6" w:space="0"/>
              <w:bottom w:val="outset" w:color="auto" w:sz="6" w:space="0"/>
              <w:right w:val="outset" w:color="auto" w:sz="6" w:space="0"/>
            </w:tcBorders>
            <w:vAlign w:val="center"/>
          </w:tcPr>
          <w:p w14:paraId="68FE9DA7"/>
        </w:tc>
        <w:tc>
          <w:tcPr>
            <w:tcW w:w="1411" w:type="pct"/>
            <w:tcBorders>
              <w:top w:val="outset" w:color="auto" w:sz="6" w:space="0"/>
              <w:left w:val="outset" w:color="auto" w:sz="6" w:space="0"/>
              <w:bottom w:val="outset" w:color="auto" w:sz="6" w:space="0"/>
              <w:right w:val="outset" w:color="auto" w:sz="6" w:space="0"/>
            </w:tcBorders>
            <w:vAlign w:val="center"/>
          </w:tcPr>
          <w:p w14:paraId="4CD95103">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527026FC">
            <w:pPr>
              <w:jc w:val="right"/>
            </w:pPr>
          </w:p>
        </w:tc>
      </w:tr>
      <w:tr w14:paraId="57665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7D1B81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持有待售资产</w:t>
            </w:r>
          </w:p>
        </w:tc>
        <w:tc>
          <w:tcPr>
            <w:tcW w:w="627" w:type="pct"/>
            <w:tcBorders>
              <w:top w:val="outset" w:color="auto" w:sz="6" w:space="0"/>
              <w:left w:val="outset" w:color="auto" w:sz="6" w:space="0"/>
              <w:bottom w:val="outset" w:color="auto" w:sz="6" w:space="0"/>
              <w:right w:val="outset" w:color="auto" w:sz="6" w:space="0"/>
            </w:tcBorders>
            <w:vAlign w:val="center"/>
          </w:tcPr>
          <w:p w14:paraId="7595DBCD"/>
        </w:tc>
        <w:tc>
          <w:tcPr>
            <w:tcW w:w="1411" w:type="pct"/>
            <w:tcBorders>
              <w:top w:val="outset" w:color="auto" w:sz="6" w:space="0"/>
              <w:left w:val="outset" w:color="auto" w:sz="6" w:space="0"/>
              <w:bottom w:val="outset" w:color="auto" w:sz="6" w:space="0"/>
              <w:right w:val="outset" w:color="auto" w:sz="6" w:space="0"/>
            </w:tcBorders>
            <w:vAlign w:val="center"/>
          </w:tcPr>
          <w:p w14:paraId="6A7A6CE8">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278143C2">
            <w:pPr>
              <w:jc w:val="right"/>
            </w:pPr>
          </w:p>
        </w:tc>
      </w:tr>
      <w:tr w14:paraId="10E00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A77ACE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一年内到期的非流动资产</w:t>
            </w:r>
          </w:p>
        </w:tc>
        <w:tc>
          <w:tcPr>
            <w:tcW w:w="627" w:type="pct"/>
            <w:tcBorders>
              <w:top w:val="outset" w:color="auto" w:sz="6" w:space="0"/>
              <w:left w:val="outset" w:color="auto" w:sz="6" w:space="0"/>
              <w:bottom w:val="outset" w:color="auto" w:sz="6" w:space="0"/>
              <w:right w:val="outset" w:color="auto" w:sz="6" w:space="0"/>
            </w:tcBorders>
            <w:vAlign w:val="center"/>
          </w:tcPr>
          <w:p w14:paraId="1E49EF86"/>
        </w:tc>
        <w:tc>
          <w:tcPr>
            <w:tcW w:w="1411" w:type="pct"/>
            <w:tcBorders>
              <w:top w:val="outset" w:color="auto" w:sz="6" w:space="0"/>
              <w:left w:val="outset" w:color="auto" w:sz="6" w:space="0"/>
              <w:bottom w:val="outset" w:color="auto" w:sz="6" w:space="0"/>
              <w:right w:val="outset" w:color="auto" w:sz="6" w:space="0"/>
            </w:tcBorders>
            <w:vAlign w:val="center"/>
          </w:tcPr>
          <w:p w14:paraId="10968907">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7318404A">
            <w:pPr>
              <w:jc w:val="right"/>
            </w:pPr>
          </w:p>
        </w:tc>
      </w:tr>
      <w:tr w14:paraId="209382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B2660E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其他流动资产</w:t>
            </w:r>
          </w:p>
        </w:tc>
        <w:tc>
          <w:tcPr>
            <w:tcW w:w="627" w:type="pct"/>
            <w:tcBorders>
              <w:top w:val="outset" w:color="auto" w:sz="6" w:space="0"/>
              <w:left w:val="outset" w:color="auto" w:sz="6" w:space="0"/>
              <w:bottom w:val="outset" w:color="auto" w:sz="6" w:space="0"/>
              <w:right w:val="outset" w:color="auto" w:sz="6" w:space="0"/>
            </w:tcBorders>
            <w:vAlign w:val="center"/>
          </w:tcPr>
          <w:p w14:paraId="01F735E1"/>
        </w:tc>
        <w:tc>
          <w:tcPr>
            <w:tcW w:w="1411" w:type="pct"/>
            <w:tcBorders>
              <w:top w:val="outset" w:color="auto" w:sz="6" w:space="0"/>
              <w:left w:val="outset" w:color="auto" w:sz="6" w:space="0"/>
              <w:bottom w:val="outset" w:color="auto" w:sz="6" w:space="0"/>
              <w:right w:val="outset" w:color="auto" w:sz="6" w:space="0"/>
            </w:tcBorders>
            <w:vAlign w:val="center"/>
          </w:tcPr>
          <w:p w14:paraId="2931CDBE">
            <w:pPr>
              <w:jc w:val="right"/>
            </w:pPr>
            <w:r>
              <w:t>443,712.16</w:t>
            </w:r>
          </w:p>
        </w:tc>
        <w:tc>
          <w:tcPr>
            <w:tcW w:w="1333" w:type="pct"/>
            <w:tcBorders>
              <w:top w:val="outset" w:color="auto" w:sz="6" w:space="0"/>
              <w:left w:val="outset" w:color="auto" w:sz="6" w:space="0"/>
              <w:bottom w:val="outset" w:color="auto" w:sz="6" w:space="0"/>
              <w:right w:val="outset" w:color="auto" w:sz="6" w:space="0"/>
            </w:tcBorders>
            <w:vAlign w:val="center"/>
          </w:tcPr>
          <w:p w14:paraId="5B20FA9B">
            <w:pPr>
              <w:jc w:val="right"/>
            </w:pPr>
            <w:r>
              <w:t>1,253,801.27</w:t>
            </w:r>
          </w:p>
        </w:tc>
      </w:tr>
      <w:tr w14:paraId="02892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A8127A6">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流动资产合计</w:t>
            </w:r>
          </w:p>
        </w:tc>
        <w:tc>
          <w:tcPr>
            <w:tcW w:w="627" w:type="pct"/>
            <w:tcBorders>
              <w:top w:val="outset" w:color="auto" w:sz="6" w:space="0"/>
              <w:left w:val="outset" w:color="auto" w:sz="6" w:space="0"/>
              <w:bottom w:val="outset" w:color="auto" w:sz="6" w:space="0"/>
              <w:right w:val="outset" w:color="auto" w:sz="6" w:space="0"/>
            </w:tcBorders>
            <w:vAlign w:val="center"/>
          </w:tcPr>
          <w:p w14:paraId="17E8D5B8"/>
        </w:tc>
        <w:tc>
          <w:tcPr>
            <w:tcW w:w="1411" w:type="pct"/>
            <w:tcBorders>
              <w:top w:val="outset" w:color="auto" w:sz="6" w:space="0"/>
              <w:left w:val="outset" w:color="auto" w:sz="6" w:space="0"/>
              <w:bottom w:val="outset" w:color="auto" w:sz="6" w:space="0"/>
              <w:right w:val="outset" w:color="auto" w:sz="6" w:space="0"/>
            </w:tcBorders>
            <w:vAlign w:val="center"/>
          </w:tcPr>
          <w:p w14:paraId="0BA2BFB1">
            <w:pPr>
              <w:jc w:val="right"/>
            </w:pPr>
            <w:r>
              <w:t>6,263,482,624.63</w:t>
            </w:r>
          </w:p>
        </w:tc>
        <w:tc>
          <w:tcPr>
            <w:tcW w:w="1333" w:type="pct"/>
            <w:tcBorders>
              <w:top w:val="outset" w:color="auto" w:sz="6" w:space="0"/>
              <w:left w:val="outset" w:color="auto" w:sz="6" w:space="0"/>
              <w:bottom w:val="outset" w:color="auto" w:sz="6" w:space="0"/>
              <w:right w:val="outset" w:color="auto" w:sz="6" w:space="0"/>
            </w:tcBorders>
            <w:vAlign w:val="center"/>
          </w:tcPr>
          <w:p w14:paraId="0E10AFF9">
            <w:pPr>
              <w:jc w:val="right"/>
            </w:pPr>
            <w:r>
              <w:t>6,214,698,485.67</w:t>
            </w:r>
          </w:p>
        </w:tc>
      </w:tr>
      <w:tr w14:paraId="7F3661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1f45ac7535d4ffeaa6273d6527bae0d"/>
            <w:id w:val="1824385010"/>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03260041">
                <w:pPr>
                  <w:rPr>
                    <w:color w:val="000000" w:themeColor="text1"/>
                    <w14:textFill>
                      <w14:solidFill>
                        <w14:schemeClr w14:val="tx1"/>
                      </w14:solidFill>
                    </w14:textFill>
                  </w:rPr>
                </w:pPr>
                <w:r>
                  <w:rPr>
                    <w:rFonts w:hint="eastAsia"/>
                    <w:b/>
                    <w:color w:val="000000" w:themeColor="text1"/>
                    <w14:textFill>
                      <w14:solidFill>
                        <w14:schemeClr w14:val="tx1"/>
                      </w14:solidFill>
                    </w14:textFill>
                  </w:rPr>
                  <w:t>非流动资产：</w:t>
                </w:r>
              </w:p>
            </w:tc>
          </w:sdtContent>
        </w:sdt>
      </w:tr>
      <w:tr w14:paraId="2D6D51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85DF28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债权投资</w:t>
            </w:r>
          </w:p>
        </w:tc>
        <w:tc>
          <w:tcPr>
            <w:tcW w:w="627" w:type="pct"/>
            <w:tcBorders>
              <w:top w:val="outset" w:color="auto" w:sz="6" w:space="0"/>
              <w:left w:val="outset" w:color="auto" w:sz="6" w:space="0"/>
              <w:bottom w:val="outset" w:color="auto" w:sz="6" w:space="0"/>
              <w:right w:val="outset" w:color="auto" w:sz="6" w:space="0"/>
            </w:tcBorders>
            <w:vAlign w:val="center"/>
          </w:tcPr>
          <w:p w14:paraId="697B935C"/>
        </w:tc>
        <w:tc>
          <w:tcPr>
            <w:tcW w:w="1411" w:type="pct"/>
            <w:tcBorders>
              <w:top w:val="outset" w:color="auto" w:sz="6" w:space="0"/>
              <w:left w:val="outset" w:color="auto" w:sz="6" w:space="0"/>
              <w:bottom w:val="outset" w:color="auto" w:sz="6" w:space="0"/>
              <w:right w:val="outset" w:color="auto" w:sz="6" w:space="0"/>
            </w:tcBorders>
            <w:vAlign w:val="center"/>
          </w:tcPr>
          <w:p w14:paraId="4B3C92C5">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5318BBDC">
            <w:pPr>
              <w:jc w:val="right"/>
            </w:pPr>
          </w:p>
        </w:tc>
      </w:tr>
      <w:tr w14:paraId="1D5737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CA69EA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其他债权投资</w:t>
            </w:r>
          </w:p>
        </w:tc>
        <w:tc>
          <w:tcPr>
            <w:tcW w:w="627" w:type="pct"/>
            <w:tcBorders>
              <w:top w:val="outset" w:color="auto" w:sz="6" w:space="0"/>
              <w:left w:val="outset" w:color="auto" w:sz="6" w:space="0"/>
              <w:bottom w:val="outset" w:color="auto" w:sz="6" w:space="0"/>
              <w:right w:val="outset" w:color="auto" w:sz="6" w:space="0"/>
            </w:tcBorders>
            <w:vAlign w:val="center"/>
          </w:tcPr>
          <w:p w14:paraId="2DE45C58"/>
        </w:tc>
        <w:tc>
          <w:tcPr>
            <w:tcW w:w="1411" w:type="pct"/>
            <w:tcBorders>
              <w:top w:val="outset" w:color="auto" w:sz="6" w:space="0"/>
              <w:left w:val="outset" w:color="auto" w:sz="6" w:space="0"/>
              <w:bottom w:val="outset" w:color="auto" w:sz="6" w:space="0"/>
              <w:right w:val="outset" w:color="auto" w:sz="6" w:space="0"/>
            </w:tcBorders>
            <w:vAlign w:val="center"/>
          </w:tcPr>
          <w:p w14:paraId="3CABC21F">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12F02075">
            <w:pPr>
              <w:jc w:val="right"/>
            </w:pPr>
          </w:p>
        </w:tc>
      </w:tr>
      <w:tr w14:paraId="29F6E4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9E9AA4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长期应收款</w:t>
            </w:r>
          </w:p>
        </w:tc>
        <w:tc>
          <w:tcPr>
            <w:tcW w:w="627" w:type="pct"/>
            <w:tcBorders>
              <w:top w:val="outset" w:color="auto" w:sz="6" w:space="0"/>
              <w:left w:val="outset" w:color="auto" w:sz="6" w:space="0"/>
              <w:bottom w:val="outset" w:color="auto" w:sz="6" w:space="0"/>
              <w:right w:val="outset" w:color="auto" w:sz="6" w:space="0"/>
            </w:tcBorders>
            <w:vAlign w:val="center"/>
          </w:tcPr>
          <w:p w14:paraId="083740CB"/>
        </w:tc>
        <w:tc>
          <w:tcPr>
            <w:tcW w:w="1411" w:type="pct"/>
            <w:tcBorders>
              <w:top w:val="outset" w:color="auto" w:sz="6" w:space="0"/>
              <w:left w:val="outset" w:color="auto" w:sz="6" w:space="0"/>
              <w:bottom w:val="outset" w:color="auto" w:sz="6" w:space="0"/>
              <w:right w:val="outset" w:color="auto" w:sz="6" w:space="0"/>
            </w:tcBorders>
            <w:vAlign w:val="center"/>
          </w:tcPr>
          <w:p w14:paraId="452E26E0">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397B6555">
            <w:pPr>
              <w:jc w:val="right"/>
            </w:pPr>
          </w:p>
        </w:tc>
      </w:tr>
      <w:tr w14:paraId="7C6FB1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BB7E0B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长期股权投资</w:t>
            </w:r>
          </w:p>
        </w:tc>
        <w:tc>
          <w:tcPr>
            <w:tcW w:w="627" w:type="pct"/>
            <w:tcBorders>
              <w:top w:val="outset" w:color="auto" w:sz="6" w:space="0"/>
              <w:left w:val="outset" w:color="auto" w:sz="6" w:space="0"/>
              <w:bottom w:val="outset" w:color="auto" w:sz="6" w:space="0"/>
              <w:right w:val="outset" w:color="auto" w:sz="6" w:space="0"/>
            </w:tcBorders>
            <w:vAlign w:val="center"/>
          </w:tcPr>
          <w:p w14:paraId="156E77C1">
            <w:r>
              <w:rPr>
                <w:rFonts w:hint="eastAsia"/>
              </w:rPr>
              <w:t>十九、</w:t>
            </w:r>
            <w:r>
              <w:t>3</w:t>
            </w:r>
          </w:p>
        </w:tc>
        <w:tc>
          <w:tcPr>
            <w:tcW w:w="1411" w:type="pct"/>
            <w:tcBorders>
              <w:top w:val="outset" w:color="auto" w:sz="6" w:space="0"/>
              <w:left w:val="outset" w:color="auto" w:sz="6" w:space="0"/>
              <w:bottom w:val="outset" w:color="auto" w:sz="6" w:space="0"/>
              <w:right w:val="outset" w:color="auto" w:sz="6" w:space="0"/>
            </w:tcBorders>
            <w:vAlign w:val="center"/>
          </w:tcPr>
          <w:p w14:paraId="60655D15">
            <w:pPr>
              <w:jc w:val="right"/>
            </w:pPr>
            <w:r>
              <w:t>6,797,868,759.22</w:t>
            </w:r>
          </w:p>
        </w:tc>
        <w:tc>
          <w:tcPr>
            <w:tcW w:w="1333" w:type="pct"/>
            <w:tcBorders>
              <w:top w:val="outset" w:color="auto" w:sz="6" w:space="0"/>
              <w:left w:val="outset" w:color="auto" w:sz="6" w:space="0"/>
              <w:bottom w:val="outset" w:color="auto" w:sz="6" w:space="0"/>
              <w:right w:val="outset" w:color="auto" w:sz="6" w:space="0"/>
            </w:tcBorders>
            <w:vAlign w:val="center"/>
          </w:tcPr>
          <w:p w14:paraId="2800B96E">
            <w:pPr>
              <w:jc w:val="right"/>
            </w:pPr>
            <w:r>
              <w:t>6,768,049,352.15</w:t>
            </w:r>
          </w:p>
        </w:tc>
      </w:tr>
      <w:tr w14:paraId="5D8A67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A5BA4B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其他权益工具投资</w:t>
            </w:r>
          </w:p>
        </w:tc>
        <w:tc>
          <w:tcPr>
            <w:tcW w:w="627" w:type="pct"/>
            <w:tcBorders>
              <w:top w:val="outset" w:color="auto" w:sz="6" w:space="0"/>
              <w:left w:val="outset" w:color="auto" w:sz="6" w:space="0"/>
              <w:bottom w:val="outset" w:color="auto" w:sz="6" w:space="0"/>
              <w:right w:val="outset" w:color="auto" w:sz="6" w:space="0"/>
            </w:tcBorders>
            <w:vAlign w:val="center"/>
          </w:tcPr>
          <w:p w14:paraId="0BD022EE"/>
        </w:tc>
        <w:tc>
          <w:tcPr>
            <w:tcW w:w="1411" w:type="pct"/>
            <w:tcBorders>
              <w:top w:val="outset" w:color="auto" w:sz="6" w:space="0"/>
              <w:left w:val="outset" w:color="auto" w:sz="6" w:space="0"/>
              <w:bottom w:val="outset" w:color="auto" w:sz="6" w:space="0"/>
              <w:right w:val="outset" w:color="auto" w:sz="6" w:space="0"/>
            </w:tcBorders>
            <w:vAlign w:val="center"/>
          </w:tcPr>
          <w:p w14:paraId="1EDCE673">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6B573E2C">
            <w:pPr>
              <w:jc w:val="right"/>
            </w:pPr>
          </w:p>
        </w:tc>
      </w:tr>
      <w:tr w14:paraId="2AFAD4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56FF06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其他非流动金融资产</w:t>
            </w:r>
          </w:p>
        </w:tc>
        <w:tc>
          <w:tcPr>
            <w:tcW w:w="627" w:type="pct"/>
            <w:tcBorders>
              <w:top w:val="outset" w:color="auto" w:sz="6" w:space="0"/>
              <w:left w:val="outset" w:color="auto" w:sz="6" w:space="0"/>
              <w:bottom w:val="outset" w:color="auto" w:sz="6" w:space="0"/>
              <w:right w:val="outset" w:color="auto" w:sz="6" w:space="0"/>
            </w:tcBorders>
            <w:vAlign w:val="center"/>
          </w:tcPr>
          <w:p w14:paraId="648C039C"/>
        </w:tc>
        <w:tc>
          <w:tcPr>
            <w:tcW w:w="1411" w:type="pct"/>
            <w:tcBorders>
              <w:top w:val="outset" w:color="auto" w:sz="6" w:space="0"/>
              <w:left w:val="outset" w:color="auto" w:sz="6" w:space="0"/>
              <w:bottom w:val="outset" w:color="auto" w:sz="6" w:space="0"/>
              <w:right w:val="outset" w:color="auto" w:sz="6" w:space="0"/>
            </w:tcBorders>
            <w:vAlign w:val="center"/>
          </w:tcPr>
          <w:p w14:paraId="3F77BB2B">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5508F809">
            <w:pPr>
              <w:jc w:val="right"/>
            </w:pPr>
          </w:p>
        </w:tc>
      </w:tr>
      <w:tr w14:paraId="4CE79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07238E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投资性房地产</w:t>
            </w:r>
          </w:p>
        </w:tc>
        <w:tc>
          <w:tcPr>
            <w:tcW w:w="627" w:type="pct"/>
            <w:tcBorders>
              <w:top w:val="outset" w:color="auto" w:sz="6" w:space="0"/>
              <w:left w:val="outset" w:color="auto" w:sz="6" w:space="0"/>
              <w:bottom w:val="outset" w:color="auto" w:sz="6" w:space="0"/>
              <w:right w:val="outset" w:color="auto" w:sz="6" w:space="0"/>
            </w:tcBorders>
            <w:vAlign w:val="center"/>
          </w:tcPr>
          <w:p w14:paraId="1E59D1C9"/>
        </w:tc>
        <w:tc>
          <w:tcPr>
            <w:tcW w:w="1411" w:type="pct"/>
            <w:tcBorders>
              <w:top w:val="outset" w:color="auto" w:sz="6" w:space="0"/>
              <w:left w:val="outset" w:color="auto" w:sz="6" w:space="0"/>
              <w:bottom w:val="outset" w:color="auto" w:sz="6" w:space="0"/>
              <w:right w:val="outset" w:color="auto" w:sz="6" w:space="0"/>
            </w:tcBorders>
            <w:vAlign w:val="center"/>
          </w:tcPr>
          <w:p w14:paraId="1F8C7F71">
            <w:pPr>
              <w:jc w:val="right"/>
            </w:pPr>
            <w:r>
              <w:t>57,350,000.00</w:t>
            </w:r>
          </w:p>
        </w:tc>
        <w:tc>
          <w:tcPr>
            <w:tcW w:w="1333" w:type="pct"/>
            <w:tcBorders>
              <w:top w:val="outset" w:color="auto" w:sz="6" w:space="0"/>
              <w:left w:val="outset" w:color="auto" w:sz="6" w:space="0"/>
              <w:bottom w:val="outset" w:color="auto" w:sz="6" w:space="0"/>
              <w:right w:val="outset" w:color="auto" w:sz="6" w:space="0"/>
            </w:tcBorders>
            <w:vAlign w:val="center"/>
          </w:tcPr>
          <w:p w14:paraId="544FD17E">
            <w:pPr>
              <w:jc w:val="right"/>
            </w:pPr>
            <w:r>
              <w:t>58,552,300.00</w:t>
            </w:r>
          </w:p>
        </w:tc>
      </w:tr>
      <w:tr w14:paraId="59AE7D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C46E06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w:t>
            </w:r>
          </w:p>
        </w:tc>
        <w:tc>
          <w:tcPr>
            <w:tcW w:w="627" w:type="pct"/>
            <w:tcBorders>
              <w:top w:val="outset" w:color="auto" w:sz="6" w:space="0"/>
              <w:left w:val="outset" w:color="auto" w:sz="6" w:space="0"/>
              <w:bottom w:val="outset" w:color="auto" w:sz="6" w:space="0"/>
              <w:right w:val="outset" w:color="auto" w:sz="6" w:space="0"/>
            </w:tcBorders>
            <w:vAlign w:val="center"/>
          </w:tcPr>
          <w:p w14:paraId="33B44903"/>
        </w:tc>
        <w:tc>
          <w:tcPr>
            <w:tcW w:w="1411" w:type="pct"/>
            <w:tcBorders>
              <w:top w:val="outset" w:color="auto" w:sz="6" w:space="0"/>
              <w:left w:val="outset" w:color="auto" w:sz="6" w:space="0"/>
              <w:bottom w:val="outset" w:color="auto" w:sz="6" w:space="0"/>
              <w:right w:val="outset" w:color="auto" w:sz="6" w:space="0"/>
            </w:tcBorders>
            <w:vAlign w:val="center"/>
          </w:tcPr>
          <w:p w14:paraId="589F2A0C">
            <w:pPr>
              <w:jc w:val="right"/>
            </w:pPr>
            <w:r>
              <w:t>441,619,087.70</w:t>
            </w:r>
          </w:p>
        </w:tc>
        <w:tc>
          <w:tcPr>
            <w:tcW w:w="1333" w:type="pct"/>
            <w:tcBorders>
              <w:top w:val="outset" w:color="auto" w:sz="6" w:space="0"/>
              <w:left w:val="outset" w:color="auto" w:sz="6" w:space="0"/>
              <w:bottom w:val="outset" w:color="auto" w:sz="6" w:space="0"/>
              <w:right w:val="outset" w:color="auto" w:sz="6" w:space="0"/>
            </w:tcBorders>
            <w:vAlign w:val="center"/>
          </w:tcPr>
          <w:p w14:paraId="522DAFD4">
            <w:pPr>
              <w:jc w:val="right"/>
            </w:pPr>
            <w:r>
              <w:t>455,173,732.80</w:t>
            </w:r>
          </w:p>
        </w:tc>
      </w:tr>
      <w:tr w14:paraId="1A05C3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5652B1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在建工程</w:t>
            </w:r>
          </w:p>
        </w:tc>
        <w:tc>
          <w:tcPr>
            <w:tcW w:w="627" w:type="pct"/>
            <w:tcBorders>
              <w:top w:val="outset" w:color="auto" w:sz="6" w:space="0"/>
              <w:left w:val="outset" w:color="auto" w:sz="6" w:space="0"/>
              <w:bottom w:val="outset" w:color="auto" w:sz="6" w:space="0"/>
              <w:right w:val="outset" w:color="auto" w:sz="6" w:space="0"/>
            </w:tcBorders>
            <w:vAlign w:val="center"/>
          </w:tcPr>
          <w:p w14:paraId="63994B8B"/>
        </w:tc>
        <w:tc>
          <w:tcPr>
            <w:tcW w:w="1411" w:type="pct"/>
            <w:tcBorders>
              <w:top w:val="outset" w:color="auto" w:sz="6" w:space="0"/>
              <w:left w:val="outset" w:color="auto" w:sz="6" w:space="0"/>
              <w:bottom w:val="outset" w:color="auto" w:sz="6" w:space="0"/>
              <w:right w:val="outset" w:color="auto" w:sz="6" w:space="0"/>
            </w:tcBorders>
            <w:vAlign w:val="center"/>
          </w:tcPr>
          <w:p w14:paraId="62F976A5">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86EC652">
            <w:pPr>
              <w:jc w:val="right"/>
            </w:pPr>
          </w:p>
        </w:tc>
      </w:tr>
      <w:tr w14:paraId="03DD20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B2433A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生产性生物资产</w:t>
            </w:r>
          </w:p>
        </w:tc>
        <w:tc>
          <w:tcPr>
            <w:tcW w:w="627" w:type="pct"/>
            <w:tcBorders>
              <w:top w:val="outset" w:color="auto" w:sz="6" w:space="0"/>
              <w:left w:val="outset" w:color="auto" w:sz="6" w:space="0"/>
              <w:bottom w:val="outset" w:color="auto" w:sz="6" w:space="0"/>
              <w:right w:val="outset" w:color="auto" w:sz="6" w:space="0"/>
            </w:tcBorders>
            <w:vAlign w:val="center"/>
          </w:tcPr>
          <w:p w14:paraId="0DB99250"/>
        </w:tc>
        <w:tc>
          <w:tcPr>
            <w:tcW w:w="1411" w:type="pct"/>
            <w:tcBorders>
              <w:top w:val="outset" w:color="auto" w:sz="6" w:space="0"/>
              <w:left w:val="outset" w:color="auto" w:sz="6" w:space="0"/>
              <w:bottom w:val="outset" w:color="auto" w:sz="6" w:space="0"/>
              <w:right w:val="outset" w:color="auto" w:sz="6" w:space="0"/>
            </w:tcBorders>
            <w:vAlign w:val="center"/>
          </w:tcPr>
          <w:p w14:paraId="541DAD8B">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2BEE526B">
            <w:pPr>
              <w:jc w:val="right"/>
            </w:pPr>
          </w:p>
        </w:tc>
      </w:tr>
      <w:tr w14:paraId="787D72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78190F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油气资产</w:t>
            </w:r>
          </w:p>
        </w:tc>
        <w:tc>
          <w:tcPr>
            <w:tcW w:w="627" w:type="pct"/>
            <w:tcBorders>
              <w:top w:val="outset" w:color="auto" w:sz="6" w:space="0"/>
              <w:left w:val="outset" w:color="auto" w:sz="6" w:space="0"/>
              <w:bottom w:val="outset" w:color="auto" w:sz="6" w:space="0"/>
              <w:right w:val="outset" w:color="auto" w:sz="6" w:space="0"/>
            </w:tcBorders>
            <w:vAlign w:val="center"/>
          </w:tcPr>
          <w:p w14:paraId="69CDAF3F"/>
        </w:tc>
        <w:tc>
          <w:tcPr>
            <w:tcW w:w="1411" w:type="pct"/>
            <w:tcBorders>
              <w:top w:val="outset" w:color="auto" w:sz="6" w:space="0"/>
              <w:left w:val="outset" w:color="auto" w:sz="6" w:space="0"/>
              <w:bottom w:val="outset" w:color="auto" w:sz="6" w:space="0"/>
              <w:right w:val="outset" w:color="auto" w:sz="6" w:space="0"/>
            </w:tcBorders>
            <w:vAlign w:val="center"/>
          </w:tcPr>
          <w:p w14:paraId="02CD68C5">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2834A56D">
            <w:pPr>
              <w:jc w:val="right"/>
            </w:pPr>
          </w:p>
        </w:tc>
      </w:tr>
      <w:tr w14:paraId="23AAE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9A57E7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使用权资产</w:t>
            </w:r>
          </w:p>
        </w:tc>
        <w:tc>
          <w:tcPr>
            <w:tcW w:w="627" w:type="pct"/>
            <w:tcBorders>
              <w:top w:val="outset" w:color="auto" w:sz="6" w:space="0"/>
              <w:left w:val="outset" w:color="auto" w:sz="6" w:space="0"/>
              <w:bottom w:val="outset" w:color="auto" w:sz="6" w:space="0"/>
              <w:right w:val="outset" w:color="auto" w:sz="6" w:space="0"/>
            </w:tcBorders>
            <w:vAlign w:val="center"/>
          </w:tcPr>
          <w:p w14:paraId="6FDA42C3"/>
        </w:tc>
        <w:tc>
          <w:tcPr>
            <w:tcW w:w="1411" w:type="pct"/>
            <w:tcBorders>
              <w:top w:val="outset" w:color="auto" w:sz="6" w:space="0"/>
              <w:left w:val="outset" w:color="auto" w:sz="6" w:space="0"/>
              <w:bottom w:val="outset" w:color="auto" w:sz="6" w:space="0"/>
              <w:right w:val="outset" w:color="auto" w:sz="6" w:space="0"/>
            </w:tcBorders>
            <w:vAlign w:val="center"/>
          </w:tcPr>
          <w:p w14:paraId="683EAFC7">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1E43CDAD">
            <w:pPr>
              <w:jc w:val="right"/>
            </w:pPr>
          </w:p>
        </w:tc>
      </w:tr>
      <w:tr w14:paraId="16F02E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C1FA6F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无形资产</w:t>
            </w:r>
          </w:p>
        </w:tc>
        <w:tc>
          <w:tcPr>
            <w:tcW w:w="627" w:type="pct"/>
            <w:tcBorders>
              <w:top w:val="outset" w:color="auto" w:sz="6" w:space="0"/>
              <w:left w:val="outset" w:color="auto" w:sz="6" w:space="0"/>
              <w:bottom w:val="outset" w:color="auto" w:sz="6" w:space="0"/>
              <w:right w:val="outset" w:color="auto" w:sz="6" w:space="0"/>
            </w:tcBorders>
            <w:vAlign w:val="center"/>
          </w:tcPr>
          <w:p w14:paraId="406E1ACB"/>
        </w:tc>
        <w:tc>
          <w:tcPr>
            <w:tcW w:w="1411" w:type="pct"/>
            <w:tcBorders>
              <w:top w:val="outset" w:color="auto" w:sz="6" w:space="0"/>
              <w:left w:val="outset" w:color="auto" w:sz="6" w:space="0"/>
              <w:bottom w:val="outset" w:color="auto" w:sz="6" w:space="0"/>
              <w:right w:val="outset" w:color="auto" w:sz="6" w:space="0"/>
            </w:tcBorders>
            <w:vAlign w:val="center"/>
          </w:tcPr>
          <w:p w14:paraId="453E6A59">
            <w:pPr>
              <w:jc w:val="right"/>
            </w:pPr>
            <w:r>
              <w:t>53,572,373.53</w:t>
            </w:r>
          </w:p>
        </w:tc>
        <w:tc>
          <w:tcPr>
            <w:tcW w:w="1333" w:type="pct"/>
            <w:tcBorders>
              <w:top w:val="outset" w:color="auto" w:sz="6" w:space="0"/>
              <w:left w:val="outset" w:color="auto" w:sz="6" w:space="0"/>
              <w:bottom w:val="outset" w:color="auto" w:sz="6" w:space="0"/>
              <w:right w:val="outset" w:color="auto" w:sz="6" w:space="0"/>
            </w:tcBorders>
            <w:vAlign w:val="center"/>
          </w:tcPr>
          <w:p w14:paraId="5D81218C">
            <w:pPr>
              <w:jc w:val="right"/>
            </w:pPr>
            <w:r>
              <w:t>54,728,772.31</w:t>
            </w:r>
          </w:p>
        </w:tc>
      </w:tr>
      <w:tr w14:paraId="6776D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88A052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vAlign w:val="center"/>
          </w:tcPr>
          <w:p w14:paraId="4EF1F3C6"/>
        </w:tc>
        <w:tc>
          <w:tcPr>
            <w:tcW w:w="1411" w:type="pct"/>
            <w:tcBorders>
              <w:top w:val="outset" w:color="auto" w:sz="6" w:space="0"/>
              <w:left w:val="outset" w:color="auto" w:sz="6" w:space="0"/>
              <w:bottom w:val="outset" w:color="auto" w:sz="6" w:space="0"/>
              <w:right w:val="outset" w:color="auto" w:sz="6" w:space="0"/>
            </w:tcBorders>
            <w:vAlign w:val="center"/>
          </w:tcPr>
          <w:p w14:paraId="229C5889">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72017D13">
            <w:pPr>
              <w:jc w:val="right"/>
            </w:pPr>
          </w:p>
        </w:tc>
      </w:tr>
      <w:tr w14:paraId="095A07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89773D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开发支出</w:t>
            </w:r>
          </w:p>
        </w:tc>
        <w:tc>
          <w:tcPr>
            <w:tcW w:w="627" w:type="pct"/>
            <w:tcBorders>
              <w:top w:val="outset" w:color="auto" w:sz="6" w:space="0"/>
              <w:left w:val="outset" w:color="auto" w:sz="6" w:space="0"/>
              <w:bottom w:val="outset" w:color="auto" w:sz="6" w:space="0"/>
              <w:right w:val="outset" w:color="auto" w:sz="6" w:space="0"/>
            </w:tcBorders>
            <w:vAlign w:val="center"/>
          </w:tcPr>
          <w:p w14:paraId="0115A3D4"/>
        </w:tc>
        <w:tc>
          <w:tcPr>
            <w:tcW w:w="1411" w:type="pct"/>
            <w:tcBorders>
              <w:top w:val="outset" w:color="auto" w:sz="6" w:space="0"/>
              <w:left w:val="outset" w:color="auto" w:sz="6" w:space="0"/>
              <w:bottom w:val="outset" w:color="auto" w:sz="6" w:space="0"/>
              <w:right w:val="outset" w:color="auto" w:sz="6" w:space="0"/>
            </w:tcBorders>
            <w:vAlign w:val="center"/>
          </w:tcPr>
          <w:p w14:paraId="30FC7BEF">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29755DDE">
            <w:pPr>
              <w:jc w:val="right"/>
            </w:pPr>
          </w:p>
        </w:tc>
      </w:tr>
      <w:tr w14:paraId="54AA0D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B7E33D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其中：数据资源</w:t>
            </w:r>
          </w:p>
        </w:tc>
        <w:tc>
          <w:tcPr>
            <w:tcW w:w="627" w:type="pct"/>
            <w:tcBorders>
              <w:top w:val="outset" w:color="auto" w:sz="6" w:space="0"/>
              <w:left w:val="outset" w:color="auto" w:sz="6" w:space="0"/>
              <w:bottom w:val="outset" w:color="auto" w:sz="6" w:space="0"/>
              <w:right w:val="outset" w:color="auto" w:sz="6" w:space="0"/>
            </w:tcBorders>
            <w:vAlign w:val="center"/>
          </w:tcPr>
          <w:p w14:paraId="04B2D27F"/>
        </w:tc>
        <w:tc>
          <w:tcPr>
            <w:tcW w:w="1411" w:type="pct"/>
            <w:tcBorders>
              <w:top w:val="outset" w:color="auto" w:sz="6" w:space="0"/>
              <w:left w:val="outset" w:color="auto" w:sz="6" w:space="0"/>
              <w:bottom w:val="outset" w:color="auto" w:sz="6" w:space="0"/>
              <w:right w:val="outset" w:color="auto" w:sz="6" w:space="0"/>
            </w:tcBorders>
            <w:vAlign w:val="center"/>
          </w:tcPr>
          <w:p w14:paraId="26F9EEFA">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6D9D1AF">
            <w:pPr>
              <w:jc w:val="right"/>
            </w:pPr>
          </w:p>
        </w:tc>
      </w:tr>
      <w:tr w14:paraId="40A7D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4F888A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商誉</w:t>
            </w:r>
          </w:p>
        </w:tc>
        <w:tc>
          <w:tcPr>
            <w:tcW w:w="627" w:type="pct"/>
            <w:tcBorders>
              <w:top w:val="outset" w:color="auto" w:sz="6" w:space="0"/>
              <w:left w:val="outset" w:color="auto" w:sz="6" w:space="0"/>
              <w:bottom w:val="outset" w:color="auto" w:sz="6" w:space="0"/>
              <w:right w:val="outset" w:color="auto" w:sz="6" w:space="0"/>
            </w:tcBorders>
            <w:vAlign w:val="center"/>
          </w:tcPr>
          <w:p w14:paraId="54E28602"/>
        </w:tc>
        <w:tc>
          <w:tcPr>
            <w:tcW w:w="1411" w:type="pct"/>
            <w:tcBorders>
              <w:top w:val="outset" w:color="auto" w:sz="6" w:space="0"/>
              <w:left w:val="outset" w:color="auto" w:sz="6" w:space="0"/>
              <w:bottom w:val="outset" w:color="auto" w:sz="6" w:space="0"/>
              <w:right w:val="outset" w:color="auto" w:sz="6" w:space="0"/>
            </w:tcBorders>
            <w:vAlign w:val="center"/>
          </w:tcPr>
          <w:p w14:paraId="05134A8A">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653D7BEA">
            <w:pPr>
              <w:jc w:val="right"/>
            </w:pPr>
          </w:p>
        </w:tc>
      </w:tr>
      <w:tr w14:paraId="5FAD17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DD205D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长期待摊费用</w:t>
            </w:r>
          </w:p>
        </w:tc>
        <w:tc>
          <w:tcPr>
            <w:tcW w:w="627" w:type="pct"/>
            <w:tcBorders>
              <w:top w:val="outset" w:color="auto" w:sz="6" w:space="0"/>
              <w:left w:val="outset" w:color="auto" w:sz="6" w:space="0"/>
              <w:bottom w:val="outset" w:color="auto" w:sz="6" w:space="0"/>
              <w:right w:val="outset" w:color="auto" w:sz="6" w:space="0"/>
            </w:tcBorders>
            <w:vAlign w:val="center"/>
          </w:tcPr>
          <w:p w14:paraId="3666FBFB"/>
        </w:tc>
        <w:tc>
          <w:tcPr>
            <w:tcW w:w="1411" w:type="pct"/>
            <w:tcBorders>
              <w:top w:val="outset" w:color="auto" w:sz="6" w:space="0"/>
              <w:left w:val="outset" w:color="auto" w:sz="6" w:space="0"/>
              <w:bottom w:val="outset" w:color="auto" w:sz="6" w:space="0"/>
              <w:right w:val="outset" w:color="auto" w:sz="6" w:space="0"/>
            </w:tcBorders>
            <w:vAlign w:val="center"/>
          </w:tcPr>
          <w:p w14:paraId="703E137C">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0118585">
            <w:pPr>
              <w:jc w:val="right"/>
            </w:pPr>
          </w:p>
        </w:tc>
      </w:tr>
      <w:tr w14:paraId="75867F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71EB7D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递延所得税资产</w:t>
            </w:r>
          </w:p>
        </w:tc>
        <w:tc>
          <w:tcPr>
            <w:tcW w:w="627" w:type="pct"/>
            <w:tcBorders>
              <w:top w:val="outset" w:color="auto" w:sz="6" w:space="0"/>
              <w:left w:val="outset" w:color="auto" w:sz="6" w:space="0"/>
              <w:bottom w:val="outset" w:color="auto" w:sz="6" w:space="0"/>
              <w:right w:val="outset" w:color="auto" w:sz="6" w:space="0"/>
            </w:tcBorders>
            <w:vAlign w:val="center"/>
          </w:tcPr>
          <w:p w14:paraId="40330EC7"/>
        </w:tc>
        <w:tc>
          <w:tcPr>
            <w:tcW w:w="1411" w:type="pct"/>
            <w:tcBorders>
              <w:top w:val="outset" w:color="auto" w:sz="6" w:space="0"/>
              <w:left w:val="outset" w:color="auto" w:sz="6" w:space="0"/>
              <w:bottom w:val="outset" w:color="auto" w:sz="6" w:space="0"/>
              <w:right w:val="outset" w:color="auto" w:sz="6" w:space="0"/>
            </w:tcBorders>
            <w:vAlign w:val="center"/>
          </w:tcPr>
          <w:p w14:paraId="06B91D35">
            <w:pPr>
              <w:jc w:val="right"/>
            </w:pPr>
            <w:r>
              <w:t>211,839,151.36</w:t>
            </w:r>
          </w:p>
        </w:tc>
        <w:tc>
          <w:tcPr>
            <w:tcW w:w="1333" w:type="pct"/>
            <w:tcBorders>
              <w:top w:val="outset" w:color="auto" w:sz="6" w:space="0"/>
              <w:left w:val="outset" w:color="auto" w:sz="6" w:space="0"/>
              <w:bottom w:val="outset" w:color="auto" w:sz="6" w:space="0"/>
              <w:right w:val="outset" w:color="auto" w:sz="6" w:space="0"/>
            </w:tcBorders>
            <w:vAlign w:val="center"/>
          </w:tcPr>
          <w:p w14:paraId="0D4D6D8D">
            <w:pPr>
              <w:jc w:val="right"/>
            </w:pPr>
            <w:r>
              <w:t>211,839,153.92</w:t>
            </w:r>
          </w:p>
        </w:tc>
      </w:tr>
      <w:tr w14:paraId="3C865D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F4208F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其他非流动资产</w:t>
            </w:r>
          </w:p>
        </w:tc>
        <w:tc>
          <w:tcPr>
            <w:tcW w:w="627" w:type="pct"/>
            <w:tcBorders>
              <w:top w:val="outset" w:color="auto" w:sz="6" w:space="0"/>
              <w:left w:val="outset" w:color="auto" w:sz="6" w:space="0"/>
              <w:bottom w:val="outset" w:color="auto" w:sz="6" w:space="0"/>
              <w:right w:val="outset" w:color="auto" w:sz="6" w:space="0"/>
            </w:tcBorders>
            <w:vAlign w:val="center"/>
          </w:tcPr>
          <w:p w14:paraId="7686E0B4"/>
        </w:tc>
        <w:tc>
          <w:tcPr>
            <w:tcW w:w="1411" w:type="pct"/>
            <w:tcBorders>
              <w:top w:val="outset" w:color="auto" w:sz="6" w:space="0"/>
              <w:left w:val="outset" w:color="auto" w:sz="6" w:space="0"/>
              <w:bottom w:val="outset" w:color="auto" w:sz="6" w:space="0"/>
              <w:right w:val="outset" w:color="auto" w:sz="6" w:space="0"/>
            </w:tcBorders>
            <w:vAlign w:val="center"/>
          </w:tcPr>
          <w:p w14:paraId="2EB49EB1">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1A006E7B">
            <w:pPr>
              <w:jc w:val="right"/>
              <w:rPr>
                <w:rFonts w:eastAsia="Times New Roman" w:cs="Times New Roman"/>
                <w:sz w:val="20"/>
                <w:szCs w:val="20"/>
              </w:rPr>
            </w:pPr>
          </w:p>
        </w:tc>
      </w:tr>
      <w:tr w14:paraId="1C7C9F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2A45CD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非流动资产合计</w:t>
            </w:r>
          </w:p>
        </w:tc>
        <w:tc>
          <w:tcPr>
            <w:tcW w:w="627" w:type="pct"/>
            <w:tcBorders>
              <w:top w:val="outset" w:color="auto" w:sz="6" w:space="0"/>
              <w:left w:val="outset" w:color="auto" w:sz="6" w:space="0"/>
              <w:bottom w:val="outset" w:color="auto" w:sz="6" w:space="0"/>
              <w:right w:val="outset" w:color="auto" w:sz="6" w:space="0"/>
            </w:tcBorders>
            <w:vAlign w:val="center"/>
          </w:tcPr>
          <w:p w14:paraId="6AD78795"/>
        </w:tc>
        <w:tc>
          <w:tcPr>
            <w:tcW w:w="1411" w:type="pct"/>
            <w:tcBorders>
              <w:top w:val="outset" w:color="auto" w:sz="6" w:space="0"/>
              <w:left w:val="outset" w:color="auto" w:sz="6" w:space="0"/>
              <w:bottom w:val="outset" w:color="auto" w:sz="6" w:space="0"/>
              <w:right w:val="outset" w:color="auto" w:sz="6" w:space="0"/>
            </w:tcBorders>
            <w:vAlign w:val="center"/>
          </w:tcPr>
          <w:p w14:paraId="4FF61EAB">
            <w:pPr>
              <w:jc w:val="right"/>
              <w:rPr>
                <w:rFonts w:ascii="宋体" w:hAnsi="宋体"/>
                <w:sz w:val="24"/>
                <w:szCs w:val="24"/>
              </w:rPr>
            </w:pPr>
            <w:r>
              <w:t>7,562,249,371.81</w:t>
            </w:r>
          </w:p>
        </w:tc>
        <w:tc>
          <w:tcPr>
            <w:tcW w:w="1333" w:type="pct"/>
            <w:tcBorders>
              <w:top w:val="outset" w:color="auto" w:sz="6" w:space="0"/>
              <w:left w:val="outset" w:color="auto" w:sz="6" w:space="0"/>
              <w:bottom w:val="outset" w:color="auto" w:sz="6" w:space="0"/>
              <w:right w:val="outset" w:color="auto" w:sz="6" w:space="0"/>
            </w:tcBorders>
            <w:vAlign w:val="center"/>
          </w:tcPr>
          <w:p w14:paraId="58C37889">
            <w:pPr>
              <w:jc w:val="right"/>
            </w:pPr>
            <w:r>
              <w:t>7,548,343,311.18</w:t>
            </w:r>
          </w:p>
        </w:tc>
      </w:tr>
      <w:tr w14:paraId="447E21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C708A0E">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资产总计</w:t>
            </w:r>
          </w:p>
        </w:tc>
        <w:tc>
          <w:tcPr>
            <w:tcW w:w="627" w:type="pct"/>
            <w:tcBorders>
              <w:top w:val="outset" w:color="auto" w:sz="6" w:space="0"/>
              <w:left w:val="outset" w:color="auto" w:sz="6" w:space="0"/>
              <w:bottom w:val="outset" w:color="auto" w:sz="6" w:space="0"/>
              <w:right w:val="outset" w:color="auto" w:sz="6" w:space="0"/>
            </w:tcBorders>
            <w:vAlign w:val="center"/>
          </w:tcPr>
          <w:p w14:paraId="0535A25D"/>
        </w:tc>
        <w:tc>
          <w:tcPr>
            <w:tcW w:w="1411" w:type="pct"/>
            <w:tcBorders>
              <w:top w:val="outset" w:color="auto" w:sz="6" w:space="0"/>
              <w:left w:val="outset" w:color="auto" w:sz="6" w:space="0"/>
              <w:bottom w:val="outset" w:color="auto" w:sz="6" w:space="0"/>
              <w:right w:val="outset" w:color="auto" w:sz="6" w:space="0"/>
            </w:tcBorders>
            <w:vAlign w:val="center"/>
          </w:tcPr>
          <w:p w14:paraId="630A4B1D">
            <w:pPr>
              <w:jc w:val="right"/>
            </w:pPr>
            <w:r>
              <w:t>13,825,731,996.44</w:t>
            </w:r>
          </w:p>
        </w:tc>
        <w:tc>
          <w:tcPr>
            <w:tcW w:w="1333" w:type="pct"/>
            <w:tcBorders>
              <w:top w:val="outset" w:color="auto" w:sz="6" w:space="0"/>
              <w:left w:val="outset" w:color="auto" w:sz="6" w:space="0"/>
              <w:bottom w:val="outset" w:color="auto" w:sz="6" w:space="0"/>
              <w:right w:val="outset" w:color="auto" w:sz="6" w:space="0"/>
            </w:tcBorders>
            <w:vAlign w:val="center"/>
          </w:tcPr>
          <w:p w14:paraId="20B9B4A2">
            <w:pPr>
              <w:jc w:val="right"/>
            </w:pPr>
            <w:r>
              <w:t>13,763,041,796.85</w:t>
            </w:r>
          </w:p>
        </w:tc>
      </w:tr>
      <w:tr w14:paraId="20996B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0943e088034c15ad8af33927d58d1b"/>
            <w:id w:val="-1603332690"/>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211A250F">
                <w:pPr>
                  <w:rPr>
                    <w:color w:val="000000" w:themeColor="text1"/>
                    <w14:textFill>
                      <w14:solidFill>
                        <w14:schemeClr w14:val="tx1"/>
                      </w14:solidFill>
                    </w14:textFill>
                  </w:rPr>
                </w:pPr>
                <w:r>
                  <w:rPr>
                    <w:rFonts w:hint="eastAsia"/>
                    <w:b/>
                    <w:color w:val="000000" w:themeColor="text1"/>
                    <w14:textFill>
                      <w14:solidFill>
                        <w14:schemeClr w14:val="tx1"/>
                      </w14:solidFill>
                    </w14:textFill>
                  </w:rPr>
                  <w:t>流动负债：</w:t>
                </w:r>
              </w:p>
            </w:tc>
          </w:sdtContent>
        </w:sdt>
      </w:tr>
      <w:tr w14:paraId="6C8873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59BA7F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短期借款</w:t>
            </w:r>
          </w:p>
        </w:tc>
        <w:tc>
          <w:tcPr>
            <w:tcW w:w="627" w:type="pct"/>
            <w:tcBorders>
              <w:top w:val="outset" w:color="auto" w:sz="6" w:space="0"/>
              <w:left w:val="outset" w:color="auto" w:sz="6" w:space="0"/>
              <w:bottom w:val="outset" w:color="auto" w:sz="6" w:space="0"/>
              <w:right w:val="outset" w:color="auto" w:sz="6" w:space="0"/>
            </w:tcBorders>
            <w:vAlign w:val="center"/>
          </w:tcPr>
          <w:p w14:paraId="29188085"/>
        </w:tc>
        <w:tc>
          <w:tcPr>
            <w:tcW w:w="1411" w:type="pct"/>
            <w:tcBorders>
              <w:top w:val="outset" w:color="auto" w:sz="6" w:space="0"/>
              <w:left w:val="outset" w:color="auto" w:sz="6" w:space="0"/>
              <w:bottom w:val="outset" w:color="auto" w:sz="6" w:space="0"/>
              <w:right w:val="outset" w:color="auto" w:sz="6" w:space="0"/>
            </w:tcBorders>
            <w:vAlign w:val="center"/>
          </w:tcPr>
          <w:p w14:paraId="7918894B">
            <w:pPr>
              <w:jc w:val="right"/>
            </w:pPr>
            <w:r>
              <w:t>350,258,333.33</w:t>
            </w:r>
          </w:p>
        </w:tc>
        <w:tc>
          <w:tcPr>
            <w:tcW w:w="1333" w:type="pct"/>
            <w:tcBorders>
              <w:top w:val="outset" w:color="auto" w:sz="6" w:space="0"/>
              <w:left w:val="outset" w:color="auto" w:sz="6" w:space="0"/>
              <w:bottom w:val="outset" w:color="auto" w:sz="6" w:space="0"/>
              <w:right w:val="outset" w:color="auto" w:sz="6" w:space="0"/>
            </w:tcBorders>
            <w:vAlign w:val="center"/>
          </w:tcPr>
          <w:p w14:paraId="2BE6535B">
            <w:pPr>
              <w:jc w:val="right"/>
            </w:pPr>
            <w:r>
              <w:t>350,284,166.67</w:t>
            </w:r>
          </w:p>
        </w:tc>
      </w:tr>
      <w:tr w14:paraId="75EA05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135091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交易性金融负债</w:t>
            </w:r>
          </w:p>
        </w:tc>
        <w:tc>
          <w:tcPr>
            <w:tcW w:w="627" w:type="pct"/>
            <w:tcBorders>
              <w:top w:val="outset" w:color="auto" w:sz="6" w:space="0"/>
              <w:left w:val="outset" w:color="auto" w:sz="6" w:space="0"/>
              <w:bottom w:val="outset" w:color="auto" w:sz="6" w:space="0"/>
              <w:right w:val="outset" w:color="auto" w:sz="6" w:space="0"/>
            </w:tcBorders>
            <w:vAlign w:val="center"/>
          </w:tcPr>
          <w:p w14:paraId="6BD81B5E"/>
        </w:tc>
        <w:tc>
          <w:tcPr>
            <w:tcW w:w="1411" w:type="pct"/>
            <w:tcBorders>
              <w:top w:val="outset" w:color="auto" w:sz="6" w:space="0"/>
              <w:left w:val="outset" w:color="auto" w:sz="6" w:space="0"/>
              <w:bottom w:val="outset" w:color="auto" w:sz="6" w:space="0"/>
              <w:right w:val="outset" w:color="auto" w:sz="6" w:space="0"/>
            </w:tcBorders>
            <w:vAlign w:val="center"/>
          </w:tcPr>
          <w:p w14:paraId="66E4EBA6">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6B8E9161">
            <w:pPr>
              <w:jc w:val="right"/>
              <w:rPr>
                <w:rFonts w:eastAsia="Times New Roman" w:cs="Times New Roman"/>
                <w:sz w:val="20"/>
                <w:szCs w:val="20"/>
              </w:rPr>
            </w:pPr>
          </w:p>
        </w:tc>
      </w:tr>
      <w:tr w14:paraId="62C452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36E16D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衍生金融负债</w:t>
            </w:r>
          </w:p>
        </w:tc>
        <w:tc>
          <w:tcPr>
            <w:tcW w:w="627" w:type="pct"/>
            <w:tcBorders>
              <w:top w:val="outset" w:color="auto" w:sz="6" w:space="0"/>
              <w:left w:val="outset" w:color="auto" w:sz="6" w:space="0"/>
              <w:bottom w:val="outset" w:color="auto" w:sz="6" w:space="0"/>
              <w:right w:val="outset" w:color="auto" w:sz="6" w:space="0"/>
            </w:tcBorders>
            <w:vAlign w:val="center"/>
          </w:tcPr>
          <w:p w14:paraId="2D88AACB"/>
        </w:tc>
        <w:tc>
          <w:tcPr>
            <w:tcW w:w="1411" w:type="pct"/>
            <w:tcBorders>
              <w:top w:val="outset" w:color="auto" w:sz="6" w:space="0"/>
              <w:left w:val="outset" w:color="auto" w:sz="6" w:space="0"/>
              <w:bottom w:val="outset" w:color="auto" w:sz="6" w:space="0"/>
              <w:right w:val="outset" w:color="auto" w:sz="6" w:space="0"/>
            </w:tcBorders>
            <w:vAlign w:val="center"/>
          </w:tcPr>
          <w:p w14:paraId="665FFE6A">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1821F317">
            <w:pPr>
              <w:jc w:val="right"/>
              <w:rPr>
                <w:rFonts w:eastAsia="Times New Roman" w:cs="Times New Roman"/>
                <w:sz w:val="20"/>
                <w:szCs w:val="20"/>
              </w:rPr>
            </w:pPr>
          </w:p>
        </w:tc>
      </w:tr>
      <w:tr w14:paraId="2412D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10FE9E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应付票据</w:t>
            </w:r>
          </w:p>
        </w:tc>
        <w:tc>
          <w:tcPr>
            <w:tcW w:w="627" w:type="pct"/>
            <w:tcBorders>
              <w:top w:val="outset" w:color="auto" w:sz="6" w:space="0"/>
              <w:left w:val="outset" w:color="auto" w:sz="6" w:space="0"/>
              <w:bottom w:val="outset" w:color="auto" w:sz="6" w:space="0"/>
              <w:right w:val="outset" w:color="auto" w:sz="6" w:space="0"/>
            </w:tcBorders>
            <w:vAlign w:val="center"/>
          </w:tcPr>
          <w:p w14:paraId="01D26DE9"/>
        </w:tc>
        <w:tc>
          <w:tcPr>
            <w:tcW w:w="1411" w:type="pct"/>
            <w:tcBorders>
              <w:top w:val="outset" w:color="auto" w:sz="6" w:space="0"/>
              <w:left w:val="outset" w:color="auto" w:sz="6" w:space="0"/>
              <w:bottom w:val="outset" w:color="auto" w:sz="6" w:space="0"/>
              <w:right w:val="outset" w:color="auto" w:sz="6" w:space="0"/>
            </w:tcBorders>
            <w:vAlign w:val="center"/>
          </w:tcPr>
          <w:p w14:paraId="205168CD">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41D88177">
            <w:pPr>
              <w:jc w:val="right"/>
              <w:rPr>
                <w:rFonts w:eastAsia="Times New Roman" w:cs="Times New Roman"/>
                <w:sz w:val="20"/>
                <w:szCs w:val="20"/>
              </w:rPr>
            </w:pPr>
          </w:p>
        </w:tc>
      </w:tr>
      <w:tr w14:paraId="7218B9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E1880F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应付账款</w:t>
            </w:r>
          </w:p>
        </w:tc>
        <w:tc>
          <w:tcPr>
            <w:tcW w:w="627" w:type="pct"/>
            <w:tcBorders>
              <w:top w:val="outset" w:color="auto" w:sz="6" w:space="0"/>
              <w:left w:val="outset" w:color="auto" w:sz="6" w:space="0"/>
              <w:bottom w:val="outset" w:color="auto" w:sz="6" w:space="0"/>
              <w:right w:val="outset" w:color="auto" w:sz="6" w:space="0"/>
            </w:tcBorders>
            <w:vAlign w:val="center"/>
          </w:tcPr>
          <w:p w14:paraId="39CF2BED"/>
        </w:tc>
        <w:tc>
          <w:tcPr>
            <w:tcW w:w="1411" w:type="pct"/>
            <w:tcBorders>
              <w:top w:val="outset" w:color="auto" w:sz="6" w:space="0"/>
              <w:left w:val="outset" w:color="auto" w:sz="6" w:space="0"/>
              <w:bottom w:val="outset" w:color="auto" w:sz="6" w:space="0"/>
              <w:right w:val="outset" w:color="auto" w:sz="6" w:space="0"/>
            </w:tcBorders>
            <w:vAlign w:val="center"/>
          </w:tcPr>
          <w:p w14:paraId="4922EEC8">
            <w:pPr>
              <w:jc w:val="right"/>
              <w:rPr>
                <w:rFonts w:ascii="宋体" w:hAnsi="宋体"/>
                <w:sz w:val="24"/>
                <w:szCs w:val="24"/>
              </w:rPr>
            </w:pPr>
            <w:r>
              <w:t>5,297.44</w:t>
            </w:r>
          </w:p>
        </w:tc>
        <w:tc>
          <w:tcPr>
            <w:tcW w:w="1333" w:type="pct"/>
            <w:tcBorders>
              <w:top w:val="outset" w:color="auto" w:sz="6" w:space="0"/>
              <w:left w:val="outset" w:color="auto" w:sz="6" w:space="0"/>
              <w:bottom w:val="outset" w:color="auto" w:sz="6" w:space="0"/>
              <w:right w:val="outset" w:color="auto" w:sz="6" w:space="0"/>
            </w:tcBorders>
            <w:vAlign w:val="center"/>
          </w:tcPr>
          <w:p w14:paraId="3E180DD3">
            <w:pPr>
              <w:jc w:val="right"/>
            </w:pPr>
            <w:r>
              <w:t>7,894.94</w:t>
            </w:r>
          </w:p>
        </w:tc>
      </w:tr>
      <w:tr w14:paraId="3CFC7A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D4EA7E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预收款项</w:t>
            </w:r>
          </w:p>
        </w:tc>
        <w:tc>
          <w:tcPr>
            <w:tcW w:w="627" w:type="pct"/>
            <w:tcBorders>
              <w:top w:val="outset" w:color="auto" w:sz="6" w:space="0"/>
              <w:left w:val="outset" w:color="auto" w:sz="6" w:space="0"/>
              <w:bottom w:val="outset" w:color="auto" w:sz="6" w:space="0"/>
              <w:right w:val="outset" w:color="auto" w:sz="6" w:space="0"/>
            </w:tcBorders>
            <w:vAlign w:val="center"/>
          </w:tcPr>
          <w:p w14:paraId="2A59A107"/>
        </w:tc>
        <w:tc>
          <w:tcPr>
            <w:tcW w:w="1411" w:type="pct"/>
            <w:tcBorders>
              <w:top w:val="outset" w:color="auto" w:sz="6" w:space="0"/>
              <w:left w:val="outset" w:color="auto" w:sz="6" w:space="0"/>
              <w:bottom w:val="outset" w:color="auto" w:sz="6" w:space="0"/>
              <w:right w:val="outset" w:color="auto" w:sz="6" w:space="0"/>
            </w:tcBorders>
            <w:vAlign w:val="center"/>
          </w:tcPr>
          <w:p w14:paraId="37396C56">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527EBA43">
            <w:pPr>
              <w:jc w:val="right"/>
              <w:rPr>
                <w:rFonts w:eastAsia="Times New Roman" w:cs="Times New Roman"/>
                <w:sz w:val="20"/>
                <w:szCs w:val="20"/>
              </w:rPr>
            </w:pPr>
          </w:p>
        </w:tc>
      </w:tr>
      <w:tr w14:paraId="0A3F4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28D312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合同负债</w:t>
            </w:r>
          </w:p>
        </w:tc>
        <w:tc>
          <w:tcPr>
            <w:tcW w:w="627" w:type="pct"/>
            <w:tcBorders>
              <w:top w:val="outset" w:color="auto" w:sz="6" w:space="0"/>
              <w:left w:val="outset" w:color="auto" w:sz="6" w:space="0"/>
              <w:bottom w:val="outset" w:color="auto" w:sz="6" w:space="0"/>
              <w:right w:val="outset" w:color="auto" w:sz="6" w:space="0"/>
            </w:tcBorders>
            <w:vAlign w:val="center"/>
          </w:tcPr>
          <w:p w14:paraId="044DBE93"/>
        </w:tc>
        <w:tc>
          <w:tcPr>
            <w:tcW w:w="1411" w:type="pct"/>
            <w:tcBorders>
              <w:top w:val="outset" w:color="auto" w:sz="6" w:space="0"/>
              <w:left w:val="outset" w:color="auto" w:sz="6" w:space="0"/>
              <w:bottom w:val="outset" w:color="auto" w:sz="6" w:space="0"/>
              <w:right w:val="outset" w:color="auto" w:sz="6" w:space="0"/>
            </w:tcBorders>
            <w:vAlign w:val="center"/>
          </w:tcPr>
          <w:p w14:paraId="7E9C1D50">
            <w:pPr>
              <w:jc w:val="right"/>
              <w:rPr>
                <w:rFonts w:ascii="宋体" w:hAnsi="宋体"/>
                <w:sz w:val="24"/>
                <w:szCs w:val="24"/>
              </w:rPr>
            </w:pPr>
            <w:r>
              <w:t>660,289.69</w:t>
            </w:r>
          </w:p>
        </w:tc>
        <w:tc>
          <w:tcPr>
            <w:tcW w:w="1333" w:type="pct"/>
            <w:tcBorders>
              <w:top w:val="outset" w:color="auto" w:sz="6" w:space="0"/>
              <w:left w:val="outset" w:color="auto" w:sz="6" w:space="0"/>
              <w:bottom w:val="outset" w:color="auto" w:sz="6" w:space="0"/>
              <w:right w:val="outset" w:color="auto" w:sz="6" w:space="0"/>
            </w:tcBorders>
            <w:vAlign w:val="center"/>
          </w:tcPr>
          <w:p w14:paraId="16A1A09A">
            <w:pPr>
              <w:jc w:val="right"/>
            </w:pPr>
            <w:r>
              <w:t>707,547.17</w:t>
            </w:r>
          </w:p>
        </w:tc>
      </w:tr>
      <w:tr w14:paraId="55A326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00C7FA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应付职工薪酬</w:t>
            </w:r>
          </w:p>
        </w:tc>
        <w:tc>
          <w:tcPr>
            <w:tcW w:w="627" w:type="pct"/>
            <w:tcBorders>
              <w:top w:val="outset" w:color="auto" w:sz="6" w:space="0"/>
              <w:left w:val="outset" w:color="auto" w:sz="6" w:space="0"/>
              <w:bottom w:val="outset" w:color="auto" w:sz="6" w:space="0"/>
              <w:right w:val="outset" w:color="auto" w:sz="6" w:space="0"/>
            </w:tcBorders>
            <w:vAlign w:val="center"/>
          </w:tcPr>
          <w:p w14:paraId="15B7DC24"/>
        </w:tc>
        <w:tc>
          <w:tcPr>
            <w:tcW w:w="1411" w:type="pct"/>
            <w:tcBorders>
              <w:top w:val="outset" w:color="auto" w:sz="6" w:space="0"/>
              <w:left w:val="outset" w:color="auto" w:sz="6" w:space="0"/>
              <w:bottom w:val="outset" w:color="auto" w:sz="6" w:space="0"/>
              <w:right w:val="outset" w:color="auto" w:sz="6" w:space="0"/>
            </w:tcBorders>
            <w:vAlign w:val="center"/>
          </w:tcPr>
          <w:p w14:paraId="011A0D49">
            <w:pPr>
              <w:jc w:val="right"/>
            </w:pPr>
            <w:r>
              <w:t>17,111,159.40</w:t>
            </w:r>
          </w:p>
        </w:tc>
        <w:tc>
          <w:tcPr>
            <w:tcW w:w="1333" w:type="pct"/>
            <w:tcBorders>
              <w:top w:val="outset" w:color="auto" w:sz="6" w:space="0"/>
              <w:left w:val="outset" w:color="auto" w:sz="6" w:space="0"/>
              <w:bottom w:val="outset" w:color="auto" w:sz="6" w:space="0"/>
              <w:right w:val="outset" w:color="auto" w:sz="6" w:space="0"/>
            </w:tcBorders>
            <w:vAlign w:val="center"/>
          </w:tcPr>
          <w:p w14:paraId="12AC50B0">
            <w:pPr>
              <w:jc w:val="right"/>
            </w:pPr>
            <w:r>
              <w:t>5,907,505.78</w:t>
            </w:r>
          </w:p>
        </w:tc>
      </w:tr>
      <w:tr w14:paraId="32009E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5E6624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应交税费</w:t>
            </w:r>
          </w:p>
        </w:tc>
        <w:tc>
          <w:tcPr>
            <w:tcW w:w="627" w:type="pct"/>
            <w:tcBorders>
              <w:top w:val="outset" w:color="auto" w:sz="6" w:space="0"/>
              <w:left w:val="outset" w:color="auto" w:sz="6" w:space="0"/>
              <w:bottom w:val="outset" w:color="auto" w:sz="6" w:space="0"/>
              <w:right w:val="outset" w:color="auto" w:sz="6" w:space="0"/>
            </w:tcBorders>
            <w:vAlign w:val="center"/>
          </w:tcPr>
          <w:p w14:paraId="1929A82B"/>
        </w:tc>
        <w:tc>
          <w:tcPr>
            <w:tcW w:w="1411" w:type="pct"/>
            <w:tcBorders>
              <w:top w:val="outset" w:color="auto" w:sz="6" w:space="0"/>
              <w:left w:val="outset" w:color="auto" w:sz="6" w:space="0"/>
              <w:bottom w:val="outset" w:color="auto" w:sz="6" w:space="0"/>
              <w:right w:val="outset" w:color="auto" w:sz="6" w:space="0"/>
            </w:tcBorders>
            <w:vAlign w:val="center"/>
          </w:tcPr>
          <w:p w14:paraId="7AF3358C">
            <w:pPr>
              <w:jc w:val="right"/>
            </w:pPr>
            <w:r>
              <w:t>485,626.72</w:t>
            </w:r>
          </w:p>
        </w:tc>
        <w:tc>
          <w:tcPr>
            <w:tcW w:w="1333" w:type="pct"/>
            <w:tcBorders>
              <w:top w:val="outset" w:color="auto" w:sz="6" w:space="0"/>
              <w:left w:val="outset" w:color="auto" w:sz="6" w:space="0"/>
              <w:bottom w:val="outset" w:color="auto" w:sz="6" w:space="0"/>
              <w:right w:val="outset" w:color="auto" w:sz="6" w:space="0"/>
            </w:tcBorders>
            <w:vAlign w:val="center"/>
          </w:tcPr>
          <w:p w14:paraId="423AAF14">
            <w:pPr>
              <w:jc w:val="right"/>
            </w:pPr>
            <w:r>
              <w:t>845,224.71</w:t>
            </w:r>
          </w:p>
        </w:tc>
      </w:tr>
      <w:tr w14:paraId="399CB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03D39F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其他应付款</w:t>
            </w:r>
          </w:p>
        </w:tc>
        <w:tc>
          <w:tcPr>
            <w:tcW w:w="627" w:type="pct"/>
            <w:tcBorders>
              <w:top w:val="outset" w:color="auto" w:sz="6" w:space="0"/>
              <w:left w:val="outset" w:color="auto" w:sz="6" w:space="0"/>
              <w:bottom w:val="outset" w:color="auto" w:sz="6" w:space="0"/>
              <w:right w:val="outset" w:color="auto" w:sz="6" w:space="0"/>
            </w:tcBorders>
            <w:vAlign w:val="center"/>
          </w:tcPr>
          <w:p w14:paraId="7A68F01B"/>
        </w:tc>
        <w:tc>
          <w:tcPr>
            <w:tcW w:w="1411" w:type="pct"/>
            <w:tcBorders>
              <w:top w:val="outset" w:color="auto" w:sz="6" w:space="0"/>
              <w:left w:val="outset" w:color="auto" w:sz="6" w:space="0"/>
              <w:bottom w:val="outset" w:color="auto" w:sz="6" w:space="0"/>
              <w:right w:val="outset" w:color="auto" w:sz="6" w:space="0"/>
            </w:tcBorders>
            <w:vAlign w:val="center"/>
          </w:tcPr>
          <w:p w14:paraId="163F2E6F">
            <w:pPr>
              <w:jc w:val="right"/>
            </w:pPr>
            <w:r>
              <w:t>38,048,903.45</w:t>
            </w:r>
          </w:p>
        </w:tc>
        <w:tc>
          <w:tcPr>
            <w:tcW w:w="1333" w:type="pct"/>
            <w:tcBorders>
              <w:top w:val="outset" w:color="auto" w:sz="6" w:space="0"/>
              <w:left w:val="outset" w:color="auto" w:sz="6" w:space="0"/>
              <w:bottom w:val="outset" w:color="auto" w:sz="6" w:space="0"/>
              <w:right w:val="outset" w:color="auto" w:sz="6" w:space="0"/>
            </w:tcBorders>
            <w:vAlign w:val="center"/>
          </w:tcPr>
          <w:p w14:paraId="650842EA">
            <w:pPr>
              <w:jc w:val="right"/>
            </w:pPr>
            <w:r>
              <w:t>37,831,024.32</w:t>
            </w:r>
          </w:p>
        </w:tc>
      </w:tr>
      <w:tr w14:paraId="4FA52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E13CE9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其中：应付利息</w:t>
            </w:r>
          </w:p>
        </w:tc>
        <w:tc>
          <w:tcPr>
            <w:tcW w:w="627" w:type="pct"/>
            <w:tcBorders>
              <w:top w:val="outset" w:color="auto" w:sz="6" w:space="0"/>
              <w:left w:val="outset" w:color="auto" w:sz="6" w:space="0"/>
              <w:bottom w:val="outset" w:color="auto" w:sz="6" w:space="0"/>
              <w:right w:val="outset" w:color="auto" w:sz="6" w:space="0"/>
            </w:tcBorders>
            <w:vAlign w:val="center"/>
          </w:tcPr>
          <w:p w14:paraId="20E08A55"/>
        </w:tc>
        <w:tc>
          <w:tcPr>
            <w:tcW w:w="1411" w:type="pct"/>
            <w:tcBorders>
              <w:top w:val="outset" w:color="auto" w:sz="6" w:space="0"/>
              <w:left w:val="outset" w:color="auto" w:sz="6" w:space="0"/>
              <w:bottom w:val="outset" w:color="auto" w:sz="6" w:space="0"/>
              <w:right w:val="outset" w:color="auto" w:sz="6" w:space="0"/>
            </w:tcBorders>
            <w:vAlign w:val="center"/>
          </w:tcPr>
          <w:p w14:paraId="0A84C594">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DE72F5F">
            <w:pPr>
              <w:jc w:val="right"/>
              <w:rPr>
                <w:rFonts w:eastAsia="Times New Roman" w:cs="Times New Roman"/>
                <w:sz w:val="20"/>
                <w:szCs w:val="20"/>
              </w:rPr>
            </w:pPr>
          </w:p>
        </w:tc>
      </w:tr>
      <w:tr w14:paraId="30DDA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57248AA">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应付股利</w:t>
            </w:r>
          </w:p>
        </w:tc>
        <w:tc>
          <w:tcPr>
            <w:tcW w:w="627" w:type="pct"/>
            <w:tcBorders>
              <w:top w:val="outset" w:color="auto" w:sz="6" w:space="0"/>
              <w:left w:val="outset" w:color="auto" w:sz="6" w:space="0"/>
              <w:bottom w:val="outset" w:color="auto" w:sz="6" w:space="0"/>
              <w:right w:val="outset" w:color="auto" w:sz="6" w:space="0"/>
            </w:tcBorders>
            <w:vAlign w:val="center"/>
          </w:tcPr>
          <w:p w14:paraId="22DE8D6A"/>
        </w:tc>
        <w:tc>
          <w:tcPr>
            <w:tcW w:w="1411" w:type="pct"/>
            <w:tcBorders>
              <w:top w:val="outset" w:color="auto" w:sz="6" w:space="0"/>
              <w:left w:val="outset" w:color="auto" w:sz="6" w:space="0"/>
              <w:bottom w:val="outset" w:color="auto" w:sz="6" w:space="0"/>
              <w:right w:val="outset" w:color="auto" w:sz="6" w:space="0"/>
            </w:tcBorders>
            <w:vAlign w:val="center"/>
          </w:tcPr>
          <w:p w14:paraId="43EDB779">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2769CCF8">
            <w:pPr>
              <w:jc w:val="right"/>
              <w:rPr>
                <w:rFonts w:eastAsia="Times New Roman" w:cs="Times New Roman"/>
                <w:sz w:val="20"/>
                <w:szCs w:val="20"/>
              </w:rPr>
            </w:pPr>
          </w:p>
        </w:tc>
      </w:tr>
      <w:tr w14:paraId="61E16F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6491B0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持有待售负债</w:t>
            </w:r>
          </w:p>
        </w:tc>
        <w:tc>
          <w:tcPr>
            <w:tcW w:w="627" w:type="pct"/>
            <w:tcBorders>
              <w:top w:val="outset" w:color="auto" w:sz="6" w:space="0"/>
              <w:left w:val="outset" w:color="auto" w:sz="6" w:space="0"/>
              <w:bottom w:val="outset" w:color="auto" w:sz="6" w:space="0"/>
              <w:right w:val="outset" w:color="auto" w:sz="6" w:space="0"/>
            </w:tcBorders>
            <w:vAlign w:val="center"/>
          </w:tcPr>
          <w:p w14:paraId="506D49DE"/>
        </w:tc>
        <w:tc>
          <w:tcPr>
            <w:tcW w:w="1411" w:type="pct"/>
            <w:tcBorders>
              <w:top w:val="outset" w:color="auto" w:sz="6" w:space="0"/>
              <w:left w:val="outset" w:color="auto" w:sz="6" w:space="0"/>
              <w:bottom w:val="outset" w:color="auto" w:sz="6" w:space="0"/>
              <w:right w:val="outset" w:color="auto" w:sz="6" w:space="0"/>
            </w:tcBorders>
            <w:vAlign w:val="center"/>
          </w:tcPr>
          <w:p w14:paraId="45A14A75">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75F57259">
            <w:pPr>
              <w:jc w:val="right"/>
              <w:rPr>
                <w:rFonts w:eastAsia="Times New Roman" w:cs="Times New Roman"/>
                <w:sz w:val="20"/>
                <w:szCs w:val="20"/>
              </w:rPr>
            </w:pPr>
          </w:p>
        </w:tc>
      </w:tr>
      <w:tr w14:paraId="14BB24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39E9F8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一年内到期的非流动负债</w:t>
            </w:r>
          </w:p>
        </w:tc>
        <w:tc>
          <w:tcPr>
            <w:tcW w:w="627" w:type="pct"/>
            <w:tcBorders>
              <w:top w:val="outset" w:color="auto" w:sz="6" w:space="0"/>
              <w:left w:val="outset" w:color="auto" w:sz="6" w:space="0"/>
              <w:bottom w:val="outset" w:color="auto" w:sz="6" w:space="0"/>
              <w:right w:val="outset" w:color="auto" w:sz="6" w:space="0"/>
            </w:tcBorders>
            <w:vAlign w:val="center"/>
          </w:tcPr>
          <w:p w14:paraId="2487F903"/>
        </w:tc>
        <w:tc>
          <w:tcPr>
            <w:tcW w:w="1411" w:type="pct"/>
            <w:tcBorders>
              <w:top w:val="outset" w:color="auto" w:sz="6" w:space="0"/>
              <w:left w:val="outset" w:color="auto" w:sz="6" w:space="0"/>
              <w:bottom w:val="outset" w:color="auto" w:sz="6" w:space="0"/>
              <w:right w:val="outset" w:color="auto" w:sz="6" w:space="0"/>
            </w:tcBorders>
            <w:vAlign w:val="center"/>
          </w:tcPr>
          <w:p w14:paraId="6ABCF8B7">
            <w:pPr>
              <w:jc w:val="right"/>
              <w:rPr>
                <w:rFonts w:ascii="宋体" w:hAnsi="宋体"/>
                <w:sz w:val="24"/>
                <w:szCs w:val="24"/>
              </w:rPr>
            </w:pPr>
            <w:r>
              <w:t>425,235,172.56</w:t>
            </w:r>
          </w:p>
        </w:tc>
        <w:tc>
          <w:tcPr>
            <w:tcW w:w="1333" w:type="pct"/>
            <w:tcBorders>
              <w:top w:val="outset" w:color="auto" w:sz="6" w:space="0"/>
              <w:left w:val="outset" w:color="auto" w:sz="6" w:space="0"/>
              <w:bottom w:val="outset" w:color="auto" w:sz="6" w:space="0"/>
              <w:right w:val="outset" w:color="auto" w:sz="6" w:space="0"/>
            </w:tcBorders>
            <w:vAlign w:val="center"/>
          </w:tcPr>
          <w:p w14:paraId="1696D58B">
            <w:pPr>
              <w:jc w:val="right"/>
            </w:pPr>
            <w:r>
              <w:t>499,739,696.63</w:t>
            </w:r>
          </w:p>
        </w:tc>
      </w:tr>
      <w:tr w14:paraId="11AA7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6D98EF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其他流动负债</w:t>
            </w:r>
          </w:p>
        </w:tc>
        <w:tc>
          <w:tcPr>
            <w:tcW w:w="627" w:type="pct"/>
            <w:tcBorders>
              <w:top w:val="outset" w:color="auto" w:sz="6" w:space="0"/>
              <w:left w:val="outset" w:color="auto" w:sz="6" w:space="0"/>
              <w:bottom w:val="outset" w:color="auto" w:sz="6" w:space="0"/>
              <w:right w:val="outset" w:color="auto" w:sz="6" w:space="0"/>
            </w:tcBorders>
            <w:vAlign w:val="center"/>
          </w:tcPr>
          <w:p w14:paraId="7007536F"/>
        </w:tc>
        <w:tc>
          <w:tcPr>
            <w:tcW w:w="1411" w:type="pct"/>
            <w:tcBorders>
              <w:top w:val="outset" w:color="auto" w:sz="6" w:space="0"/>
              <w:left w:val="outset" w:color="auto" w:sz="6" w:space="0"/>
              <w:bottom w:val="outset" w:color="auto" w:sz="6" w:space="0"/>
              <w:right w:val="outset" w:color="auto" w:sz="6" w:space="0"/>
            </w:tcBorders>
            <w:vAlign w:val="center"/>
          </w:tcPr>
          <w:p w14:paraId="0D24C124">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34DB0AFD">
            <w:pPr>
              <w:jc w:val="right"/>
              <w:rPr>
                <w:rFonts w:eastAsia="Times New Roman" w:cs="Times New Roman"/>
                <w:sz w:val="20"/>
                <w:szCs w:val="20"/>
              </w:rPr>
            </w:pPr>
          </w:p>
        </w:tc>
      </w:tr>
      <w:tr w14:paraId="1C994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377F312">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流动负债合计</w:t>
            </w:r>
          </w:p>
        </w:tc>
        <w:tc>
          <w:tcPr>
            <w:tcW w:w="627" w:type="pct"/>
            <w:tcBorders>
              <w:top w:val="outset" w:color="auto" w:sz="6" w:space="0"/>
              <w:left w:val="outset" w:color="auto" w:sz="6" w:space="0"/>
              <w:bottom w:val="outset" w:color="auto" w:sz="6" w:space="0"/>
              <w:right w:val="outset" w:color="auto" w:sz="6" w:space="0"/>
            </w:tcBorders>
            <w:vAlign w:val="center"/>
          </w:tcPr>
          <w:p w14:paraId="48998E04"/>
        </w:tc>
        <w:tc>
          <w:tcPr>
            <w:tcW w:w="1411" w:type="pct"/>
            <w:tcBorders>
              <w:top w:val="outset" w:color="auto" w:sz="6" w:space="0"/>
              <w:left w:val="outset" w:color="auto" w:sz="6" w:space="0"/>
              <w:bottom w:val="outset" w:color="auto" w:sz="6" w:space="0"/>
              <w:right w:val="outset" w:color="auto" w:sz="6" w:space="0"/>
            </w:tcBorders>
            <w:vAlign w:val="center"/>
          </w:tcPr>
          <w:p w14:paraId="30DEB1AE">
            <w:pPr>
              <w:jc w:val="right"/>
              <w:rPr>
                <w:rFonts w:ascii="宋体" w:hAnsi="宋体"/>
                <w:sz w:val="24"/>
                <w:szCs w:val="24"/>
              </w:rPr>
            </w:pPr>
            <w:r>
              <w:t>831,804,782.59</w:t>
            </w:r>
          </w:p>
        </w:tc>
        <w:tc>
          <w:tcPr>
            <w:tcW w:w="1333" w:type="pct"/>
            <w:tcBorders>
              <w:top w:val="outset" w:color="auto" w:sz="6" w:space="0"/>
              <w:left w:val="outset" w:color="auto" w:sz="6" w:space="0"/>
              <w:bottom w:val="outset" w:color="auto" w:sz="6" w:space="0"/>
              <w:right w:val="outset" w:color="auto" w:sz="6" w:space="0"/>
            </w:tcBorders>
            <w:vAlign w:val="center"/>
          </w:tcPr>
          <w:p w14:paraId="31DA9E37">
            <w:pPr>
              <w:jc w:val="right"/>
            </w:pPr>
            <w:r>
              <w:t>895,323,060.22</w:t>
            </w:r>
          </w:p>
        </w:tc>
      </w:tr>
      <w:tr w14:paraId="6772C1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62929b21cd4456494013c9cb0dc5b16"/>
            <w:id w:val="-173737439"/>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6C4ED651">
                <w:pPr>
                  <w:rPr>
                    <w:color w:val="000000" w:themeColor="text1"/>
                    <w14:textFill>
                      <w14:solidFill>
                        <w14:schemeClr w14:val="tx1"/>
                      </w14:solidFill>
                    </w14:textFill>
                  </w:rPr>
                </w:pPr>
                <w:r>
                  <w:rPr>
                    <w:rFonts w:hint="eastAsia"/>
                    <w:b/>
                    <w:color w:val="000000" w:themeColor="text1"/>
                    <w14:textFill>
                      <w14:solidFill>
                        <w14:schemeClr w14:val="tx1"/>
                      </w14:solidFill>
                    </w14:textFill>
                  </w:rPr>
                  <w:t>非流动负债：</w:t>
                </w:r>
              </w:p>
            </w:tc>
          </w:sdtContent>
        </w:sdt>
      </w:tr>
      <w:tr w14:paraId="60B066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DC480F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长期借款</w:t>
            </w:r>
          </w:p>
        </w:tc>
        <w:tc>
          <w:tcPr>
            <w:tcW w:w="627" w:type="pct"/>
            <w:tcBorders>
              <w:top w:val="outset" w:color="auto" w:sz="6" w:space="0"/>
              <w:left w:val="outset" w:color="auto" w:sz="6" w:space="0"/>
              <w:bottom w:val="outset" w:color="auto" w:sz="6" w:space="0"/>
              <w:right w:val="outset" w:color="auto" w:sz="6" w:space="0"/>
            </w:tcBorders>
            <w:vAlign w:val="center"/>
          </w:tcPr>
          <w:p w14:paraId="42A8073D"/>
        </w:tc>
        <w:tc>
          <w:tcPr>
            <w:tcW w:w="1411" w:type="pct"/>
            <w:tcBorders>
              <w:top w:val="outset" w:color="auto" w:sz="6" w:space="0"/>
              <w:left w:val="outset" w:color="auto" w:sz="6" w:space="0"/>
              <w:bottom w:val="outset" w:color="auto" w:sz="6" w:space="0"/>
              <w:right w:val="outset" w:color="auto" w:sz="6" w:space="0"/>
            </w:tcBorders>
            <w:vAlign w:val="center"/>
          </w:tcPr>
          <w:p w14:paraId="2C9237C6">
            <w:pPr>
              <w:jc w:val="right"/>
            </w:pPr>
            <w:r>
              <w:t>130,000,000.00</w:t>
            </w:r>
          </w:p>
        </w:tc>
        <w:tc>
          <w:tcPr>
            <w:tcW w:w="1333" w:type="pct"/>
            <w:tcBorders>
              <w:top w:val="outset" w:color="auto" w:sz="6" w:space="0"/>
              <w:left w:val="outset" w:color="auto" w:sz="6" w:space="0"/>
              <w:bottom w:val="outset" w:color="auto" w:sz="6" w:space="0"/>
              <w:right w:val="outset" w:color="auto" w:sz="6" w:space="0"/>
            </w:tcBorders>
            <w:vAlign w:val="center"/>
          </w:tcPr>
          <w:p w14:paraId="2A37E13C">
            <w:pPr>
              <w:jc w:val="right"/>
            </w:pPr>
            <w:r>
              <w:t>132,500,000.00</w:t>
            </w:r>
          </w:p>
        </w:tc>
      </w:tr>
      <w:tr w14:paraId="2EA47F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701C387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应付债券</w:t>
            </w:r>
          </w:p>
        </w:tc>
        <w:tc>
          <w:tcPr>
            <w:tcW w:w="627" w:type="pct"/>
            <w:tcBorders>
              <w:top w:val="outset" w:color="auto" w:sz="6" w:space="0"/>
              <w:left w:val="outset" w:color="auto" w:sz="6" w:space="0"/>
              <w:bottom w:val="outset" w:color="auto" w:sz="6" w:space="0"/>
              <w:right w:val="outset" w:color="auto" w:sz="6" w:space="0"/>
            </w:tcBorders>
            <w:vAlign w:val="center"/>
          </w:tcPr>
          <w:p w14:paraId="650B3AA1"/>
        </w:tc>
        <w:tc>
          <w:tcPr>
            <w:tcW w:w="1411" w:type="pct"/>
            <w:tcBorders>
              <w:top w:val="outset" w:color="auto" w:sz="6" w:space="0"/>
              <w:left w:val="outset" w:color="auto" w:sz="6" w:space="0"/>
              <w:bottom w:val="outset" w:color="auto" w:sz="6" w:space="0"/>
              <w:right w:val="outset" w:color="auto" w:sz="6" w:space="0"/>
            </w:tcBorders>
            <w:vAlign w:val="center"/>
          </w:tcPr>
          <w:p w14:paraId="6A796ED9">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6A2DDFD5">
            <w:pPr>
              <w:jc w:val="right"/>
            </w:pPr>
          </w:p>
        </w:tc>
      </w:tr>
      <w:tr w14:paraId="171855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FD091E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其中：优先股</w:t>
            </w:r>
          </w:p>
        </w:tc>
        <w:tc>
          <w:tcPr>
            <w:tcW w:w="627" w:type="pct"/>
            <w:tcBorders>
              <w:top w:val="outset" w:color="auto" w:sz="6" w:space="0"/>
              <w:left w:val="outset" w:color="auto" w:sz="6" w:space="0"/>
              <w:bottom w:val="outset" w:color="auto" w:sz="6" w:space="0"/>
              <w:right w:val="outset" w:color="auto" w:sz="6" w:space="0"/>
            </w:tcBorders>
            <w:vAlign w:val="center"/>
          </w:tcPr>
          <w:p w14:paraId="39FF970B"/>
        </w:tc>
        <w:tc>
          <w:tcPr>
            <w:tcW w:w="1411" w:type="pct"/>
            <w:tcBorders>
              <w:top w:val="outset" w:color="auto" w:sz="6" w:space="0"/>
              <w:left w:val="outset" w:color="auto" w:sz="6" w:space="0"/>
              <w:bottom w:val="outset" w:color="auto" w:sz="6" w:space="0"/>
              <w:right w:val="outset" w:color="auto" w:sz="6" w:space="0"/>
            </w:tcBorders>
            <w:vAlign w:val="center"/>
          </w:tcPr>
          <w:p w14:paraId="15DE611D">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394EDAAD">
            <w:pPr>
              <w:jc w:val="right"/>
            </w:pPr>
          </w:p>
        </w:tc>
      </w:tr>
      <w:tr w14:paraId="227D8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1BF7923">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永续债</w:t>
            </w:r>
          </w:p>
        </w:tc>
        <w:tc>
          <w:tcPr>
            <w:tcW w:w="627" w:type="pct"/>
            <w:tcBorders>
              <w:top w:val="outset" w:color="auto" w:sz="6" w:space="0"/>
              <w:left w:val="outset" w:color="auto" w:sz="6" w:space="0"/>
              <w:bottom w:val="outset" w:color="auto" w:sz="6" w:space="0"/>
              <w:right w:val="outset" w:color="auto" w:sz="6" w:space="0"/>
            </w:tcBorders>
            <w:vAlign w:val="center"/>
          </w:tcPr>
          <w:p w14:paraId="079277DB"/>
        </w:tc>
        <w:tc>
          <w:tcPr>
            <w:tcW w:w="1411" w:type="pct"/>
            <w:tcBorders>
              <w:top w:val="outset" w:color="auto" w:sz="6" w:space="0"/>
              <w:left w:val="outset" w:color="auto" w:sz="6" w:space="0"/>
              <w:bottom w:val="outset" w:color="auto" w:sz="6" w:space="0"/>
              <w:right w:val="outset" w:color="auto" w:sz="6" w:space="0"/>
            </w:tcBorders>
            <w:vAlign w:val="center"/>
          </w:tcPr>
          <w:p w14:paraId="644771F2">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F47B0DA">
            <w:pPr>
              <w:jc w:val="right"/>
            </w:pPr>
          </w:p>
        </w:tc>
      </w:tr>
      <w:tr w14:paraId="7B402B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4C491D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租赁负债</w:t>
            </w:r>
          </w:p>
        </w:tc>
        <w:tc>
          <w:tcPr>
            <w:tcW w:w="627" w:type="pct"/>
            <w:tcBorders>
              <w:top w:val="outset" w:color="auto" w:sz="6" w:space="0"/>
              <w:left w:val="outset" w:color="auto" w:sz="6" w:space="0"/>
              <w:bottom w:val="outset" w:color="auto" w:sz="6" w:space="0"/>
              <w:right w:val="outset" w:color="auto" w:sz="6" w:space="0"/>
            </w:tcBorders>
            <w:vAlign w:val="center"/>
          </w:tcPr>
          <w:p w14:paraId="2F2E5D88"/>
        </w:tc>
        <w:tc>
          <w:tcPr>
            <w:tcW w:w="1411" w:type="pct"/>
            <w:tcBorders>
              <w:top w:val="outset" w:color="auto" w:sz="6" w:space="0"/>
              <w:left w:val="outset" w:color="auto" w:sz="6" w:space="0"/>
              <w:bottom w:val="outset" w:color="auto" w:sz="6" w:space="0"/>
              <w:right w:val="outset" w:color="auto" w:sz="6" w:space="0"/>
            </w:tcBorders>
            <w:vAlign w:val="center"/>
          </w:tcPr>
          <w:p w14:paraId="093DB4E7">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D2A196E">
            <w:pPr>
              <w:jc w:val="right"/>
            </w:pPr>
          </w:p>
        </w:tc>
      </w:tr>
      <w:tr w14:paraId="6DE59E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4490ADF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长期应付款</w:t>
            </w:r>
          </w:p>
        </w:tc>
        <w:tc>
          <w:tcPr>
            <w:tcW w:w="627" w:type="pct"/>
            <w:tcBorders>
              <w:top w:val="outset" w:color="auto" w:sz="6" w:space="0"/>
              <w:left w:val="outset" w:color="auto" w:sz="6" w:space="0"/>
              <w:bottom w:val="outset" w:color="auto" w:sz="6" w:space="0"/>
              <w:right w:val="outset" w:color="auto" w:sz="6" w:space="0"/>
            </w:tcBorders>
            <w:vAlign w:val="center"/>
          </w:tcPr>
          <w:p w14:paraId="099F28B5"/>
        </w:tc>
        <w:tc>
          <w:tcPr>
            <w:tcW w:w="1411" w:type="pct"/>
            <w:tcBorders>
              <w:top w:val="outset" w:color="auto" w:sz="6" w:space="0"/>
              <w:left w:val="outset" w:color="auto" w:sz="6" w:space="0"/>
              <w:bottom w:val="outset" w:color="auto" w:sz="6" w:space="0"/>
              <w:right w:val="outset" w:color="auto" w:sz="6" w:space="0"/>
            </w:tcBorders>
            <w:vAlign w:val="center"/>
          </w:tcPr>
          <w:p w14:paraId="0BC64237">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0742744A">
            <w:pPr>
              <w:jc w:val="right"/>
            </w:pPr>
          </w:p>
        </w:tc>
      </w:tr>
      <w:tr w14:paraId="027503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D088F2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长期应付职工薪酬</w:t>
            </w:r>
          </w:p>
        </w:tc>
        <w:tc>
          <w:tcPr>
            <w:tcW w:w="627" w:type="pct"/>
            <w:tcBorders>
              <w:top w:val="outset" w:color="auto" w:sz="6" w:space="0"/>
              <w:left w:val="outset" w:color="auto" w:sz="6" w:space="0"/>
              <w:bottom w:val="outset" w:color="auto" w:sz="6" w:space="0"/>
              <w:right w:val="outset" w:color="auto" w:sz="6" w:space="0"/>
            </w:tcBorders>
            <w:vAlign w:val="center"/>
          </w:tcPr>
          <w:p w14:paraId="3B26AC94"/>
        </w:tc>
        <w:tc>
          <w:tcPr>
            <w:tcW w:w="1411" w:type="pct"/>
            <w:tcBorders>
              <w:top w:val="outset" w:color="auto" w:sz="6" w:space="0"/>
              <w:left w:val="outset" w:color="auto" w:sz="6" w:space="0"/>
              <w:bottom w:val="outset" w:color="auto" w:sz="6" w:space="0"/>
              <w:right w:val="outset" w:color="auto" w:sz="6" w:space="0"/>
            </w:tcBorders>
            <w:vAlign w:val="center"/>
          </w:tcPr>
          <w:p w14:paraId="65B61A5D">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7338A9D">
            <w:pPr>
              <w:jc w:val="right"/>
            </w:pPr>
          </w:p>
        </w:tc>
      </w:tr>
      <w:tr w14:paraId="11919F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2BF837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预计负债</w:t>
            </w:r>
          </w:p>
        </w:tc>
        <w:tc>
          <w:tcPr>
            <w:tcW w:w="627" w:type="pct"/>
            <w:tcBorders>
              <w:top w:val="outset" w:color="auto" w:sz="6" w:space="0"/>
              <w:left w:val="outset" w:color="auto" w:sz="6" w:space="0"/>
              <w:bottom w:val="outset" w:color="auto" w:sz="6" w:space="0"/>
              <w:right w:val="outset" w:color="auto" w:sz="6" w:space="0"/>
            </w:tcBorders>
            <w:vAlign w:val="center"/>
          </w:tcPr>
          <w:p w14:paraId="056B565D"/>
        </w:tc>
        <w:tc>
          <w:tcPr>
            <w:tcW w:w="1411" w:type="pct"/>
            <w:tcBorders>
              <w:top w:val="outset" w:color="auto" w:sz="6" w:space="0"/>
              <w:left w:val="outset" w:color="auto" w:sz="6" w:space="0"/>
              <w:bottom w:val="outset" w:color="auto" w:sz="6" w:space="0"/>
              <w:right w:val="outset" w:color="auto" w:sz="6" w:space="0"/>
            </w:tcBorders>
            <w:vAlign w:val="center"/>
          </w:tcPr>
          <w:p w14:paraId="42979D15">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41191990">
            <w:pPr>
              <w:jc w:val="right"/>
            </w:pPr>
          </w:p>
        </w:tc>
      </w:tr>
      <w:tr w14:paraId="104054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0093CA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递延收益</w:t>
            </w:r>
          </w:p>
        </w:tc>
        <w:tc>
          <w:tcPr>
            <w:tcW w:w="627" w:type="pct"/>
            <w:tcBorders>
              <w:top w:val="outset" w:color="auto" w:sz="6" w:space="0"/>
              <w:left w:val="outset" w:color="auto" w:sz="6" w:space="0"/>
              <w:bottom w:val="outset" w:color="auto" w:sz="6" w:space="0"/>
              <w:right w:val="outset" w:color="auto" w:sz="6" w:space="0"/>
            </w:tcBorders>
            <w:vAlign w:val="center"/>
          </w:tcPr>
          <w:p w14:paraId="1C28A67D"/>
        </w:tc>
        <w:tc>
          <w:tcPr>
            <w:tcW w:w="1411" w:type="pct"/>
            <w:tcBorders>
              <w:top w:val="outset" w:color="auto" w:sz="6" w:space="0"/>
              <w:left w:val="outset" w:color="auto" w:sz="6" w:space="0"/>
              <w:bottom w:val="outset" w:color="auto" w:sz="6" w:space="0"/>
              <w:right w:val="outset" w:color="auto" w:sz="6" w:space="0"/>
            </w:tcBorders>
            <w:vAlign w:val="center"/>
          </w:tcPr>
          <w:p w14:paraId="2F422867">
            <w:pPr>
              <w:jc w:val="right"/>
            </w:pPr>
            <w:r>
              <w:t>596,022.94</w:t>
            </w:r>
          </w:p>
        </w:tc>
        <w:tc>
          <w:tcPr>
            <w:tcW w:w="1333" w:type="pct"/>
            <w:tcBorders>
              <w:top w:val="outset" w:color="auto" w:sz="6" w:space="0"/>
              <w:left w:val="outset" w:color="auto" w:sz="6" w:space="0"/>
              <w:bottom w:val="outset" w:color="auto" w:sz="6" w:space="0"/>
              <w:right w:val="outset" w:color="auto" w:sz="6" w:space="0"/>
            </w:tcBorders>
            <w:vAlign w:val="center"/>
          </w:tcPr>
          <w:p w14:paraId="2DA6C6E5">
            <w:pPr>
              <w:jc w:val="right"/>
            </w:pPr>
            <w:r>
              <w:t>923,726.66</w:t>
            </w:r>
          </w:p>
        </w:tc>
      </w:tr>
      <w:tr w14:paraId="5F9D17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CD9107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递延所得税负债</w:t>
            </w:r>
          </w:p>
        </w:tc>
        <w:tc>
          <w:tcPr>
            <w:tcW w:w="627" w:type="pct"/>
            <w:tcBorders>
              <w:top w:val="outset" w:color="auto" w:sz="6" w:space="0"/>
              <w:left w:val="outset" w:color="auto" w:sz="6" w:space="0"/>
              <w:bottom w:val="outset" w:color="auto" w:sz="6" w:space="0"/>
              <w:right w:val="outset" w:color="auto" w:sz="6" w:space="0"/>
            </w:tcBorders>
            <w:vAlign w:val="center"/>
          </w:tcPr>
          <w:p w14:paraId="04A7769D"/>
        </w:tc>
        <w:tc>
          <w:tcPr>
            <w:tcW w:w="1411" w:type="pct"/>
            <w:tcBorders>
              <w:top w:val="outset" w:color="auto" w:sz="6" w:space="0"/>
              <w:left w:val="outset" w:color="auto" w:sz="6" w:space="0"/>
              <w:bottom w:val="outset" w:color="auto" w:sz="6" w:space="0"/>
              <w:right w:val="outset" w:color="auto" w:sz="6" w:space="0"/>
            </w:tcBorders>
            <w:vAlign w:val="center"/>
          </w:tcPr>
          <w:p w14:paraId="2E9B117E">
            <w:pPr>
              <w:jc w:val="right"/>
            </w:pPr>
            <w:r>
              <w:t>7,780,982.93</w:t>
            </w:r>
          </w:p>
        </w:tc>
        <w:tc>
          <w:tcPr>
            <w:tcW w:w="1333" w:type="pct"/>
            <w:tcBorders>
              <w:top w:val="outset" w:color="auto" w:sz="6" w:space="0"/>
              <w:left w:val="outset" w:color="auto" w:sz="6" w:space="0"/>
              <w:bottom w:val="outset" w:color="auto" w:sz="6" w:space="0"/>
              <w:right w:val="outset" w:color="auto" w:sz="6" w:space="0"/>
            </w:tcBorders>
            <w:vAlign w:val="center"/>
          </w:tcPr>
          <w:p w14:paraId="48465A95">
            <w:pPr>
              <w:jc w:val="right"/>
            </w:pPr>
            <w:r>
              <w:t>7,961,327.93</w:t>
            </w:r>
          </w:p>
        </w:tc>
      </w:tr>
      <w:tr w14:paraId="491B0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3F2886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其他非流动负债</w:t>
            </w:r>
          </w:p>
        </w:tc>
        <w:tc>
          <w:tcPr>
            <w:tcW w:w="627" w:type="pct"/>
            <w:tcBorders>
              <w:top w:val="outset" w:color="auto" w:sz="6" w:space="0"/>
              <w:left w:val="outset" w:color="auto" w:sz="6" w:space="0"/>
              <w:bottom w:val="outset" w:color="auto" w:sz="6" w:space="0"/>
              <w:right w:val="outset" w:color="auto" w:sz="6" w:space="0"/>
            </w:tcBorders>
            <w:vAlign w:val="center"/>
          </w:tcPr>
          <w:p w14:paraId="277FF1FB"/>
        </w:tc>
        <w:tc>
          <w:tcPr>
            <w:tcW w:w="1411" w:type="pct"/>
            <w:tcBorders>
              <w:top w:val="outset" w:color="auto" w:sz="6" w:space="0"/>
              <w:left w:val="outset" w:color="auto" w:sz="6" w:space="0"/>
              <w:bottom w:val="outset" w:color="auto" w:sz="6" w:space="0"/>
              <w:right w:val="outset" w:color="auto" w:sz="6" w:space="0"/>
            </w:tcBorders>
            <w:vAlign w:val="center"/>
          </w:tcPr>
          <w:p w14:paraId="5B06EA76">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710DEC61">
            <w:pPr>
              <w:jc w:val="right"/>
              <w:rPr>
                <w:rFonts w:eastAsia="Times New Roman" w:cs="Times New Roman"/>
                <w:sz w:val="20"/>
                <w:szCs w:val="20"/>
              </w:rPr>
            </w:pPr>
          </w:p>
        </w:tc>
      </w:tr>
      <w:tr w14:paraId="1B26D3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6F7A146">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非流动负债合计</w:t>
            </w:r>
          </w:p>
        </w:tc>
        <w:tc>
          <w:tcPr>
            <w:tcW w:w="627" w:type="pct"/>
            <w:tcBorders>
              <w:top w:val="outset" w:color="auto" w:sz="6" w:space="0"/>
              <w:left w:val="outset" w:color="auto" w:sz="6" w:space="0"/>
              <w:bottom w:val="outset" w:color="auto" w:sz="6" w:space="0"/>
              <w:right w:val="outset" w:color="auto" w:sz="6" w:space="0"/>
            </w:tcBorders>
            <w:vAlign w:val="center"/>
          </w:tcPr>
          <w:p w14:paraId="0948111B"/>
        </w:tc>
        <w:tc>
          <w:tcPr>
            <w:tcW w:w="1411" w:type="pct"/>
            <w:tcBorders>
              <w:top w:val="outset" w:color="auto" w:sz="6" w:space="0"/>
              <w:left w:val="outset" w:color="auto" w:sz="6" w:space="0"/>
              <w:bottom w:val="outset" w:color="auto" w:sz="6" w:space="0"/>
              <w:right w:val="outset" w:color="auto" w:sz="6" w:space="0"/>
            </w:tcBorders>
            <w:vAlign w:val="center"/>
          </w:tcPr>
          <w:p w14:paraId="1CB309D5">
            <w:pPr>
              <w:jc w:val="right"/>
              <w:rPr>
                <w:rFonts w:ascii="宋体" w:hAnsi="宋体"/>
                <w:sz w:val="24"/>
                <w:szCs w:val="24"/>
              </w:rPr>
            </w:pPr>
            <w:r>
              <w:t>138,377,005.87</w:t>
            </w:r>
          </w:p>
        </w:tc>
        <w:tc>
          <w:tcPr>
            <w:tcW w:w="1333" w:type="pct"/>
            <w:tcBorders>
              <w:top w:val="outset" w:color="auto" w:sz="6" w:space="0"/>
              <w:left w:val="outset" w:color="auto" w:sz="6" w:space="0"/>
              <w:bottom w:val="outset" w:color="auto" w:sz="6" w:space="0"/>
              <w:right w:val="outset" w:color="auto" w:sz="6" w:space="0"/>
            </w:tcBorders>
            <w:vAlign w:val="center"/>
          </w:tcPr>
          <w:p w14:paraId="787D3C26">
            <w:pPr>
              <w:jc w:val="right"/>
            </w:pPr>
            <w:r>
              <w:t>141,385,054.59</w:t>
            </w:r>
          </w:p>
        </w:tc>
      </w:tr>
      <w:tr w14:paraId="7DC76C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F27FB48">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负债合计</w:t>
            </w:r>
          </w:p>
        </w:tc>
        <w:tc>
          <w:tcPr>
            <w:tcW w:w="627" w:type="pct"/>
            <w:tcBorders>
              <w:top w:val="outset" w:color="auto" w:sz="6" w:space="0"/>
              <w:left w:val="outset" w:color="auto" w:sz="6" w:space="0"/>
              <w:bottom w:val="outset" w:color="auto" w:sz="6" w:space="0"/>
              <w:right w:val="outset" w:color="auto" w:sz="6" w:space="0"/>
            </w:tcBorders>
            <w:vAlign w:val="center"/>
          </w:tcPr>
          <w:p w14:paraId="03D9BA0A"/>
        </w:tc>
        <w:tc>
          <w:tcPr>
            <w:tcW w:w="1411" w:type="pct"/>
            <w:tcBorders>
              <w:top w:val="outset" w:color="auto" w:sz="6" w:space="0"/>
              <w:left w:val="outset" w:color="auto" w:sz="6" w:space="0"/>
              <w:bottom w:val="outset" w:color="auto" w:sz="6" w:space="0"/>
              <w:right w:val="outset" w:color="auto" w:sz="6" w:space="0"/>
            </w:tcBorders>
            <w:vAlign w:val="center"/>
          </w:tcPr>
          <w:p w14:paraId="422EC147">
            <w:pPr>
              <w:jc w:val="right"/>
            </w:pPr>
            <w:r>
              <w:t>970,181,788.46</w:t>
            </w:r>
          </w:p>
        </w:tc>
        <w:tc>
          <w:tcPr>
            <w:tcW w:w="1333" w:type="pct"/>
            <w:tcBorders>
              <w:top w:val="outset" w:color="auto" w:sz="6" w:space="0"/>
              <w:left w:val="outset" w:color="auto" w:sz="6" w:space="0"/>
              <w:bottom w:val="outset" w:color="auto" w:sz="6" w:space="0"/>
              <w:right w:val="outset" w:color="auto" w:sz="6" w:space="0"/>
            </w:tcBorders>
            <w:vAlign w:val="center"/>
          </w:tcPr>
          <w:p w14:paraId="72ADB664">
            <w:pPr>
              <w:jc w:val="right"/>
            </w:pPr>
            <w:r>
              <w:t>1,036,708,114.81</w:t>
            </w:r>
          </w:p>
        </w:tc>
      </w:tr>
      <w:tr w14:paraId="57C2E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c95ee428314f8b8091bd15dff2a83d"/>
            <w:id w:val="836887336"/>
          </w:sdtPr>
          <w:sdtContent>
            <w:tc>
              <w:tcPr>
                <w:tcW w:w="5000" w:type="pct"/>
                <w:gridSpan w:val="4"/>
                <w:tcBorders>
                  <w:top w:val="outset" w:color="auto" w:sz="6" w:space="0"/>
                  <w:left w:val="outset" w:color="auto" w:sz="6" w:space="0"/>
                  <w:bottom w:val="outset" w:color="auto" w:sz="6" w:space="0"/>
                  <w:right w:val="outset" w:color="auto" w:sz="6" w:space="0"/>
                </w:tcBorders>
                <w:vAlign w:val="center"/>
              </w:tcPr>
              <w:p w14:paraId="27D0025A">
                <w:pPr>
                  <w:rPr>
                    <w:color w:val="000000" w:themeColor="text1"/>
                    <w14:textFill>
                      <w14:solidFill>
                        <w14:schemeClr w14:val="tx1"/>
                      </w14:solidFill>
                    </w14:textFill>
                  </w:rPr>
                </w:pPr>
                <w:r>
                  <w:rPr>
                    <w:rFonts w:hint="eastAsia"/>
                    <w:b/>
                    <w:color w:val="000000" w:themeColor="text1"/>
                    <w14:textFill>
                      <w14:solidFill>
                        <w14:schemeClr w14:val="tx1"/>
                      </w14:solidFill>
                    </w14:textFill>
                  </w:rPr>
                  <w:t>所有者权益（或股东权益）：</w:t>
                </w:r>
              </w:p>
            </w:tc>
          </w:sdtContent>
        </w:sdt>
      </w:tr>
      <w:tr w14:paraId="59C272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F27A70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实收资本（或股本）</w:t>
            </w:r>
          </w:p>
        </w:tc>
        <w:tc>
          <w:tcPr>
            <w:tcW w:w="627" w:type="pct"/>
            <w:tcBorders>
              <w:top w:val="outset" w:color="auto" w:sz="6" w:space="0"/>
              <w:left w:val="outset" w:color="auto" w:sz="6" w:space="0"/>
              <w:bottom w:val="outset" w:color="auto" w:sz="6" w:space="0"/>
              <w:right w:val="outset" w:color="auto" w:sz="6" w:space="0"/>
            </w:tcBorders>
            <w:vAlign w:val="center"/>
          </w:tcPr>
          <w:p w14:paraId="5F1F5319"/>
        </w:tc>
        <w:tc>
          <w:tcPr>
            <w:tcW w:w="1411" w:type="pct"/>
            <w:tcBorders>
              <w:top w:val="outset" w:color="auto" w:sz="6" w:space="0"/>
              <w:left w:val="outset" w:color="auto" w:sz="6" w:space="0"/>
              <w:bottom w:val="outset" w:color="auto" w:sz="6" w:space="0"/>
              <w:right w:val="outset" w:color="auto" w:sz="6" w:space="0"/>
            </w:tcBorders>
            <w:vAlign w:val="center"/>
          </w:tcPr>
          <w:p w14:paraId="3B8F9CAF">
            <w:pPr>
              <w:jc w:val="right"/>
            </w:pPr>
            <w:r>
              <w:t>4,521,100,071.00</w:t>
            </w:r>
          </w:p>
        </w:tc>
        <w:tc>
          <w:tcPr>
            <w:tcW w:w="1333" w:type="pct"/>
            <w:tcBorders>
              <w:top w:val="outset" w:color="auto" w:sz="6" w:space="0"/>
              <w:left w:val="outset" w:color="auto" w:sz="6" w:space="0"/>
              <w:bottom w:val="outset" w:color="auto" w:sz="6" w:space="0"/>
              <w:right w:val="outset" w:color="auto" w:sz="6" w:space="0"/>
            </w:tcBorders>
            <w:vAlign w:val="center"/>
          </w:tcPr>
          <w:p w14:paraId="7EADD1D1">
            <w:pPr>
              <w:jc w:val="right"/>
            </w:pPr>
            <w:r>
              <w:t>4,521,100,071.00</w:t>
            </w:r>
          </w:p>
        </w:tc>
      </w:tr>
      <w:tr w14:paraId="54F205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68E800E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其他权益工具</w:t>
            </w:r>
          </w:p>
        </w:tc>
        <w:tc>
          <w:tcPr>
            <w:tcW w:w="627" w:type="pct"/>
            <w:tcBorders>
              <w:top w:val="outset" w:color="auto" w:sz="6" w:space="0"/>
              <w:left w:val="outset" w:color="auto" w:sz="6" w:space="0"/>
              <w:bottom w:val="outset" w:color="auto" w:sz="6" w:space="0"/>
              <w:right w:val="outset" w:color="auto" w:sz="6" w:space="0"/>
            </w:tcBorders>
            <w:vAlign w:val="center"/>
          </w:tcPr>
          <w:p w14:paraId="45C69551"/>
        </w:tc>
        <w:tc>
          <w:tcPr>
            <w:tcW w:w="1411" w:type="pct"/>
            <w:tcBorders>
              <w:top w:val="outset" w:color="auto" w:sz="6" w:space="0"/>
              <w:left w:val="outset" w:color="auto" w:sz="6" w:space="0"/>
              <w:bottom w:val="outset" w:color="auto" w:sz="6" w:space="0"/>
              <w:right w:val="outset" w:color="auto" w:sz="6" w:space="0"/>
            </w:tcBorders>
            <w:vAlign w:val="center"/>
          </w:tcPr>
          <w:p w14:paraId="00F8F67A">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75F41BFF">
            <w:pPr>
              <w:jc w:val="right"/>
              <w:rPr>
                <w:rFonts w:eastAsia="Times New Roman" w:cs="Times New Roman"/>
                <w:sz w:val="20"/>
                <w:szCs w:val="20"/>
              </w:rPr>
            </w:pPr>
          </w:p>
        </w:tc>
      </w:tr>
      <w:tr w14:paraId="39441F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57A082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其中：优先股</w:t>
            </w:r>
          </w:p>
        </w:tc>
        <w:tc>
          <w:tcPr>
            <w:tcW w:w="627" w:type="pct"/>
            <w:tcBorders>
              <w:top w:val="outset" w:color="auto" w:sz="6" w:space="0"/>
              <w:left w:val="outset" w:color="auto" w:sz="6" w:space="0"/>
              <w:bottom w:val="outset" w:color="auto" w:sz="6" w:space="0"/>
              <w:right w:val="outset" w:color="auto" w:sz="6" w:space="0"/>
            </w:tcBorders>
            <w:vAlign w:val="center"/>
          </w:tcPr>
          <w:p w14:paraId="1AC5260B"/>
        </w:tc>
        <w:tc>
          <w:tcPr>
            <w:tcW w:w="1411" w:type="pct"/>
            <w:tcBorders>
              <w:top w:val="outset" w:color="auto" w:sz="6" w:space="0"/>
              <w:left w:val="outset" w:color="auto" w:sz="6" w:space="0"/>
              <w:bottom w:val="outset" w:color="auto" w:sz="6" w:space="0"/>
              <w:right w:val="outset" w:color="auto" w:sz="6" w:space="0"/>
            </w:tcBorders>
            <w:vAlign w:val="center"/>
          </w:tcPr>
          <w:p w14:paraId="5F4E0ABF">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7B4A7BCF">
            <w:pPr>
              <w:jc w:val="right"/>
              <w:rPr>
                <w:rFonts w:eastAsia="Times New Roman" w:cs="Times New Roman"/>
                <w:sz w:val="20"/>
                <w:szCs w:val="20"/>
              </w:rPr>
            </w:pPr>
          </w:p>
        </w:tc>
      </w:tr>
      <w:tr w14:paraId="70D46B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F87906D">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永续债</w:t>
            </w:r>
          </w:p>
        </w:tc>
        <w:tc>
          <w:tcPr>
            <w:tcW w:w="627" w:type="pct"/>
            <w:tcBorders>
              <w:top w:val="outset" w:color="auto" w:sz="6" w:space="0"/>
              <w:left w:val="outset" w:color="auto" w:sz="6" w:space="0"/>
              <w:bottom w:val="outset" w:color="auto" w:sz="6" w:space="0"/>
              <w:right w:val="outset" w:color="auto" w:sz="6" w:space="0"/>
            </w:tcBorders>
            <w:vAlign w:val="center"/>
          </w:tcPr>
          <w:p w14:paraId="0B806354"/>
        </w:tc>
        <w:tc>
          <w:tcPr>
            <w:tcW w:w="1411" w:type="pct"/>
            <w:tcBorders>
              <w:top w:val="outset" w:color="auto" w:sz="6" w:space="0"/>
              <w:left w:val="outset" w:color="auto" w:sz="6" w:space="0"/>
              <w:bottom w:val="outset" w:color="auto" w:sz="6" w:space="0"/>
              <w:right w:val="outset" w:color="auto" w:sz="6" w:space="0"/>
            </w:tcBorders>
            <w:vAlign w:val="center"/>
          </w:tcPr>
          <w:p w14:paraId="73A2AC8B">
            <w:pPr>
              <w:jc w:val="right"/>
              <w:rPr>
                <w:rFonts w:eastAsia="Times New Roman" w:cs="Times New Roman"/>
                <w:sz w:val="20"/>
                <w:szCs w:val="20"/>
              </w:rPr>
            </w:pPr>
          </w:p>
        </w:tc>
        <w:tc>
          <w:tcPr>
            <w:tcW w:w="1333" w:type="pct"/>
            <w:tcBorders>
              <w:top w:val="outset" w:color="auto" w:sz="6" w:space="0"/>
              <w:left w:val="outset" w:color="auto" w:sz="6" w:space="0"/>
              <w:bottom w:val="outset" w:color="auto" w:sz="6" w:space="0"/>
              <w:right w:val="outset" w:color="auto" w:sz="6" w:space="0"/>
            </w:tcBorders>
            <w:vAlign w:val="center"/>
          </w:tcPr>
          <w:p w14:paraId="4763135E">
            <w:pPr>
              <w:jc w:val="right"/>
              <w:rPr>
                <w:rFonts w:eastAsia="Times New Roman" w:cs="Times New Roman"/>
                <w:sz w:val="20"/>
                <w:szCs w:val="20"/>
              </w:rPr>
            </w:pPr>
          </w:p>
        </w:tc>
      </w:tr>
      <w:tr w14:paraId="092594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E8C515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资本公积</w:t>
            </w:r>
          </w:p>
        </w:tc>
        <w:tc>
          <w:tcPr>
            <w:tcW w:w="627" w:type="pct"/>
            <w:tcBorders>
              <w:top w:val="outset" w:color="auto" w:sz="6" w:space="0"/>
              <w:left w:val="outset" w:color="auto" w:sz="6" w:space="0"/>
              <w:bottom w:val="outset" w:color="auto" w:sz="6" w:space="0"/>
              <w:right w:val="outset" w:color="auto" w:sz="6" w:space="0"/>
            </w:tcBorders>
            <w:vAlign w:val="center"/>
          </w:tcPr>
          <w:p w14:paraId="7A075F62"/>
        </w:tc>
        <w:tc>
          <w:tcPr>
            <w:tcW w:w="1411" w:type="pct"/>
            <w:tcBorders>
              <w:top w:val="outset" w:color="auto" w:sz="6" w:space="0"/>
              <w:left w:val="outset" w:color="auto" w:sz="6" w:space="0"/>
              <w:bottom w:val="outset" w:color="auto" w:sz="6" w:space="0"/>
              <w:right w:val="outset" w:color="auto" w:sz="6" w:space="0"/>
            </w:tcBorders>
            <w:vAlign w:val="center"/>
          </w:tcPr>
          <w:p w14:paraId="5F806045">
            <w:pPr>
              <w:jc w:val="right"/>
              <w:rPr>
                <w:rFonts w:ascii="宋体" w:hAnsi="宋体"/>
                <w:sz w:val="24"/>
                <w:szCs w:val="24"/>
              </w:rPr>
            </w:pPr>
            <w:r>
              <w:t>8,643,962,102.62</w:t>
            </w:r>
          </w:p>
        </w:tc>
        <w:tc>
          <w:tcPr>
            <w:tcW w:w="1333" w:type="pct"/>
            <w:tcBorders>
              <w:top w:val="outset" w:color="auto" w:sz="6" w:space="0"/>
              <w:left w:val="outset" w:color="auto" w:sz="6" w:space="0"/>
              <w:bottom w:val="outset" w:color="auto" w:sz="6" w:space="0"/>
              <w:right w:val="outset" w:color="auto" w:sz="6" w:space="0"/>
            </w:tcBorders>
            <w:vAlign w:val="center"/>
          </w:tcPr>
          <w:p w14:paraId="4FF0D2F1">
            <w:pPr>
              <w:jc w:val="right"/>
            </w:pPr>
            <w:r>
              <w:t>8,643,952,407.39</w:t>
            </w:r>
          </w:p>
        </w:tc>
      </w:tr>
      <w:tr w14:paraId="78E682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926161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减：库存股</w:t>
            </w:r>
          </w:p>
        </w:tc>
        <w:tc>
          <w:tcPr>
            <w:tcW w:w="627" w:type="pct"/>
            <w:tcBorders>
              <w:top w:val="outset" w:color="auto" w:sz="6" w:space="0"/>
              <w:left w:val="outset" w:color="auto" w:sz="6" w:space="0"/>
              <w:bottom w:val="outset" w:color="auto" w:sz="6" w:space="0"/>
              <w:right w:val="outset" w:color="auto" w:sz="6" w:space="0"/>
            </w:tcBorders>
            <w:vAlign w:val="center"/>
          </w:tcPr>
          <w:p w14:paraId="222FD06A"/>
        </w:tc>
        <w:tc>
          <w:tcPr>
            <w:tcW w:w="1411" w:type="pct"/>
            <w:tcBorders>
              <w:top w:val="outset" w:color="auto" w:sz="6" w:space="0"/>
              <w:left w:val="outset" w:color="auto" w:sz="6" w:space="0"/>
              <w:bottom w:val="outset" w:color="auto" w:sz="6" w:space="0"/>
              <w:right w:val="outset" w:color="auto" w:sz="6" w:space="0"/>
            </w:tcBorders>
            <w:vAlign w:val="center"/>
          </w:tcPr>
          <w:p w14:paraId="7FE5339A">
            <w:pPr>
              <w:jc w:val="right"/>
            </w:pPr>
            <w:r>
              <w:t>133,881,025.00</w:t>
            </w:r>
          </w:p>
        </w:tc>
        <w:tc>
          <w:tcPr>
            <w:tcW w:w="1333" w:type="pct"/>
            <w:tcBorders>
              <w:top w:val="outset" w:color="auto" w:sz="6" w:space="0"/>
              <w:left w:val="outset" w:color="auto" w:sz="6" w:space="0"/>
              <w:bottom w:val="outset" w:color="auto" w:sz="6" w:space="0"/>
              <w:right w:val="outset" w:color="auto" w:sz="6" w:space="0"/>
            </w:tcBorders>
            <w:vAlign w:val="center"/>
          </w:tcPr>
          <w:p w14:paraId="5A7225DB">
            <w:pPr>
              <w:jc w:val="right"/>
            </w:pPr>
            <w:r>
              <w:t>133,881,025.00</w:t>
            </w:r>
          </w:p>
        </w:tc>
      </w:tr>
      <w:tr w14:paraId="135950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35AE543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其他综合收益</w:t>
            </w:r>
          </w:p>
        </w:tc>
        <w:tc>
          <w:tcPr>
            <w:tcW w:w="627" w:type="pct"/>
            <w:tcBorders>
              <w:top w:val="outset" w:color="auto" w:sz="6" w:space="0"/>
              <w:left w:val="outset" w:color="auto" w:sz="6" w:space="0"/>
              <w:bottom w:val="outset" w:color="auto" w:sz="6" w:space="0"/>
              <w:right w:val="outset" w:color="auto" w:sz="6" w:space="0"/>
            </w:tcBorders>
            <w:vAlign w:val="center"/>
          </w:tcPr>
          <w:p w14:paraId="6AA81086"/>
        </w:tc>
        <w:tc>
          <w:tcPr>
            <w:tcW w:w="1411" w:type="pct"/>
            <w:tcBorders>
              <w:top w:val="outset" w:color="auto" w:sz="6" w:space="0"/>
              <w:left w:val="outset" w:color="auto" w:sz="6" w:space="0"/>
              <w:bottom w:val="outset" w:color="auto" w:sz="6" w:space="0"/>
              <w:right w:val="outset" w:color="auto" w:sz="6" w:space="0"/>
            </w:tcBorders>
            <w:vAlign w:val="center"/>
          </w:tcPr>
          <w:p w14:paraId="4FB76DCE">
            <w:pPr>
              <w:jc w:val="right"/>
            </w:pPr>
            <w:r>
              <w:t>73,049,744.50</w:t>
            </w:r>
          </w:p>
        </w:tc>
        <w:tc>
          <w:tcPr>
            <w:tcW w:w="1333" w:type="pct"/>
            <w:tcBorders>
              <w:top w:val="outset" w:color="auto" w:sz="6" w:space="0"/>
              <w:left w:val="outset" w:color="auto" w:sz="6" w:space="0"/>
              <w:bottom w:val="outset" w:color="auto" w:sz="6" w:space="0"/>
              <w:right w:val="outset" w:color="auto" w:sz="6" w:space="0"/>
            </w:tcBorders>
            <w:vAlign w:val="center"/>
          </w:tcPr>
          <w:p w14:paraId="76F98536">
            <w:pPr>
              <w:jc w:val="right"/>
            </w:pPr>
            <w:r>
              <w:t>98,524,370.59</w:t>
            </w:r>
          </w:p>
        </w:tc>
      </w:tr>
      <w:tr w14:paraId="46B0FD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211C904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专项储备</w:t>
            </w:r>
          </w:p>
        </w:tc>
        <w:tc>
          <w:tcPr>
            <w:tcW w:w="627" w:type="pct"/>
            <w:tcBorders>
              <w:top w:val="outset" w:color="auto" w:sz="6" w:space="0"/>
              <w:left w:val="outset" w:color="auto" w:sz="6" w:space="0"/>
              <w:bottom w:val="outset" w:color="auto" w:sz="6" w:space="0"/>
              <w:right w:val="outset" w:color="auto" w:sz="6" w:space="0"/>
            </w:tcBorders>
            <w:vAlign w:val="center"/>
          </w:tcPr>
          <w:p w14:paraId="3C6DB59A"/>
        </w:tc>
        <w:tc>
          <w:tcPr>
            <w:tcW w:w="1411" w:type="pct"/>
            <w:tcBorders>
              <w:top w:val="outset" w:color="auto" w:sz="6" w:space="0"/>
              <w:left w:val="outset" w:color="auto" w:sz="6" w:space="0"/>
              <w:bottom w:val="outset" w:color="auto" w:sz="6" w:space="0"/>
              <w:right w:val="outset" w:color="auto" w:sz="6" w:space="0"/>
            </w:tcBorders>
            <w:vAlign w:val="center"/>
          </w:tcPr>
          <w:p w14:paraId="4FF2B217">
            <w:pPr>
              <w:jc w:val="right"/>
            </w:pPr>
          </w:p>
        </w:tc>
        <w:tc>
          <w:tcPr>
            <w:tcW w:w="1333" w:type="pct"/>
            <w:tcBorders>
              <w:top w:val="outset" w:color="auto" w:sz="6" w:space="0"/>
              <w:left w:val="outset" w:color="auto" w:sz="6" w:space="0"/>
              <w:bottom w:val="outset" w:color="auto" w:sz="6" w:space="0"/>
              <w:right w:val="outset" w:color="auto" w:sz="6" w:space="0"/>
            </w:tcBorders>
            <w:vAlign w:val="center"/>
          </w:tcPr>
          <w:p w14:paraId="30D2182D">
            <w:pPr>
              <w:jc w:val="right"/>
              <w:rPr>
                <w:rFonts w:eastAsia="Times New Roman" w:cs="Times New Roman"/>
                <w:sz w:val="20"/>
                <w:szCs w:val="20"/>
              </w:rPr>
            </w:pPr>
          </w:p>
        </w:tc>
      </w:tr>
      <w:tr w14:paraId="28F016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D181D7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盈余公积</w:t>
            </w:r>
          </w:p>
        </w:tc>
        <w:tc>
          <w:tcPr>
            <w:tcW w:w="627" w:type="pct"/>
            <w:tcBorders>
              <w:top w:val="outset" w:color="auto" w:sz="6" w:space="0"/>
              <w:left w:val="outset" w:color="auto" w:sz="6" w:space="0"/>
              <w:bottom w:val="outset" w:color="auto" w:sz="6" w:space="0"/>
              <w:right w:val="outset" w:color="auto" w:sz="6" w:space="0"/>
            </w:tcBorders>
            <w:vAlign w:val="center"/>
          </w:tcPr>
          <w:p w14:paraId="7F9D37EA"/>
        </w:tc>
        <w:tc>
          <w:tcPr>
            <w:tcW w:w="1411" w:type="pct"/>
            <w:tcBorders>
              <w:top w:val="outset" w:color="auto" w:sz="6" w:space="0"/>
              <w:left w:val="outset" w:color="auto" w:sz="6" w:space="0"/>
              <w:bottom w:val="outset" w:color="auto" w:sz="6" w:space="0"/>
              <w:right w:val="outset" w:color="auto" w:sz="6" w:space="0"/>
            </w:tcBorders>
            <w:vAlign w:val="center"/>
          </w:tcPr>
          <w:p w14:paraId="02053373">
            <w:pPr>
              <w:jc w:val="right"/>
              <w:rPr>
                <w:rFonts w:ascii="宋体" w:hAnsi="宋体"/>
                <w:sz w:val="24"/>
                <w:szCs w:val="24"/>
              </w:rPr>
            </w:pPr>
            <w:r>
              <w:t>426,993,753.64</w:t>
            </w:r>
          </w:p>
        </w:tc>
        <w:tc>
          <w:tcPr>
            <w:tcW w:w="1333" w:type="pct"/>
            <w:tcBorders>
              <w:top w:val="outset" w:color="auto" w:sz="6" w:space="0"/>
              <w:left w:val="outset" w:color="auto" w:sz="6" w:space="0"/>
              <w:bottom w:val="outset" w:color="auto" w:sz="6" w:space="0"/>
              <w:right w:val="outset" w:color="auto" w:sz="6" w:space="0"/>
            </w:tcBorders>
            <w:vAlign w:val="center"/>
          </w:tcPr>
          <w:p w14:paraId="5B88452A">
            <w:pPr>
              <w:jc w:val="right"/>
            </w:pPr>
            <w:r>
              <w:t>426,993,753.64</w:t>
            </w:r>
          </w:p>
        </w:tc>
      </w:tr>
      <w:tr w14:paraId="6DD127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5EA46B1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未分配利润</w:t>
            </w:r>
          </w:p>
        </w:tc>
        <w:tc>
          <w:tcPr>
            <w:tcW w:w="627" w:type="pct"/>
            <w:tcBorders>
              <w:top w:val="outset" w:color="auto" w:sz="6" w:space="0"/>
              <w:left w:val="outset" w:color="auto" w:sz="6" w:space="0"/>
              <w:bottom w:val="outset" w:color="auto" w:sz="6" w:space="0"/>
              <w:right w:val="outset" w:color="auto" w:sz="6" w:space="0"/>
            </w:tcBorders>
            <w:vAlign w:val="center"/>
          </w:tcPr>
          <w:p w14:paraId="0C4BD0A3"/>
        </w:tc>
        <w:tc>
          <w:tcPr>
            <w:tcW w:w="1411" w:type="pct"/>
            <w:tcBorders>
              <w:top w:val="outset" w:color="auto" w:sz="6" w:space="0"/>
              <w:left w:val="outset" w:color="auto" w:sz="6" w:space="0"/>
              <w:bottom w:val="outset" w:color="auto" w:sz="6" w:space="0"/>
              <w:right w:val="outset" w:color="auto" w:sz="6" w:space="0"/>
            </w:tcBorders>
            <w:vAlign w:val="center"/>
          </w:tcPr>
          <w:p w14:paraId="084D4A8B">
            <w:pPr>
              <w:jc w:val="right"/>
            </w:pPr>
            <w:r>
              <w:t>-675,674,438.78</w:t>
            </w:r>
          </w:p>
        </w:tc>
        <w:tc>
          <w:tcPr>
            <w:tcW w:w="1333" w:type="pct"/>
            <w:tcBorders>
              <w:top w:val="outset" w:color="auto" w:sz="6" w:space="0"/>
              <w:left w:val="outset" w:color="auto" w:sz="6" w:space="0"/>
              <w:bottom w:val="outset" w:color="auto" w:sz="6" w:space="0"/>
              <w:right w:val="outset" w:color="auto" w:sz="6" w:space="0"/>
            </w:tcBorders>
            <w:vAlign w:val="center"/>
          </w:tcPr>
          <w:p w14:paraId="2EEA1C8F">
            <w:pPr>
              <w:jc w:val="right"/>
            </w:pPr>
            <w:r>
              <w:t>-830,355,895.58</w:t>
            </w:r>
          </w:p>
        </w:tc>
      </w:tr>
      <w:tr w14:paraId="2107B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0E93639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所有者权益（或股东权益）合计</w:t>
            </w:r>
          </w:p>
        </w:tc>
        <w:tc>
          <w:tcPr>
            <w:tcW w:w="627" w:type="pct"/>
            <w:tcBorders>
              <w:top w:val="outset" w:color="auto" w:sz="6" w:space="0"/>
              <w:left w:val="outset" w:color="auto" w:sz="6" w:space="0"/>
              <w:bottom w:val="outset" w:color="auto" w:sz="6" w:space="0"/>
              <w:right w:val="outset" w:color="auto" w:sz="6" w:space="0"/>
            </w:tcBorders>
            <w:vAlign w:val="center"/>
          </w:tcPr>
          <w:p w14:paraId="72F1FF83"/>
        </w:tc>
        <w:tc>
          <w:tcPr>
            <w:tcW w:w="1411" w:type="pct"/>
            <w:tcBorders>
              <w:top w:val="outset" w:color="auto" w:sz="6" w:space="0"/>
              <w:left w:val="outset" w:color="auto" w:sz="6" w:space="0"/>
              <w:bottom w:val="outset" w:color="auto" w:sz="6" w:space="0"/>
              <w:right w:val="outset" w:color="auto" w:sz="6" w:space="0"/>
            </w:tcBorders>
            <w:vAlign w:val="center"/>
          </w:tcPr>
          <w:p w14:paraId="7D3B2B25">
            <w:pPr>
              <w:jc w:val="right"/>
            </w:pPr>
            <w:r>
              <w:t>12,855,550,207.98</w:t>
            </w:r>
          </w:p>
        </w:tc>
        <w:tc>
          <w:tcPr>
            <w:tcW w:w="1333" w:type="pct"/>
            <w:tcBorders>
              <w:top w:val="outset" w:color="auto" w:sz="6" w:space="0"/>
              <w:left w:val="outset" w:color="auto" w:sz="6" w:space="0"/>
              <w:bottom w:val="outset" w:color="auto" w:sz="6" w:space="0"/>
              <w:right w:val="outset" w:color="auto" w:sz="6" w:space="0"/>
            </w:tcBorders>
            <w:vAlign w:val="center"/>
          </w:tcPr>
          <w:p w14:paraId="14F75B4A">
            <w:pPr>
              <w:jc w:val="right"/>
            </w:pPr>
            <w:r>
              <w:t>12,726,333,682.04</w:t>
            </w:r>
          </w:p>
        </w:tc>
      </w:tr>
      <w:tr w14:paraId="3129B2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p w14:paraId="17DCB31B">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负债和所有者权益（或股东权益）总计</w:t>
            </w:r>
          </w:p>
        </w:tc>
        <w:tc>
          <w:tcPr>
            <w:tcW w:w="627" w:type="pct"/>
            <w:tcBorders>
              <w:top w:val="outset" w:color="auto" w:sz="6" w:space="0"/>
              <w:left w:val="outset" w:color="auto" w:sz="6" w:space="0"/>
              <w:bottom w:val="outset" w:color="auto" w:sz="6" w:space="0"/>
              <w:right w:val="outset" w:color="auto" w:sz="6" w:space="0"/>
            </w:tcBorders>
            <w:vAlign w:val="center"/>
          </w:tcPr>
          <w:p w14:paraId="44EE1EB3"/>
        </w:tc>
        <w:tc>
          <w:tcPr>
            <w:tcW w:w="1411" w:type="pct"/>
            <w:tcBorders>
              <w:top w:val="outset" w:color="auto" w:sz="6" w:space="0"/>
              <w:left w:val="outset" w:color="auto" w:sz="6" w:space="0"/>
              <w:bottom w:val="outset" w:color="auto" w:sz="6" w:space="0"/>
              <w:right w:val="outset" w:color="auto" w:sz="6" w:space="0"/>
            </w:tcBorders>
            <w:vAlign w:val="center"/>
          </w:tcPr>
          <w:p w14:paraId="4598DCAD">
            <w:pPr>
              <w:jc w:val="right"/>
            </w:pPr>
            <w:r>
              <w:t>13,825,731,996.44</w:t>
            </w:r>
          </w:p>
        </w:tc>
        <w:tc>
          <w:tcPr>
            <w:tcW w:w="1333" w:type="pct"/>
            <w:tcBorders>
              <w:top w:val="outset" w:color="auto" w:sz="6" w:space="0"/>
              <w:left w:val="outset" w:color="auto" w:sz="6" w:space="0"/>
              <w:bottom w:val="outset" w:color="auto" w:sz="6" w:space="0"/>
              <w:right w:val="outset" w:color="auto" w:sz="6" w:space="0"/>
            </w:tcBorders>
            <w:vAlign w:val="center"/>
          </w:tcPr>
          <w:p w14:paraId="05E4A425">
            <w:pPr>
              <w:jc w:val="right"/>
            </w:pPr>
            <w:r>
              <w:t>13,763,041,796.85</w:t>
            </w:r>
          </w:p>
        </w:tc>
      </w:tr>
      <w:bookmarkEnd w:id="108"/>
    </w:tbl>
    <w:p w14:paraId="18120439">
      <w:pPr>
        <w:ind w:right="-153" w:rightChars="-73"/>
        <w:rPr>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f43f422c96ec4e009c3976ce8e58b778"/>
          <w:id w:val="-290987703"/>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印奇</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3ac751c8378d4424bbdf4c74057683d9"/>
          <w:id w:val="477891310"/>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黄强</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182ff185180a4ea4b9c93bbd4b01de2c"/>
          <w:id w:val="-1446462742"/>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徐衬</w:t>
          </w:r>
        </w:sdtContent>
      </w:sdt>
    </w:p>
    <w:p w14:paraId="3504EE4A">
      <w:pPr>
        <w:snapToGrid w:val="0"/>
        <w:rPr>
          <w:color w:val="000000" w:themeColor="text1"/>
          <w14:textFill>
            <w14:solidFill>
              <w14:schemeClr w14:val="tx1"/>
            </w14:solidFill>
          </w14:textFill>
        </w:rPr>
      </w:pPr>
    </w:p>
    <w:bookmarkEnd w:id="106"/>
    <w:p w14:paraId="1C673540">
      <w:pPr>
        <w:rPr>
          <w:rFonts w:ascii="宋体" w:hAnsi="宋体" w:cs="Times New Roman"/>
          <w:b/>
          <w:bCs/>
          <w:color w:val="000000" w:themeColor="text1"/>
          <w:kern w:val="2"/>
          <w:szCs w:val="32"/>
          <w14:textFill>
            <w14:solidFill>
              <w14:schemeClr w14:val="tx1"/>
            </w14:solidFill>
          </w14:textFill>
        </w:rPr>
      </w:pPr>
      <w:bookmarkStart w:id="109" w:name="_Hlk10210632"/>
      <w:bookmarkEnd w:id="109"/>
      <w:bookmarkStart w:id="110" w:name="_Hlk10210822"/>
      <w:r>
        <w:rPr>
          <w:rFonts w:hint="eastAsia" w:ascii="宋体" w:hAnsi="宋体"/>
          <w:color w:val="000000" w:themeColor="text1"/>
          <w14:textFill>
            <w14:solidFill>
              <w14:schemeClr w14:val="tx1"/>
            </w14:solidFill>
          </w14:textFill>
        </w:rPr>
        <w:br w:type="page"/>
      </w:r>
    </w:p>
    <w:p w14:paraId="562FA3E1">
      <w:pPr>
        <w:pStyle w:val="4"/>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合并</w:t>
      </w:r>
      <w:r>
        <w:rPr>
          <w:rFonts w:ascii="宋体" w:hAnsi="宋体"/>
          <w:color w:val="000000" w:themeColor="text1"/>
          <w14:textFill>
            <w14:solidFill>
              <w14:schemeClr w14:val="tx1"/>
            </w14:solidFill>
          </w14:textFill>
        </w:rPr>
        <w:t>利润表</w:t>
      </w:r>
    </w:p>
    <w:p w14:paraId="480A6100">
      <w:pPr>
        <w:jc w:val="center"/>
        <w:rPr>
          <w:b/>
          <w:bCs/>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3CCAF5F0">
      <w:pPr>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合并利润表"/>
          <w:tag w:val="_GBC_4fec24feb4834b768c484fe556046382"/>
          <w:id w:val="4551391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合并利润表"/>
          <w:tag w:val="_GBC_ae5c0d79e5694eb28ba1b8160e27a464"/>
          <w:id w:val="-7984575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14:paraId="255BAA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a01e0b0c9224fe59426c375515c2359"/>
            <w:id w:val="-2093156609"/>
          </w:sdtPr>
          <w:sdtContent>
            <w:tc>
              <w:tcPr>
                <w:tcW w:w="1938" w:type="pct"/>
                <w:tcBorders>
                  <w:top w:val="outset" w:color="auto" w:sz="4" w:space="0"/>
                  <w:left w:val="outset" w:color="auto" w:sz="4" w:space="0"/>
                  <w:bottom w:val="outset" w:color="auto" w:sz="4" w:space="0"/>
                  <w:right w:val="outset" w:color="auto" w:sz="4" w:space="0"/>
                </w:tcBorders>
                <w:vAlign w:val="center"/>
              </w:tcPr>
              <w:p w14:paraId="1441B23D">
                <w:pPr>
                  <w:ind w:left="40" w:hanging="39" w:hangingChars="19"/>
                  <w:jc w:val="center"/>
                  <w:rPr>
                    <w:b/>
                    <w:color w:val="000000" w:themeColor="text1"/>
                    <w14:textFill>
                      <w14:solidFill>
                        <w14:schemeClr w14:val="tx1"/>
                      </w14:solidFill>
                    </w14:textFill>
                  </w:rPr>
                </w:pPr>
                <w:bookmarkStart w:id="111" w:name="_Hlk137050130"/>
                <w:r>
                  <w:rPr>
                    <w:b/>
                    <w:color w:val="000000" w:themeColor="text1"/>
                    <w14:textFill>
                      <w14:solidFill>
                        <w14:schemeClr w14:val="tx1"/>
                      </w14:solidFill>
                    </w14:textFill>
                  </w:rPr>
                  <w:t>项目</w:t>
                </w:r>
              </w:p>
            </w:tc>
          </w:sdtContent>
        </w:sdt>
        <w:sdt>
          <w:sdtPr>
            <w:tag w:val="_PLD_e4f45f42e79e4a4aba892e3a7a7b123d"/>
            <w:id w:val="-78364714"/>
          </w:sdtPr>
          <w:sdtContent>
            <w:tc>
              <w:tcPr>
                <w:tcW w:w="838" w:type="pct"/>
                <w:tcBorders>
                  <w:top w:val="outset" w:color="auto" w:sz="4" w:space="0"/>
                  <w:left w:val="outset" w:color="auto" w:sz="4" w:space="0"/>
                  <w:bottom w:val="outset" w:color="auto" w:sz="4" w:space="0"/>
                  <w:right w:val="outset" w:color="auto" w:sz="4" w:space="0"/>
                </w:tcBorders>
                <w:vAlign w:val="center"/>
              </w:tcPr>
              <w:p w14:paraId="0DCA70B1">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附注</w:t>
                </w:r>
              </w:p>
            </w:tc>
          </w:sdtContent>
        </w:sdt>
        <w:sdt>
          <w:sdtPr>
            <w:tag w:val="_PLD_41682cdf00e5450394986df99de953d1"/>
            <w:id w:val="880209859"/>
          </w:sdtPr>
          <w:sdtContent>
            <w:tc>
              <w:tcPr>
                <w:tcW w:w="1110" w:type="pct"/>
                <w:tcBorders>
                  <w:top w:val="outset" w:color="auto" w:sz="4" w:space="0"/>
                  <w:left w:val="outset" w:color="auto" w:sz="4" w:space="0"/>
                  <w:bottom w:val="outset" w:color="auto" w:sz="4" w:space="0"/>
                  <w:right w:val="outset" w:color="auto" w:sz="4" w:space="0"/>
                </w:tcBorders>
                <w:vAlign w:val="center"/>
              </w:tcPr>
              <w:p w14:paraId="50335242">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2025年半年度</w:t>
                </w:r>
              </w:p>
            </w:tc>
          </w:sdtContent>
        </w:sdt>
        <w:sdt>
          <w:sdtPr>
            <w:tag w:val="_PLD_f020215569a54a6db2bd3d5298280e01"/>
            <w:id w:val="1801265601"/>
          </w:sdtPr>
          <w:sdtContent>
            <w:tc>
              <w:tcPr>
                <w:tcW w:w="1114" w:type="pct"/>
                <w:tcBorders>
                  <w:top w:val="outset" w:color="auto" w:sz="4" w:space="0"/>
                  <w:left w:val="outset" w:color="auto" w:sz="4" w:space="0"/>
                  <w:bottom w:val="outset" w:color="auto" w:sz="4" w:space="0"/>
                  <w:right w:val="outset" w:color="auto" w:sz="4" w:space="0"/>
                </w:tcBorders>
                <w:vAlign w:val="center"/>
              </w:tcPr>
              <w:p w14:paraId="24A6B884">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2024年半年度</w:t>
                </w:r>
              </w:p>
            </w:tc>
          </w:sdtContent>
        </w:sdt>
      </w:tr>
      <w:tr w14:paraId="0566A3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F9C9781">
            <w:pPr>
              <w:rPr>
                <w:color w:val="000000" w:themeColor="text1"/>
                <w14:textFill>
                  <w14:solidFill>
                    <w14:schemeClr w14:val="tx1"/>
                  </w14:solidFill>
                </w14:textFill>
              </w:rPr>
            </w:pPr>
            <w:r>
              <w:rPr>
                <w:rFonts w:hint="eastAsia"/>
                <w:color w:val="000000" w:themeColor="text1"/>
                <w14:textFill>
                  <w14:solidFill>
                    <w14:schemeClr w14:val="tx1"/>
                  </w14:solidFill>
                </w14:textFill>
              </w:rPr>
              <w:t>一、营业总收入</w:t>
            </w:r>
          </w:p>
        </w:tc>
        <w:tc>
          <w:tcPr>
            <w:tcW w:w="838" w:type="pct"/>
            <w:tcBorders>
              <w:top w:val="outset" w:color="auto" w:sz="4" w:space="0"/>
              <w:left w:val="outset" w:color="auto" w:sz="4" w:space="0"/>
              <w:bottom w:val="outset" w:color="auto" w:sz="4" w:space="0"/>
              <w:right w:val="outset" w:color="auto" w:sz="4" w:space="0"/>
            </w:tcBorders>
            <w:vAlign w:val="center"/>
          </w:tcPr>
          <w:p w14:paraId="5947E4B8">
            <w:r>
              <w:rPr>
                <w:rFonts w:hint="eastAsia"/>
              </w:rPr>
              <w:t>七、6</w:t>
            </w:r>
            <w:r>
              <w:t>1</w:t>
            </w:r>
          </w:p>
        </w:tc>
        <w:tc>
          <w:tcPr>
            <w:tcW w:w="1110" w:type="pct"/>
            <w:tcBorders>
              <w:top w:val="outset" w:color="auto" w:sz="4" w:space="0"/>
              <w:left w:val="outset" w:color="auto" w:sz="4" w:space="0"/>
              <w:bottom w:val="outset" w:color="auto" w:sz="4" w:space="0"/>
              <w:right w:val="outset" w:color="auto" w:sz="4" w:space="0"/>
            </w:tcBorders>
            <w:vAlign w:val="center"/>
          </w:tcPr>
          <w:p w14:paraId="4DC50FE5">
            <w:pPr>
              <w:jc w:val="right"/>
            </w:pPr>
            <w:r>
              <w:t>4,184,038,792.26</w:t>
            </w:r>
          </w:p>
        </w:tc>
        <w:tc>
          <w:tcPr>
            <w:tcW w:w="1114" w:type="pct"/>
            <w:tcBorders>
              <w:top w:val="outset" w:color="auto" w:sz="4" w:space="0"/>
              <w:left w:val="outset" w:color="auto" w:sz="4" w:space="0"/>
              <w:bottom w:val="outset" w:color="auto" w:sz="4" w:space="0"/>
              <w:right w:val="outset" w:color="auto" w:sz="4" w:space="0"/>
            </w:tcBorders>
            <w:vAlign w:val="center"/>
          </w:tcPr>
          <w:p w14:paraId="3DC4BB3D">
            <w:pPr>
              <w:jc w:val="right"/>
            </w:pPr>
            <w:r>
              <w:t>2,987,814,509.50</w:t>
            </w:r>
          </w:p>
        </w:tc>
      </w:tr>
      <w:tr w14:paraId="58E51A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B024E92">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其中：营业收入</w:t>
            </w:r>
          </w:p>
        </w:tc>
        <w:tc>
          <w:tcPr>
            <w:tcW w:w="838" w:type="pct"/>
            <w:tcBorders>
              <w:top w:val="outset" w:color="auto" w:sz="4" w:space="0"/>
              <w:left w:val="outset" w:color="auto" w:sz="4" w:space="0"/>
              <w:bottom w:val="outset" w:color="auto" w:sz="4" w:space="0"/>
              <w:right w:val="outset" w:color="auto" w:sz="4" w:space="0"/>
            </w:tcBorders>
            <w:vAlign w:val="center"/>
          </w:tcPr>
          <w:p w14:paraId="6A06628D">
            <w:r>
              <w:rPr>
                <w:rFonts w:hint="eastAsia"/>
              </w:rPr>
              <w:t>七、61</w:t>
            </w:r>
          </w:p>
        </w:tc>
        <w:tc>
          <w:tcPr>
            <w:tcW w:w="1110" w:type="pct"/>
            <w:tcBorders>
              <w:top w:val="outset" w:color="auto" w:sz="4" w:space="0"/>
              <w:left w:val="outset" w:color="auto" w:sz="4" w:space="0"/>
              <w:bottom w:val="outset" w:color="auto" w:sz="4" w:space="0"/>
              <w:right w:val="outset" w:color="auto" w:sz="4" w:space="0"/>
            </w:tcBorders>
            <w:vAlign w:val="center"/>
          </w:tcPr>
          <w:p w14:paraId="2A4545F5">
            <w:pPr>
              <w:jc w:val="right"/>
            </w:pPr>
            <w:r>
              <w:t>4,184,038,792.26</w:t>
            </w:r>
          </w:p>
        </w:tc>
        <w:tc>
          <w:tcPr>
            <w:tcW w:w="1114" w:type="pct"/>
            <w:tcBorders>
              <w:top w:val="outset" w:color="auto" w:sz="4" w:space="0"/>
              <w:left w:val="outset" w:color="auto" w:sz="4" w:space="0"/>
              <w:bottom w:val="outset" w:color="auto" w:sz="4" w:space="0"/>
              <w:right w:val="outset" w:color="auto" w:sz="4" w:space="0"/>
            </w:tcBorders>
            <w:vAlign w:val="center"/>
          </w:tcPr>
          <w:p w14:paraId="4D9784CD">
            <w:pPr>
              <w:jc w:val="right"/>
            </w:pPr>
            <w:r>
              <w:t>2,987,814,509.50</w:t>
            </w:r>
          </w:p>
        </w:tc>
      </w:tr>
      <w:tr w14:paraId="14C8DA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B22FB97">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利息收入</w:t>
            </w:r>
          </w:p>
        </w:tc>
        <w:tc>
          <w:tcPr>
            <w:tcW w:w="838" w:type="pct"/>
            <w:tcBorders>
              <w:top w:val="outset" w:color="auto" w:sz="4" w:space="0"/>
              <w:left w:val="outset" w:color="auto" w:sz="4" w:space="0"/>
              <w:bottom w:val="outset" w:color="auto" w:sz="4" w:space="0"/>
              <w:right w:val="outset" w:color="auto" w:sz="4" w:space="0"/>
            </w:tcBorders>
            <w:vAlign w:val="center"/>
          </w:tcPr>
          <w:p w14:paraId="1CFAFC99"/>
        </w:tc>
        <w:tc>
          <w:tcPr>
            <w:tcW w:w="1110" w:type="pct"/>
            <w:tcBorders>
              <w:top w:val="outset" w:color="auto" w:sz="4" w:space="0"/>
              <w:left w:val="outset" w:color="auto" w:sz="4" w:space="0"/>
              <w:bottom w:val="outset" w:color="auto" w:sz="4" w:space="0"/>
              <w:right w:val="outset" w:color="auto" w:sz="4" w:space="0"/>
            </w:tcBorders>
            <w:vAlign w:val="center"/>
          </w:tcPr>
          <w:p w14:paraId="02666F18">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52624772">
            <w:pPr>
              <w:jc w:val="right"/>
            </w:pPr>
          </w:p>
        </w:tc>
      </w:tr>
      <w:tr w14:paraId="6C16A4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50ABB39">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已赚保费</w:t>
            </w:r>
          </w:p>
        </w:tc>
        <w:tc>
          <w:tcPr>
            <w:tcW w:w="838" w:type="pct"/>
            <w:tcBorders>
              <w:top w:val="outset" w:color="auto" w:sz="4" w:space="0"/>
              <w:left w:val="outset" w:color="auto" w:sz="4" w:space="0"/>
              <w:bottom w:val="outset" w:color="auto" w:sz="4" w:space="0"/>
              <w:right w:val="outset" w:color="auto" w:sz="4" w:space="0"/>
            </w:tcBorders>
            <w:vAlign w:val="center"/>
          </w:tcPr>
          <w:p w14:paraId="08ECA49F"/>
        </w:tc>
        <w:tc>
          <w:tcPr>
            <w:tcW w:w="1110" w:type="pct"/>
            <w:tcBorders>
              <w:top w:val="outset" w:color="auto" w:sz="4" w:space="0"/>
              <w:left w:val="outset" w:color="auto" w:sz="4" w:space="0"/>
              <w:bottom w:val="outset" w:color="auto" w:sz="4" w:space="0"/>
              <w:right w:val="outset" w:color="auto" w:sz="4" w:space="0"/>
            </w:tcBorders>
            <w:vAlign w:val="center"/>
          </w:tcPr>
          <w:p w14:paraId="78BBBF7B">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3B2C54F7">
            <w:pPr>
              <w:jc w:val="right"/>
            </w:pPr>
          </w:p>
        </w:tc>
      </w:tr>
      <w:tr w14:paraId="10B9CC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1B35996">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手续费及佣金收入</w:t>
            </w:r>
          </w:p>
        </w:tc>
        <w:tc>
          <w:tcPr>
            <w:tcW w:w="838" w:type="pct"/>
            <w:tcBorders>
              <w:top w:val="outset" w:color="auto" w:sz="4" w:space="0"/>
              <w:left w:val="outset" w:color="auto" w:sz="4" w:space="0"/>
              <w:bottom w:val="outset" w:color="auto" w:sz="4" w:space="0"/>
              <w:right w:val="outset" w:color="auto" w:sz="4" w:space="0"/>
            </w:tcBorders>
            <w:vAlign w:val="center"/>
          </w:tcPr>
          <w:p w14:paraId="4B6E6329"/>
        </w:tc>
        <w:tc>
          <w:tcPr>
            <w:tcW w:w="1110" w:type="pct"/>
            <w:tcBorders>
              <w:top w:val="outset" w:color="auto" w:sz="4" w:space="0"/>
              <w:left w:val="outset" w:color="auto" w:sz="4" w:space="0"/>
              <w:bottom w:val="outset" w:color="auto" w:sz="4" w:space="0"/>
              <w:right w:val="outset" w:color="auto" w:sz="4" w:space="0"/>
            </w:tcBorders>
            <w:vAlign w:val="center"/>
          </w:tcPr>
          <w:p w14:paraId="626B7473">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4D28215A">
            <w:pPr>
              <w:jc w:val="right"/>
            </w:pPr>
          </w:p>
        </w:tc>
      </w:tr>
      <w:tr w14:paraId="576A15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8BCA675">
            <w:pPr>
              <w:rPr>
                <w:color w:val="000000" w:themeColor="text1"/>
                <w14:textFill>
                  <w14:solidFill>
                    <w14:schemeClr w14:val="tx1"/>
                  </w14:solidFill>
                </w14:textFill>
              </w:rPr>
            </w:pPr>
            <w:r>
              <w:rPr>
                <w:rFonts w:hint="eastAsia"/>
                <w:color w:val="000000" w:themeColor="text1"/>
                <w14:textFill>
                  <w14:solidFill>
                    <w14:schemeClr w14:val="tx1"/>
                  </w14:solidFill>
                </w14:textFill>
              </w:rPr>
              <w:t>二、营业总成本</w:t>
            </w:r>
          </w:p>
        </w:tc>
        <w:tc>
          <w:tcPr>
            <w:tcW w:w="838" w:type="pct"/>
            <w:tcBorders>
              <w:top w:val="outset" w:color="auto" w:sz="4" w:space="0"/>
              <w:left w:val="outset" w:color="auto" w:sz="4" w:space="0"/>
              <w:bottom w:val="outset" w:color="auto" w:sz="4" w:space="0"/>
              <w:right w:val="outset" w:color="auto" w:sz="4" w:space="0"/>
            </w:tcBorders>
            <w:vAlign w:val="center"/>
          </w:tcPr>
          <w:p w14:paraId="08F982A1"/>
        </w:tc>
        <w:tc>
          <w:tcPr>
            <w:tcW w:w="1110" w:type="pct"/>
            <w:tcBorders>
              <w:top w:val="outset" w:color="auto" w:sz="4" w:space="0"/>
              <w:left w:val="outset" w:color="auto" w:sz="4" w:space="0"/>
              <w:bottom w:val="outset" w:color="auto" w:sz="4" w:space="0"/>
              <w:right w:val="outset" w:color="auto" w:sz="4" w:space="0"/>
            </w:tcBorders>
            <w:vAlign w:val="center"/>
          </w:tcPr>
          <w:p w14:paraId="2AB9BE29">
            <w:pPr>
              <w:jc w:val="right"/>
            </w:pPr>
            <w:r>
              <w:t>4,386,004,328.62</w:t>
            </w:r>
          </w:p>
        </w:tc>
        <w:tc>
          <w:tcPr>
            <w:tcW w:w="1114" w:type="pct"/>
            <w:tcBorders>
              <w:top w:val="outset" w:color="auto" w:sz="4" w:space="0"/>
              <w:left w:val="outset" w:color="auto" w:sz="4" w:space="0"/>
              <w:bottom w:val="outset" w:color="auto" w:sz="4" w:space="0"/>
              <w:right w:val="outset" w:color="auto" w:sz="4" w:space="0"/>
            </w:tcBorders>
            <w:vAlign w:val="center"/>
          </w:tcPr>
          <w:p w14:paraId="035E3EEC">
            <w:pPr>
              <w:jc w:val="right"/>
            </w:pPr>
            <w:r>
              <w:t>3,261,762,440.83</w:t>
            </w:r>
          </w:p>
        </w:tc>
      </w:tr>
      <w:tr w14:paraId="4433DC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ABC3E1F">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其中：营业成本</w:t>
            </w:r>
          </w:p>
        </w:tc>
        <w:tc>
          <w:tcPr>
            <w:tcW w:w="838" w:type="pct"/>
            <w:tcBorders>
              <w:top w:val="outset" w:color="auto" w:sz="4" w:space="0"/>
              <w:left w:val="outset" w:color="auto" w:sz="4" w:space="0"/>
              <w:bottom w:val="outset" w:color="auto" w:sz="4" w:space="0"/>
              <w:right w:val="outset" w:color="auto" w:sz="4" w:space="0"/>
            </w:tcBorders>
            <w:vAlign w:val="center"/>
          </w:tcPr>
          <w:p w14:paraId="3B9735D3">
            <w:r>
              <w:rPr>
                <w:rFonts w:hint="eastAsia"/>
              </w:rPr>
              <w:t>七、61</w:t>
            </w:r>
          </w:p>
        </w:tc>
        <w:tc>
          <w:tcPr>
            <w:tcW w:w="1110" w:type="pct"/>
            <w:tcBorders>
              <w:top w:val="outset" w:color="auto" w:sz="4" w:space="0"/>
              <w:left w:val="outset" w:color="auto" w:sz="4" w:space="0"/>
              <w:bottom w:val="outset" w:color="auto" w:sz="4" w:space="0"/>
              <w:right w:val="outset" w:color="auto" w:sz="4" w:space="0"/>
            </w:tcBorders>
            <w:vAlign w:val="center"/>
          </w:tcPr>
          <w:p w14:paraId="700C8201">
            <w:pPr>
              <w:jc w:val="right"/>
            </w:pPr>
            <w:r>
              <w:t>3,837,376,150.61</w:t>
            </w:r>
          </w:p>
        </w:tc>
        <w:tc>
          <w:tcPr>
            <w:tcW w:w="1114" w:type="pct"/>
            <w:tcBorders>
              <w:top w:val="outset" w:color="auto" w:sz="4" w:space="0"/>
              <w:left w:val="outset" w:color="auto" w:sz="4" w:space="0"/>
              <w:bottom w:val="outset" w:color="auto" w:sz="4" w:space="0"/>
              <w:right w:val="outset" w:color="auto" w:sz="4" w:space="0"/>
            </w:tcBorders>
            <w:vAlign w:val="center"/>
          </w:tcPr>
          <w:p w14:paraId="772798D3">
            <w:pPr>
              <w:jc w:val="right"/>
            </w:pPr>
            <w:r>
              <w:t>2,734,258,924.75</w:t>
            </w:r>
          </w:p>
        </w:tc>
      </w:tr>
      <w:tr w14:paraId="054983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B729613">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利息支出</w:t>
            </w:r>
          </w:p>
        </w:tc>
        <w:tc>
          <w:tcPr>
            <w:tcW w:w="838" w:type="pct"/>
            <w:tcBorders>
              <w:top w:val="outset" w:color="auto" w:sz="4" w:space="0"/>
              <w:left w:val="outset" w:color="auto" w:sz="4" w:space="0"/>
              <w:bottom w:val="outset" w:color="auto" w:sz="4" w:space="0"/>
              <w:right w:val="outset" w:color="auto" w:sz="4" w:space="0"/>
            </w:tcBorders>
            <w:vAlign w:val="center"/>
          </w:tcPr>
          <w:p w14:paraId="034FAEF5"/>
        </w:tc>
        <w:tc>
          <w:tcPr>
            <w:tcW w:w="1110" w:type="pct"/>
            <w:tcBorders>
              <w:top w:val="outset" w:color="auto" w:sz="4" w:space="0"/>
              <w:left w:val="outset" w:color="auto" w:sz="4" w:space="0"/>
              <w:bottom w:val="outset" w:color="auto" w:sz="4" w:space="0"/>
              <w:right w:val="outset" w:color="auto" w:sz="4" w:space="0"/>
            </w:tcBorders>
            <w:vAlign w:val="center"/>
          </w:tcPr>
          <w:p w14:paraId="63564053">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41025993">
            <w:pPr>
              <w:jc w:val="right"/>
              <w:rPr>
                <w:rFonts w:eastAsia="Times New Roman" w:cs="Times New Roman"/>
                <w:sz w:val="20"/>
                <w:szCs w:val="20"/>
              </w:rPr>
            </w:pPr>
          </w:p>
        </w:tc>
      </w:tr>
      <w:tr w14:paraId="512880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756386F">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手续费及佣金支出</w:t>
            </w:r>
          </w:p>
        </w:tc>
        <w:tc>
          <w:tcPr>
            <w:tcW w:w="838" w:type="pct"/>
            <w:tcBorders>
              <w:top w:val="outset" w:color="auto" w:sz="4" w:space="0"/>
              <w:left w:val="outset" w:color="auto" w:sz="4" w:space="0"/>
              <w:bottom w:val="outset" w:color="auto" w:sz="4" w:space="0"/>
              <w:right w:val="outset" w:color="auto" w:sz="4" w:space="0"/>
            </w:tcBorders>
            <w:vAlign w:val="center"/>
          </w:tcPr>
          <w:p w14:paraId="0422DD56"/>
        </w:tc>
        <w:tc>
          <w:tcPr>
            <w:tcW w:w="1110" w:type="pct"/>
            <w:tcBorders>
              <w:top w:val="outset" w:color="auto" w:sz="4" w:space="0"/>
              <w:left w:val="outset" w:color="auto" w:sz="4" w:space="0"/>
              <w:bottom w:val="outset" w:color="auto" w:sz="4" w:space="0"/>
              <w:right w:val="outset" w:color="auto" w:sz="4" w:space="0"/>
            </w:tcBorders>
            <w:vAlign w:val="center"/>
          </w:tcPr>
          <w:p w14:paraId="74FD32B4">
            <w:pPr>
              <w:jc w:val="right"/>
              <w:rPr>
                <w:rFonts w:eastAsia="Times New Roman" w:cs="Times New Roman"/>
                <w:sz w:val="20"/>
                <w:szCs w:val="20"/>
              </w:rPr>
            </w:pPr>
          </w:p>
        </w:tc>
        <w:tc>
          <w:tcPr>
            <w:tcW w:w="1114" w:type="pct"/>
            <w:tcBorders>
              <w:top w:val="outset" w:color="auto" w:sz="4" w:space="0"/>
              <w:left w:val="outset" w:color="auto" w:sz="4" w:space="0"/>
              <w:bottom w:val="outset" w:color="auto" w:sz="4" w:space="0"/>
              <w:right w:val="outset" w:color="auto" w:sz="4" w:space="0"/>
            </w:tcBorders>
            <w:vAlign w:val="center"/>
          </w:tcPr>
          <w:p w14:paraId="384B4698">
            <w:pPr>
              <w:jc w:val="right"/>
              <w:rPr>
                <w:rFonts w:eastAsia="Times New Roman" w:cs="Times New Roman"/>
                <w:sz w:val="20"/>
                <w:szCs w:val="20"/>
              </w:rPr>
            </w:pPr>
          </w:p>
        </w:tc>
      </w:tr>
      <w:tr w14:paraId="189D3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848B785">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退保金</w:t>
            </w:r>
          </w:p>
        </w:tc>
        <w:tc>
          <w:tcPr>
            <w:tcW w:w="838" w:type="pct"/>
            <w:tcBorders>
              <w:top w:val="outset" w:color="auto" w:sz="4" w:space="0"/>
              <w:left w:val="outset" w:color="auto" w:sz="4" w:space="0"/>
              <w:bottom w:val="outset" w:color="auto" w:sz="4" w:space="0"/>
              <w:right w:val="outset" w:color="auto" w:sz="4" w:space="0"/>
            </w:tcBorders>
            <w:vAlign w:val="center"/>
          </w:tcPr>
          <w:p w14:paraId="1154BC17"/>
        </w:tc>
        <w:tc>
          <w:tcPr>
            <w:tcW w:w="1110" w:type="pct"/>
            <w:tcBorders>
              <w:top w:val="outset" w:color="auto" w:sz="4" w:space="0"/>
              <w:left w:val="outset" w:color="auto" w:sz="4" w:space="0"/>
              <w:bottom w:val="outset" w:color="auto" w:sz="4" w:space="0"/>
              <w:right w:val="outset" w:color="auto" w:sz="4" w:space="0"/>
            </w:tcBorders>
            <w:vAlign w:val="center"/>
          </w:tcPr>
          <w:p w14:paraId="17804E9B">
            <w:pPr>
              <w:jc w:val="right"/>
              <w:rPr>
                <w:rFonts w:eastAsia="Times New Roman" w:cs="Times New Roman"/>
                <w:sz w:val="20"/>
                <w:szCs w:val="20"/>
              </w:rPr>
            </w:pPr>
          </w:p>
        </w:tc>
        <w:tc>
          <w:tcPr>
            <w:tcW w:w="1114" w:type="pct"/>
            <w:tcBorders>
              <w:top w:val="outset" w:color="auto" w:sz="4" w:space="0"/>
              <w:left w:val="outset" w:color="auto" w:sz="4" w:space="0"/>
              <w:bottom w:val="outset" w:color="auto" w:sz="4" w:space="0"/>
              <w:right w:val="outset" w:color="auto" w:sz="4" w:space="0"/>
            </w:tcBorders>
            <w:vAlign w:val="center"/>
          </w:tcPr>
          <w:p w14:paraId="74BC1D65">
            <w:pPr>
              <w:jc w:val="right"/>
              <w:rPr>
                <w:rFonts w:eastAsia="Times New Roman" w:cs="Times New Roman"/>
                <w:sz w:val="20"/>
                <w:szCs w:val="20"/>
              </w:rPr>
            </w:pPr>
          </w:p>
        </w:tc>
      </w:tr>
      <w:tr w14:paraId="018259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165CCBB">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赔付支出净额</w:t>
            </w:r>
          </w:p>
        </w:tc>
        <w:tc>
          <w:tcPr>
            <w:tcW w:w="838" w:type="pct"/>
            <w:tcBorders>
              <w:top w:val="outset" w:color="auto" w:sz="4" w:space="0"/>
              <w:left w:val="outset" w:color="auto" w:sz="4" w:space="0"/>
              <w:bottom w:val="outset" w:color="auto" w:sz="4" w:space="0"/>
              <w:right w:val="outset" w:color="auto" w:sz="4" w:space="0"/>
            </w:tcBorders>
            <w:vAlign w:val="center"/>
          </w:tcPr>
          <w:p w14:paraId="3A02037F"/>
        </w:tc>
        <w:tc>
          <w:tcPr>
            <w:tcW w:w="1110" w:type="pct"/>
            <w:tcBorders>
              <w:top w:val="outset" w:color="auto" w:sz="4" w:space="0"/>
              <w:left w:val="outset" w:color="auto" w:sz="4" w:space="0"/>
              <w:bottom w:val="outset" w:color="auto" w:sz="4" w:space="0"/>
              <w:right w:val="outset" w:color="auto" w:sz="4" w:space="0"/>
            </w:tcBorders>
            <w:vAlign w:val="center"/>
          </w:tcPr>
          <w:p w14:paraId="600F767B">
            <w:pPr>
              <w:jc w:val="right"/>
              <w:rPr>
                <w:rFonts w:eastAsia="Times New Roman" w:cs="Times New Roman"/>
                <w:sz w:val="20"/>
                <w:szCs w:val="20"/>
              </w:rPr>
            </w:pPr>
          </w:p>
        </w:tc>
        <w:tc>
          <w:tcPr>
            <w:tcW w:w="1114" w:type="pct"/>
            <w:tcBorders>
              <w:top w:val="outset" w:color="auto" w:sz="4" w:space="0"/>
              <w:left w:val="outset" w:color="auto" w:sz="4" w:space="0"/>
              <w:bottom w:val="outset" w:color="auto" w:sz="4" w:space="0"/>
              <w:right w:val="outset" w:color="auto" w:sz="4" w:space="0"/>
            </w:tcBorders>
            <w:vAlign w:val="center"/>
          </w:tcPr>
          <w:p w14:paraId="44AF99D4">
            <w:pPr>
              <w:jc w:val="right"/>
              <w:rPr>
                <w:rFonts w:eastAsia="Times New Roman" w:cs="Times New Roman"/>
                <w:sz w:val="20"/>
                <w:szCs w:val="20"/>
              </w:rPr>
            </w:pPr>
          </w:p>
        </w:tc>
      </w:tr>
      <w:tr w14:paraId="1418D3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DE83216">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提取保险责任准备金净额</w:t>
            </w:r>
          </w:p>
        </w:tc>
        <w:tc>
          <w:tcPr>
            <w:tcW w:w="838" w:type="pct"/>
            <w:tcBorders>
              <w:top w:val="outset" w:color="auto" w:sz="4" w:space="0"/>
              <w:left w:val="outset" w:color="auto" w:sz="4" w:space="0"/>
              <w:bottom w:val="outset" w:color="auto" w:sz="4" w:space="0"/>
              <w:right w:val="outset" w:color="auto" w:sz="4" w:space="0"/>
            </w:tcBorders>
            <w:vAlign w:val="center"/>
          </w:tcPr>
          <w:p w14:paraId="460B8753"/>
        </w:tc>
        <w:tc>
          <w:tcPr>
            <w:tcW w:w="1110" w:type="pct"/>
            <w:tcBorders>
              <w:top w:val="outset" w:color="auto" w:sz="4" w:space="0"/>
              <w:left w:val="outset" w:color="auto" w:sz="4" w:space="0"/>
              <w:bottom w:val="outset" w:color="auto" w:sz="4" w:space="0"/>
              <w:right w:val="outset" w:color="auto" w:sz="4" w:space="0"/>
            </w:tcBorders>
            <w:vAlign w:val="center"/>
          </w:tcPr>
          <w:p w14:paraId="319DBE1C">
            <w:pPr>
              <w:jc w:val="right"/>
              <w:rPr>
                <w:rFonts w:eastAsia="Times New Roman" w:cs="Times New Roman"/>
                <w:sz w:val="20"/>
                <w:szCs w:val="20"/>
              </w:rPr>
            </w:pPr>
          </w:p>
        </w:tc>
        <w:tc>
          <w:tcPr>
            <w:tcW w:w="1114" w:type="pct"/>
            <w:tcBorders>
              <w:top w:val="outset" w:color="auto" w:sz="4" w:space="0"/>
              <w:left w:val="outset" w:color="auto" w:sz="4" w:space="0"/>
              <w:bottom w:val="outset" w:color="auto" w:sz="4" w:space="0"/>
              <w:right w:val="outset" w:color="auto" w:sz="4" w:space="0"/>
            </w:tcBorders>
            <w:vAlign w:val="center"/>
          </w:tcPr>
          <w:p w14:paraId="38BDD1C1">
            <w:pPr>
              <w:jc w:val="right"/>
              <w:rPr>
                <w:rFonts w:eastAsia="Times New Roman" w:cs="Times New Roman"/>
                <w:sz w:val="20"/>
                <w:szCs w:val="20"/>
              </w:rPr>
            </w:pPr>
          </w:p>
        </w:tc>
      </w:tr>
      <w:tr w14:paraId="3DADA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AA17534">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保单红利支出</w:t>
            </w:r>
          </w:p>
        </w:tc>
        <w:tc>
          <w:tcPr>
            <w:tcW w:w="838" w:type="pct"/>
            <w:tcBorders>
              <w:top w:val="outset" w:color="auto" w:sz="4" w:space="0"/>
              <w:left w:val="outset" w:color="auto" w:sz="4" w:space="0"/>
              <w:bottom w:val="outset" w:color="auto" w:sz="4" w:space="0"/>
              <w:right w:val="outset" w:color="auto" w:sz="4" w:space="0"/>
            </w:tcBorders>
            <w:vAlign w:val="center"/>
          </w:tcPr>
          <w:p w14:paraId="7444D7E2"/>
        </w:tc>
        <w:tc>
          <w:tcPr>
            <w:tcW w:w="1110" w:type="pct"/>
            <w:tcBorders>
              <w:top w:val="outset" w:color="auto" w:sz="4" w:space="0"/>
              <w:left w:val="outset" w:color="auto" w:sz="4" w:space="0"/>
              <w:bottom w:val="outset" w:color="auto" w:sz="4" w:space="0"/>
              <w:right w:val="outset" w:color="auto" w:sz="4" w:space="0"/>
            </w:tcBorders>
            <w:vAlign w:val="center"/>
          </w:tcPr>
          <w:p w14:paraId="1E3697C2">
            <w:pPr>
              <w:jc w:val="right"/>
              <w:rPr>
                <w:rFonts w:eastAsia="Times New Roman" w:cs="Times New Roman"/>
                <w:sz w:val="20"/>
                <w:szCs w:val="20"/>
              </w:rPr>
            </w:pPr>
          </w:p>
        </w:tc>
        <w:tc>
          <w:tcPr>
            <w:tcW w:w="1114" w:type="pct"/>
            <w:tcBorders>
              <w:top w:val="outset" w:color="auto" w:sz="4" w:space="0"/>
              <w:left w:val="outset" w:color="auto" w:sz="4" w:space="0"/>
              <w:bottom w:val="outset" w:color="auto" w:sz="4" w:space="0"/>
              <w:right w:val="outset" w:color="auto" w:sz="4" w:space="0"/>
            </w:tcBorders>
            <w:vAlign w:val="center"/>
          </w:tcPr>
          <w:p w14:paraId="27A64AFC">
            <w:pPr>
              <w:jc w:val="right"/>
              <w:rPr>
                <w:rFonts w:eastAsia="Times New Roman" w:cs="Times New Roman"/>
                <w:sz w:val="20"/>
                <w:szCs w:val="20"/>
              </w:rPr>
            </w:pPr>
          </w:p>
        </w:tc>
      </w:tr>
      <w:tr w14:paraId="5ED8C2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499AE84">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分保费用</w:t>
            </w:r>
          </w:p>
        </w:tc>
        <w:tc>
          <w:tcPr>
            <w:tcW w:w="838" w:type="pct"/>
            <w:tcBorders>
              <w:top w:val="outset" w:color="auto" w:sz="4" w:space="0"/>
              <w:left w:val="outset" w:color="auto" w:sz="4" w:space="0"/>
              <w:bottom w:val="outset" w:color="auto" w:sz="4" w:space="0"/>
              <w:right w:val="outset" w:color="auto" w:sz="4" w:space="0"/>
            </w:tcBorders>
            <w:vAlign w:val="center"/>
          </w:tcPr>
          <w:p w14:paraId="60BB5936"/>
        </w:tc>
        <w:tc>
          <w:tcPr>
            <w:tcW w:w="1110" w:type="pct"/>
            <w:tcBorders>
              <w:top w:val="outset" w:color="auto" w:sz="4" w:space="0"/>
              <w:left w:val="outset" w:color="auto" w:sz="4" w:space="0"/>
              <w:bottom w:val="outset" w:color="auto" w:sz="4" w:space="0"/>
              <w:right w:val="outset" w:color="auto" w:sz="4" w:space="0"/>
            </w:tcBorders>
            <w:vAlign w:val="center"/>
          </w:tcPr>
          <w:p w14:paraId="4C0E626B">
            <w:pPr>
              <w:jc w:val="right"/>
              <w:rPr>
                <w:rFonts w:eastAsia="Times New Roman" w:cs="Times New Roman"/>
                <w:sz w:val="20"/>
                <w:szCs w:val="20"/>
              </w:rPr>
            </w:pPr>
          </w:p>
        </w:tc>
        <w:tc>
          <w:tcPr>
            <w:tcW w:w="1114" w:type="pct"/>
            <w:tcBorders>
              <w:top w:val="outset" w:color="auto" w:sz="4" w:space="0"/>
              <w:left w:val="outset" w:color="auto" w:sz="4" w:space="0"/>
              <w:bottom w:val="outset" w:color="auto" w:sz="4" w:space="0"/>
              <w:right w:val="outset" w:color="auto" w:sz="4" w:space="0"/>
            </w:tcBorders>
            <w:vAlign w:val="center"/>
          </w:tcPr>
          <w:p w14:paraId="35D2E4FD">
            <w:pPr>
              <w:jc w:val="right"/>
              <w:rPr>
                <w:rFonts w:eastAsia="Times New Roman" w:cs="Times New Roman"/>
                <w:sz w:val="20"/>
                <w:szCs w:val="20"/>
              </w:rPr>
            </w:pPr>
          </w:p>
        </w:tc>
      </w:tr>
      <w:tr w14:paraId="67AF68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B672C13">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税金及附加</w:t>
            </w:r>
          </w:p>
        </w:tc>
        <w:tc>
          <w:tcPr>
            <w:tcW w:w="838" w:type="pct"/>
            <w:tcBorders>
              <w:top w:val="outset" w:color="auto" w:sz="4" w:space="0"/>
              <w:left w:val="outset" w:color="auto" w:sz="4" w:space="0"/>
              <w:bottom w:val="outset" w:color="auto" w:sz="4" w:space="0"/>
              <w:right w:val="outset" w:color="auto" w:sz="4" w:space="0"/>
            </w:tcBorders>
            <w:vAlign w:val="center"/>
          </w:tcPr>
          <w:p w14:paraId="7AB55928">
            <w:r>
              <w:rPr>
                <w:rFonts w:hint="eastAsia"/>
              </w:rPr>
              <w:t>七、6</w:t>
            </w:r>
            <w:r>
              <w:t>2</w:t>
            </w:r>
          </w:p>
        </w:tc>
        <w:tc>
          <w:tcPr>
            <w:tcW w:w="1110" w:type="pct"/>
            <w:tcBorders>
              <w:top w:val="outset" w:color="auto" w:sz="4" w:space="0"/>
              <w:left w:val="outset" w:color="auto" w:sz="4" w:space="0"/>
              <w:bottom w:val="outset" w:color="auto" w:sz="4" w:space="0"/>
              <w:right w:val="outset" w:color="auto" w:sz="4" w:space="0"/>
            </w:tcBorders>
            <w:vAlign w:val="center"/>
          </w:tcPr>
          <w:p w14:paraId="0FB55D11">
            <w:pPr>
              <w:jc w:val="right"/>
              <w:rPr>
                <w:rFonts w:ascii="宋体" w:hAnsi="宋体"/>
                <w:sz w:val="24"/>
                <w:szCs w:val="24"/>
              </w:rPr>
            </w:pPr>
            <w:r>
              <w:t>51,728,514.16</w:t>
            </w:r>
          </w:p>
        </w:tc>
        <w:tc>
          <w:tcPr>
            <w:tcW w:w="1114" w:type="pct"/>
            <w:tcBorders>
              <w:top w:val="outset" w:color="auto" w:sz="4" w:space="0"/>
              <w:left w:val="outset" w:color="auto" w:sz="4" w:space="0"/>
              <w:bottom w:val="outset" w:color="auto" w:sz="4" w:space="0"/>
              <w:right w:val="outset" w:color="auto" w:sz="4" w:space="0"/>
            </w:tcBorders>
            <w:vAlign w:val="center"/>
          </w:tcPr>
          <w:p w14:paraId="0A815535">
            <w:pPr>
              <w:jc w:val="right"/>
            </w:pPr>
            <w:r>
              <w:t>48,301,876.13</w:t>
            </w:r>
          </w:p>
        </w:tc>
      </w:tr>
      <w:tr w14:paraId="03ECCC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8B37F01">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销售费用</w:t>
            </w:r>
          </w:p>
        </w:tc>
        <w:tc>
          <w:tcPr>
            <w:tcW w:w="838" w:type="pct"/>
            <w:tcBorders>
              <w:top w:val="outset" w:color="auto" w:sz="4" w:space="0"/>
              <w:left w:val="outset" w:color="auto" w:sz="4" w:space="0"/>
              <w:bottom w:val="outset" w:color="auto" w:sz="4" w:space="0"/>
              <w:right w:val="outset" w:color="auto" w:sz="4" w:space="0"/>
            </w:tcBorders>
            <w:vAlign w:val="center"/>
          </w:tcPr>
          <w:p w14:paraId="2401D5CA">
            <w:r>
              <w:rPr>
                <w:rFonts w:hint="eastAsia"/>
              </w:rPr>
              <w:t>七、6</w:t>
            </w:r>
            <w:r>
              <w:t>3</w:t>
            </w:r>
          </w:p>
        </w:tc>
        <w:tc>
          <w:tcPr>
            <w:tcW w:w="1110" w:type="pct"/>
            <w:tcBorders>
              <w:top w:val="outset" w:color="auto" w:sz="4" w:space="0"/>
              <w:left w:val="outset" w:color="auto" w:sz="4" w:space="0"/>
              <w:bottom w:val="outset" w:color="auto" w:sz="4" w:space="0"/>
              <w:right w:val="outset" w:color="auto" w:sz="4" w:space="0"/>
            </w:tcBorders>
            <w:vAlign w:val="center"/>
          </w:tcPr>
          <w:p w14:paraId="50480C0D">
            <w:pPr>
              <w:jc w:val="right"/>
            </w:pPr>
            <w:r>
              <w:t>142,897,270.39</w:t>
            </w:r>
          </w:p>
        </w:tc>
        <w:tc>
          <w:tcPr>
            <w:tcW w:w="1114" w:type="pct"/>
            <w:tcBorders>
              <w:top w:val="outset" w:color="auto" w:sz="4" w:space="0"/>
              <w:left w:val="outset" w:color="auto" w:sz="4" w:space="0"/>
              <w:bottom w:val="outset" w:color="auto" w:sz="4" w:space="0"/>
              <w:right w:val="outset" w:color="auto" w:sz="4" w:space="0"/>
            </w:tcBorders>
            <w:vAlign w:val="center"/>
          </w:tcPr>
          <w:p w14:paraId="35E36C61">
            <w:pPr>
              <w:jc w:val="right"/>
            </w:pPr>
            <w:r>
              <w:t>181,315,496.73</w:t>
            </w:r>
          </w:p>
        </w:tc>
      </w:tr>
      <w:tr w14:paraId="18DF17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93FFFB5">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管理费用</w:t>
            </w:r>
          </w:p>
        </w:tc>
        <w:tc>
          <w:tcPr>
            <w:tcW w:w="838" w:type="pct"/>
            <w:tcBorders>
              <w:top w:val="outset" w:color="auto" w:sz="4" w:space="0"/>
              <w:left w:val="outset" w:color="auto" w:sz="4" w:space="0"/>
              <w:bottom w:val="outset" w:color="auto" w:sz="4" w:space="0"/>
              <w:right w:val="outset" w:color="auto" w:sz="4" w:space="0"/>
            </w:tcBorders>
            <w:vAlign w:val="center"/>
          </w:tcPr>
          <w:p w14:paraId="31795F60">
            <w:r>
              <w:rPr>
                <w:rFonts w:hint="eastAsia"/>
              </w:rPr>
              <w:t>七、6</w:t>
            </w:r>
            <w:r>
              <w:t>4</w:t>
            </w:r>
          </w:p>
        </w:tc>
        <w:tc>
          <w:tcPr>
            <w:tcW w:w="1110" w:type="pct"/>
            <w:tcBorders>
              <w:top w:val="outset" w:color="auto" w:sz="4" w:space="0"/>
              <w:left w:val="outset" w:color="auto" w:sz="4" w:space="0"/>
              <w:bottom w:val="outset" w:color="auto" w:sz="4" w:space="0"/>
              <w:right w:val="outset" w:color="auto" w:sz="4" w:space="0"/>
            </w:tcBorders>
            <w:vAlign w:val="center"/>
          </w:tcPr>
          <w:p w14:paraId="07F62B47">
            <w:pPr>
              <w:jc w:val="right"/>
            </w:pPr>
            <w:r>
              <w:t>167,163,110.50</w:t>
            </w:r>
          </w:p>
        </w:tc>
        <w:tc>
          <w:tcPr>
            <w:tcW w:w="1114" w:type="pct"/>
            <w:tcBorders>
              <w:top w:val="outset" w:color="auto" w:sz="4" w:space="0"/>
              <w:left w:val="outset" w:color="auto" w:sz="4" w:space="0"/>
              <w:bottom w:val="outset" w:color="auto" w:sz="4" w:space="0"/>
              <w:right w:val="outset" w:color="auto" w:sz="4" w:space="0"/>
            </w:tcBorders>
            <w:vAlign w:val="center"/>
          </w:tcPr>
          <w:p w14:paraId="6C29D107">
            <w:pPr>
              <w:jc w:val="right"/>
            </w:pPr>
            <w:r>
              <w:t>141,540,509.22</w:t>
            </w:r>
          </w:p>
        </w:tc>
      </w:tr>
      <w:tr w14:paraId="69169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4790FAC">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研发费用</w:t>
            </w:r>
          </w:p>
        </w:tc>
        <w:tc>
          <w:tcPr>
            <w:tcW w:w="838" w:type="pct"/>
            <w:tcBorders>
              <w:top w:val="outset" w:color="auto" w:sz="4" w:space="0"/>
              <w:left w:val="outset" w:color="auto" w:sz="4" w:space="0"/>
              <w:bottom w:val="outset" w:color="auto" w:sz="4" w:space="0"/>
              <w:right w:val="outset" w:color="auto" w:sz="4" w:space="0"/>
            </w:tcBorders>
            <w:vAlign w:val="center"/>
          </w:tcPr>
          <w:p w14:paraId="5F4BE0E3">
            <w:r>
              <w:rPr>
                <w:rFonts w:hint="eastAsia"/>
              </w:rPr>
              <w:t>七、6</w:t>
            </w:r>
            <w:r>
              <w:t>5</w:t>
            </w:r>
          </w:p>
        </w:tc>
        <w:tc>
          <w:tcPr>
            <w:tcW w:w="1110" w:type="pct"/>
            <w:tcBorders>
              <w:top w:val="outset" w:color="auto" w:sz="4" w:space="0"/>
              <w:left w:val="outset" w:color="auto" w:sz="4" w:space="0"/>
              <w:bottom w:val="outset" w:color="auto" w:sz="4" w:space="0"/>
              <w:right w:val="outset" w:color="auto" w:sz="4" w:space="0"/>
            </w:tcBorders>
            <w:vAlign w:val="center"/>
          </w:tcPr>
          <w:p w14:paraId="1C5DCA66">
            <w:pPr>
              <w:jc w:val="right"/>
            </w:pPr>
            <w:r>
              <w:t>287,588,035.92</w:t>
            </w:r>
          </w:p>
        </w:tc>
        <w:tc>
          <w:tcPr>
            <w:tcW w:w="1114" w:type="pct"/>
            <w:tcBorders>
              <w:top w:val="outset" w:color="auto" w:sz="4" w:space="0"/>
              <w:left w:val="outset" w:color="auto" w:sz="4" w:space="0"/>
              <w:bottom w:val="outset" w:color="auto" w:sz="4" w:space="0"/>
              <w:right w:val="outset" w:color="auto" w:sz="4" w:space="0"/>
            </w:tcBorders>
            <w:vAlign w:val="center"/>
          </w:tcPr>
          <w:p w14:paraId="7F2B788A">
            <w:pPr>
              <w:jc w:val="right"/>
            </w:pPr>
            <w:r>
              <w:t>180,113,516.39</w:t>
            </w:r>
          </w:p>
        </w:tc>
      </w:tr>
      <w:tr w14:paraId="1E5D50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6D9BAA2">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财务费用</w:t>
            </w:r>
          </w:p>
        </w:tc>
        <w:tc>
          <w:tcPr>
            <w:tcW w:w="838" w:type="pct"/>
            <w:tcBorders>
              <w:top w:val="outset" w:color="auto" w:sz="4" w:space="0"/>
              <w:left w:val="outset" w:color="auto" w:sz="4" w:space="0"/>
              <w:bottom w:val="outset" w:color="auto" w:sz="4" w:space="0"/>
              <w:right w:val="outset" w:color="auto" w:sz="4" w:space="0"/>
            </w:tcBorders>
            <w:vAlign w:val="center"/>
          </w:tcPr>
          <w:p w14:paraId="24748742">
            <w:r>
              <w:rPr>
                <w:rFonts w:hint="eastAsia"/>
              </w:rPr>
              <w:t>七、6</w:t>
            </w:r>
            <w:r>
              <w:t>6</w:t>
            </w:r>
          </w:p>
        </w:tc>
        <w:tc>
          <w:tcPr>
            <w:tcW w:w="1110" w:type="pct"/>
            <w:tcBorders>
              <w:top w:val="outset" w:color="auto" w:sz="4" w:space="0"/>
              <w:left w:val="outset" w:color="auto" w:sz="4" w:space="0"/>
              <w:bottom w:val="outset" w:color="auto" w:sz="4" w:space="0"/>
              <w:right w:val="outset" w:color="auto" w:sz="4" w:space="0"/>
            </w:tcBorders>
            <w:vAlign w:val="center"/>
          </w:tcPr>
          <w:p w14:paraId="5028C58A">
            <w:pPr>
              <w:jc w:val="right"/>
            </w:pPr>
            <w:r>
              <w:t>-100,748,752.96</w:t>
            </w:r>
          </w:p>
        </w:tc>
        <w:tc>
          <w:tcPr>
            <w:tcW w:w="1114" w:type="pct"/>
            <w:tcBorders>
              <w:top w:val="outset" w:color="auto" w:sz="4" w:space="0"/>
              <w:left w:val="outset" w:color="auto" w:sz="4" w:space="0"/>
              <w:bottom w:val="outset" w:color="auto" w:sz="4" w:space="0"/>
              <w:right w:val="outset" w:color="auto" w:sz="4" w:space="0"/>
            </w:tcBorders>
            <w:vAlign w:val="center"/>
          </w:tcPr>
          <w:p w14:paraId="77FCE95B">
            <w:pPr>
              <w:jc w:val="right"/>
            </w:pPr>
            <w:r>
              <w:t>-23,767,882.39</w:t>
            </w:r>
          </w:p>
        </w:tc>
      </w:tr>
      <w:tr w14:paraId="68766F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AC80C65">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其中：利息费用</w:t>
            </w:r>
          </w:p>
        </w:tc>
        <w:tc>
          <w:tcPr>
            <w:tcW w:w="838" w:type="pct"/>
            <w:tcBorders>
              <w:top w:val="outset" w:color="auto" w:sz="4" w:space="0"/>
              <w:left w:val="outset" w:color="auto" w:sz="4" w:space="0"/>
              <w:bottom w:val="outset" w:color="auto" w:sz="4" w:space="0"/>
              <w:right w:val="outset" w:color="auto" w:sz="4" w:space="0"/>
            </w:tcBorders>
            <w:vAlign w:val="center"/>
          </w:tcPr>
          <w:p w14:paraId="41989481">
            <w:r>
              <w:rPr>
                <w:rFonts w:hint="eastAsia"/>
              </w:rPr>
              <w:t>七、6</w:t>
            </w:r>
            <w:r>
              <w:t>6</w:t>
            </w:r>
          </w:p>
        </w:tc>
        <w:tc>
          <w:tcPr>
            <w:tcW w:w="1110" w:type="pct"/>
            <w:tcBorders>
              <w:top w:val="outset" w:color="auto" w:sz="4" w:space="0"/>
              <w:left w:val="outset" w:color="auto" w:sz="4" w:space="0"/>
              <w:bottom w:val="outset" w:color="auto" w:sz="4" w:space="0"/>
              <w:right w:val="outset" w:color="auto" w:sz="4" w:space="0"/>
            </w:tcBorders>
            <w:vAlign w:val="center"/>
          </w:tcPr>
          <w:p w14:paraId="07E60F86">
            <w:pPr>
              <w:jc w:val="right"/>
            </w:pPr>
            <w:r>
              <w:t>41,181,873.33</w:t>
            </w:r>
          </w:p>
        </w:tc>
        <w:tc>
          <w:tcPr>
            <w:tcW w:w="1114" w:type="pct"/>
            <w:tcBorders>
              <w:top w:val="outset" w:color="auto" w:sz="4" w:space="0"/>
              <w:left w:val="outset" w:color="auto" w:sz="4" w:space="0"/>
              <w:bottom w:val="outset" w:color="auto" w:sz="4" w:space="0"/>
              <w:right w:val="outset" w:color="auto" w:sz="4" w:space="0"/>
            </w:tcBorders>
            <w:vAlign w:val="center"/>
          </w:tcPr>
          <w:p w14:paraId="48F09CDC">
            <w:pPr>
              <w:jc w:val="right"/>
            </w:pPr>
            <w:r>
              <w:t>48,857,582.48</w:t>
            </w:r>
          </w:p>
        </w:tc>
      </w:tr>
      <w:tr w14:paraId="2585BB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26DBB3A">
            <w:pPr>
              <w:ind w:firstLine="1260" w:firstLineChars="600"/>
              <w:rPr>
                <w:color w:val="000000" w:themeColor="text1"/>
                <w14:textFill>
                  <w14:solidFill>
                    <w14:schemeClr w14:val="tx1"/>
                  </w14:solidFill>
                </w14:textFill>
              </w:rPr>
            </w:pPr>
            <w:r>
              <w:rPr>
                <w:rFonts w:hint="eastAsia"/>
                <w:color w:val="000000" w:themeColor="text1"/>
                <w14:textFill>
                  <w14:solidFill>
                    <w14:schemeClr w14:val="tx1"/>
                  </w14:solidFill>
                </w14:textFill>
              </w:rPr>
              <w:t>利息收入</w:t>
            </w:r>
          </w:p>
        </w:tc>
        <w:tc>
          <w:tcPr>
            <w:tcW w:w="838" w:type="pct"/>
            <w:tcBorders>
              <w:top w:val="outset" w:color="auto" w:sz="4" w:space="0"/>
              <w:left w:val="outset" w:color="auto" w:sz="4" w:space="0"/>
              <w:bottom w:val="outset" w:color="auto" w:sz="4" w:space="0"/>
              <w:right w:val="outset" w:color="auto" w:sz="4" w:space="0"/>
            </w:tcBorders>
            <w:vAlign w:val="center"/>
          </w:tcPr>
          <w:p w14:paraId="772199BD">
            <w:r>
              <w:rPr>
                <w:rFonts w:hint="eastAsia"/>
              </w:rPr>
              <w:t>七、6</w:t>
            </w:r>
            <w:r>
              <w:t>6</w:t>
            </w:r>
          </w:p>
        </w:tc>
        <w:tc>
          <w:tcPr>
            <w:tcW w:w="1110" w:type="pct"/>
            <w:tcBorders>
              <w:top w:val="outset" w:color="auto" w:sz="4" w:space="0"/>
              <w:left w:val="outset" w:color="auto" w:sz="4" w:space="0"/>
              <w:bottom w:val="outset" w:color="auto" w:sz="4" w:space="0"/>
              <w:right w:val="outset" w:color="auto" w:sz="4" w:space="0"/>
            </w:tcBorders>
            <w:vAlign w:val="center"/>
          </w:tcPr>
          <w:p w14:paraId="65E3B540">
            <w:pPr>
              <w:jc w:val="right"/>
            </w:pPr>
            <w:r>
              <w:t>30,301,137.77</w:t>
            </w:r>
          </w:p>
        </w:tc>
        <w:tc>
          <w:tcPr>
            <w:tcW w:w="1114" w:type="pct"/>
            <w:tcBorders>
              <w:top w:val="outset" w:color="auto" w:sz="4" w:space="0"/>
              <w:left w:val="outset" w:color="auto" w:sz="4" w:space="0"/>
              <w:bottom w:val="outset" w:color="auto" w:sz="4" w:space="0"/>
              <w:right w:val="outset" w:color="auto" w:sz="4" w:space="0"/>
            </w:tcBorders>
            <w:vAlign w:val="center"/>
          </w:tcPr>
          <w:p w14:paraId="1F498701">
            <w:pPr>
              <w:jc w:val="right"/>
            </w:pPr>
            <w:r>
              <w:t>29,414,532.49</w:t>
            </w:r>
          </w:p>
        </w:tc>
      </w:tr>
      <w:tr w14:paraId="29CB60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05B102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加：其他收益</w:t>
            </w:r>
          </w:p>
        </w:tc>
        <w:tc>
          <w:tcPr>
            <w:tcW w:w="838" w:type="pct"/>
            <w:tcBorders>
              <w:top w:val="outset" w:color="auto" w:sz="4" w:space="0"/>
              <w:left w:val="outset" w:color="auto" w:sz="4" w:space="0"/>
              <w:bottom w:val="outset" w:color="auto" w:sz="4" w:space="0"/>
              <w:right w:val="outset" w:color="auto" w:sz="4" w:space="0"/>
            </w:tcBorders>
            <w:vAlign w:val="center"/>
          </w:tcPr>
          <w:p w14:paraId="26C6876C">
            <w:r>
              <w:rPr>
                <w:rFonts w:hint="eastAsia"/>
              </w:rPr>
              <w:t>七、6</w:t>
            </w:r>
            <w:r>
              <w:t>7</w:t>
            </w:r>
          </w:p>
        </w:tc>
        <w:tc>
          <w:tcPr>
            <w:tcW w:w="1110" w:type="pct"/>
            <w:tcBorders>
              <w:top w:val="outset" w:color="auto" w:sz="4" w:space="0"/>
              <w:left w:val="outset" w:color="auto" w:sz="4" w:space="0"/>
              <w:bottom w:val="outset" w:color="auto" w:sz="4" w:space="0"/>
              <w:right w:val="outset" w:color="auto" w:sz="4" w:space="0"/>
            </w:tcBorders>
            <w:vAlign w:val="center"/>
          </w:tcPr>
          <w:p w14:paraId="3E152C0C">
            <w:pPr>
              <w:jc w:val="right"/>
            </w:pPr>
            <w:r>
              <w:t>179,289,993.59</w:t>
            </w:r>
          </w:p>
        </w:tc>
        <w:tc>
          <w:tcPr>
            <w:tcW w:w="1114" w:type="pct"/>
            <w:tcBorders>
              <w:top w:val="outset" w:color="auto" w:sz="4" w:space="0"/>
              <w:left w:val="outset" w:color="auto" w:sz="4" w:space="0"/>
              <w:bottom w:val="outset" w:color="auto" w:sz="4" w:space="0"/>
              <w:right w:val="outset" w:color="auto" w:sz="4" w:space="0"/>
            </w:tcBorders>
            <w:vAlign w:val="center"/>
          </w:tcPr>
          <w:p w14:paraId="6625D6DA">
            <w:pPr>
              <w:jc w:val="right"/>
            </w:pPr>
            <w:r>
              <w:t>7,134,225.00</w:t>
            </w:r>
          </w:p>
        </w:tc>
      </w:tr>
      <w:tr w14:paraId="0CF55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C7EF91F">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投资收益（损失以“－”号填列）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3EEE6D62">
            <w:r>
              <w:rPr>
                <w:rFonts w:hint="eastAsia"/>
              </w:rPr>
              <w:t>七、6</w:t>
            </w:r>
            <w:r>
              <w:t>8</w:t>
            </w:r>
          </w:p>
        </w:tc>
        <w:tc>
          <w:tcPr>
            <w:tcW w:w="1110" w:type="pct"/>
            <w:tcBorders>
              <w:top w:val="outset" w:color="auto" w:sz="4" w:space="0"/>
              <w:left w:val="outset" w:color="auto" w:sz="4" w:space="0"/>
              <w:bottom w:val="outset" w:color="auto" w:sz="4" w:space="0"/>
              <w:right w:val="outset" w:color="auto" w:sz="4" w:space="0"/>
            </w:tcBorders>
            <w:vAlign w:val="center"/>
          </w:tcPr>
          <w:p w14:paraId="650A9E23">
            <w:pPr>
              <w:jc w:val="right"/>
            </w:pPr>
            <w:r>
              <w:t>273,318,430.55</w:t>
            </w:r>
          </w:p>
        </w:tc>
        <w:tc>
          <w:tcPr>
            <w:tcW w:w="1114" w:type="pct"/>
            <w:tcBorders>
              <w:top w:val="outset" w:color="auto" w:sz="4" w:space="0"/>
              <w:left w:val="outset" w:color="auto" w:sz="4" w:space="0"/>
              <w:bottom w:val="outset" w:color="auto" w:sz="4" w:space="0"/>
              <w:right w:val="outset" w:color="auto" w:sz="4" w:space="0"/>
            </w:tcBorders>
            <w:vAlign w:val="center"/>
          </w:tcPr>
          <w:p w14:paraId="0EFEF89F">
            <w:pPr>
              <w:jc w:val="right"/>
            </w:pPr>
            <w:r>
              <w:t>184,846,507.41</w:t>
            </w:r>
          </w:p>
        </w:tc>
      </w:tr>
      <w:tr w14:paraId="198290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C7048A0">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其中：对联营企业和合营企业的投资收益</w:t>
            </w:r>
          </w:p>
        </w:tc>
        <w:tc>
          <w:tcPr>
            <w:tcW w:w="838" w:type="pct"/>
            <w:tcBorders>
              <w:top w:val="outset" w:color="auto" w:sz="4" w:space="0"/>
              <w:left w:val="outset" w:color="auto" w:sz="4" w:space="0"/>
              <w:bottom w:val="outset" w:color="auto" w:sz="4" w:space="0"/>
              <w:right w:val="outset" w:color="auto" w:sz="4" w:space="0"/>
            </w:tcBorders>
            <w:vAlign w:val="center"/>
          </w:tcPr>
          <w:p w14:paraId="2530662C">
            <w:r>
              <w:rPr>
                <w:rFonts w:hint="eastAsia"/>
              </w:rPr>
              <w:t>七、6</w:t>
            </w:r>
            <w:r>
              <w:t>8</w:t>
            </w:r>
          </w:p>
        </w:tc>
        <w:tc>
          <w:tcPr>
            <w:tcW w:w="1110" w:type="pct"/>
            <w:tcBorders>
              <w:top w:val="outset" w:color="auto" w:sz="4" w:space="0"/>
              <w:left w:val="outset" w:color="auto" w:sz="4" w:space="0"/>
              <w:bottom w:val="outset" w:color="auto" w:sz="4" w:space="0"/>
              <w:right w:val="outset" w:color="auto" w:sz="4" w:space="0"/>
            </w:tcBorders>
            <w:vAlign w:val="center"/>
          </w:tcPr>
          <w:p w14:paraId="051DC37E">
            <w:pPr>
              <w:jc w:val="right"/>
            </w:pPr>
            <w:r>
              <w:t>251,937,163.70</w:t>
            </w:r>
          </w:p>
        </w:tc>
        <w:tc>
          <w:tcPr>
            <w:tcW w:w="1114" w:type="pct"/>
            <w:tcBorders>
              <w:top w:val="outset" w:color="auto" w:sz="4" w:space="0"/>
              <w:left w:val="outset" w:color="auto" w:sz="4" w:space="0"/>
              <w:bottom w:val="outset" w:color="auto" w:sz="4" w:space="0"/>
              <w:right w:val="outset" w:color="auto" w:sz="4" w:space="0"/>
            </w:tcBorders>
            <w:vAlign w:val="center"/>
          </w:tcPr>
          <w:p w14:paraId="192AEBBB">
            <w:pPr>
              <w:jc w:val="right"/>
            </w:pPr>
            <w:r>
              <w:t>189,698,936.31</w:t>
            </w:r>
          </w:p>
        </w:tc>
      </w:tr>
      <w:tr w14:paraId="7919EE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DFD5A40">
            <w:pPr>
              <w:ind w:firstLine="1155" w:firstLineChars="550"/>
              <w:rPr>
                <w:color w:val="000000" w:themeColor="text1"/>
                <w14:textFill>
                  <w14:solidFill>
                    <w14:schemeClr w14:val="tx1"/>
                  </w14:solidFill>
                </w14:textFill>
              </w:rPr>
            </w:pPr>
            <w:r>
              <w:rPr>
                <w:rFonts w:hint="eastAsia"/>
                <w:color w:val="000000" w:themeColor="text1"/>
                <w14:textFill>
                  <w14:solidFill>
                    <w14:schemeClr w14:val="tx1"/>
                  </w14:solidFill>
                </w14:textFill>
              </w:rPr>
              <w:t>以摊余成本计量的金融资产终止确认收益（损失以“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1CC2FA93"/>
        </w:tc>
        <w:tc>
          <w:tcPr>
            <w:tcW w:w="1110" w:type="pct"/>
            <w:tcBorders>
              <w:top w:val="outset" w:color="auto" w:sz="4" w:space="0"/>
              <w:left w:val="outset" w:color="auto" w:sz="4" w:space="0"/>
              <w:bottom w:val="outset" w:color="auto" w:sz="4" w:space="0"/>
              <w:right w:val="outset" w:color="auto" w:sz="4" w:space="0"/>
            </w:tcBorders>
            <w:vAlign w:val="center"/>
          </w:tcPr>
          <w:p w14:paraId="2FEDD811">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0E2D2001">
            <w:pPr>
              <w:jc w:val="right"/>
            </w:pPr>
          </w:p>
        </w:tc>
      </w:tr>
      <w:tr w14:paraId="68CF43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AEBDCAA">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汇兑收益（损失以“－”号填列）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4F94E4EF"/>
        </w:tc>
        <w:tc>
          <w:tcPr>
            <w:tcW w:w="1110" w:type="pct"/>
            <w:tcBorders>
              <w:top w:val="outset" w:color="auto" w:sz="4" w:space="0"/>
              <w:left w:val="outset" w:color="auto" w:sz="4" w:space="0"/>
              <w:bottom w:val="outset" w:color="auto" w:sz="4" w:space="0"/>
              <w:right w:val="outset" w:color="auto" w:sz="4" w:space="0"/>
            </w:tcBorders>
            <w:vAlign w:val="center"/>
          </w:tcPr>
          <w:p w14:paraId="72E96190">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010E3341">
            <w:pPr>
              <w:jc w:val="right"/>
            </w:pPr>
          </w:p>
        </w:tc>
      </w:tr>
      <w:tr w14:paraId="49B00A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9864A48">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净敞口套期收益（损失以“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36BD6E21"/>
        </w:tc>
        <w:tc>
          <w:tcPr>
            <w:tcW w:w="1110" w:type="pct"/>
            <w:tcBorders>
              <w:top w:val="outset" w:color="auto" w:sz="4" w:space="0"/>
              <w:left w:val="outset" w:color="auto" w:sz="4" w:space="0"/>
              <w:bottom w:val="outset" w:color="auto" w:sz="4" w:space="0"/>
              <w:right w:val="outset" w:color="auto" w:sz="4" w:space="0"/>
            </w:tcBorders>
            <w:vAlign w:val="center"/>
          </w:tcPr>
          <w:p w14:paraId="22A00D51">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268F5B89">
            <w:pPr>
              <w:jc w:val="right"/>
            </w:pPr>
          </w:p>
        </w:tc>
      </w:tr>
      <w:tr w14:paraId="3DC66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0A455A4">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公允价值变动收益（损失以“－”号填列）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17E800F9">
            <w:r>
              <w:rPr>
                <w:rFonts w:hint="eastAsia"/>
              </w:rPr>
              <w:t>七、7</w:t>
            </w:r>
            <w:r>
              <w:t>0</w:t>
            </w:r>
          </w:p>
        </w:tc>
        <w:tc>
          <w:tcPr>
            <w:tcW w:w="1110" w:type="pct"/>
            <w:tcBorders>
              <w:top w:val="outset" w:color="auto" w:sz="4" w:space="0"/>
              <w:left w:val="outset" w:color="auto" w:sz="4" w:space="0"/>
              <w:bottom w:val="outset" w:color="auto" w:sz="4" w:space="0"/>
              <w:right w:val="outset" w:color="auto" w:sz="4" w:space="0"/>
            </w:tcBorders>
            <w:vAlign w:val="center"/>
          </w:tcPr>
          <w:p w14:paraId="2B07ECAC">
            <w:pPr>
              <w:jc w:val="right"/>
            </w:pPr>
            <w:r>
              <w:t>-23,416,700.00</w:t>
            </w:r>
          </w:p>
        </w:tc>
        <w:tc>
          <w:tcPr>
            <w:tcW w:w="1114" w:type="pct"/>
            <w:tcBorders>
              <w:top w:val="outset" w:color="auto" w:sz="4" w:space="0"/>
              <w:left w:val="outset" w:color="auto" w:sz="4" w:space="0"/>
              <w:bottom w:val="outset" w:color="auto" w:sz="4" w:space="0"/>
              <w:right w:val="outset" w:color="auto" w:sz="4" w:space="0"/>
            </w:tcBorders>
            <w:vAlign w:val="center"/>
          </w:tcPr>
          <w:p w14:paraId="27BD059E">
            <w:pPr>
              <w:jc w:val="right"/>
            </w:pPr>
          </w:p>
        </w:tc>
      </w:tr>
      <w:tr w14:paraId="154367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DEB4349">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信用减值损失（损失以“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71DE85D7">
            <w:r>
              <w:rPr>
                <w:rFonts w:hint="eastAsia"/>
              </w:rPr>
              <w:t>七、</w:t>
            </w:r>
            <w:r>
              <w:t>71</w:t>
            </w:r>
          </w:p>
        </w:tc>
        <w:tc>
          <w:tcPr>
            <w:tcW w:w="1110" w:type="pct"/>
            <w:tcBorders>
              <w:top w:val="outset" w:color="auto" w:sz="4" w:space="0"/>
              <w:left w:val="outset" w:color="auto" w:sz="4" w:space="0"/>
              <w:bottom w:val="outset" w:color="auto" w:sz="4" w:space="0"/>
              <w:right w:val="outset" w:color="auto" w:sz="4" w:space="0"/>
            </w:tcBorders>
            <w:vAlign w:val="center"/>
          </w:tcPr>
          <w:p w14:paraId="451646A4">
            <w:pPr>
              <w:jc w:val="right"/>
            </w:pPr>
            <w:r>
              <w:t>-23,456,718.87</w:t>
            </w:r>
          </w:p>
        </w:tc>
        <w:tc>
          <w:tcPr>
            <w:tcW w:w="1114" w:type="pct"/>
            <w:tcBorders>
              <w:top w:val="outset" w:color="auto" w:sz="4" w:space="0"/>
              <w:left w:val="outset" w:color="auto" w:sz="4" w:space="0"/>
              <w:bottom w:val="outset" w:color="auto" w:sz="4" w:space="0"/>
              <w:right w:val="outset" w:color="auto" w:sz="4" w:space="0"/>
            </w:tcBorders>
            <w:vAlign w:val="center"/>
          </w:tcPr>
          <w:p w14:paraId="237AE826">
            <w:pPr>
              <w:jc w:val="right"/>
            </w:pPr>
            <w:r>
              <w:t>-7,267,859.15</w:t>
            </w:r>
          </w:p>
        </w:tc>
      </w:tr>
      <w:tr w14:paraId="542CD6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ECC0C68">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资产减值损失（损失以“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7D0F8953">
            <w:r>
              <w:rPr>
                <w:rFonts w:hint="eastAsia"/>
              </w:rPr>
              <w:t>七、</w:t>
            </w:r>
            <w:r>
              <w:t>72</w:t>
            </w:r>
          </w:p>
        </w:tc>
        <w:tc>
          <w:tcPr>
            <w:tcW w:w="1110" w:type="pct"/>
            <w:tcBorders>
              <w:top w:val="outset" w:color="auto" w:sz="4" w:space="0"/>
              <w:left w:val="outset" w:color="auto" w:sz="4" w:space="0"/>
              <w:bottom w:val="outset" w:color="auto" w:sz="4" w:space="0"/>
              <w:right w:val="outset" w:color="auto" w:sz="4" w:space="0"/>
            </w:tcBorders>
            <w:vAlign w:val="center"/>
          </w:tcPr>
          <w:p w14:paraId="1FBA4019">
            <w:pPr>
              <w:jc w:val="right"/>
            </w:pPr>
            <w:r>
              <w:t>-144,845,609.50</w:t>
            </w:r>
          </w:p>
        </w:tc>
        <w:tc>
          <w:tcPr>
            <w:tcW w:w="1114" w:type="pct"/>
            <w:tcBorders>
              <w:top w:val="outset" w:color="auto" w:sz="4" w:space="0"/>
              <w:left w:val="outset" w:color="auto" w:sz="4" w:space="0"/>
              <w:bottom w:val="outset" w:color="auto" w:sz="4" w:space="0"/>
              <w:right w:val="outset" w:color="auto" w:sz="4" w:space="0"/>
            </w:tcBorders>
            <w:vAlign w:val="center"/>
          </w:tcPr>
          <w:p w14:paraId="6988CE6E">
            <w:pPr>
              <w:jc w:val="right"/>
            </w:pPr>
            <w:r>
              <w:t>-39,300,312.69</w:t>
            </w:r>
          </w:p>
        </w:tc>
      </w:tr>
      <w:tr w14:paraId="10865E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75B9FCB">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资产处置收益（损失以“－”号填列）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17CA10E4">
            <w:r>
              <w:rPr>
                <w:rFonts w:hint="eastAsia"/>
              </w:rPr>
              <w:t>七、</w:t>
            </w:r>
            <w:r>
              <w:t>73</w:t>
            </w:r>
          </w:p>
        </w:tc>
        <w:tc>
          <w:tcPr>
            <w:tcW w:w="1110" w:type="pct"/>
            <w:tcBorders>
              <w:top w:val="outset" w:color="auto" w:sz="4" w:space="0"/>
              <w:left w:val="outset" w:color="auto" w:sz="4" w:space="0"/>
              <w:bottom w:val="outset" w:color="auto" w:sz="4" w:space="0"/>
              <w:right w:val="outset" w:color="auto" w:sz="4" w:space="0"/>
            </w:tcBorders>
            <w:vAlign w:val="center"/>
          </w:tcPr>
          <w:p w14:paraId="37DD3CBF">
            <w:pPr>
              <w:jc w:val="right"/>
            </w:pPr>
            <w:r>
              <w:t>5,356,611.40</w:t>
            </w:r>
          </w:p>
        </w:tc>
        <w:tc>
          <w:tcPr>
            <w:tcW w:w="1114" w:type="pct"/>
            <w:tcBorders>
              <w:top w:val="outset" w:color="auto" w:sz="4" w:space="0"/>
              <w:left w:val="outset" w:color="auto" w:sz="4" w:space="0"/>
              <w:bottom w:val="outset" w:color="auto" w:sz="4" w:space="0"/>
              <w:right w:val="outset" w:color="auto" w:sz="4" w:space="0"/>
            </w:tcBorders>
            <w:vAlign w:val="center"/>
          </w:tcPr>
          <w:p w14:paraId="3C0D2EA3">
            <w:pPr>
              <w:jc w:val="right"/>
            </w:pPr>
            <w:r>
              <w:t>723,625.33</w:t>
            </w:r>
          </w:p>
        </w:tc>
      </w:tr>
      <w:tr w14:paraId="4E8C88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EE0C7DF">
            <w:pPr>
              <w:rPr>
                <w:color w:val="000000" w:themeColor="text1"/>
                <w14:textFill>
                  <w14:solidFill>
                    <w14:schemeClr w14:val="tx1"/>
                  </w14:solidFill>
                </w14:textFill>
              </w:rPr>
            </w:pPr>
            <w:r>
              <w:rPr>
                <w:rFonts w:hint="eastAsia"/>
                <w:color w:val="000000" w:themeColor="text1"/>
                <w14:textFill>
                  <w14:solidFill>
                    <w14:schemeClr w14:val="tx1"/>
                  </w14:solidFill>
                </w14:textFill>
              </w:rPr>
              <w:t>三、营业利润（亏损以“－”号填列）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348A438A"/>
        </w:tc>
        <w:tc>
          <w:tcPr>
            <w:tcW w:w="1110" w:type="pct"/>
            <w:tcBorders>
              <w:top w:val="outset" w:color="auto" w:sz="4" w:space="0"/>
              <w:left w:val="outset" w:color="auto" w:sz="4" w:space="0"/>
              <w:bottom w:val="outset" w:color="auto" w:sz="4" w:space="0"/>
              <w:right w:val="outset" w:color="auto" w:sz="4" w:space="0"/>
            </w:tcBorders>
            <w:vAlign w:val="center"/>
          </w:tcPr>
          <w:p w14:paraId="456FBB4A">
            <w:pPr>
              <w:jc w:val="right"/>
            </w:pPr>
            <w:r>
              <w:t>64,280,470.81</w:t>
            </w:r>
          </w:p>
        </w:tc>
        <w:tc>
          <w:tcPr>
            <w:tcW w:w="1114" w:type="pct"/>
            <w:tcBorders>
              <w:top w:val="outset" w:color="auto" w:sz="4" w:space="0"/>
              <w:left w:val="outset" w:color="auto" w:sz="4" w:space="0"/>
              <w:bottom w:val="outset" w:color="auto" w:sz="4" w:space="0"/>
              <w:right w:val="outset" w:color="auto" w:sz="4" w:space="0"/>
            </w:tcBorders>
            <w:vAlign w:val="center"/>
          </w:tcPr>
          <w:p w14:paraId="0647E846">
            <w:pPr>
              <w:jc w:val="right"/>
            </w:pPr>
            <w:r>
              <w:t>-127,811,745.43</w:t>
            </w:r>
          </w:p>
        </w:tc>
      </w:tr>
      <w:tr w14:paraId="193C00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0B97B0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加：营业外收入</w:t>
            </w:r>
          </w:p>
        </w:tc>
        <w:tc>
          <w:tcPr>
            <w:tcW w:w="838" w:type="pct"/>
            <w:tcBorders>
              <w:top w:val="outset" w:color="auto" w:sz="4" w:space="0"/>
              <w:left w:val="outset" w:color="auto" w:sz="4" w:space="0"/>
              <w:bottom w:val="outset" w:color="auto" w:sz="4" w:space="0"/>
              <w:right w:val="outset" w:color="auto" w:sz="4" w:space="0"/>
            </w:tcBorders>
            <w:vAlign w:val="center"/>
          </w:tcPr>
          <w:p w14:paraId="2E5829EA">
            <w:r>
              <w:rPr>
                <w:rFonts w:hint="eastAsia"/>
              </w:rPr>
              <w:t>七、</w:t>
            </w:r>
            <w:r>
              <w:t>74</w:t>
            </w:r>
          </w:p>
        </w:tc>
        <w:tc>
          <w:tcPr>
            <w:tcW w:w="1110" w:type="pct"/>
            <w:tcBorders>
              <w:top w:val="outset" w:color="auto" w:sz="4" w:space="0"/>
              <w:left w:val="outset" w:color="auto" w:sz="4" w:space="0"/>
              <w:bottom w:val="outset" w:color="auto" w:sz="4" w:space="0"/>
              <w:right w:val="outset" w:color="auto" w:sz="4" w:space="0"/>
            </w:tcBorders>
            <w:vAlign w:val="center"/>
          </w:tcPr>
          <w:p w14:paraId="20E1BA23">
            <w:pPr>
              <w:jc w:val="right"/>
            </w:pPr>
            <w:r>
              <w:t>2,020,004.21</w:t>
            </w:r>
          </w:p>
        </w:tc>
        <w:tc>
          <w:tcPr>
            <w:tcW w:w="1114" w:type="pct"/>
            <w:tcBorders>
              <w:top w:val="outset" w:color="auto" w:sz="4" w:space="0"/>
              <w:left w:val="outset" w:color="auto" w:sz="4" w:space="0"/>
              <w:bottom w:val="outset" w:color="auto" w:sz="4" w:space="0"/>
              <w:right w:val="outset" w:color="auto" w:sz="4" w:space="0"/>
            </w:tcBorders>
            <w:vAlign w:val="center"/>
          </w:tcPr>
          <w:p w14:paraId="01DAD65F">
            <w:pPr>
              <w:jc w:val="right"/>
            </w:pPr>
            <w:r>
              <w:t>1,540,814.92</w:t>
            </w:r>
          </w:p>
        </w:tc>
      </w:tr>
      <w:tr w14:paraId="20EA0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6E6CD6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减：营业外支出</w:t>
            </w:r>
          </w:p>
        </w:tc>
        <w:tc>
          <w:tcPr>
            <w:tcW w:w="838" w:type="pct"/>
            <w:tcBorders>
              <w:top w:val="outset" w:color="auto" w:sz="4" w:space="0"/>
              <w:left w:val="outset" w:color="auto" w:sz="4" w:space="0"/>
              <w:bottom w:val="outset" w:color="auto" w:sz="4" w:space="0"/>
              <w:right w:val="outset" w:color="auto" w:sz="4" w:space="0"/>
            </w:tcBorders>
            <w:vAlign w:val="center"/>
          </w:tcPr>
          <w:p w14:paraId="6C63C975">
            <w:r>
              <w:rPr>
                <w:rFonts w:hint="eastAsia"/>
              </w:rPr>
              <w:t>七、</w:t>
            </w:r>
            <w:r>
              <w:t>75</w:t>
            </w:r>
          </w:p>
        </w:tc>
        <w:tc>
          <w:tcPr>
            <w:tcW w:w="1110" w:type="pct"/>
            <w:tcBorders>
              <w:top w:val="outset" w:color="auto" w:sz="4" w:space="0"/>
              <w:left w:val="outset" w:color="auto" w:sz="4" w:space="0"/>
              <w:bottom w:val="outset" w:color="auto" w:sz="4" w:space="0"/>
              <w:right w:val="outset" w:color="auto" w:sz="4" w:space="0"/>
            </w:tcBorders>
            <w:vAlign w:val="center"/>
          </w:tcPr>
          <w:p w14:paraId="6FAB77C2">
            <w:pPr>
              <w:jc w:val="right"/>
            </w:pPr>
            <w:r>
              <w:t>9,005,058.66</w:t>
            </w:r>
          </w:p>
        </w:tc>
        <w:tc>
          <w:tcPr>
            <w:tcW w:w="1114" w:type="pct"/>
            <w:tcBorders>
              <w:top w:val="outset" w:color="auto" w:sz="4" w:space="0"/>
              <w:left w:val="outset" w:color="auto" w:sz="4" w:space="0"/>
              <w:bottom w:val="outset" w:color="auto" w:sz="4" w:space="0"/>
              <w:right w:val="outset" w:color="auto" w:sz="4" w:space="0"/>
            </w:tcBorders>
            <w:vAlign w:val="center"/>
          </w:tcPr>
          <w:p w14:paraId="411E1831">
            <w:pPr>
              <w:jc w:val="right"/>
            </w:pPr>
            <w:r>
              <w:t>3,877,237.35</w:t>
            </w:r>
          </w:p>
        </w:tc>
      </w:tr>
      <w:tr w14:paraId="1BAA74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709D39D">
            <w:pPr>
              <w:rPr>
                <w:color w:val="000000" w:themeColor="text1"/>
                <w14:textFill>
                  <w14:solidFill>
                    <w14:schemeClr w14:val="tx1"/>
                  </w14:solidFill>
                </w14:textFill>
              </w:rPr>
            </w:pPr>
            <w:r>
              <w:rPr>
                <w:rFonts w:hint="eastAsia"/>
                <w:color w:val="000000" w:themeColor="text1"/>
                <w14:textFill>
                  <w14:solidFill>
                    <w14:schemeClr w14:val="tx1"/>
                  </w14:solidFill>
                </w14:textFill>
              </w:rPr>
              <w:t>四、利润总额（亏损总额以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7A0F4AF3"/>
        </w:tc>
        <w:tc>
          <w:tcPr>
            <w:tcW w:w="1110" w:type="pct"/>
            <w:tcBorders>
              <w:top w:val="outset" w:color="auto" w:sz="4" w:space="0"/>
              <w:left w:val="outset" w:color="auto" w:sz="4" w:space="0"/>
              <w:bottom w:val="outset" w:color="auto" w:sz="4" w:space="0"/>
              <w:right w:val="outset" w:color="auto" w:sz="4" w:space="0"/>
            </w:tcBorders>
            <w:vAlign w:val="center"/>
          </w:tcPr>
          <w:p w14:paraId="063271B4">
            <w:pPr>
              <w:jc w:val="right"/>
            </w:pPr>
            <w:r>
              <w:t>57,295,416.36</w:t>
            </w:r>
          </w:p>
        </w:tc>
        <w:tc>
          <w:tcPr>
            <w:tcW w:w="1114" w:type="pct"/>
            <w:tcBorders>
              <w:top w:val="outset" w:color="auto" w:sz="4" w:space="0"/>
              <w:left w:val="outset" w:color="auto" w:sz="4" w:space="0"/>
              <w:bottom w:val="outset" w:color="auto" w:sz="4" w:space="0"/>
              <w:right w:val="outset" w:color="auto" w:sz="4" w:space="0"/>
            </w:tcBorders>
            <w:vAlign w:val="center"/>
          </w:tcPr>
          <w:p w14:paraId="0061029E">
            <w:pPr>
              <w:jc w:val="right"/>
            </w:pPr>
            <w:r>
              <w:t>-130,148,167.86</w:t>
            </w:r>
          </w:p>
        </w:tc>
      </w:tr>
      <w:tr w14:paraId="2F552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EDC6EB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减：所得税费用</w:t>
            </w:r>
          </w:p>
        </w:tc>
        <w:tc>
          <w:tcPr>
            <w:tcW w:w="838" w:type="pct"/>
            <w:tcBorders>
              <w:top w:val="outset" w:color="auto" w:sz="4" w:space="0"/>
              <w:left w:val="outset" w:color="auto" w:sz="4" w:space="0"/>
              <w:bottom w:val="outset" w:color="auto" w:sz="4" w:space="0"/>
              <w:right w:val="outset" w:color="auto" w:sz="4" w:space="0"/>
            </w:tcBorders>
            <w:vAlign w:val="center"/>
          </w:tcPr>
          <w:p w14:paraId="6B4B4F7F">
            <w:r>
              <w:rPr>
                <w:rFonts w:hint="eastAsia"/>
              </w:rPr>
              <w:t>七、</w:t>
            </w:r>
            <w:r>
              <w:t>76</w:t>
            </w:r>
          </w:p>
        </w:tc>
        <w:tc>
          <w:tcPr>
            <w:tcW w:w="1110" w:type="pct"/>
            <w:tcBorders>
              <w:top w:val="outset" w:color="auto" w:sz="4" w:space="0"/>
              <w:left w:val="outset" w:color="auto" w:sz="4" w:space="0"/>
              <w:bottom w:val="outset" w:color="auto" w:sz="4" w:space="0"/>
              <w:right w:val="outset" w:color="auto" w:sz="4" w:space="0"/>
            </w:tcBorders>
            <w:vAlign w:val="center"/>
          </w:tcPr>
          <w:p w14:paraId="2EAA015F">
            <w:pPr>
              <w:jc w:val="right"/>
            </w:pPr>
            <w:r>
              <w:t>173,266,464.08</w:t>
            </w:r>
          </w:p>
        </w:tc>
        <w:tc>
          <w:tcPr>
            <w:tcW w:w="1114" w:type="pct"/>
            <w:tcBorders>
              <w:top w:val="outset" w:color="auto" w:sz="4" w:space="0"/>
              <w:left w:val="outset" w:color="auto" w:sz="4" w:space="0"/>
              <w:bottom w:val="outset" w:color="auto" w:sz="4" w:space="0"/>
              <w:right w:val="outset" w:color="auto" w:sz="4" w:space="0"/>
            </w:tcBorders>
            <w:vAlign w:val="center"/>
          </w:tcPr>
          <w:p w14:paraId="332932D0">
            <w:pPr>
              <w:jc w:val="right"/>
            </w:pPr>
            <w:r>
              <w:t>-21,666,987.75</w:t>
            </w:r>
          </w:p>
        </w:tc>
      </w:tr>
      <w:tr w14:paraId="5AF094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1A826AF">
            <w:pPr>
              <w:rPr>
                <w:color w:val="000000" w:themeColor="text1"/>
                <w14:textFill>
                  <w14:solidFill>
                    <w14:schemeClr w14:val="tx1"/>
                  </w14:solidFill>
                </w14:textFill>
              </w:rPr>
            </w:pPr>
            <w:r>
              <w:rPr>
                <w:rFonts w:hint="eastAsia"/>
                <w:color w:val="000000" w:themeColor="text1"/>
                <w14:textFill>
                  <w14:solidFill>
                    <w14:schemeClr w14:val="tx1"/>
                  </w14:solidFill>
                </w14:textFill>
              </w:rPr>
              <w:t>五、净利润（净亏损以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09B8ECD1"/>
        </w:tc>
        <w:tc>
          <w:tcPr>
            <w:tcW w:w="1110" w:type="pct"/>
            <w:tcBorders>
              <w:top w:val="outset" w:color="auto" w:sz="4" w:space="0"/>
              <w:left w:val="outset" w:color="auto" w:sz="4" w:space="0"/>
              <w:bottom w:val="outset" w:color="auto" w:sz="4" w:space="0"/>
              <w:right w:val="outset" w:color="auto" w:sz="4" w:space="0"/>
            </w:tcBorders>
            <w:vAlign w:val="center"/>
          </w:tcPr>
          <w:p w14:paraId="44E498E6">
            <w:pPr>
              <w:jc w:val="right"/>
            </w:pPr>
            <w:r>
              <w:t>-115,971,047.72</w:t>
            </w:r>
          </w:p>
        </w:tc>
        <w:tc>
          <w:tcPr>
            <w:tcW w:w="1114" w:type="pct"/>
            <w:tcBorders>
              <w:top w:val="outset" w:color="auto" w:sz="4" w:space="0"/>
              <w:left w:val="outset" w:color="auto" w:sz="4" w:space="0"/>
              <w:bottom w:val="outset" w:color="auto" w:sz="4" w:space="0"/>
              <w:right w:val="outset" w:color="auto" w:sz="4" w:space="0"/>
            </w:tcBorders>
            <w:vAlign w:val="center"/>
          </w:tcPr>
          <w:p w14:paraId="6E5762EF">
            <w:pPr>
              <w:jc w:val="right"/>
            </w:pPr>
            <w:r>
              <w:t>-108,481,180.11</w:t>
            </w:r>
          </w:p>
        </w:tc>
      </w:tr>
      <w:tr w14:paraId="79C2F8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576a2f5fbec4ba2b1cc36d0a215ba5c"/>
            <w:id w:val="1150018223"/>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7542C130">
                <w:pPr>
                  <w:rPr>
                    <w:color w:val="000000" w:themeColor="text1"/>
                    <w14:textFill>
                      <w14:solidFill>
                        <w14:schemeClr w14:val="tx1"/>
                      </w14:solidFill>
                    </w14:textFill>
                  </w:rPr>
                </w:pPr>
                <w:r>
                  <w:rPr>
                    <w:rFonts w:hint="eastAsia"/>
                    <w:color w:val="000000" w:themeColor="text1"/>
                    <w14:textFill>
                      <w14:solidFill>
                        <w14:schemeClr w14:val="tx1"/>
                      </w14:solidFill>
                    </w14:textFill>
                  </w:rPr>
                  <w:t>（一）</w:t>
                </w:r>
                <w:r>
                  <w:rPr>
                    <w:color w:val="000000" w:themeColor="text1"/>
                    <w14:textFill>
                      <w14:solidFill>
                        <w14:schemeClr w14:val="tx1"/>
                      </w14:solidFill>
                    </w14:textFill>
                  </w:rPr>
                  <w:t>按经营持续性分类</w:t>
                </w:r>
              </w:p>
            </w:tc>
          </w:sdtContent>
        </w:sdt>
      </w:tr>
      <w:tr w14:paraId="1A92B8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4F1C5044">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1.持续经营净利润（净亏损以“－”号填列）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4F1C04DB"/>
        </w:tc>
        <w:tc>
          <w:tcPr>
            <w:tcW w:w="1110" w:type="pct"/>
            <w:tcBorders>
              <w:top w:val="outset" w:color="auto" w:sz="4" w:space="0"/>
              <w:left w:val="outset" w:color="auto" w:sz="4" w:space="0"/>
              <w:bottom w:val="outset" w:color="auto" w:sz="4" w:space="0"/>
              <w:right w:val="outset" w:color="auto" w:sz="4" w:space="0"/>
            </w:tcBorders>
            <w:vAlign w:val="center"/>
          </w:tcPr>
          <w:p w14:paraId="308790D0">
            <w:pPr>
              <w:jc w:val="right"/>
            </w:pPr>
            <w:r>
              <w:t>-115,971,047.72</w:t>
            </w:r>
          </w:p>
        </w:tc>
        <w:tc>
          <w:tcPr>
            <w:tcW w:w="1114" w:type="pct"/>
            <w:tcBorders>
              <w:top w:val="outset" w:color="auto" w:sz="4" w:space="0"/>
              <w:left w:val="outset" w:color="auto" w:sz="4" w:space="0"/>
              <w:bottom w:val="outset" w:color="auto" w:sz="4" w:space="0"/>
              <w:right w:val="outset" w:color="auto" w:sz="4" w:space="0"/>
            </w:tcBorders>
            <w:vAlign w:val="center"/>
          </w:tcPr>
          <w:p w14:paraId="310C50F1">
            <w:pPr>
              <w:jc w:val="right"/>
            </w:pPr>
            <w:r>
              <w:t>-108,481,180.11</w:t>
            </w:r>
          </w:p>
        </w:tc>
      </w:tr>
      <w:tr w14:paraId="55983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62CEB5E">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2.终止经营净利润（净亏损以“－”号填列）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62755A3E"/>
        </w:tc>
        <w:tc>
          <w:tcPr>
            <w:tcW w:w="1110" w:type="pct"/>
            <w:tcBorders>
              <w:top w:val="outset" w:color="auto" w:sz="4" w:space="0"/>
              <w:left w:val="outset" w:color="auto" w:sz="4" w:space="0"/>
              <w:bottom w:val="outset" w:color="auto" w:sz="4" w:space="0"/>
              <w:right w:val="outset" w:color="auto" w:sz="4" w:space="0"/>
            </w:tcBorders>
            <w:vAlign w:val="center"/>
          </w:tcPr>
          <w:p w14:paraId="6B70908B">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38D7B3F1">
            <w:pPr>
              <w:jc w:val="right"/>
            </w:pPr>
          </w:p>
        </w:tc>
      </w:tr>
      <w:tr w14:paraId="21A6D5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da729560f54464cbcc9ce762078f9ba"/>
            <w:id w:val="-864827771"/>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43B39244">
                <w:pPr>
                  <w:rPr>
                    <w:color w:val="000000" w:themeColor="text1"/>
                    <w14:textFill>
                      <w14:solidFill>
                        <w14:schemeClr w14:val="tx1"/>
                      </w14:solidFill>
                    </w14:textFill>
                  </w:rPr>
                </w:pPr>
                <w:r>
                  <w:rPr>
                    <w:rFonts w:hint="eastAsia"/>
                    <w:color w:val="000000" w:themeColor="text1"/>
                    <w14:textFill>
                      <w14:solidFill>
                        <w14:schemeClr w14:val="tx1"/>
                      </w14:solidFill>
                    </w14:textFill>
                  </w:rPr>
                  <w:t>（二）</w:t>
                </w:r>
                <w:r>
                  <w:rPr>
                    <w:color w:val="000000" w:themeColor="text1"/>
                    <w14:textFill>
                      <w14:solidFill>
                        <w14:schemeClr w14:val="tx1"/>
                      </w14:solidFill>
                    </w14:textFill>
                  </w:rPr>
                  <w:t>按所有权归属分类</w:t>
                </w:r>
              </w:p>
            </w:tc>
          </w:sdtContent>
        </w:sdt>
      </w:tr>
      <w:tr w14:paraId="519244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7C9FD21">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归属于母公司股东的净利润（净亏损以“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75FEA03D"/>
        </w:tc>
        <w:tc>
          <w:tcPr>
            <w:tcW w:w="1110" w:type="pct"/>
            <w:tcBorders>
              <w:top w:val="outset" w:color="auto" w:sz="4" w:space="0"/>
              <w:left w:val="outset" w:color="auto" w:sz="4" w:space="0"/>
              <w:bottom w:val="outset" w:color="auto" w:sz="4" w:space="0"/>
              <w:right w:val="outset" w:color="auto" w:sz="4" w:space="0"/>
            </w:tcBorders>
            <w:vAlign w:val="center"/>
          </w:tcPr>
          <w:p w14:paraId="53447B6C">
            <w:pPr>
              <w:jc w:val="right"/>
            </w:pPr>
            <w:r>
              <w:t>31,170,783.19</w:t>
            </w:r>
          </w:p>
        </w:tc>
        <w:tc>
          <w:tcPr>
            <w:tcW w:w="1114" w:type="pct"/>
            <w:tcBorders>
              <w:top w:val="outset" w:color="auto" w:sz="4" w:space="0"/>
              <w:left w:val="outset" w:color="auto" w:sz="4" w:space="0"/>
              <w:bottom w:val="outset" w:color="auto" w:sz="4" w:space="0"/>
              <w:right w:val="outset" w:color="auto" w:sz="4" w:space="0"/>
            </w:tcBorders>
            <w:vAlign w:val="center"/>
          </w:tcPr>
          <w:p w14:paraId="43E96388">
            <w:pPr>
              <w:jc w:val="right"/>
            </w:pPr>
            <w:r>
              <w:t>26,193,818.95</w:t>
            </w:r>
          </w:p>
        </w:tc>
      </w:tr>
      <w:tr w14:paraId="18C55D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0052AEC">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少数股东损益（净亏损以“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2E09460F"/>
        </w:tc>
        <w:tc>
          <w:tcPr>
            <w:tcW w:w="1110" w:type="pct"/>
            <w:tcBorders>
              <w:top w:val="outset" w:color="auto" w:sz="4" w:space="0"/>
              <w:left w:val="outset" w:color="auto" w:sz="4" w:space="0"/>
              <w:bottom w:val="outset" w:color="auto" w:sz="4" w:space="0"/>
              <w:right w:val="outset" w:color="auto" w:sz="4" w:space="0"/>
            </w:tcBorders>
            <w:vAlign w:val="center"/>
          </w:tcPr>
          <w:p w14:paraId="507D84DB">
            <w:pPr>
              <w:jc w:val="right"/>
            </w:pPr>
            <w:r>
              <w:t>-147,141,830.91</w:t>
            </w:r>
          </w:p>
        </w:tc>
        <w:tc>
          <w:tcPr>
            <w:tcW w:w="1114" w:type="pct"/>
            <w:tcBorders>
              <w:top w:val="outset" w:color="auto" w:sz="4" w:space="0"/>
              <w:left w:val="outset" w:color="auto" w:sz="4" w:space="0"/>
              <w:bottom w:val="outset" w:color="auto" w:sz="4" w:space="0"/>
              <w:right w:val="outset" w:color="auto" w:sz="4" w:space="0"/>
            </w:tcBorders>
            <w:vAlign w:val="center"/>
          </w:tcPr>
          <w:p w14:paraId="698B1002">
            <w:pPr>
              <w:jc w:val="right"/>
            </w:pPr>
            <w:r>
              <w:t>-134,674,999.06</w:t>
            </w:r>
          </w:p>
        </w:tc>
      </w:tr>
      <w:tr w14:paraId="56F96B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586F8C0">
            <w:pPr>
              <w:rPr>
                <w:color w:val="000000" w:themeColor="text1"/>
                <w14:textFill>
                  <w14:solidFill>
                    <w14:schemeClr w14:val="tx1"/>
                  </w14:solidFill>
                </w14:textFill>
              </w:rPr>
            </w:pPr>
            <w:r>
              <w:rPr>
                <w:rFonts w:hint="eastAsia"/>
                <w:color w:val="000000" w:themeColor="text1"/>
                <w14:textFill>
                  <w14:solidFill>
                    <w14:schemeClr w14:val="tx1"/>
                  </w14:solidFill>
                </w14:textFill>
              </w:rPr>
              <w:t>六、其他综合收益的税后净额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14:paraId="01492A19"/>
        </w:tc>
        <w:tc>
          <w:tcPr>
            <w:tcW w:w="1110" w:type="pct"/>
            <w:tcBorders>
              <w:top w:val="outset" w:color="auto" w:sz="4" w:space="0"/>
              <w:left w:val="outset" w:color="auto" w:sz="4" w:space="0"/>
              <w:bottom w:val="outset" w:color="auto" w:sz="4" w:space="0"/>
              <w:right w:val="outset" w:color="auto" w:sz="4" w:space="0"/>
            </w:tcBorders>
            <w:vAlign w:val="center"/>
          </w:tcPr>
          <w:p w14:paraId="0DF3154F">
            <w:pPr>
              <w:jc w:val="right"/>
            </w:pPr>
            <w:r>
              <w:rPr>
                <w:rFonts w:hint="eastAsia"/>
              </w:rPr>
              <w:t>11,415,175.72</w:t>
            </w:r>
          </w:p>
        </w:tc>
        <w:tc>
          <w:tcPr>
            <w:tcW w:w="1114" w:type="pct"/>
            <w:tcBorders>
              <w:top w:val="outset" w:color="auto" w:sz="4" w:space="0"/>
              <w:left w:val="outset" w:color="auto" w:sz="4" w:space="0"/>
              <w:bottom w:val="outset" w:color="auto" w:sz="4" w:space="0"/>
              <w:right w:val="outset" w:color="auto" w:sz="4" w:space="0"/>
            </w:tcBorders>
            <w:vAlign w:val="center"/>
          </w:tcPr>
          <w:p w14:paraId="4D76DA51">
            <w:pPr>
              <w:jc w:val="right"/>
            </w:pPr>
            <w:r>
              <w:t>18,712,953.13</w:t>
            </w:r>
          </w:p>
        </w:tc>
      </w:tr>
      <w:tr w14:paraId="1174AC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2F9C09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（一）归属母公司所有者的其他综合收益的税后净额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14:paraId="6B3210E5"/>
        </w:tc>
        <w:tc>
          <w:tcPr>
            <w:tcW w:w="1110" w:type="pct"/>
            <w:tcBorders>
              <w:top w:val="outset" w:color="auto" w:sz="4" w:space="0"/>
              <w:left w:val="outset" w:color="auto" w:sz="4" w:space="0"/>
              <w:bottom w:val="outset" w:color="auto" w:sz="4" w:space="0"/>
              <w:right w:val="outset" w:color="auto" w:sz="4" w:space="0"/>
            </w:tcBorders>
            <w:vAlign w:val="center"/>
          </w:tcPr>
          <w:p w14:paraId="6704C397">
            <w:pPr>
              <w:jc w:val="right"/>
            </w:pPr>
            <w:r>
              <w:rPr>
                <w:rFonts w:hint="eastAsia"/>
              </w:rPr>
              <w:t>11,415,175.72</w:t>
            </w:r>
          </w:p>
        </w:tc>
        <w:tc>
          <w:tcPr>
            <w:tcW w:w="1114" w:type="pct"/>
            <w:tcBorders>
              <w:top w:val="outset" w:color="auto" w:sz="4" w:space="0"/>
              <w:left w:val="outset" w:color="auto" w:sz="4" w:space="0"/>
              <w:bottom w:val="outset" w:color="auto" w:sz="4" w:space="0"/>
              <w:right w:val="outset" w:color="auto" w:sz="4" w:space="0"/>
            </w:tcBorders>
            <w:vAlign w:val="center"/>
          </w:tcPr>
          <w:p w14:paraId="3FD0D749">
            <w:pPr>
              <w:jc w:val="right"/>
            </w:pPr>
            <w:r>
              <w:t>18,712,953.13</w:t>
            </w:r>
          </w:p>
        </w:tc>
      </w:tr>
      <w:tr w14:paraId="1B5A43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468E426C">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不能重分类进损益的其他综合收益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14:paraId="32B8DA05"/>
        </w:tc>
        <w:tc>
          <w:tcPr>
            <w:tcW w:w="1110" w:type="pct"/>
            <w:tcBorders>
              <w:top w:val="outset" w:color="auto" w:sz="4" w:space="0"/>
              <w:left w:val="outset" w:color="auto" w:sz="4" w:space="0"/>
              <w:bottom w:val="outset" w:color="auto" w:sz="4" w:space="0"/>
              <w:right w:val="outset" w:color="auto" w:sz="4" w:space="0"/>
            </w:tcBorders>
            <w:vAlign w:val="center"/>
          </w:tcPr>
          <w:p w14:paraId="39F665FC">
            <w:pPr>
              <w:jc w:val="right"/>
            </w:pPr>
            <w:r>
              <w:t>1,793,621.96</w:t>
            </w:r>
          </w:p>
        </w:tc>
        <w:tc>
          <w:tcPr>
            <w:tcW w:w="1114" w:type="pct"/>
            <w:tcBorders>
              <w:top w:val="outset" w:color="auto" w:sz="4" w:space="0"/>
              <w:left w:val="outset" w:color="auto" w:sz="4" w:space="0"/>
              <w:bottom w:val="outset" w:color="auto" w:sz="4" w:space="0"/>
              <w:right w:val="outset" w:color="auto" w:sz="4" w:space="0"/>
            </w:tcBorders>
            <w:vAlign w:val="center"/>
          </w:tcPr>
          <w:p w14:paraId="018FF3A8">
            <w:pPr>
              <w:jc w:val="right"/>
            </w:pPr>
            <w:r>
              <w:t>41,273.75</w:t>
            </w:r>
          </w:p>
        </w:tc>
      </w:tr>
      <w:tr w14:paraId="4C482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A8BA88F">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重新计量设定受益计划变动额</w:t>
            </w:r>
          </w:p>
        </w:tc>
        <w:tc>
          <w:tcPr>
            <w:tcW w:w="838" w:type="pct"/>
            <w:tcBorders>
              <w:top w:val="outset" w:color="auto" w:sz="4" w:space="0"/>
              <w:left w:val="outset" w:color="auto" w:sz="4" w:space="0"/>
              <w:bottom w:val="outset" w:color="auto" w:sz="4" w:space="0"/>
              <w:right w:val="outset" w:color="auto" w:sz="4" w:space="0"/>
            </w:tcBorders>
            <w:vAlign w:val="center"/>
          </w:tcPr>
          <w:p w14:paraId="75FBD5EA"/>
        </w:tc>
        <w:tc>
          <w:tcPr>
            <w:tcW w:w="1110" w:type="pct"/>
            <w:tcBorders>
              <w:top w:val="outset" w:color="auto" w:sz="4" w:space="0"/>
              <w:left w:val="outset" w:color="auto" w:sz="4" w:space="0"/>
              <w:bottom w:val="outset" w:color="auto" w:sz="4" w:space="0"/>
              <w:right w:val="outset" w:color="auto" w:sz="4" w:space="0"/>
            </w:tcBorders>
            <w:vAlign w:val="center"/>
          </w:tcPr>
          <w:p w14:paraId="4BD7243F">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20B09BE0">
            <w:pPr>
              <w:jc w:val="right"/>
            </w:pPr>
          </w:p>
        </w:tc>
      </w:tr>
      <w:tr w14:paraId="333BA9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4FDE544">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权益法下不能转损益的其他综合收益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14:paraId="50302AF1"/>
        </w:tc>
        <w:tc>
          <w:tcPr>
            <w:tcW w:w="1110" w:type="pct"/>
            <w:tcBorders>
              <w:top w:val="outset" w:color="auto" w:sz="4" w:space="0"/>
              <w:left w:val="outset" w:color="auto" w:sz="4" w:space="0"/>
              <w:bottom w:val="outset" w:color="auto" w:sz="4" w:space="0"/>
              <w:right w:val="outset" w:color="auto" w:sz="4" w:space="0"/>
            </w:tcBorders>
            <w:vAlign w:val="center"/>
          </w:tcPr>
          <w:p w14:paraId="48CB7B30">
            <w:pPr>
              <w:jc w:val="right"/>
            </w:pPr>
            <w:r>
              <w:t>1,765,731.76</w:t>
            </w:r>
          </w:p>
        </w:tc>
        <w:tc>
          <w:tcPr>
            <w:tcW w:w="1114" w:type="pct"/>
            <w:tcBorders>
              <w:top w:val="outset" w:color="auto" w:sz="4" w:space="0"/>
              <w:left w:val="outset" w:color="auto" w:sz="4" w:space="0"/>
              <w:bottom w:val="outset" w:color="auto" w:sz="4" w:space="0"/>
              <w:right w:val="outset" w:color="auto" w:sz="4" w:space="0"/>
            </w:tcBorders>
            <w:vAlign w:val="center"/>
          </w:tcPr>
          <w:p w14:paraId="2F645BAA">
            <w:pPr>
              <w:jc w:val="right"/>
            </w:pPr>
          </w:p>
        </w:tc>
      </w:tr>
      <w:tr w14:paraId="64BBE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D07BDD9">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其他权益工具投资公允价值变动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14:paraId="430CEF7F"/>
        </w:tc>
        <w:tc>
          <w:tcPr>
            <w:tcW w:w="1110" w:type="pct"/>
            <w:tcBorders>
              <w:top w:val="outset" w:color="auto" w:sz="4" w:space="0"/>
              <w:left w:val="outset" w:color="auto" w:sz="4" w:space="0"/>
              <w:bottom w:val="outset" w:color="auto" w:sz="4" w:space="0"/>
              <w:right w:val="outset" w:color="auto" w:sz="4" w:space="0"/>
            </w:tcBorders>
            <w:vAlign w:val="center"/>
          </w:tcPr>
          <w:p w14:paraId="2BBF67C6">
            <w:pPr>
              <w:jc w:val="right"/>
            </w:pPr>
            <w:r>
              <w:t>27,890.20</w:t>
            </w:r>
          </w:p>
        </w:tc>
        <w:tc>
          <w:tcPr>
            <w:tcW w:w="1114" w:type="pct"/>
            <w:tcBorders>
              <w:top w:val="outset" w:color="auto" w:sz="4" w:space="0"/>
              <w:left w:val="outset" w:color="auto" w:sz="4" w:space="0"/>
              <w:bottom w:val="outset" w:color="auto" w:sz="4" w:space="0"/>
              <w:right w:val="outset" w:color="auto" w:sz="4" w:space="0"/>
            </w:tcBorders>
            <w:vAlign w:val="center"/>
          </w:tcPr>
          <w:p w14:paraId="7C2F08A3">
            <w:pPr>
              <w:jc w:val="right"/>
            </w:pPr>
            <w:r>
              <w:t>41,273.75</w:t>
            </w:r>
          </w:p>
        </w:tc>
      </w:tr>
      <w:tr w14:paraId="6B6479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3B2E157">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企业自身信用风险公允价值变动</w:t>
            </w:r>
          </w:p>
        </w:tc>
        <w:tc>
          <w:tcPr>
            <w:tcW w:w="838" w:type="pct"/>
            <w:tcBorders>
              <w:top w:val="outset" w:color="auto" w:sz="4" w:space="0"/>
              <w:left w:val="outset" w:color="auto" w:sz="4" w:space="0"/>
              <w:bottom w:val="outset" w:color="auto" w:sz="4" w:space="0"/>
              <w:right w:val="outset" w:color="auto" w:sz="4" w:space="0"/>
            </w:tcBorders>
            <w:vAlign w:val="center"/>
          </w:tcPr>
          <w:p w14:paraId="423E12B6"/>
        </w:tc>
        <w:tc>
          <w:tcPr>
            <w:tcW w:w="1110" w:type="pct"/>
            <w:tcBorders>
              <w:top w:val="outset" w:color="auto" w:sz="4" w:space="0"/>
              <w:left w:val="outset" w:color="auto" w:sz="4" w:space="0"/>
              <w:bottom w:val="outset" w:color="auto" w:sz="4" w:space="0"/>
              <w:right w:val="outset" w:color="auto" w:sz="4" w:space="0"/>
            </w:tcBorders>
            <w:vAlign w:val="center"/>
          </w:tcPr>
          <w:p w14:paraId="619C0E66">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453AD22B">
            <w:pPr>
              <w:jc w:val="right"/>
            </w:pPr>
          </w:p>
        </w:tc>
      </w:tr>
      <w:tr w14:paraId="16F09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7B9FE06">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将重分类进损益的其他综合收益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14:paraId="279B6E3B"/>
        </w:tc>
        <w:tc>
          <w:tcPr>
            <w:tcW w:w="1110" w:type="pct"/>
            <w:tcBorders>
              <w:top w:val="outset" w:color="auto" w:sz="4" w:space="0"/>
              <w:left w:val="outset" w:color="auto" w:sz="4" w:space="0"/>
              <w:bottom w:val="outset" w:color="auto" w:sz="4" w:space="0"/>
              <w:right w:val="outset" w:color="auto" w:sz="4" w:space="0"/>
            </w:tcBorders>
            <w:vAlign w:val="center"/>
          </w:tcPr>
          <w:p w14:paraId="081BE840">
            <w:pPr>
              <w:jc w:val="right"/>
            </w:pPr>
            <w:r>
              <w:t>9,621,553.76</w:t>
            </w:r>
          </w:p>
        </w:tc>
        <w:tc>
          <w:tcPr>
            <w:tcW w:w="1114" w:type="pct"/>
            <w:tcBorders>
              <w:top w:val="outset" w:color="auto" w:sz="4" w:space="0"/>
              <w:left w:val="outset" w:color="auto" w:sz="4" w:space="0"/>
              <w:bottom w:val="outset" w:color="auto" w:sz="4" w:space="0"/>
              <w:right w:val="outset" w:color="auto" w:sz="4" w:space="0"/>
            </w:tcBorders>
            <w:vAlign w:val="center"/>
          </w:tcPr>
          <w:p w14:paraId="345D0721">
            <w:pPr>
              <w:jc w:val="right"/>
            </w:pPr>
            <w:r>
              <w:t>18,671,679.38</w:t>
            </w:r>
          </w:p>
        </w:tc>
      </w:tr>
      <w:tr w14:paraId="6BF90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17542B4">
            <w:pP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权益法下可转损益的其他综合收益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14:paraId="6D8D9880"/>
        </w:tc>
        <w:tc>
          <w:tcPr>
            <w:tcW w:w="1110" w:type="pct"/>
            <w:tcBorders>
              <w:top w:val="outset" w:color="auto" w:sz="4" w:space="0"/>
              <w:left w:val="outset" w:color="auto" w:sz="4" w:space="0"/>
              <w:bottom w:val="outset" w:color="auto" w:sz="4" w:space="0"/>
              <w:right w:val="outset" w:color="auto" w:sz="4" w:space="0"/>
            </w:tcBorders>
            <w:vAlign w:val="center"/>
          </w:tcPr>
          <w:p w14:paraId="604E9E98">
            <w:pPr>
              <w:jc w:val="right"/>
            </w:pPr>
            <w:r>
              <w:t>-59,732,049.81</w:t>
            </w:r>
          </w:p>
        </w:tc>
        <w:tc>
          <w:tcPr>
            <w:tcW w:w="1114" w:type="pct"/>
            <w:tcBorders>
              <w:top w:val="outset" w:color="auto" w:sz="4" w:space="0"/>
              <w:left w:val="outset" w:color="auto" w:sz="4" w:space="0"/>
              <w:bottom w:val="outset" w:color="auto" w:sz="4" w:space="0"/>
              <w:right w:val="outset" w:color="auto" w:sz="4" w:space="0"/>
            </w:tcBorders>
            <w:vAlign w:val="center"/>
          </w:tcPr>
          <w:p w14:paraId="35C30F10">
            <w:pPr>
              <w:jc w:val="right"/>
            </w:pPr>
          </w:p>
        </w:tc>
      </w:tr>
      <w:tr w14:paraId="3F11C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D36E5E8">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其他债权投资公允价值变动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14:paraId="0FCD338B"/>
        </w:tc>
        <w:tc>
          <w:tcPr>
            <w:tcW w:w="1110" w:type="pct"/>
            <w:tcBorders>
              <w:top w:val="outset" w:color="auto" w:sz="4" w:space="0"/>
              <w:left w:val="outset" w:color="auto" w:sz="4" w:space="0"/>
              <w:bottom w:val="outset" w:color="auto" w:sz="4" w:space="0"/>
              <w:right w:val="outset" w:color="auto" w:sz="4" w:space="0"/>
            </w:tcBorders>
            <w:vAlign w:val="center"/>
          </w:tcPr>
          <w:p w14:paraId="21D8C84A">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1294CAFE">
            <w:pPr>
              <w:jc w:val="right"/>
            </w:pPr>
          </w:p>
        </w:tc>
      </w:tr>
      <w:tr w14:paraId="741DEC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E57A99B">
            <w:pP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金融资产重分类计入其他综合收益的金额</w:t>
            </w:r>
          </w:p>
        </w:tc>
        <w:tc>
          <w:tcPr>
            <w:tcW w:w="838" w:type="pct"/>
            <w:tcBorders>
              <w:top w:val="outset" w:color="auto" w:sz="4" w:space="0"/>
              <w:left w:val="outset" w:color="auto" w:sz="4" w:space="0"/>
              <w:bottom w:val="outset" w:color="auto" w:sz="4" w:space="0"/>
              <w:right w:val="outset" w:color="auto" w:sz="4" w:space="0"/>
            </w:tcBorders>
            <w:vAlign w:val="center"/>
          </w:tcPr>
          <w:p w14:paraId="5E84C7FE"/>
        </w:tc>
        <w:tc>
          <w:tcPr>
            <w:tcW w:w="1110" w:type="pct"/>
            <w:tcBorders>
              <w:top w:val="outset" w:color="auto" w:sz="4" w:space="0"/>
              <w:left w:val="outset" w:color="auto" w:sz="4" w:space="0"/>
              <w:bottom w:val="outset" w:color="auto" w:sz="4" w:space="0"/>
              <w:right w:val="outset" w:color="auto" w:sz="4" w:space="0"/>
            </w:tcBorders>
            <w:vAlign w:val="center"/>
          </w:tcPr>
          <w:p w14:paraId="6EF2AA46">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28E2EB4D">
            <w:pPr>
              <w:jc w:val="right"/>
            </w:pPr>
          </w:p>
        </w:tc>
      </w:tr>
      <w:tr w14:paraId="39B5B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A5A4E16">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其他债权投资信用减值准备</w:t>
            </w:r>
          </w:p>
        </w:tc>
        <w:tc>
          <w:tcPr>
            <w:tcW w:w="838" w:type="pct"/>
            <w:tcBorders>
              <w:top w:val="outset" w:color="auto" w:sz="4" w:space="0"/>
              <w:left w:val="outset" w:color="auto" w:sz="4" w:space="0"/>
              <w:bottom w:val="outset" w:color="auto" w:sz="4" w:space="0"/>
              <w:right w:val="outset" w:color="auto" w:sz="4" w:space="0"/>
            </w:tcBorders>
            <w:vAlign w:val="center"/>
          </w:tcPr>
          <w:p w14:paraId="65976766"/>
        </w:tc>
        <w:tc>
          <w:tcPr>
            <w:tcW w:w="1110" w:type="pct"/>
            <w:tcBorders>
              <w:top w:val="outset" w:color="auto" w:sz="4" w:space="0"/>
              <w:left w:val="outset" w:color="auto" w:sz="4" w:space="0"/>
              <w:bottom w:val="outset" w:color="auto" w:sz="4" w:space="0"/>
              <w:right w:val="outset" w:color="auto" w:sz="4" w:space="0"/>
            </w:tcBorders>
            <w:vAlign w:val="center"/>
          </w:tcPr>
          <w:p w14:paraId="34542E5D">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3C2E9210">
            <w:pPr>
              <w:jc w:val="right"/>
            </w:pPr>
          </w:p>
        </w:tc>
      </w:tr>
      <w:tr w14:paraId="2D529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8929669">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现金流量套期储备</w:t>
            </w:r>
          </w:p>
        </w:tc>
        <w:tc>
          <w:tcPr>
            <w:tcW w:w="838" w:type="pct"/>
            <w:tcBorders>
              <w:top w:val="outset" w:color="auto" w:sz="4" w:space="0"/>
              <w:left w:val="outset" w:color="auto" w:sz="4" w:space="0"/>
              <w:bottom w:val="outset" w:color="auto" w:sz="4" w:space="0"/>
              <w:right w:val="outset" w:color="auto" w:sz="4" w:space="0"/>
            </w:tcBorders>
            <w:vAlign w:val="center"/>
          </w:tcPr>
          <w:p w14:paraId="27E742AA"/>
        </w:tc>
        <w:tc>
          <w:tcPr>
            <w:tcW w:w="1110" w:type="pct"/>
            <w:tcBorders>
              <w:top w:val="outset" w:color="auto" w:sz="4" w:space="0"/>
              <w:left w:val="outset" w:color="auto" w:sz="4" w:space="0"/>
              <w:bottom w:val="outset" w:color="auto" w:sz="4" w:space="0"/>
              <w:right w:val="outset" w:color="auto" w:sz="4" w:space="0"/>
            </w:tcBorders>
            <w:vAlign w:val="center"/>
          </w:tcPr>
          <w:p w14:paraId="284B7F28">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51C8581B">
            <w:pPr>
              <w:jc w:val="right"/>
            </w:pPr>
          </w:p>
        </w:tc>
      </w:tr>
      <w:tr w14:paraId="49DD1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5A09CE3">
            <w:pPr>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外币财务报表折算差额</w:t>
            </w:r>
          </w:p>
        </w:tc>
        <w:tc>
          <w:tcPr>
            <w:tcW w:w="838" w:type="pct"/>
            <w:tcBorders>
              <w:top w:val="outset" w:color="auto" w:sz="4" w:space="0"/>
              <w:left w:val="outset" w:color="auto" w:sz="4" w:space="0"/>
              <w:bottom w:val="outset" w:color="auto" w:sz="4" w:space="0"/>
              <w:right w:val="outset" w:color="auto" w:sz="4" w:space="0"/>
            </w:tcBorders>
            <w:vAlign w:val="center"/>
          </w:tcPr>
          <w:p w14:paraId="14C4920B"/>
        </w:tc>
        <w:tc>
          <w:tcPr>
            <w:tcW w:w="1110" w:type="pct"/>
            <w:tcBorders>
              <w:top w:val="outset" w:color="auto" w:sz="4" w:space="0"/>
              <w:left w:val="outset" w:color="auto" w:sz="4" w:space="0"/>
              <w:bottom w:val="outset" w:color="auto" w:sz="4" w:space="0"/>
              <w:right w:val="outset" w:color="auto" w:sz="4" w:space="0"/>
            </w:tcBorders>
            <w:vAlign w:val="center"/>
          </w:tcPr>
          <w:p w14:paraId="17113A96">
            <w:pPr>
              <w:jc w:val="right"/>
            </w:pPr>
            <w:r>
              <w:t>69,353,603.57</w:t>
            </w:r>
          </w:p>
        </w:tc>
        <w:tc>
          <w:tcPr>
            <w:tcW w:w="1114" w:type="pct"/>
            <w:tcBorders>
              <w:top w:val="outset" w:color="auto" w:sz="4" w:space="0"/>
              <w:left w:val="outset" w:color="auto" w:sz="4" w:space="0"/>
              <w:bottom w:val="outset" w:color="auto" w:sz="4" w:space="0"/>
              <w:right w:val="outset" w:color="auto" w:sz="4" w:space="0"/>
            </w:tcBorders>
            <w:vAlign w:val="center"/>
          </w:tcPr>
          <w:p w14:paraId="088C15A7">
            <w:pPr>
              <w:jc w:val="right"/>
            </w:pPr>
            <w:r>
              <w:t>18,671,679.38</w:t>
            </w:r>
          </w:p>
        </w:tc>
      </w:tr>
      <w:tr w14:paraId="0915E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A8A4289">
            <w:pP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其他</w:t>
            </w:r>
          </w:p>
        </w:tc>
        <w:tc>
          <w:tcPr>
            <w:tcW w:w="838" w:type="pct"/>
            <w:tcBorders>
              <w:top w:val="outset" w:color="auto" w:sz="4" w:space="0"/>
              <w:left w:val="outset" w:color="auto" w:sz="4" w:space="0"/>
              <w:bottom w:val="outset" w:color="auto" w:sz="4" w:space="0"/>
              <w:right w:val="outset" w:color="auto" w:sz="4" w:space="0"/>
            </w:tcBorders>
            <w:vAlign w:val="center"/>
          </w:tcPr>
          <w:p w14:paraId="643839FB"/>
        </w:tc>
        <w:tc>
          <w:tcPr>
            <w:tcW w:w="1110" w:type="pct"/>
            <w:tcBorders>
              <w:top w:val="outset" w:color="auto" w:sz="4" w:space="0"/>
              <w:left w:val="outset" w:color="auto" w:sz="4" w:space="0"/>
              <w:bottom w:val="outset" w:color="auto" w:sz="4" w:space="0"/>
              <w:right w:val="outset" w:color="auto" w:sz="4" w:space="0"/>
            </w:tcBorders>
            <w:vAlign w:val="center"/>
          </w:tcPr>
          <w:p w14:paraId="1F77F350">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7CFDB594">
            <w:pPr>
              <w:jc w:val="right"/>
            </w:pPr>
          </w:p>
        </w:tc>
      </w:tr>
      <w:tr w14:paraId="4B470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E0716A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（二）归属于少数股东的其他综合收益的税后净额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14:paraId="2A6D796F"/>
        </w:tc>
        <w:tc>
          <w:tcPr>
            <w:tcW w:w="1110" w:type="pct"/>
            <w:tcBorders>
              <w:top w:val="outset" w:color="auto" w:sz="4" w:space="0"/>
              <w:left w:val="outset" w:color="auto" w:sz="4" w:space="0"/>
              <w:bottom w:val="outset" w:color="auto" w:sz="4" w:space="0"/>
              <w:right w:val="outset" w:color="auto" w:sz="4" w:space="0"/>
            </w:tcBorders>
            <w:vAlign w:val="center"/>
          </w:tcPr>
          <w:p w14:paraId="2A744F3D">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081EFBEF">
            <w:pPr>
              <w:jc w:val="right"/>
            </w:pPr>
          </w:p>
        </w:tc>
      </w:tr>
      <w:tr w14:paraId="22BFFA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39DE982">
            <w:pPr>
              <w:rPr>
                <w:color w:val="000000" w:themeColor="text1"/>
                <w14:textFill>
                  <w14:solidFill>
                    <w14:schemeClr w14:val="tx1"/>
                  </w14:solidFill>
                </w14:textFill>
              </w:rPr>
            </w:pPr>
            <w:r>
              <w:rPr>
                <w:rFonts w:hint="eastAsia"/>
                <w:color w:val="000000" w:themeColor="text1"/>
                <w14:textFill>
                  <w14:solidFill>
                    <w14:schemeClr w14:val="tx1"/>
                  </w14:solidFill>
                </w14:textFill>
              </w:rPr>
              <w:t>七、综合收益总额</w:t>
            </w:r>
          </w:p>
        </w:tc>
        <w:tc>
          <w:tcPr>
            <w:tcW w:w="838" w:type="pct"/>
            <w:tcBorders>
              <w:top w:val="outset" w:color="auto" w:sz="4" w:space="0"/>
              <w:left w:val="outset" w:color="auto" w:sz="4" w:space="0"/>
              <w:bottom w:val="outset" w:color="auto" w:sz="4" w:space="0"/>
              <w:right w:val="outset" w:color="auto" w:sz="4" w:space="0"/>
            </w:tcBorders>
            <w:vAlign w:val="center"/>
          </w:tcPr>
          <w:p w14:paraId="5E082E88"/>
        </w:tc>
        <w:tc>
          <w:tcPr>
            <w:tcW w:w="1110" w:type="pct"/>
            <w:tcBorders>
              <w:top w:val="outset" w:color="auto" w:sz="4" w:space="0"/>
              <w:left w:val="outset" w:color="auto" w:sz="4" w:space="0"/>
              <w:bottom w:val="outset" w:color="auto" w:sz="4" w:space="0"/>
              <w:right w:val="outset" w:color="auto" w:sz="4" w:space="0"/>
            </w:tcBorders>
            <w:vAlign w:val="center"/>
          </w:tcPr>
          <w:p w14:paraId="4883BE13">
            <w:pPr>
              <w:jc w:val="right"/>
            </w:pPr>
            <w:r>
              <w:t>-104,555,872.00</w:t>
            </w:r>
          </w:p>
        </w:tc>
        <w:tc>
          <w:tcPr>
            <w:tcW w:w="1114" w:type="pct"/>
            <w:tcBorders>
              <w:top w:val="outset" w:color="auto" w:sz="4" w:space="0"/>
              <w:left w:val="outset" w:color="auto" w:sz="4" w:space="0"/>
              <w:bottom w:val="outset" w:color="auto" w:sz="4" w:space="0"/>
              <w:right w:val="outset" w:color="auto" w:sz="4" w:space="0"/>
            </w:tcBorders>
            <w:vAlign w:val="center"/>
          </w:tcPr>
          <w:p w14:paraId="3C9EBB73">
            <w:pPr>
              <w:jc w:val="right"/>
            </w:pPr>
            <w:r>
              <w:t>-89,768,226.98</w:t>
            </w:r>
          </w:p>
        </w:tc>
      </w:tr>
      <w:tr w14:paraId="0C3753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A6B4298">
            <w:pPr>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（一）</w:t>
            </w:r>
            <w:r>
              <w:rPr>
                <w:rFonts w:hint="eastAsia"/>
                <w:color w:val="000000" w:themeColor="text1"/>
                <w14:textFill>
                  <w14:solidFill>
                    <w14:schemeClr w14:val="tx1"/>
                  </w14:solidFill>
                </w14:textFill>
              </w:rPr>
              <w:t>归属于母公司所有者的综合收益总额</w:t>
            </w:r>
          </w:p>
        </w:tc>
        <w:tc>
          <w:tcPr>
            <w:tcW w:w="838" w:type="pct"/>
            <w:tcBorders>
              <w:top w:val="outset" w:color="auto" w:sz="4" w:space="0"/>
              <w:left w:val="outset" w:color="auto" w:sz="4" w:space="0"/>
              <w:bottom w:val="outset" w:color="auto" w:sz="4" w:space="0"/>
              <w:right w:val="outset" w:color="auto" w:sz="4" w:space="0"/>
            </w:tcBorders>
            <w:vAlign w:val="center"/>
          </w:tcPr>
          <w:p w14:paraId="77099EA0"/>
        </w:tc>
        <w:tc>
          <w:tcPr>
            <w:tcW w:w="1110" w:type="pct"/>
            <w:tcBorders>
              <w:top w:val="outset" w:color="auto" w:sz="4" w:space="0"/>
              <w:left w:val="outset" w:color="auto" w:sz="4" w:space="0"/>
              <w:bottom w:val="outset" w:color="auto" w:sz="4" w:space="0"/>
              <w:right w:val="outset" w:color="auto" w:sz="4" w:space="0"/>
            </w:tcBorders>
            <w:vAlign w:val="center"/>
          </w:tcPr>
          <w:p w14:paraId="5C1F754F">
            <w:pPr>
              <w:jc w:val="right"/>
            </w:pPr>
            <w:r>
              <w:t>42,585,958.91</w:t>
            </w:r>
          </w:p>
        </w:tc>
        <w:tc>
          <w:tcPr>
            <w:tcW w:w="1114" w:type="pct"/>
            <w:tcBorders>
              <w:top w:val="outset" w:color="auto" w:sz="4" w:space="0"/>
              <w:left w:val="outset" w:color="auto" w:sz="4" w:space="0"/>
              <w:bottom w:val="outset" w:color="auto" w:sz="4" w:space="0"/>
              <w:right w:val="outset" w:color="auto" w:sz="4" w:space="0"/>
            </w:tcBorders>
            <w:vAlign w:val="center"/>
          </w:tcPr>
          <w:p w14:paraId="753060BA">
            <w:pPr>
              <w:jc w:val="right"/>
            </w:pPr>
            <w:r>
              <w:t>44,906,772.08</w:t>
            </w:r>
          </w:p>
        </w:tc>
      </w:tr>
      <w:tr w14:paraId="340508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C4E3253">
            <w:pPr>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（二）</w:t>
            </w:r>
            <w:r>
              <w:rPr>
                <w:rFonts w:hint="eastAsia"/>
                <w:color w:val="000000" w:themeColor="text1"/>
                <w14:textFill>
                  <w14:solidFill>
                    <w14:schemeClr w14:val="tx1"/>
                  </w14:solidFill>
                </w14:textFill>
              </w:rPr>
              <w:t>归属于少数股东的综合收益总额</w:t>
            </w:r>
          </w:p>
        </w:tc>
        <w:tc>
          <w:tcPr>
            <w:tcW w:w="838" w:type="pct"/>
            <w:tcBorders>
              <w:top w:val="outset" w:color="auto" w:sz="4" w:space="0"/>
              <w:left w:val="outset" w:color="auto" w:sz="4" w:space="0"/>
              <w:bottom w:val="outset" w:color="auto" w:sz="4" w:space="0"/>
              <w:right w:val="outset" w:color="auto" w:sz="4" w:space="0"/>
            </w:tcBorders>
            <w:vAlign w:val="center"/>
          </w:tcPr>
          <w:p w14:paraId="699EB9D1"/>
        </w:tc>
        <w:tc>
          <w:tcPr>
            <w:tcW w:w="1110" w:type="pct"/>
            <w:tcBorders>
              <w:top w:val="outset" w:color="auto" w:sz="4" w:space="0"/>
              <w:left w:val="outset" w:color="auto" w:sz="4" w:space="0"/>
              <w:bottom w:val="outset" w:color="auto" w:sz="4" w:space="0"/>
              <w:right w:val="outset" w:color="auto" w:sz="4" w:space="0"/>
            </w:tcBorders>
            <w:vAlign w:val="center"/>
          </w:tcPr>
          <w:p w14:paraId="05C423A4">
            <w:pPr>
              <w:jc w:val="right"/>
            </w:pPr>
            <w:r>
              <w:t>-147,141,830.91</w:t>
            </w:r>
          </w:p>
        </w:tc>
        <w:tc>
          <w:tcPr>
            <w:tcW w:w="1114" w:type="pct"/>
            <w:tcBorders>
              <w:top w:val="outset" w:color="auto" w:sz="4" w:space="0"/>
              <w:left w:val="outset" w:color="auto" w:sz="4" w:space="0"/>
              <w:bottom w:val="outset" w:color="auto" w:sz="4" w:space="0"/>
              <w:right w:val="outset" w:color="auto" w:sz="4" w:space="0"/>
            </w:tcBorders>
            <w:vAlign w:val="center"/>
          </w:tcPr>
          <w:p w14:paraId="772F15A4">
            <w:pPr>
              <w:jc w:val="right"/>
            </w:pPr>
            <w:r>
              <w:t>-134,674,999.06</w:t>
            </w:r>
          </w:p>
        </w:tc>
      </w:tr>
      <w:tr w14:paraId="09E174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faba48500f741229b3467bfe3ce2495"/>
            <w:id w:val="1444579695"/>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13136893">
                <w:pPr>
                  <w:rPr>
                    <w:color w:val="000000" w:themeColor="text1"/>
                    <w14:textFill>
                      <w14:solidFill>
                        <w14:schemeClr w14:val="tx1"/>
                      </w14:solidFill>
                    </w14:textFill>
                  </w:rPr>
                </w:pPr>
                <w:r>
                  <w:rPr>
                    <w:rFonts w:hint="eastAsia"/>
                    <w:color w:val="000000" w:themeColor="text1"/>
                    <w14:textFill>
                      <w14:solidFill>
                        <w14:schemeClr w14:val="tx1"/>
                      </w14:solidFill>
                    </w14:textFill>
                  </w:rPr>
                  <w:t>八、每股收益：</w:t>
                </w:r>
              </w:p>
            </w:tc>
          </w:sdtContent>
        </w:sdt>
      </w:tr>
      <w:tr w14:paraId="7DD19F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A5EB5A6">
            <w:pPr>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（一）基本每股收益</w:t>
            </w:r>
            <w:r>
              <w:rPr>
                <w:rFonts w:hint="eastAsia"/>
                <w:color w:val="000000" w:themeColor="text1"/>
                <w14:textFill>
                  <w14:solidFill>
                    <w14:schemeClr w14:val="tx1"/>
                  </w14:solidFill>
                </w14:textFill>
              </w:rPr>
              <w:t>(元/股)</w:t>
            </w:r>
          </w:p>
        </w:tc>
        <w:tc>
          <w:tcPr>
            <w:tcW w:w="838" w:type="pct"/>
            <w:tcBorders>
              <w:top w:val="outset" w:color="auto" w:sz="4" w:space="0"/>
              <w:left w:val="outset" w:color="auto" w:sz="4" w:space="0"/>
              <w:bottom w:val="outset" w:color="auto" w:sz="4" w:space="0"/>
              <w:right w:val="outset" w:color="auto" w:sz="4" w:space="0"/>
            </w:tcBorders>
            <w:vAlign w:val="center"/>
          </w:tcPr>
          <w:p w14:paraId="6AF87E39">
            <w:r>
              <w:rPr>
                <w:rFonts w:hint="eastAsia"/>
              </w:rPr>
              <w:t>二十、2</w:t>
            </w:r>
          </w:p>
        </w:tc>
        <w:tc>
          <w:tcPr>
            <w:tcW w:w="1110" w:type="pct"/>
            <w:tcBorders>
              <w:top w:val="outset" w:color="auto" w:sz="4" w:space="0"/>
              <w:left w:val="outset" w:color="auto" w:sz="4" w:space="0"/>
              <w:bottom w:val="outset" w:color="auto" w:sz="4" w:space="0"/>
              <w:right w:val="outset" w:color="auto" w:sz="4" w:space="0"/>
            </w:tcBorders>
            <w:vAlign w:val="center"/>
          </w:tcPr>
          <w:p w14:paraId="3A8AAB54">
            <w:pPr>
              <w:jc w:val="right"/>
            </w:pPr>
            <w:r>
              <w:t>0.0069</w:t>
            </w:r>
          </w:p>
        </w:tc>
        <w:tc>
          <w:tcPr>
            <w:tcW w:w="1114" w:type="pct"/>
            <w:tcBorders>
              <w:top w:val="outset" w:color="auto" w:sz="4" w:space="0"/>
              <w:left w:val="outset" w:color="auto" w:sz="4" w:space="0"/>
              <w:bottom w:val="outset" w:color="auto" w:sz="4" w:space="0"/>
              <w:right w:val="outset" w:color="auto" w:sz="4" w:space="0"/>
            </w:tcBorders>
            <w:vAlign w:val="center"/>
          </w:tcPr>
          <w:p w14:paraId="115E48FB">
            <w:pPr>
              <w:jc w:val="right"/>
            </w:pPr>
            <w:r>
              <w:t>0.0057</w:t>
            </w:r>
          </w:p>
        </w:tc>
      </w:tr>
      <w:tr w14:paraId="5D1FB6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9F70204">
            <w:pPr>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（二）稀释每股收益</w:t>
            </w:r>
            <w:r>
              <w:rPr>
                <w:rFonts w:hint="eastAsia"/>
                <w:color w:val="000000" w:themeColor="text1"/>
                <w14:textFill>
                  <w14:solidFill>
                    <w14:schemeClr w14:val="tx1"/>
                  </w14:solidFill>
                </w14:textFill>
              </w:rPr>
              <w:t>(元/股)</w:t>
            </w:r>
          </w:p>
        </w:tc>
        <w:tc>
          <w:tcPr>
            <w:tcW w:w="838" w:type="pct"/>
            <w:tcBorders>
              <w:top w:val="outset" w:color="auto" w:sz="4" w:space="0"/>
              <w:left w:val="outset" w:color="auto" w:sz="4" w:space="0"/>
              <w:bottom w:val="outset" w:color="auto" w:sz="4" w:space="0"/>
              <w:right w:val="outset" w:color="auto" w:sz="4" w:space="0"/>
            </w:tcBorders>
            <w:vAlign w:val="center"/>
          </w:tcPr>
          <w:p w14:paraId="3A7EC5F5">
            <w:r>
              <w:rPr>
                <w:rFonts w:hint="eastAsia"/>
              </w:rPr>
              <w:t>二十、2</w:t>
            </w:r>
          </w:p>
        </w:tc>
        <w:tc>
          <w:tcPr>
            <w:tcW w:w="1110" w:type="pct"/>
            <w:tcBorders>
              <w:top w:val="outset" w:color="auto" w:sz="4" w:space="0"/>
              <w:left w:val="outset" w:color="auto" w:sz="4" w:space="0"/>
              <w:bottom w:val="outset" w:color="auto" w:sz="4" w:space="0"/>
              <w:right w:val="outset" w:color="auto" w:sz="4" w:space="0"/>
            </w:tcBorders>
            <w:vAlign w:val="center"/>
          </w:tcPr>
          <w:p w14:paraId="47F57C9E">
            <w:pPr>
              <w:jc w:val="right"/>
            </w:pPr>
            <w:r>
              <w:t>0.0069</w:t>
            </w:r>
          </w:p>
        </w:tc>
        <w:tc>
          <w:tcPr>
            <w:tcW w:w="1114" w:type="pct"/>
            <w:tcBorders>
              <w:top w:val="outset" w:color="auto" w:sz="4" w:space="0"/>
              <w:left w:val="outset" w:color="auto" w:sz="4" w:space="0"/>
              <w:bottom w:val="outset" w:color="auto" w:sz="4" w:space="0"/>
              <w:right w:val="outset" w:color="auto" w:sz="4" w:space="0"/>
            </w:tcBorders>
            <w:vAlign w:val="center"/>
          </w:tcPr>
          <w:p w14:paraId="14042B15">
            <w:pPr>
              <w:jc w:val="right"/>
            </w:pPr>
            <w:r>
              <w:t>0.0057</w:t>
            </w:r>
          </w:p>
        </w:tc>
      </w:tr>
      <w:bookmarkEnd w:id="111"/>
    </w:tbl>
    <w:p w14:paraId="5EF8B86B">
      <w:pPr>
        <w:rPr>
          <w:color w:val="000000" w:themeColor="text1"/>
          <w14:textFill>
            <w14:solidFill>
              <w14:schemeClr w14:val="tx1"/>
            </w14:solidFill>
          </w14:textFill>
        </w:rPr>
      </w:pPr>
    </w:p>
    <w:p w14:paraId="5FBFE548">
      <w:pPr>
        <w:rPr>
          <w:b/>
          <w:bCs/>
          <w:color w:val="000000" w:themeColor="text1"/>
          <w14:textFill>
            <w14:solidFill>
              <w14:schemeClr w14:val="tx1"/>
            </w14:solidFill>
          </w14:textFill>
        </w:rPr>
      </w:pPr>
      <w:r>
        <w:rPr>
          <w:rFonts w:hint="eastAsia"/>
          <w:color w:val="000000" w:themeColor="text1"/>
          <w14:textFill>
            <w14:solidFill>
              <w14:schemeClr w14:val="tx1"/>
            </w14:solidFill>
          </w14:textFill>
        </w:rPr>
        <w:t>本期发生同一控制下企业合并的，被合并方在合并前实现的净利润为：</w:t>
      </w:r>
      <w:sdt>
        <w:sdtPr>
          <w:rPr>
            <w:rFonts w:hint="eastAsia"/>
            <w:color w:val="000000" w:themeColor="text1"/>
            <w14:textFill>
              <w14:solidFill>
                <w14:schemeClr w14:val="tx1"/>
              </w14:solidFill>
            </w14:textFill>
          </w:rPr>
          <w:alias w:val="同一控制下的企业合并中被合并方在合并前实现的净利润"/>
          <w:tag w:val="_GBC_0d3f3004d896427080339d4b0e2d499c"/>
          <w:id w:val="-1009990032"/>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 上期被合并方实现的净利润为：</w:t>
      </w:r>
      <w:sdt>
        <w:sdtPr>
          <w:rPr>
            <w:rFonts w:hint="eastAsia"/>
            <w:color w:val="000000" w:themeColor="text1"/>
            <w14:textFill>
              <w14:solidFill>
                <w14:schemeClr w14:val="tx1"/>
              </w14:solidFill>
            </w14:textFill>
          </w:rPr>
          <w:alias w:val="同一控制下的企业合并中被合并方在合并前实现的净利润"/>
          <w:tag w:val="_GBC_7e8cf02e71b9434883c60dcb8fb33270"/>
          <w:id w:val="809599055"/>
          <w:placeholder>
            <w:docPart w:val="GBC22222222222222222222222222222"/>
          </w:placeholder>
        </w:sdtPr>
        <w:sdtEndPr>
          <w:rPr>
            <w:rFonts w:hint="default"/>
            <w:color w:val="000000" w:themeColor="text1"/>
            <w14:textFill>
              <w14:solidFill>
                <w14:schemeClr w14:val="tx1"/>
              </w14:solidFill>
            </w14:textFill>
          </w:rPr>
        </w:sdtEndPr>
        <w:sdtContent>
          <w:r>
            <w:rPr>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元。</w:t>
      </w:r>
    </w:p>
    <w:p w14:paraId="5E021139">
      <w:pPr>
        <w:rPr>
          <w:color w:val="000000" w:themeColor="text1"/>
          <w:u w:val="single"/>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84d2ead02dbe49699dff5184a9cd1bd3"/>
          <w:id w:val="-1595461908"/>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印奇</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e958f3d59232458da90c4799548d15ea"/>
          <w:id w:val="1466397596"/>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黄强</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83eea96809554a8b86e8c53c6e3da040"/>
          <w:id w:val="2085106926"/>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徐衬</w:t>
          </w:r>
        </w:sdtContent>
      </w:sdt>
    </w:p>
    <w:p w14:paraId="1F6C6943">
      <w:pPr>
        <w:rPr>
          <w:color w:val="000000" w:themeColor="text1"/>
          <w:u w:val="single"/>
          <w14:textFill>
            <w14:solidFill>
              <w14:schemeClr w14:val="tx1"/>
            </w14:solidFill>
          </w14:textFill>
        </w:rPr>
      </w:pPr>
    </w:p>
    <w:p w14:paraId="7FA21593">
      <w:pPr>
        <w:rPr>
          <w:color w:val="000000" w:themeColor="text1"/>
          <w:u w:val="single"/>
          <w14:textFill>
            <w14:solidFill>
              <w14:schemeClr w14:val="tx1"/>
            </w14:solidFill>
          </w14:textFill>
        </w:rPr>
      </w:pPr>
    </w:p>
    <w:p w14:paraId="1BADD2E9">
      <w:pPr>
        <w:pStyle w:val="4"/>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母公司</w:t>
      </w:r>
      <w:r>
        <w:rPr>
          <w:rFonts w:ascii="宋体" w:hAnsi="宋体"/>
          <w:color w:val="000000" w:themeColor="text1"/>
          <w14:textFill>
            <w14:solidFill>
              <w14:schemeClr w14:val="tx1"/>
            </w14:solidFill>
          </w14:textFill>
        </w:rPr>
        <w:t>利润表</w:t>
      </w:r>
    </w:p>
    <w:p w14:paraId="30A49A95">
      <w:pPr>
        <w:jc w:val="center"/>
        <w:rPr>
          <w:b/>
          <w:bCs/>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5F98990F">
      <w:pPr>
        <w:snapToGrid w:val="0"/>
        <w:spacing w:line="240" w:lineRule="atLeast"/>
        <w:jc w:val="right"/>
        <w:rPr>
          <w:b/>
          <w:bCs/>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母公司利润表"/>
          <w:tag w:val="_GBC_955732cd74ff4f1f9b098e70c1b85c60"/>
          <w:id w:val="-274874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母公司利润表"/>
          <w:tag w:val="_GBC_125a2547934143ccb384434361f57d37"/>
          <w:id w:val="13637117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14:paraId="113011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2746da9ce382479bbcc34de94cc91419"/>
              <w:id w:val="-1613978682"/>
            </w:sdtPr>
            <w:sdtContent>
              <w:p w14:paraId="6620CDEE">
                <w:pPr>
                  <w:ind w:left="40" w:hanging="39" w:hangingChars="19"/>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项目</w:t>
                </w:r>
              </w:p>
            </w:sdtContent>
          </w:sdt>
        </w:tc>
        <w:tc>
          <w:tcPr>
            <w:tcW w:w="838" w:type="pct"/>
            <w:tcBorders>
              <w:top w:val="outset" w:color="auto" w:sz="4" w:space="0"/>
              <w:left w:val="outset" w:color="auto" w:sz="4" w:space="0"/>
              <w:bottom w:val="outset" w:color="auto" w:sz="4" w:space="0"/>
              <w:right w:val="outset" w:color="auto" w:sz="4" w:space="0"/>
            </w:tcBorders>
            <w:vAlign w:val="center"/>
          </w:tcPr>
          <w:sdt>
            <w:sdtPr>
              <w:tag w:val="_PLD_353d1b95815e4cb9bce619c23384aae7"/>
              <w:id w:val="952750857"/>
            </w:sdtPr>
            <w:sdtContent>
              <w:p w14:paraId="3D8ACC75">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附注</w:t>
                </w:r>
              </w:p>
            </w:sdtContent>
          </w:sdt>
        </w:tc>
        <w:tc>
          <w:tcPr>
            <w:tcW w:w="1110" w:type="pct"/>
            <w:tcBorders>
              <w:top w:val="outset" w:color="auto" w:sz="4" w:space="0"/>
              <w:left w:val="outset" w:color="auto" w:sz="4" w:space="0"/>
              <w:bottom w:val="outset" w:color="auto" w:sz="4" w:space="0"/>
              <w:right w:val="outset" w:color="auto" w:sz="4" w:space="0"/>
            </w:tcBorders>
            <w:vAlign w:val="center"/>
          </w:tcPr>
          <w:sdt>
            <w:sdtPr>
              <w:tag w:val="_PLD_aa6da19e961f4f0aa9c1f47a5d8bdb21"/>
              <w:id w:val="1815684298"/>
            </w:sdtPr>
            <w:sdtContent>
              <w:p w14:paraId="3EA05F16">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2025年半年度</w:t>
                </w:r>
              </w:p>
            </w:sdtContent>
          </w:sdt>
        </w:tc>
        <w:tc>
          <w:tcPr>
            <w:tcW w:w="1114" w:type="pct"/>
            <w:tcBorders>
              <w:top w:val="outset" w:color="auto" w:sz="4" w:space="0"/>
              <w:left w:val="outset" w:color="auto" w:sz="4" w:space="0"/>
              <w:bottom w:val="outset" w:color="auto" w:sz="4" w:space="0"/>
              <w:right w:val="outset" w:color="auto" w:sz="4" w:space="0"/>
            </w:tcBorders>
            <w:vAlign w:val="center"/>
          </w:tcPr>
          <w:sdt>
            <w:sdtPr>
              <w:tag w:val="_PLD_fd6f3d63a7544a05b6f572cee64f39fb"/>
              <w:id w:val="-1337147176"/>
            </w:sdtPr>
            <w:sdtContent>
              <w:p w14:paraId="4CCFFAA1">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2024年半年度</w:t>
                </w:r>
              </w:p>
            </w:sdtContent>
          </w:sdt>
        </w:tc>
      </w:tr>
      <w:tr w14:paraId="09FC19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9945EB4">
            <w:pPr>
              <w:rPr>
                <w:color w:val="000000" w:themeColor="text1"/>
                <w14:textFill>
                  <w14:solidFill>
                    <w14:schemeClr w14:val="tx1"/>
                  </w14:solidFill>
                </w14:textFill>
              </w:rPr>
            </w:pPr>
            <w:r>
              <w:rPr>
                <w:rFonts w:hint="eastAsia"/>
                <w:color w:val="000000" w:themeColor="text1"/>
                <w14:textFill>
                  <w14:solidFill>
                    <w14:schemeClr w14:val="tx1"/>
                  </w14:solidFill>
                </w14:textFill>
              </w:rPr>
              <w:t>一、营业收入</w:t>
            </w:r>
          </w:p>
        </w:tc>
        <w:tc>
          <w:tcPr>
            <w:tcW w:w="838" w:type="pct"/>
            <w:tcBorders>
              <w:top w:val="outset" w:color="auto" w:sz="4" w:space="0"/>
              <w:left w:val="outset" w:color="auto" w:sz="4" w:space="0"/>
              <w:bottom w:val="outset" w:color="auto" w:sz="4" w:space="0"/>
              <w:right w:val="outset" w:color="auto" w:sz="4" w:space="0"/>
            </w:tcBorders>
            <w:vAlign w:val="center"/>
          </w:tcPr>
          <w:p w14:paraId="16AD0986">
            <w:r>
              <w:rPr>
                <w:rFonts w:hint="eastAsia"/>
              </w:rPr>
              <w:t>十九、</w:t>
            </w:r>
            <w:r>
              <w:t>4</w:t>
            </w:r>
          </w:p>
        </w:tc>
        <w:tc>
          <w:tcPr>
            <w:tcW w:w="1110" w:type="pct"/>
            <w:tcBorders>
              <w:top w:val="outset" w:color="auto" w:sz="4" w:space="0"/>
              <w:left w:val="outset" w:color="auto" w:sz="4" w:space="0"/>
              <w:bottom w:val="outset" w:color="auto" w:sz="4" w:space="0"/>
              <w:right w:val="outset" w:color="auto" w:sz="4" w:space="0"/>
            </w:tcBorders>
            <w:vAlign w:val="center"/>
          </w:tcPr>
          <w:p w14:paraId="3682FD44">
            <w:pPr>
              <w:jc w:val="right"/>
            </w:pPr>
            <w:r>
              <w:t>13,544,148.42</w:t>
            </w:r>
          </w:p>
        </w:tc>
        <w:tc>
          <w:tcPr>
            <w:tcW w:w="1114" w:type="pct"/>
            <w:tcBorders>
              <w:top w:val="outset" w:color="auto" w:sz="4" w:space="0"/>
              <w:left w:val="outset" w:color="auto" w:sz="4" w:space="0"/>
              <w:bottom w:val="outset" w:color="auto" w:sz="4" w:space="0"/>
              <w:right w:val="outset" w:color="auto" w:sz="4" w:space="0"/>
            </w:tcBorders>
            <w:vAlign w:val="center"/>
          </w:tcPr>
          <w:p w14:paraId="0BB0008F">
            <w:pPr>
              <w:jc w:val="right"/>
            </w:pPr>
            <w:r>
              <w:t>13,583,797.31</w:t>
            </w:r>
          </w:p>
        </w:tc>
      </w:tr>
      <w:tr w14:paraId="7D0756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096461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减：营业成本</w:t>
            </w:r>
          </w:p>
        </w:tc>
        <w:tc>
          <w:tcPr>
            <w:tcW w:w="838" w:type="pct"/>
            <w:tcBorders>
              <w:top w:val="outset" w:color="auto" w:sz="4" w:space="0"/>
              <w:left w:val="outset" w:color="auto" w:sz="4" w:space="0"/>
              <w:bottom w:val="outset" w:color="auto" w:sz="4" w:space="0"/>
              <w:right w:val="outset" w:color="auto" w:sz="4" w:space="0"/>
            </w:tcBorders>
            <w:vAlign w:val="center"/>
          </w:tcPr>
          <w:p w14:paraId="0A621BA5">
            <w:r>
              <w:rPr>
                <w:rFonts w:hint="eastAsia"/>
              </w:rPr>
              <w:t>十九、4</w:t>
            </w:r>
          </w:p>
        </w:tc>
        <w:tc>
          <w:tcPr>
            <w:tcW w:w="1110" w:type="pct"/>
            <w:tcBorders>
              <w:top w:val="outset" w:color="auto" w:sz="4" w:space="0"/>
              <w:left w:val="outset" w:color="auto" w:sz="4" w:space="0"/>
              <w:bottom w:val="outset" w:color="auto" w:sz="4" w:space="0"/>
              <w:right w:val="outset" w:color="auto" w:sz="4" w:space="0"/>
            </w:tcBorders>
            <w:vAlign w:val="center"/>
          </w:tcPr>
          <w:p w14:paraId="0528DBCF">
            <w:pPr>
              <w:jc w:val="right"/>
            </w:pPr>
            <w:r>
              <w:t>9,797,485.81</w:t>
            </w:r>
          </w:p>
        </w:tc>
        <w:tc>
          <w:tcPr>
            <w:tcW w:w="1114" w:type="pct"/>
            <w:tcBorders>
              <w:top w:val="outset" w:color="auto" w:sz="4" w:space="0"/>
              <w:left w:val="outset" w:color="auto" w:sz="4" w:space="0"/>
              <w:bottom w:val="outset" w:color="auto" w:sz="4" w:space="0"/>
              <w:right w:val="outset" w:color="auto" w:sz="4" w:space="0"/>
            </w:tcBorders>
            <w:vAlign w:val="center"/>
          </w:tcPr>
          <w:p w14:paraId="4C956E02">
            <w:pPr>
              <w:jc w:val="right"/>
            </w:pPr>
            <w:r>
              <w:t>10,170,659.19</w:t>
            </w:r>
          </w:p>
        </w:tc>
      </w:tr>
      <w:tr w14:paraId="4673EC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F006FCC">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税金及附加</w:t>
            </w:r>
          </w:p>
        </w:tc>
        <w:tc>
          <w:tcPr>
            <w:tcW w:w="838" w:type="pct"/>
            <w:tcBorders>
              <w:top w:val="outset" w:color="auto" w:sz="4" w:space="0"/>
              <w:left w:val="outset" w:color="auto" w:sz="4" w:space="0"/>
              <w:bottom w:val="outset" w:color="auto" w:sz="4" w:space="0"/>
              <w:right w:val="outset" w:color="auto" w:sz="4" w:space="0"/>
            </w:tcBorders>
            <w:vAlign w:val="center"/>
          </w:tcPr>
          <w:p w14:paraId="5DB8326F"/>
        </w:tc>
        <w:tc>
          <w:tcPr>
            <w:tcW w:w="1110" w:type="pct"/>
            <w:tcBorders>
              <w:top w:val="outset" w:color="auto" w:sz="4" w:space="0"/>
              <w:left w:val="outset" w:color="auto" w:sz="4" w:space="0"/>
              <w:bottom w:val="outset" w:color="auto" w:sz="4" w:space="0"/>
              <w:right w:val="outset" w:color="auto" w:sz="4" w:space="0"/>
            </w:tcBorders>
            <w:vAlign w:val="center"/>
          </w:tcPr>
          <w:p w14:paraId="45B2C88F">
            <w:pPr>
              <w:jc w:val="right"/>
            </w:pPr>
            <w:r>
              <w:t>3,247,570.73</w:t>
            </w:r>
          </w:p>
        </w:tc>
        <w:tc>
          <w:tcPr>
            <w:tcW w:w="1114" w:type="pct"/>
            <w:tcBorders>
              <w:top w:val="outset" w:color="auto" w:sz="4" w:space="0"/>
              <w:left w:val="outset" w:color="auto" w:sz="4" w:space="0"/>
              <w:bottom w:val="outset" w:color="auto" w:sz="4" w:space="0"/>
              <w:right w:val="outset" w:color="auto" w:sz="4" w:space="0"/>
            </w:tcBorders>
            <w:vAlign w:val="center"/>
          </w:tcPr>
          <w:p w14:paraId="1603DDE8">
            <w:pPr>
              <w:jc w:val="right"/>
            </w:pPr>
            <w:r>
              <w:t>3,230,521.85</w:t>
            </w:r>
          </w:p>
        </w:tc>
      </w:tr>
      <w:tr w14:paraId="1973AA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845FBFA">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销售费用</w:t>
            </w:r>
          </w:p>
        </w:tc>
        <w:tc>
          <w:tcPr>
            <w:tcW w:w="838" w:type="pct"/>
            <w:tcBorders>
              <w:top w:val="outset" w:color="auto" w:sz="4" w:space="0"/>
              <w:left w:val="outset" w:color="auto" w:sz="4" w:space="0"/>
              <w:bottom w:val="outset" w:color="auto" w:sz="4" w:space="0"/>
              <w:right w:val="outset" w:color="auto" w:sz="4" w:space="0"/>
            </w:tcBorders>
            <w:vAlign w:val="center"/>
          </w:tcPr>
          <w:p w14:paraId="72019097"/>
        </w:tc>
        <w:tc>
          <w:tcPr>
            <w:tcW w:w="1110" w:type="pct"/>
            <w:tcBorders>
              <w:top w:val="outset" w:color="auto" w:sz="4" w:space="0"/>
              <w:left w:val="outset" w:color="auto" w:sz="4" w:space="0"/>
              <w:bottom w:val="outset" w:color="auto" w:sz="4" w:space="0"/>
              <w:right w:val="outset" w:color="auto" w:sz="4" w:space="0"/>
            </w:tcBorders>
            <w:vAlign w:val="center"/>
          </w:tcPr>
          <w:p w14:paraId="5052F4DA">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61D1ECBC">
            <w:pPr>
              <w:jc w:val="right"/>
            </w:pPr>
          </w:p>
        </w:tc>
      </w:tr>
      <w:tr w14:paraId="48B975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9298789">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管理费用</w:t>
            </w:r>
          </w:p>
        </w:tc>
        <w:tc>
          <w:tcPr>
            <w:tcW w:w="838" w:type="pct"/>
            <w:tcBorders>
              <w:top w:val="outset" w:color="auto" w:sz="4" w:space="0"/>
              <w:left w:val="outset" w:color="auto" w:sz="4" w:space="0"/>
              <w:bottom w:val="outset" w:color="auto" w:sz="4" w:space="0"/>
              <w:right w:val="outset" w:color="auto" w:sz="4" w:space="0"/>
            </w:tcBorders>
            <w:vAlign w:val="center"/>
          </w:tcPr>
          <w:p w14:paraId="58677482"/>
        </w:tc>
        <w:tc>
          <w:tcPr>
            <w:tcW w:w="1110" w:type="pct"/>
            <w:tcBorders>
              <w:top w:val="outset" w:color="auto" w:sz="4" w:space="0"/>
              <w:left w:val="outset" w:color="auto" w:sz="4" w:space="0"/>
              <w:bottom w:val="outset" w:color="auto" w:sz="4" w:space="0"/>
              <w:right w:val="outset" w:color="auto" w:sz="4" w:space="0"/>
            </w:tcBorders>
            <w:vAlign w:val="center"/>
          </w:tcPr>
          <w:p w14:paraId="6EDCE0A1">
            <w:pPr>
              <w:jc w:val="right"/>
            </w:pPr>
            <w:r>
              <w:t>48,789,468.74</w:t>
            </w:r>
          </w:p>
        </w:tc>
        <w:tc>
          <w:tcPr>
            <w:tcW w:w="1114" w:type="pct"/>
            <w:tcBorders>
              <w:top w:val="outset" w:color="auto" w:sz="4" w:space="0"/>
              <w:left w:val="outset" w:color="auto" w:sz="4" w:space="0"/>
              <w:bottom w:val="outset" w:color="auto" w:sz="4" w:space="0"/>
              <w:right w:val="outset" w:color="auto" w:sz="4" w:space="0"/>
            </w:tcBorders>
            <w:vAlign w:val="center"/>
          </w:tcPr>
          <w:p w14:paraId="5B642704">
            <w:pPr>
              <w:jc w:val="right"/>
            </w:pPr>
            <w:r>
              <w:t>22,402,074.61</w:t>
            </w:r>
          </w:p>
        </w:tc>
      </w:tr>
      <w:tr w14:paraId="3E1FCC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4E43D9E4">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研发费用</w:t>
            </w:r>
          </w:p>
        </w:tc>
        <w:tc>
          <w:tcPr>
            <w:tcW w:w="838" w:type="pct"/>
            <w:tcBorders>
              <w:top w:val="outset" w:color="auto" w:sz="4" w:space="0"/>
              <w:left w:val="outset" w:color="auto" w:sz="4" w:space="0"/>
              <w:bottom w:val="outset" w:color="auto" w:sz="4" w:space="0"/>
              <w:right w:val="outset" w:color="auto" w:sz="4" w:space="0"/>
            </w:tcBorders>
            <w:vAlign w:val="center"/>
          </w:tcPr>
          <w:p w14:paraId="0C9D47FD"/>
        </w:tc>
        <w:tc>
          <w:tcPr>
            <w:tcW w:w="1110" w:type="pct"/>
            <w:tcBorders>
              <w:top w:val="outset" w:color="auto" w:sz="4" w:space="0"/>
              <w:left w:val="outset" w:color="auto" w:sz="4" w:space="0"/>
              <w:bottom w:val="outset" w:color="auto" w:sz="4" w:space="0"/>
              <w:right w:val="outset" w:color="auto" w:sz="4" w:space="0"/>
            </w:tcBorders>
            <w:vAlign w:val="center"/>
          </w:tcPr>
          <w:p w14:paraId="21727701">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04AB4DCF">
            <w:pPr>
              <w:jc w:val="right"/>
              <w:rPr>
                <w:rFonts w:eastAsia="Times New Roman" w:cs="Times New Roman"/>
                <w:sz w:val="20"/>
                <w:szCs w:val="20"/>
              </w:rPr>
            </w:pPr>
          </w:p>
        </w:tc>
      </w:tr>
      <w:tr w14:paraId="2748B9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1A14F45">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财务费用</w:t>
            </w:r>
          </w:p>
        </w:tc>
        <w:tc>
          <w:tcPr>
            <w:tcW w:w="838" w:type="pct"/>
            <w:tcBorders>
              <w:top w:val="outset" w:color="auto" w:sz="4" w:space="0"/>
              <w:left w:val="outset" w:color="auto" w:sz="4" w:space="0"/>
              <w:bottom w:val="outset" w:color="auto" w:sz="4" w:space="0"/>
              <w:right w:val="outset" w:color="auto" w:sz="4" w:space="0"/>
            </w:tcBorders>
            <w:vAlign w:val="center"/>
          </w:tcPr>
          <w:p w14:paraId="6206ED30"/>
        </w:tc>
        <w:tc>
          <w:tcPr>
            <w:tcW w:w="1110" w:type="pct"/>
            <w:tcBorders>
              <w:top w:val="outset" w:color="auto" w:sz="4" w:space="0"/>
              <w:left w:val="outset" w:color="auto" w:sz="4" w:space="0"/>
              <w:bottom w:val="outset" w:color="auto" w:sz="4" w:space="0"/>
              <w:right w:val="outset" w:color="auto" w:sz="4" w:space="0"/>
            </w:tcBorders>
            <w:vAlign w:val="center"/>
          </w:tcPr>
          <w:p w14:paraId="5F459BBC">
            <w:pPr>
              <w:jc w:val="right"/>
              <w:rPr>
                <w:rFonts w:ascii="宋体" w:hAnsi="宋体"/>
                <w:sz w:val="24"/>
                <w:szCs w:val="24"/>
              </w:rPr>
            </w:pPr>
            <w:r>
              <w:t>5,800,735.90</w:t>
            </w:r>
          </w:p>
        </w:tc>
        <w:tc>
          <w:tcPr>
            <w:tcW w:w="1114" w:type="pct"/>
            <w:tcBorders>
              <w:top w:val="outset" w:color="auto" w:sz="4" w:space="0"/>
              <w:left w:val="outset" w:color="auto" w:sz="4" w:space="0"/>
              <w:bottom w:val="outset" w:color="auto" w:sz="4" w:space="0"/>
              <w:right w:val="outset" w:color="auto" w:sz="4" w:space="0"/>
            </w:tcBorders>
            <w:vAlign w:val="center"/>
          </w:tcPr>
          <w:p w14:paraId="20D6CEFE">
            <w:pPr>
              <w:jc w:val="right"/>
            </w:pPr>
            <w:r>
              <w:t>163,133.35</w:t>
            </w:r>
          </w:p>
        </w:tc>
      </w:tr>
      <w:tr w14:paraId="77271E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16F45F5">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其中：利息费用</w:t>
            </w:r>
          </w:p>
        </w:tc>
        <w:tc>
          <w:tcPr>
            <w:tcW w:w="838" w:type="pct"/>
            <w:tcBorders>
              <w:top w:val="outset" w:color="auto" w:sz="4" w:space="0"/>
              <w:left w:val="outset" w:color="auto" w:sz="4" w:space="0"/>
              <w:bottom w:val="outset" w:color="auto" w:sz="4" w:space="0"/>
              <w:right w:val="outset" w:color="auto" w:sz="4" w:space="0"/>
            </w:tcBorders>
            <w:vAlign w:val="center"/>
          </w:tcPr>
          <w:p w14:paraId="75263A07"/>
        </w:tc>
        <w:tc>
          <w:tcPr>
            <w:tcW w:w="1110" w:type="pct"/>
            <w:tcBorders>
              <w:top w:val="outset" w:color="auto" w:sz="4" w:space="0"/>
              <w:left w:val="outset" w:color="auto" w:sz="4" w:space="0"/>
              <w:bottom w:val="outset" w:color="auto" w:sz="4" w:space="0"/>
              <w:right w:val="outset" w:color="auto" w:sz="4" w:space="0"/>
            </w:tcBorders>
            <w:vAlign w:val="center"/>
          </w:tcPr>
          <w:p w14:paraId="717D3086">
            <w:pPr>
              <w:jc w:val="right"/>
            </w:pPr>
            <w:r>
              <w:t>15,902,003.50</w:t>
            </w:r>
          </w:p>
        </w:tc>
        <w:tc>
          <w:tcPr>
            <w:tcW w:w="1114" w:type="pct"/>
            <w:tcBorders>
              <w:top w:val="outset" w:color="auto" w:sz="4" w:space="0"/>
              <w:left w:val="outset" w:color="auto" w:sz="4" w:space="0"/>
              <w:bottom w:val="outset" w:color="auto" w:sz="4" w:space="0"/>
              <w:right w:val="outset" w:color="auto" w:sz="4" w:space="0"/>
            </w:tcBorders>
            <w:vAlign w:val="center"/>
          </w:tcPr>
          <w:p w14:paraId="57D609F1">
            <w:pPr>
              <w:jc w:val="right"/>
            </w:pPr>
            <w:r>
              <w:t>18,241,971.23</w:t>
            </w:r>
          </w:p>
        </w:tc>
      </w:tr>
      <w:tr w14:paraId="2B5F1A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978EF05">
            <w:pPr>
              <w:ind w:firstLine="1260" w:firstLineChars="600"/>
              <w:rPr>
                <w:color w:val="000000" w:themeColor="text1"/>
                <w14:textFill>
                  <w14:solidFill>
                    <w14:schemeClr w14:val="tx1"/>
                  </w14:solidFill>
                </w14:textFill>
              </w:rPr>
            </w:pPr>
            <w:r>
              <w:rPr>
                <w:rFonts w:hint="eastAsia"/>
                <w:color w:val="000000" w:themeColor="text1"/>
                <w14:textFill>
                  <w14:solidFill>
                    <w14:schemeClr w14:val="tx1"/>
                  </w14:solidFill>
                </w14:textFill>
              </w:rPr>
              <w:t>利息收入</w:t>
            </w:r>
          </w:p>
        </w:tc>
        <w:tc>
          <w:tcPr>
            <w:tcW w:w="838" w:type="pct"/>
            <w:tcBorders>
              <w:top w:val="outset" w:color="auto" w:sz="4" w:space="0"/>
              <w:left w:val="outset" w:color="auto" w:sz="4" w:space="0"/>
              <w:bottom w:val="outset" w:color="auto" w:sz="4" w:space="0"/>
              <w:right w:val="outset" w:color="auto" w:sz="4" w:space="0"/>
            </w:tcBorders>
            <w:vAlign w:val="center"/>
          </w:tcPr>
          <w:p w14:paraId="358CD0ED"/>
        </w:tc>
        <w:tc>
          <w:tcPr>
            <w:tcW w:w="1110" w:type="pct"/>
            <w:tcBorders>
              <w:top w:val="outset" w:color="auto" w:sz="4" w:space="0"/>
              <w:left w:val="outset" w:color="auto" w:sz="4" w:space="0"/>
              <w:bottom w:val="outset" w:color="auto" w:sz="4" w:space="0"/>
              <w:right w:val="outset" w:color="auto" w:sz="4" w:space="0"/>
            </w:tcBorders>
            <w:vAlign w:val="center"/>
          </w:tcPr>
          <w:p w14:paraId="32D209FF">
            <w:pPr>
              <w:jc w:val="right"/>
            </w:pPr>
            <w:r>
              <w:t>10,114,036.63</w:t>
            </w:r>
          </w:p>
        </w:tc>
        <w:tc>
          <w:tcPr>
            <w:tcW w:w="1114" w:type="pct"/>
            <w:tcBorders>
              <w:top w:val="outset" w:color="auto" w:sz="4" w:space="0"/>
              <w:left w:val="outset" w:color="auto" w:sz="4" w:space="0"/>
              <w:bottom w:val="outset" w:color="auto" w:sz="4" w:space="0"/>
              <w:right w:val="outset" w:color="auto" w:sz="4" w:space="0"/>
            </w:tcBorders>
            <w:vAlign w:val="center"/>
          </w:tcPr>
          <w:p w14:paraId="2BFA4AB6">
            <w:pPr>
              <w:jc w:val="right"/>
            </w:pPr>
            <w:r>
              <w:t>17,988,282.06</w:t>
            </w:r>
          </w:p>
        </w:tc>
      </w:tr>
      <w:tr w14:paraId="21BB9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59779A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加：其他收益</w:t>
            </w:r>
          </w:p>
        </w:tc>
        <w:tc>
          <w:tcPr>
            <w:tcW w:w="838" w:type="pct"/>
            <w:tcBorders>
              <w:top w:val="outset" w:color="auto" w:sz="4" w:space="0"/>
              <w:left w:val="outset" w:color="auto" w:sz="4" w:space="0"/>
              <w:bottom w:val="outset" w:color="auto" w:sz="4" w:space="0"/>
              <w:right w:val="outset" w:color="auto" w:sz="4" w:space="0"/>
            </w:tcBorders>
            <w:vAlign w:val="center"/>
          </w:tcPr>
          <w:p w14:paraId="64719421"/>
        </w:tc>
        <w:tc>
          <w:tcPr>
            <w:tcW w:w="1110" w:type="pct"/>
            <w:tcBorders>
              <w:top w:val="outset" w:color="auto" w:sz="4" w:space="0"/>
              <w:left w:val="outset" w:color="auto" w:sz="4" w:space="0"/>
              <w:bottom w:val="outset" w:color="auto" w:sz="4" w:space="0"/>
              <w:right w:val="outset" w:color="auto" w:sz="4" w:space="0"/>
            </w:tcBorders>
            <w:vAlign w:val="center"/>
          </w:tcPr>
          <w:p w14:paraId="08BC8AE5">
            <w:pPr>
              <w:jc w:val="right"/>
            </w:pPr>
            <w:r>
              <w:t>100,905,432.08</w:t>
            </w:r>
          </w:p>
        </w:tc>
        <w:tc>
          <w:tcPr>
            <w:tcW w:w="1114" w:type="pct"/>
            <w:tcBorders>
              <w:top w:val="outset" w:color="auto" w:sz="4" w:space="0"/>
              <w:left w:val="outset" w:color="auto" w:sz="4" w:space="0"/>
              <w:bottom w:val="outset" w:color="auto" w:sz="4" w:space="0"/>
              <w:right w:val="outset" w:color="auto" w:sz="4" w:space="0"/>
            </w:tcBorders>
            <w:vAlign w:val="center"/>
          </w:tcPr>
          <w:p w14:paraId="46D9764B">
            <w:pPr>
              <w:jc w:val="right"/>
            </w:pPr>
            <w:r>
              <w:t>370,026.72</w:t>
            </w:r>
          </w:p>
        </w:tc>
      </w:tr>
      <w:tr w14:paraId="32503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D0872E3">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投资收益（损失以“－”号填列）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6E6EBE43">
            <w:r>
              <w:rPr>
                <w:rFonts w:hint="eastAsia"/>
              </w:rPr>
              <w:t>十九、</w:t>
            </w:r>
            <w:r>
              <w:t>5</w:t>
            </w:r>
          </w:p>
        </w:tc>
        <w:tc>
          <w:tcPr>
            <w:tcW w:w="1110" w:type="pct"/>
            <w:tcBorders>
              <w:top w:val="outset" w:color="auto" w:sz="4" w:space="0"/>
              <w:left w:val="outset" w:color="auto" w:sz="4" w:space="0"/>
              <w:bottom w:val="outset" w:color="auto" w:sz="4" w:space="0"/>
              <w:right w:val="outset" w:color="auto" w:sz="4" w:space="0"/>
            </w:tcBorders>
            <w:vAlign w:val="center"/>
          </w:tcPr>
          <w:p w14:paraId="6B6E43DB">
            <w:pPr>
              <w:jc w:val="right"/>
            </w:pPr>
            <w:r>
              <w:t>108,924,219.78</w:t>
            </w:r>
          </w:p>
        </w:tc>
        <w:tc>
          <w:tcPr>
            <w:tcW w:w="1114" w:type="pct"/>
            <w:tcBorders>
              <w:top w:val="outset" w:color="auto" w:sz="4" w:space="0"/>
              <w:left w:val="outset" w:color="auto" w:sz="4" w:space="0"/>
              <w:bottom w:val="outset" w:color="auto" w:sz="4" w:space="0"/>
              <w:right w:val="outset" w:color="auto" w:sz="4" w:space="0"/>
            </w:tcBorders>
            <w:vAlign w:val="center"/>
          </w:tcPr>
          <w:p w14:paraId="1080359B">
            <w:pPr>
              <w:jc w:val="right"/>
            </w:pPr>
            <w:r>
              <w:t>91,882,086.13</w:t>
            </w:r>
          </w:p>
        </w:tc>
      </w:tr>
      <w:tr w14:paraId="7BDC9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8FC39A0">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其中：对联营企业和合营企业的投资收益</w:t>
            </w:r>
          </w:p>
        </w:tc>
        <w:tc>
          <w:tcPr>
            <w:tcW w:w="838" w:type="pct"/>
            <w:tcBorders>
              <w:top w:val="outset" w:color="auto" w:sz="4" w:space="0"/>
              <w:left w:val="outset" w:color="auto" w:sz="4" w:space="0"/>
              <w:bottom w:val="outset" w:color="auto" w:sz="4" w:space="0"/>
              <w:right w:val="outset" w:color="auto" w:sz="4" w:space="0"/>
            </w:tcBorders>
            <w:vAlign w:val="center"/>
          </w:tcPr>
          <w:p w14:paraId="334510F0"/>
        </w:tc>
        <w:tc>
          <w:tcPr>
            <w:tcW w:w="1110" w:type="pct"/>
            <w:tcBorders>
              <w:top w:val="outset" w:color="auto" w:sz="4" w:space="0"/>
              <w:left w:val="outset" w:color="auto" w:sz="4" w:space="0"/>
              <w:bottom w:val="outset" w:color="auto" w:sz="4" w:space="0"/>
              <w:right w:val="outset" w:color="auto" w:sz="4" w:space="0"/>
            </w:tcBorders>
            <w:vAlign w:val="center"/>
          </w:tcPr>
          <w:p w14:paraId="2B05191C">
            <w:pPr>
              <w:jc w:val="right"/>
            </w:pPr>
            <w:r>
              <w:t>108,924,219.78</w:t>
            </w:r>
          </w:p>
        </w:tc>
        <w:tc>
          <w:tcPr>
            <w:tcW w:w="1114" w:type="pct"/>
            <w:tcBorders>
              <w:top w:val="outset" w:color="auto" w:sz="4" w:space="0"/>
              <w:left w:val="outset" w:color="auto" w:sz="4" w:space="0"/>
              <w:bottom w:val="outset" w:color="auto" w:sz="4" w:space="0"/>
              <w:right w:val="outset" w:color="auto" w:sz="4" w:space="0"/>
            </w:tcBorders>
            <w:vAlign w:val="center"/>
          </w:tcPr>
          <w:p w14:paraId="75020D9D">
            <w:pPr>
              <w:jc w:val="right"/>
            </w:pPr>
            <w:r>
              <w:t>91,885,985.13</w:t>
            </w:r>
          </w:p>
        </w:tc>
      </w:tr>
      <w:tr w14:paraId="390069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26210BB">
            <w:pPr>
              <w:ind w:firstLine="1155" w:firstLineChars="550"/>
              <w:rPr>
                <w:color w:val="000000" w:themeColor="text1"/>
                <w14:textFill>
                  <w14:solidFill>
                    <w14:schemeClr w14:val="tx1"/>
                  </w14:solidFill>
                </w14:textFill>
              </w:rPr>
            </w:pPr>
            <w:r>
              <w:rPr>
                <w:rFonts w:hint="eastAsia"/>
                <w:color w:val="000000" w:themeColor="text1"/>
                <w14:textFill>
                  <w14:solidFill>
                    <w14:schemeClr w14:val="tx1"/>
                  </w14:solidFill>
                </w14:textFill>
              </w:rPr>
              <w:t>以摊余成本计量的金融资产终止确认收益（损失以“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36E748AC"/>
        </w:tc>
        <w:tc>
          <w:tcPr>
            <w:tcW w:w="1110" w:type="pct"/>
            <w:tcBorders>
              <w:top w:val="outset" w:color="auto" w:sz="4" w:space="0"/>
              <w:left w:val="outset" w:color="auto" w:sz="4" w:space="0"/>
              <w:bottom w:val="outset" w:color="auto" w:sz="4" w:space="0"/>
              <w:right w:val="outset" w:color="auto" w:sz="4" w:space="0"/>
            </w:tcBorders>
            <w:vAlign w:val="center"/>
          </w:tcPr>
          <w:p w14:paraId="193EFF24"/>
        </w:tc>
        <w:tc>
          <w:tcPr>
            <w:tcW w:w="1114" w:type="pct"/>
            <w:tcBorders>
              <w:top w:val="outset" w:color="auto" w:sz="4" w:space="0"/>
              <w:left w:val="outset" w:color="auto" w:sz="4" w:space="0"/>
              <w:bottom w:val="outset" w:color="auto" w:sz="4" w:space="0"/>
              <w:right w:val="outset" w:color="auto" w:sz="4" w:space="0"/>
            </w:tcBorders>
            <w:vAlign w:val="center"/>
          </w:tcPr>
          <w:p w14:paraId="43BF2801">
            <w:pPr>
              <w:rPr>
                <w:rFonts w:eastAsia="Times New Roman" w:cs="Times New Roman"/>
                <w:sz w:val="20"/>
                <w:szCs w:val="20"/>
              </w:rPr>
            </w:pPr>
          </w:p>
        </w:tc>
      </w:tr>
      <w:tr w14:paraId="32C01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D2DFD06">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净敞口套期收益（损失以“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390847F3"/>
        </w:tc>
        <w:tc>
          <w:tcPr>
            <w:tcW w:w="1110" w:type="pct"/>
            <w:tcBorders>
              <w:top w:val="outset" w:color="auto" w:sz="4" w:space="0"/>
              <w:left w:val="outset" w:color="auto" w:sz="4" w:space="0"/>
              <w:bottom w:val="outset" w:color="auto" w:sz="4" w:space="0"/>
              <w:right w:val="outset" w:color="auto" w:sz="4" w:space="0"/>
            </w:tcBorders>
            <w:vAlign w:val="center"/>
          </w:tcPr>
          <w:p w14:paraId="394ECE39">
            <w:pPr>
              <w:rPr>
                <w:rFonts w:eastAsia="Times New Roman" w:cs="Times New Roman"/>
                <w:sz w:val="20"/>
                <w:szCs w:val="20"/>
              </w:rPr>
            </w:pPr>
          </w:p>
        </w:tc>
        <w:tc>
          <w:tcPr>
            <w:tcW w:w="1114" w:type="pct"/>
            <w:tcBorders>
              <w:top w:val="outset" w:color="auto" w:sz="4" w:space="0"/>
              <w:left w:val="outset" w:color="auto" w:sz="4" w:space="0"/>
              <w:bottom w:val="outset" w:color="auto" w:sz="4" w:space="0"/>
              <w:right w:val="outset" w:color="auto" w:sz="4" w:space="0"/>
            </w:tcBorders>
            <w:vAlign w:val="center"/>
          </w:tcPr>
          <w:p w14:paraId="04AAD57E">
            <w:pPr>
              <w:rPr>
                <w:rFonts w:eastAsia="Times New Roman" w:cs="Times New Roman"/>
                <w:sz w:val="20"/>
                <w:szCs w:val="20"/>
              </w:rPr>
            </w:pPr>
          </w:p>
        </w:tc>
      </w:tr>
      <w:tr w14:paraId="5CB1E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B88F1A6">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公允价值变动收益（损失以“－”号填列）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60436518"/>
        </w:tc>
        <w:tc>
          <w:tcPr>
            <w:tcW w:w="1110" w:type="pct"/>
            <w:tcBorders>
              <w:top w:val="outset" w:color="auto" w:sz="4" w:space="0"/>
              <w:left w:val="outset" w:color="auto" w:sz="4" w:space="0"/>
              <w:bottom w:val="outset" w:color="auto" w:sz="4" w:space="0"/>
              <w:right w:val="outset" w:color="auto" w:sz="4" w:space="0"/>
            </w:tcBorders>
            <w:vAlign w:val="center"/>
          </w:tcPr>
          <w:p w14:paraId="5188CEA8">
            <w:pPr>
              <w:jc w:val="right"/>
              <w:rPr>
                <w:rFonts w:eastAsia="Times New Roman" w:cs="Times New Roman"/>
                <w:sz w:val="20"/>
                <w:szCs w:val="20"/>
              </w:rPr>
            </w:pPr>
            <w:r>
              <w:t>-1,202,300.00</w:t>
            </w:r>
          </w:p>
        </w:tc>
        <w:tc>
          <w:tcPr>
            <w:tcW w:w="1114" w:type="pct"/>
            <w:tcBorders>
              <w:top w:val="outset" w:color="auto" w:sz="4" w:space="0"/>
              <w:left w:val="outset" w:color="auto" w:sz="4" w:space="0"/>
              <w:bottom w:val="outset" w:color="auto" w:sz="4" w:space="0"/>
              <w:right w:val="outset" w:color="auto" w:sz="4" w:space="0"/>
            </w:tcBorders>
            <w:vAlign w:val="center"/>
          </w:tcPr>
          <w:p w14:paraId="4A7DFD4B">
            <w:pPr>
              <w:rPr>
                <w:rFonts w:eastAsia="Times New Roman" w:cs="Times New Roman"/>
                <w:sz w:val="20"/>
                <w:szCs w:val="20"/>
              </w:rPr>
            </w:pPr>
          </w:p>
        </w:tc>
      </w:tr>
      <w:tr w14:paraId="20D124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20F8514">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信用减值损失（损失以“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2EFCB068"/>
        </w:tc>
        <w:tc>
          <w:tcPr>
            <w:tcW w:w="1110" w:type="pct"/>
            <w:tcBorders>
              <w:top w:val="outset" w:color="auto" w:sz="4" w:space="0"/>
              <w:left w:val="outset" w:color="auto" w:sz="4" w:space="0"/>
              <w:bottom w:val="outset" w:color="auto" w:sz="4" w:space="0"/>
              <w:right w:val="outset" w:color="auto" w:sz="4" w:space="0"/>
            </w:tcBorders>
            <w:vAlign w:val="center"/>
          </w:tcPr>
          <w:p w14:paraId="407C2117">
            <w:pPr>
              <w:jc w:val="right"/>
              <w:rPr>
                <w:rFonts w:ascii="宋体" w:hAnsi="宋体"/>
                <w:sz w:val="24"/>
                <w:szCs w:val="24"/>
              </w:rPr>
            </w:pPr>
            <w:r>
              <w:t>-25,792.46</w:t>
            </w:r>
          </w:p>
        </w:tc>
        <w:tc>
          <w:tcPr>
            <w:tcW w:w="1114" w:type="pct"/>
            <w:tcBorders>
              <w:top w:val="outset" w:color="auto" w:sz="4" w:space="0"/>
              <w:left w:val="outset" w:color="auto" w:sz="4" w:space="0"/>
              <w:bottom w:val="outset" w:color="auto" w:sz="4" w:space="0"/>
              <w:right w:val="outset" w:color="auto" w:sz="4" w:space="0"/>
            </w:tcBorders>
            <w:vAlign w:val="center"/>
          </w:tcPr>
          <w:p w14:paraId="591B4193">
            <w:pPr>
              <w:jc w:val="right"/>
            </w:pPr>
            <w:r>
              <w:t>-1,051,415.15</w:t>
            </w:r>
          </w:p>
        </w:tc>
      </w:tr>
      <w:tr w14:paraId="7AAB6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0E38DF0">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资产减值损失（损失以“</w:t>
            </w:r>
            <w:r>
              <w:rPr>
                <w:color w:val="000000" w:themeColor="text1"/>
                <w14:textFill>
                  <w14:solidFill>
                    <w14:schemeClr w14:val="tx1"/>
                  </w14:solidFill>
                </w14:textFill>
              </w:rPr>
              <w:t>-”号填列）</w:t>
            </w:r>
          </w:p>
        </w:tc>
        <w:tc>
          <w:tcPr>
            <w:tcW w:w="838" w:type="pct"/>
            <w:tcBorders>
              <w:top w:val="outset" w:color="auto" w:sz="4" w:space="0"/>
              <w:left w:val="outset" w:color="auto" w:sz="4" w:space="0"/>
              <w:bottom w:val="outset" w:color="auto" w:sz="4" w:space="0"/>
              <w:right w:val="outset" w:color="auto" w:sz="4" w:space="0"/>
            </w:tcBorders>
            <w:vAlign w:val="center"/>
          </w:tcPr>
          <w:p w14:paraId="53AD7E2D"/>
        </w:tc>
        <w:tc>
          <w:tcPr>
            <w:tcW w:w="1110" w:type="pct"/>
            <w:tcBorders>
              <w:top w:val="outset" w:color="auto" w:sz="4" w:space="0"/>
              <w:left w:val="outset" w:color="auto" w:sz="4" w:space="0"/>
              <w:bottom w:val="outset" w:color="auto" w:sz="4" w:space="0"/>
              <w:right w:val="outset" w:color="auto" w:sz="4" w:space="0"/>
            </w:tcBorders>
            <w:vAlign w:val="center"/>
          </w:tcPr>
          <w:p w14:paraId="53D5CE20">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0AF9161B">
            <w:pPr>
              <w:jc w:val="right"/>
              <w:rPr>
                <w:rFonts w:eastAsia="Times New Roman" w:cs="Times New Roman"/>
                <w:sz w:val="20"/>
                <w:szCs w:val="20"/>
              </w:rPr>
            </w:pPr>
          </w:p>
        </w:tc>
      </w:tr>
      <w:tr w14:paraId="600703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6067057">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资产处置收益（损失以“－”号填列）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35135BAD"/>
        </w:tc>
        <w:tc>
          <w:tcPr>
            <w:tcW w:w="1110" w:type="pct"/>
            <w:tcBorders>
              <w:top w:val="outset" w:color="auto" w:sz="4" w:space="0"/>
              <w:left w:val="outset" w:color="auto" w:sz="4" w:space="0"/>
              <w:bottom w:val="outset" w:color="auto" w:sz="4" w:space="0"/>
              <w:right w:val="outset" w:color="auto" w:sz="4" w:space="0"/>
            </w:tcBorders>
            <w:vAlign w:val="center"/>
          </w:tcPr>
          <w:p w14:paraId="13B800B8">
            <w:pPr>
              <w:jc w:val="right"/>
              <w:rPr>
                <w:rFonts w:ascii="宋体" w:hAnsi="宋体"/>
                <w:sz w:val="24"/>
                <w:szCs w:val="24"/>
              </w:rPr>
            </w:pPr>
            <w:r>
              <w:t>592.92</w:t>
            </w:r>
          </w:p>
        </w:tc>
        <w:tc>
          <w:tcPr>
            <w:tcW w:w="1114" w:type="pct"/>
            <w:tcBorders>
              <w:top w:val="outset" w:color="auto" w:sz="4" w:space="0"/>
              <w:left w:val="outset" w:color="auto" w:sz="4" w:space="0"/>
              <w:bottom w:val="outset" w:color="auto" w:sz="4" w:space="0"/>
              <w:right w:val="outset" w:color="auto" w:sz="4" w:space="0"/>
            </w:tcBorders>
            <w:vAlign w:val="center"/>
          </w:tcPr>
          <w:p w14:paraId="162AC959">
            <w:pPr>
              <w:jc w:val="right"/>
            </w:pPr>
            <w:r>
              <w:t>306,710.89</w:t>
            </w:r>
          </w:p>
        </w:tc>
      </w:tr>
      <w:tr w14:paraId="53AC8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4EF3D04">
            <w:pPr>
              <w:rPr>
                <w:color w:val="000000" w:themeColor="text1"/>
                <w14:textFill>
                  <w14:solidFill>
                    <w14:schemeClr w14:val="tx1"/>
                  </w14:solidFill>
                </w14:textFill>
              </w:rPr>
            </w:pPr>
            <w:r>
              <w:rPr>
                <w:rFonts w:hint="eastAsia"/>
                <w:color w:val="000000" w:themeColor="text1"/>
                <w14:textFill>
                  <w14:solidFill>
                    <w14:schemeClr w14:val="tx1"/>
                  </w14:solidFill>
                </w14:textFill>
              </w:rPr>
              <w:t>二、营业利润（亏损以“－”号填列）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5FC773F4"/>
        </w:tc>
        <w:tc>
          <w:tcPr>
            <w:tcW w:w="1110" w:type="pct"/>
            <w:tcBorders>
              <w:top w:val="outset" w:color="auto" w:sz="4" w:space="0"/>
              <w:left w:val="outset" w:color="auto" w:sz="4" w:space="0"/>
              <w:bottom w:val="outset" w:color="auto" w:sz="4" w:space="0"/>
              <w:right w:val="outset" w:color="auto" w:sz="4" w:space="0"/>
            </w:tcBorders>
            <w:vAlign w:val="center"/>
          </w:tcPr>
          <w:p w14:paraId="771F4AC5">
            <w:pPr>
              <w:jc w:val="right"/>
            </w:pPr>
            <w:r>
              <w:t>154,511,039.56</w:t>
            </w:r>
          </w:p>
        </w:tc>
        <w:tc>
          <w:tcPr>
            <w:tcW w:w="1114" w:type="pct"/>
            <w:tcBorders>
              <w:top w:val="outset" w:color="auto" w:sz="4" w:space="0"/>
              <w:left w:val="outset" w:color="auto" w:sz="4" w:space="0"/>
              <w:bottom w:val="outset" w:color="auto" w:sz="4" w:space="0"/>
              <w:right w:val="outset" w:color="auto" w:sz="4" w:space="0"/>
            </w:tcBorders>
            <w:vAlign w:val="center"/>
          </w:tcPr>
          <w:p w14:paraId="0C62FD2C">
            <w:pPr>
              <w:jc w:val="right"/>
            </w:pPr>
            <w:r>
              <w:t>69,124,816.90</w:t>
            </w:r>
          </w:p>
        </w:tc>
      </w:tr>
      <w:tr w14:paraId="3E625F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E6CDA2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加：营业外收入</w:t>
            </w:r>
          </w:p>
        </w:tc>
        <w:tc>
          <w:tcPr>
            <w:tcW w:w="838" w:type="pct"/>
            <w:tcBorders>
              <w:top w:val="outset" w:color="auto" w:sz="4" w:space="0"/>
              <w:left w:val="outset" w:color="auto" w:sz="4" w:space="0"/>
              <w:bottom w:val="outset" w:color="auto" w:sz="4" w:space="0"/>
              <w:right w:val="outset" w:color="auto" w:sz="4" w:space="0"/>
            </w:tcBorders>
            <w:vAlign w:val="center"/>
          </w:tcPr>
          <w:p w14:paraId="4B7D4BF1"/>
        </w:tc>
        <w:tc>
          <w:tcPr>
            <w:tcW w:w="1110" w:type="pct"/>
            <w:tcBorders>
              <w:top w:val="outset" w:color="auto" w:sz="4" w:space="0"/>
              <w:left w:val="outset" w:color="auto" w:sz="4" w:space="0"/>
              <w:bottom w:val="outset" w:color="auto" w:sz="4" w:space="0"/>
              <w:right w:val="outset" w:color="auto" w:sz="4" w:space="0"/>
            </w:tcBorders>
            <w:vAlign w:val="center"/>
          </w:tcPr>
          <w:p w14:paraId="0B1C1949">
            <w:pPr>
              <w:jc w:val="right"/>
            </w:pPr>
            <w:r>
              <w:t>69,965.45</w:t>
            </w:r>
          </w:p>
        </w:tc>
        <w:tc>
          <w:tcPr>
            <w:tcW w:w="1114" w:type="pct"/>
            <w:tcBorders>
              <w:top w:val="outset" w:color="auto" w:sz="4" w:space="0"/>
              <w:left w:val="outset" w:color="auto" w:sz="4" w:space="0"/>
              <w:bottom w:val="outset" w:color="auto" w:sz="4" w:space="0"/>
              <w:right w:val="outset" w:color="auto" w:sz="4" w:space="0"/>
            </w:tcBorders>
            <w:vAlign w:val="center"/>
          </w:tcPr>
          <w:p w14:paraId="24C2FA2A">
            <w:pPr>
              <w:jc w:val="right"/>
            </w:pPr>
            <w:r>
              <w:t>120,000.00</w:t>
            </w:r>
          </w:p>
        </w:tc>
      </w:tr>
      <w:tr w14:paraId="1B2507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9AA375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减：营业外支出</w:t>
            </w:r>
          </w:p>
        </w:tc>
        <w:tc>
          <w:tcPr>
            <w:tcW w:w="838" w:type="pct"/>
            <w:tcBorders>
              <w:top w:val="outset" w:color="auto" w:sz="4" w:space="0"/>
              <w:left w:val="outset" w:color="auto" w:sz="4" w:space="0"/>
              <w:bottom w:val="outset" w:color="auto" w:sz="4" w:space="0"/>
              <w:right w:val="outset" w:color="auto" w:sz="4" w:space="0"/>
            </w:tcBorders>
            <w:vAlign w:val="center"/>
          </w:tcPr>
          <w:p w14:paraId="2F1F8756"/>
        </w:tc>
        <w:tc>
          <w:tcPr>
            <w:tcW w:w="1110" w:type="pct"/>
            <w:tcBorders>
              <w:top w:val="outset" w:color="auto" w:sz="4" w:space="0"/>
              <w:left w:val="outset" w:color="auto" w:sz="4" w:space="0"/>
              <w:bottom w:val="outset" w:color="auto" w:sz="4" w:space="0"/>
              <w:right w:val="outset" w:color="auto" w:sz="4" w:space="0"/>
            </w:tcBorders>
            <w:vAlign w:val="center"/>
          </w:tcPr>
          <w:p w14:paraId="724400D9">
            <w:pPr>
              <w:jc w:val="right"/>
            </w:pPr>
            <w:r>
              <w:t>79,890.65</w:t>
            </w:r>
          </w:p>
        </w:tc>
        <w:tc>
          <w:tcPr>
            <w:tcW w:w="1114" w:type="pct"/>
            <w:tcBorders>
              <w:top w:val="outset" w:color="auto" w:sz="4" w:space="0"/>
              <w:left w:val="outset" w:color="auto" w:sz="4" w:space="0"/>
              <w:bottom w:val="outset" w:color="auto" w:sz="4" w:space="0"/>
              <w:right w:val="outset" w:color="auto" w:sz="4" w:space="0"/>
            </w:tcBorders>
            <w:vAlign w:val="center"/>
          </w:tcPr>
          <w:p w14:paraId="32C4A8B4">
            <w:pPr>
              <w:jc w:val="right"/>
            </w:pPr>
            <w:r>
              <w:t>260,664.30</w:t>
            </w:r>
          </w:p>
        </w:tc>
      </w:tr>
      <w:tr w14:paraId="6FCA49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B085D6C">
            <w:pPr>
              <w:rPr>
                <w:color w:val="000000" w:themeColor="text1"/>
                <w14:textFill>
                  <w14:solidFill>
                    <w14:schemeClr w14:val="tx1"/>
                  </w14:solidFill>
                </w14:textFill>
              </w:rPr>
            </w:pPr>
            <w:r>
              <w:rPr>
                <w:rFonts w:hint="eastAsia"/>
                <w:color w:val="000000" w:themeColor="text1"/>
                <w14:textFill>
                  <w14:solidFill>
                    <w14:schemeClr w14:val="tx1"/>
                  </w14:solidFill>
                </w14:textFill>
              </w:rPr>
              <w:t>三、利润总额（亏损总额以“－”号填列）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3CA3ED1A"/>
        </w:tc>
        <w:tc>
          <w:tcPr>
            <w:tcW w:w="1110" w:type="pct"/>
            <w:tcBorders>
              <w:top w:val="outset" w:color="auto" w:sz="4" w:space="0"/>
              <w:left w:val="outset" w:color="auto" w:sz="4" w:space="0"/>
              <w:bottom w:val="outset" w:color="auto" w:sz="4" w:space="0"/>
              <w:right w:val="outset" w:color="auto" w:sz="4" w:space="0"/>
            </w:tcBorders>
            <w:vAlign w:val="center"/>
          </w:tcPr>
          <w:p w14:paraId="7D215B94">
            <w:pPr>
              <w:jc w:val="right"/>
            </w:pPr>
            <w:r>
              <w:t>154,501,114.36</w:t>
            </w:r>
          </w:p>
        </w:tc>
        <w:tc>
          <w:tcPr>
            <w:tcW w:w="1114" w:type="pct"/>
            <w:tcBorders>
              <w:top w:val="outset" w:color="auto" w:sz="4" w:space="0"/>
              <w:left w:val="outset" w:color="auto" w:sz="4" w:space="0"/>
              <w:bottom w:val="outset" w:color="auto" w:sz="4" w:space="0"/>
              <w:right w:val="outset" w:color="auto" w:sz="4" w:space="0"/>
            </w:tcBorders>
            <w:vAlign w:val="center"/>
          </w:tcPr>
          <w:p w14:paraId="63C87FF5">
            <w:pPr>
              <w:jc w:val="right"/>
            </w:pPr>
            <w:r>
              <w:t>68,984,152.60</w:t>
            </w:r>
          </w:p>
        </w:tc>
      </w:tr>
      <w:tr w14:paraId="438F5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D74FBD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减：所得税费用</w:t>
            </w:r>
          </w:p>
        </w:tc>
        <w:tc>
          <w:tcPr>
            <w:tcW w:w="838" w:type="pct"/>
            <w:tcBorders>
              <w:top w:val="outset" w:color="auto" w:sz="4" w:space="0"/>
              <w:left w:val="outset" w:color="auto" w:sz="4" w:space="0"/>
              <w:bottom w:val="outset" w:color="auto" w:sz="4" w:space="0"/>
              <w:right w:val="outset" w:color="auto" w:sz="4" w:space="0"/>
            </w:tcBorders>
            <w:vAlign w:val="center"/>
          </w:tcPr>
          <w:p w14:paraId="2CF86DAE"/>
        </w:tc>
        <w:tc>
          <w:tcPr>
            <w:tcW w:w="1110" w:type="pct"/>
            <w:tcBorders>
              <w:top w:val="outset" w:color="auto" w:sz="4" w:space="0"/>
              <w:left w:val="outset" w:color="auto" w:sz="4" w:space="0"/>
              <w:bottom w:val="outset" w:color="auto" w:sz="4" w:space="0"/>
              <w:right w:val="outset" w:color="auto" w:sz="4" w:space="0"/>
            </w:tcBorders>
            <w:vAlign w:val="center"/>
          </w:tcPr>
          <w:p w14:paraId="500B23EB">
            <w:pPr>
              <w:jc w:val="right"/>
            </w:pPr>
            <w:r>
              <w:t>-180,342.44</w:t>
            </w:r>
          </w:p>
        </w:tc>
        <w:tc>
          <w:tcPr>
            <w:tcW w:w="1114" w:type="pct"/>
            <w:tcBorders>
              <w:top w:val="outset" w:color="auto" w:sz="4" w:space="0"/>
              <w:left w:val="outset" w:color="auto" w:sz="4" w:space="0"/>
              <w:bottom w:val="outset" w:color="auto" w:sz="4" w:space="0"/>
              <w:right w:val="outset" w:color="auto" w:sz="4" w:space="0"/>
            </w:tcBorders>
            <w:vAlign w:val="center"/>
          </w:tcPr>
          <w:p w14:paraId="432106EF">
            <w:pPr>
              <w:jc w:val="right"/>
            </w:pPr>
            <w:r>
              <w:t>-157,465.13</w:t>
            </w:r>
          </w:p>
        </w:tc>
      </w:tr>
      <w:tr w14:paraId="51C61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3CF486A">
            <w:pPr>
              <w:rPr>
                <w:color w:val="000000" w:themeColor="text1"/>
                <w14:textFill>
                  <w14:solidFill>
                    <w14:schemeClr w14:val="tx1"/>
                  </w14:solidFill>
                </w14:textFill>
              </w:rPr>
            </w:pPr>
            <w:r>
              <w:rPr>
                <w:rFonts w:hint="eastAsia"/>
                <w:color w:val="000000" w:themeColor="text1"/>
                <w14:textFill>
                  <w14:solidFill>
                    <w14:schemeClr w14:val="tx1"/>
                  </w14:solidFill>
                </w14:textFill>
              </w:rPr>
              <w:t>四、净利润（净亏损以“－”号填列）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4DC574D5"/>
        </w:tc>
        <w:tc>
          <w:tcPr>
            <w:tcW w:w="1110" w:type="pct"/>
            <w:tcBorders>
              <w:top w:val="outset" w:color="auto" w:sz="4" w:space="0"/>
              <w:left w:val="outset" w:color="auto" w:sz="4" w:space="0"/>
              <w:bottom w:val="outset" w:color="auto" w:sz="4" w:space="0"/>
              <w:right w:val="outset" w:color="auto" w:sz="4" w:space="0"/>
            </w:tcBorders>
            <w:vAlign w:val="center"/>
          </w:tcPr>
          <w:p w14:paraId="3448C731">
            <w:pPr>
              <w:jc w:val="right"/>
            </w:pPr>
            <w:r>
              <w:t>154,681,456.80</w:t>
            </w:r>
          </w:p>
        </w:tc>
        <w:tc>
          <w:tcPr>
            <w:tcW w:w="1114" w:type="pct"/>
            <w:tcBorders>
              <w:top w:val="outset" w:color="auto" w:sz="4" w:space="0"/>
              <w:left w:val="outset" w:color="auto" w:sz="4" w:space="0"/>
              <w:bottom w:val="outset" w:color="auto" w:sz="4" w:space="0"/>
              <w:right w:val="outset" w:color="auto" w:sz="4" w:space="0"/>
            </w:tcBorders>
            <w:vAlign w:val="center"/>
          </w:tcPr>
          <w:p w14:paraId="432D7752">
            <w:pPr>
              <w:jc w:val="right"/>
            </w:pPr>
            <w:r>
              <w:t>69,141,617.73</w:t>
            </w:r>
          </w:p>
        </w:tc>
      </w:tr>
      <w:tr w14:paraId="51EB13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470C83C1">
            <w:pPr>
              <w:ind w:firstLine="226" w:firstLineChars="108"/>
              <w:rPr>
                <w:color w:val="000000" w:themeColor="text1"/>
                <w14:textFill>
                  <w14:solidFill>
                    <w14:schemeClr w14:val="tx1"/>
                  </w14:solidFill>
                </w14:textFill>
              </w:rPr>
            </w:pPr>
            <w:r>
              <w:rPr>
                <w:rFonts w:hint="eastAsia"/>
                <w:color w:val="000000" w:themeColor="text1"/>
                <w14:textFill>
                  <w14:solidFill>
                    <w14:schemeClr w14:val="tx1"/>
                  </w14:solidFill>
                </w14:textFill>
              </w:rPr>
              <w:t>（一）</w:t>
            </w:r>
            <w:r>
              <w:rPr>
                <w:color w:val="000000" w:themeColor="text1"/>
                <w14:textFill>
                  <w14:solidFill>
                    <w14:schemeClr w14:val="tx1"/>
                  </w14:solidFill>
                </w14:textFill>
              </w:rPr>
              <w:t>持续经营净利润（净亏损以“－”号填列）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396C0404"/>
        </w:tc>
        <w:tc>
          <w:tcPr>
            <w:tcW w:w="1110" w:type="pct"/>
            <w:tcBorders>
              <w:top w:val="outset" w:color="auto" w:sz="4" w:space="0"/>
              <w:left w:val="outset" w:color="auto" w:sz="4" w:space="0"/>
              <w:bottom w:val="outset" w:color="auto" w:sz="4" w:space="0"/>
              <w:right w:val="outset" w:color="auto" w:sz="4" w:space="0"/>
            </w:tcBorders>
            <w:vAlign w:val="center"/>
          </w:tcPr>
          <w:p w14:paraId="71679A0A">
            <w:pPr>
              <w:jc w:val="right"/>
            </w:pPr>
            <w:r>
              <w:t>154,681,456.80</w:t>
            </w:r>
          </w:p>
        </w:tc>
        <w:tc>
          <w:tcPr>
            <w:tcW w:w="1114" w:type="pct"/>
            <w:tcBorders>
              <w:top w:val="outset" w:color="auto" w:sz="4" w:space="0"/>
              <w:left w:val="outset" w:color="auto" w:sz="4" w:space="0"/>
              <w:bottom w:val="outset" w:color="auto" w:sz="4" w:space="0"/>
              <w:right w:val="outset" w:color="auto" w:sz="4" w:space="0"/>
            </w:tcBorders>
            <w:vAlign w:val="center"/>
          </w:tcPr>
          <w:p w14:paraId="2CA00BEE">
            <w:pPr>
              <w:jc w:val="right"/>
            </w:pPr>
            <w:r>
              <w:t>69,141,617.73</w:t>
            </w:r>
          </w:p>
        </w:tc>
      </w:tr>
      <w:tr w14:paraId="45255C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B3F5FD4">
            <w:pPr>
              <w:ind w:firstLine="226" w:firstLineChars="108"/>
              <w:rPr>
                <w:color w:val="000000" w:themeColor="text1"/>
                <w14:textFill>
                  <w14:solidFill>
                    <w14:schemeClr w14:val="tx1"/>
                  </w14:solidFill>
                </w14:textFill>
              </w:rPr>
            </w:pPr>
            <w:r>
              <w:rPr>
                <w:rFonts w:hint="eastAsia"/>
                <w:color w:val="000000" w:themeColor="text1"/>
                <w14:textFill>
                  <w14:solidFill>
                    <w14:schemeClr w14:val="tx1"/>
                  </w14:solidFill>
                </w14:textFill>
              </w:rPr>
              <w:t>（二）终止经营净利润（净亏损以“－”号填列）</w:t>
            </w:r>
          </w:p>
        </w:tc>
        <w:tc>
          <w:tcPr>
            <w:tcW w:w="838" w:type="pct"/>
            <w:tcBorders>
              <w:top w:val="outset" w:color="auto" w:sz="4" w:space="0"/>
              <w:left w:val="outset" w:color="auto" w:sz="4" w:space="0"/>
              <w:bottom w:val="outset" w:color="auto" w:sz="4" w:space="0"/>
              <w:right w:val="outset" w:color="auto" w:sz="4" w:space="0"/>
            </w:tcBorders>
            <w:vAlign w:val="center"/>
          </w:tcPr>
          <w:p w14:paraId="5297456E"/>
        </w:tc>
        <w:tc>
          <w:tcPr>
            <w:tcW w:w="1110" w:type="pct"/>
            <w:tcBorders>
              <w:top w:val="outset" w:color="auto" w:sz="4" w:space="0"/>
              <w:left w:val="outset" w:color="auto" w:sz="4" w:space="0"/>
              <w:bottom w:val="outset" w:color="auto" w:sz="4" w:space="0"/>
              <w:right w:val="outset" w:color="auto" w:sz="4" w:space="0"/>
            </w:tcBorders>
            <w:vAlign w:val="center"/>
          </w:tcPr>
          <w:p w14:paraId="05EC26E3">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78C71514">
            <w:pPr>
              <w:jc w:val="right"/>
            </w:pPr>
          </w:p>
        </w:tc>
      </w:tr>
      <w:tr w14:paraId="7EB7F9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E85555D">
            <w:pPr>
              <w:rPr>
                <w:color w:val="000000" w:themeColor="text1"/>
                <w14:textFill>
                  <w14:solidFill>
                    <w14:schemeClr w14:val="tx1"/>
                  </w14:solidFill>
                </w14:textFill>
              </w:rPr>
            </w:pPr>
            <w:r>
              <w:rPr>
                <w:rFonts w:hint="eastAsia"/>
                <w:color w:val="000000" w:themeColor="text1"/>
                <w14:textFill>
                  <w14:solidFill>
                    <w14:schemeClr w14:val="tx1"/>
                  </w14:solidFill>
                </w14:textFill>
              </w:rPr>
              <w:t>五、其他综合收益的税后净额</w:t>
            </w:r>
          </w:p>
        </w:tc>
        <w:tc>
          <w:tcPr>
            <w:tcW w:w="838" w:type="pct"/>
            <w:tcBorders>
              <w:top w:val="outset" w:color="auto" w:sz="4" w:space="0"/>
              <w:left w:val="outset" w:color="auto" w:sz="4" w:space="0"/>
              <w:bottom w:val="outset" w:color="auto" w:sz="4" w:space="0"/>
              <w:right w:val="outset" w:color="auto" w:sz="4" w:space="0"/>
            </w:tcBorders>
            <w:vAlign w:val="center"/>
          </w:tcPr>
          <w:p w14:paraId="3BEF41F4"/>
        </w:tc>
        <w:tc>
          <w:tcPr>
            <w:tcW w:w="1110" w:type="pct"/>
            <w:tcBorders>
              <w:top w:val="outset" w:color="auto" w:sz="4" w:space="0"/>
              <w:left w:val="outset" w:color="auto" w:sz="4" w:space="0"/>
              <w:bottom w:val="outset" w:color="auto" w:sz="4" w:space="0"/>
              <w:right w:val="outset" w:color="auto" w:sz="4" w:space="0"/>
            </w:tcBorders>
            <w:vAlign w:val="center"/>
          </w:tcPr>
          <w:p w14:paraId="3031ACBD">
            <w:pPr>
              <w:jc w:val="right"/>
            </w:pPr>
            <w:r>
              <w:t>-25,474,626.09</w:t>
            </w:r>
          </w:p>
        </w:tc>
        <w:tc>
          <w:tcPr>
            <w:tcW w:w="1114" w:type="pct"/>
            <w:tcBorders>
              <w:top w:val="outset" w:color="auto" w:sz="4" w:space="0"/>
              <w:left w:val="outset" w:color="auto" w:sz="4" w:space="0"/>
              <w:bottom w:val="outset" w:color="auto" w:sz="4" w:space="0"/>
              <w:right w:val="outset" w:color="auto" w:sz="4" w:space="0"/>
            </w:tcBorders>
            <w:vAlign w:val="center"/>
          </w:tcPr>
          <w:p w14:paraId="1B4CAE5E">
            <w:pPr>
              <w:jc w:val="right"/>
            </w:pPr>
          </w:p>
        </w:tc>
      </w:tr>
      <w:tr w14:paraId="5B39D1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C3DA1D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（一）不能重分类进损益的其他综合收益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14:paraId="54298614"/>
        </w:tc>
        <w:tc>
          <w:tcPr>
            <w:tcW w:w="1110" w:type="pct"/>
            <w:tcBorders>
              <w:top w:val="outset" w:color="auto" w:sz="4" w:space="0"/>
              <w:left w:val="outset" w:color="auto" w:sz="4" w:space="0"/>
              <w:bottom w:val="outset" w:color="auto" w:sz="4" w:space="0"/>
              <w:right w:val="outset" w:color="auto" w:sz="4" w:space="0"/>
            </w:tcBorders>
            <w:vAlign w:val="center"/>
          </w:tcPr>
          <w:p w14:paraId="793803AD">
            <w:pPr>
              <w:jc w:val="right"/>
            </w:pPr>
            <w:r>
              <w:t>775,991.26</w:t>
            </w:r>
          </w:p>
        </w:tc>
        <w:tc>
          <w:tcPr>
            <w:tcW w:w="1114" w:type="pct"/>
            <w:tcBorders>
              <w:top w:val="outset" w:color="auto" w:sz="4" w:space="0"/>
              <w:left w:val="outset" w:color="auto" w:sz="4" w:space="0"/>
              <w:bottom w:val="outset" w:color="auto" w:sz="4" w:space="0"/>
              <w:right w:val="outset" w:color="auto" w:sz="4" w:space="0"/>
            </w:tcBorders>
            <w:vAlign w:val="center"/>
          </w:tcPr>
          <w:p w14:paraId="7CFBC09D">
            <w:pPr>
              <w:jc w:val="right"/>
            </w:pPr>
          </w:p>
        </w:tc>
      </w:tr>
      <w:tr w14:paraId="44A63E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9A14869">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1.重新计量设定受益计划变动额</w:t>
            </w:r>
          </w:p>
        </w:tc>
        <w:tc>
          <w:tcPr>
            <w:tcW w:w="838" w:type="pct"/>
            <w:tcBorders>
              <w:top w:val="outset" w:color="auto" w:sz="4" w:space="0"/>
              <w:left w:val="outset" w:color="auto" w:sz="4" w:space="0"/>
              <w:bottom w:val="outset" w:color="auto" w:sz="4" w:space="0"/>
              <w:right w:val="outset" w:color="auto" w:sz="4" w:space="0"/>
            </w:tcBorders>
            <w:vAlign w:val="center"/>
          </w:tcPr>
          <w:p w14:paraId="3DA8A336"/>
        </w:tc>
        <w:tc>
          <w:tcPr>
            <w:tcW w:w="1110" w:type="pct"/>
            <w:tcBorders>
              <w:top w:val="outset" w:color="auto" w:sz="4" w:space="0"/>
              <w:left w:val="outset" w:color="auto" w:sz="4" w:space="0"/>
              <w:bottom w:val="outset" w:color="auto" w:sz="4" w:space="0"/>
              <w:right w:val="outset" w:color="auto" w:sz="4" w:space="0"/>
            </w:tcBorders>
            <w:vAlign w:val="center"/>
          </w:tcPr>
          <w:p w14:paraId="44F03A47">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43208D34">
            <w:pPr>
              <w:jc w:val="right"/>
            </w:pPr>
          </w:p>
        </w:tc>
      </w:tr>
      <w:tr w14:paraId="313B7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48779BC8">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2.权益法下不能转损益的其他综合收益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14:paraId="2632CA05"/>
        </w:tc>
        <w:tc>
          <w:tcPr>
            <w:tcW w:w="1110" w:type="pct"/>
            <w:tcBorders>
              <w:top w:val="outset" w:color="auto" w:sz="4" w:space="0"/>
              <w:left w:val="outset" w:color="auto" w:sz="4" w:space="0"/>
              <w:bottom w:val="outset" w:color="auto" w:sz="4" w:space="0"/>
              <w:right w:val="outset" w:color="auto" w:sz="4" w:space="0"/>
            </w:tcBorders>
            <w:vAlign w:val="center"/>
          </w:tcPr>
          <w:p w14:paraId="09E15360">
            <w:pPr>
              <w:jc w:val="right"/>
            </w:pPr>
            <w:r>
              <w:t>775,991.26</w:t>
            </w:r>
          </w:p>
        </w:tc>
        <w:tc>
          <w:tcPr>
            <w:tcW w:w="1114" w:type="pct"/>
            <w:tcBorders>
              <w:top w:val="outset" w:color="auto" w:sz="4" w:space="0"/>
              <w:left w:val="outset" w:color="auto" w:sz="4" w:space="0"/>
              <w:bottom w:val="outset" w:color="auto" w:sz="4" w:space="0"/>
              <w:right w:val="outset" w:color="auto" w:sz="4" w:space="0"/>
            </w:tcBorders>
            <w:vAlign w:val="center"/>
          </w:tcPr>
          <w:p w14:paraId="4B63930C">
            <w:pPr>
              <w:jc w:val="right"/>
            </w:pPr>
          </w:p>
        </w:tc>
      </w:tr>
      <w:tr w14:paraId="1AFECB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B3D3F5F">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3.其他权益工具投资公允价值变动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14:paraId="74743918"/>
        </w:tc>
        <w:tc>
          <w:tcPr>
            <w:tcW w:w="1110" w:type="pct"/>
            <w:tcBorders>
              <w:top w:val="outset" w:color="auto" w:sz="4" w:space="0"/>
              <w:left w:val="outset" w:color="auto" w:sz="4" w:space="0"/>
              <w:bottom w:val="outset" w:color="auto" w:sz="4" w:space="0"/>
              <w:right w:val="outset" w:color="auto" w:sz="4" w:space="0"/>
            </w:tcBorders>
            <w:vAlign w:val="center"/>
          </w:tcPr>
          <w:p w14:paraId="0374F49F">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5BB52612">
            <w:pPr>
              <w:jc w:val="right"/>
            </w:pPr>
          </w:p>
        </w:tc>
      </w:tr>
      <w:tr w14:paraId="11FF1C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7A676C8">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4.企业自身信用风险公允价值变动</w:t>
            </w:r>
          </w:p>
        </w:tc>
        <w:tc>
          <w:tcPr>
            <w:tcW w:w="838" w:type="pct"/>
            <w:tcBorders>
              <w:top w:val="outset" w:color="auto" w:sz="4" w:space="0"/>
              <w:left w:val="outset" w:color="auto" w:sz="4" w:space="0"/>
              <w:bottom w:val="outset" w:color="auto" w:sz="4" w:space="0"/>
              <w:right w:val="outset" w:color="auto" w:sz="4" w:space="0"/>
            </w:tcBorders>
            <w:vAlign w:val="center"/>
          </w:tcPr>
          <w:p w14:paraId="11B29318"/>
        </w:tc>
        <w:tc>
          <w:tcPr>
            <w:tcW w:w="1110" w:type="pct"/>
            <w:tcBorders>
              <w:top w:val="outset" w:color="auto" w:sz="4" w:space="0"/>
              <w:left w:val="outset" w:color="auto" w:sz="4" w:space="0"/>
              <w:bottom w:val="outset" w:color="auto" w:sz="4" w:space="0"/>
              <w:right w:val="outset" w:color="auto" w:sz="4" w:space="0"/>
            </w:tcBorders>
            <w:vAlign w:val="center"/>
          </w:tcPr>
          <w:p w14:paraId="1B529B9F">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1C602698">
            <w:pPr>
              <w:jc w:val="right"/>
            </w:pPr>
          </w:p>
        </w:tc>
      </w:tr>
      <w:tr w14:paraId="75ABCA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7FCEBC0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（二）将重分类进损益的其他综合收益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14:paraId="1FC8349B"/>
        </w:tc>
        <w:tc>
          <w:tcPr>
            <w:tcW w:w="1110" w:type="pct"/>
            <w:tcBorders>
              <w:top w:val="outset" w:color="auto" w:sz="4" w:space="0"/>
              <w:left w:val="outset" w:color="auto" w:sz="4" w:space="0"/>
              <w:bottom w:val="outset" w:color="auto" w:sz="4" w:space="0"/>
              <w:right w:val="outset" w:color="auto" w:sz="4" w:space="0"/>
            </w:tcBorders>
            <w:vAlign w:val="center"/>
          </w:tcPr>
          <w:p w14:paraId="6362B04E">
            <w:pPr>
              <w:jc w:val="right"/>
            </w:pPr>
            <w:r>
              <w:t>-26,250,617.35</w:t>
            </w:r>
          </w:p>
        </w:tc>
        <w:tc>
          <w:tcPr>
            <w:tcW w:w="1114" w:type="pct"/>
            <w:tcBorders>
              <w:top w:val="outset" w:color="auto" w:sz="4" w:space="0"/>
              <w:left w:val="outset" w:color="auto" w:sz="4" w:space="0"/>
              <w:bottom w:val="outset" w:color="auto" w:sz="4" w:space="0"/>
              <w:right w:val="outset" w:color="auto" w:sz="4" w:space="0"/>
            </w:tcBorders>
            <w:vAlign w:val="center"/>
          </w:tcPr>
          <w:p w14:paraId="6C2DA871">
            <w:pPr>
              <w:jc w:val="right"/>
            </w:pPr>
          </w:p>
        </w:tc>
      </w:tr>
      <w:tr w14:paraId="4557D1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3D7C7880">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1.权益法下可转损益的其他综合收益</w:t>
            </w:r>
          </w:p>
        </w:tc>
        <w:tc>
          <w:tcPr>
            <w:tcW w:w="838" w:type="pct"/>
            <w:tcBorders>
              <w:top w:val="outset" w:color="auto" w:sz="4" w:space="0"/>
              <w:left w:val="outset" w:color="auto" w:sz="4" w:space="0"/>
              <w:bottom w:val="outset" w:color="auto" w:sz="4" w:space="0"/>
              <w:right w:val="outset" w:color="auto" w:sz="4" w:space="0"/>
            </w:tcBorders>
            <w:vAlign w:val="center"/>
          </w:tcPr>
          <w:p w14:paraId="289916BD"/>
        </w:tc>
        <w:tc>
          <w:tcPr>
            <w:tcW w:w="1110" w:type="pct"/>
            <w:tcBorders>
              <w:top w:val="outset" w:color="auto" w:sz="4" w:space="0"/>
              <w:left w:val="outset" w:color="auto" w:sz="4" w:space="0"/>
              <w:bottom w:val="outset" w:color="auto" w:sz="4" w:space="0"/>
              <w:right w:val="outset" w:color="auto" w:sz="4" w:space="0"/>
            </w:tcBorders>
            <w:vAlign w:val="center"/>
          </w:tcPr>
          <w:p w14:paraId="1A4AEDD9">
            <w:pPr>
              <w:jc w:val="right"/>
            </w:pPr>
            <w:r>
              <w:t>-26,250,617.35</w:t>
            </w:r>
          </w:p>
        </w:tc>
        <w:tc>
          <w:tcPr>
            <w:tcW w:w="1114" w:type="pct"/>
            <w:tcBorders>
              <w:top w:val="outset" w:color="auto" w:sz="4" w:space="0"/>
              <w:left w:val="outset" w:color="auto" w:sz="4" w:space="0"/>
              <w:bottom w:val="outset" w:color="auto" w:sz="4" w:space="0"/>
              <w:right w:val="outset" w:color="auto" w:sz="4" w:space="0"/>
            </w:tcBorders>
            <w:vAlign w:val="center"/>
          </w:tcPr>
          <w:p w14:paraId="0F7E7560">
            <w:pPr>
              <w:jc w:val="right"/>
            </w:pPr>
          </w:p>
        </w:tc>
      </w:tr>
      <w:tr w14:paraId="76379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E5A0EBB">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2.其他债权投资公允价值变动</w:t>
            </w:r>
          </w:p>
        </w:tc>
        <w:tc>
          <w:tcPr>
            <w:tcW w:w="838" w:type="pct"/>
            <w:tcBorders>
              <w:top w:val="outset" w:color="auto" w:sz="4" w:space="0"/>
              <w:left w:val="outset" w:color="auto" w:sz="4" w:space="0"/>
              <w:bottom w:val="outset" w:color="auto" w:sz="4" w:space="0"/>
              <w:right w:val="outset" w:color="auto" w:sz="4" w:space="0"/>
            </w:tcBorders>
            <w:vAlign w:val="center"/>
          </w:tcPr>
          <w:p w14:paraId="49123B45"/>
        </w:tc>
        <w:tc>
          <w:tcPr>
            <w:tcW w:w="1110" w:type="pct"/>
            <w:tcBorders>
              <w:top w:val="outset" w:color="auto" w:sz="4" w:space="0"/>
              <w:left w:val="outset" w:color="auto" w:sz="4" w:space="0"/>
              <w:bottom w:val="outset" w:color="auto" w:sz="4" w:space="0"/>
              <w:right w:val="outset" w:color="auto" w:sz="4" w:space="0"/>
            </w:tcBorders>
            <w:vAlign w:val="center"/>
          </w:tcPr>
          <w:p w14:paraId="23134C37">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16589A96">
            <w:pPr>
              <w:jc w:val="right"/>
            </w:pPr>
          </w:p>
        </w:tc>
      </w:tr>
      <w:tr w14:paraId="7300B5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025A99A">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3.金融资产重分类计入其他综合收益的金额</w:t>
            </w:r>
          </w:p>
        </w:tc>
        <w:tc>
          <w:tcPr>
            <w:tcW w:w="838" w:type="pct"/>
            <w:tcBorders>
              <w:top w:val="outset" w:color="auto" w:sz="4" w:space="0"/>
              <w:left w:val="outset" w:color="auto" w:sz="4" w:space="0"/>
              <w:bottom w:val="outset" w:color="auto" w:sz="4" w:space="0"/>
              <w:right w:val="outset" w:color="auto" w:sz="4" w:space="0"/>
            </w:tcBorders>
            <w:vAlign w:val="center"/>
          </w:tcPr>
          <w:p w14:paraId="13A1CCDB"/>
        </w:tc>
        <w:tc>
          <w:tcPr>
            <w:tcW w:w="1110" w:type="pct"/>
            <w:tcBorders>
              <w:top w:val="outset" w:color="auto" w:sz="4" w:space="0"/>
              <w:left w:val="outset" w:color="auto" w:sz="4" w:space="0"/>
              <w:bottom w:val="outset" w:color="auto" w:sz="4" w:space="0"/>
              <w:right w:val="outset" w:color="auto" w:sz="4" w:space="0"/>
            </w:tcBorders>
            <w:vAlign w:val="center"/>
          </w:tcPr>
          <w:p w14:paraId="6B48D7AA">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579181D7">
            <w:pPr>
              <w:jc w:val="right"/>
            </w:pPr>
          </w:p>
        </w:tc>
      </w:tr>
      <w:tr w14:paraId="6D14A5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E76150B">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4.其他债权投资信用减值准备</w:t>
            </w:r>
          </w:p>
        </w:tc>
        <w:tc>
          <w:tcPr>
            <w:tcW w:w="838" w:type="pct"/>
            <w:tcBorders>
              <w:top w:val="outset" w:color="auto" w:sz="4" w:space="0"/>
              <w:left w:val="outset" w:color="auto" w:sz="4" w:space="0"/>
              <w:bottom w:val="outset" w:color="auto" w:sz="4" w:space="0"/>
              <w:right w:val="outset" w:color="auto" w:sz="4" w:space="0"/>
            </w:tcBorders>
            <w:vAlign w:val="center"/>
          </w:tcPr>
          <w:p w14:paraId="05647960"/>
        </w:tc>
        <w:tc>
          <w:tcPr>
            <w:tcW w:w="1110" w:type="pct"/>
            <w:tcBorders>
              <w:top w:val="outset" w:color="auto" w:sz="4" w:space="0"/>
              <w:left w:val="outset" w:color="auto" w:sz="4" w:space="0"/>
              <w:bottom w:val="outset" w:color="auto" w:sz="4" w:space="0"/>
              <w:right w:val="outset" w:color="auto" w:sz="4" w:space="0"/>
            </w:tcBorders>
            <w:vAlign w:val="center"/>
          </w:tcPr>
          <w:p w14:paraId="4981108B">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5D2B5B32">
            <w:pPr>
              <w:jc w:val="right"/>
            </w:pPr>
          </w:p>
        </w:tc>
      </w:tr>
      <w:tr w14:paraId="274FB0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D0304A7">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5.现金流量套期储备</w:t>
            </w:r>
          </w:p>
        </w:tc>
        <w:tc>
          <w:tcPr>
            <w:tcW w:w="838" w:type="pct"/>
            <w:tcBorders>
              <w:top w:val="outset" w:color="auto" w:sz="4" w:space="0"/>
              <w:left w:val="outset" w:color="auto" w:sz="4" w:space="0"/>
              <w:bottom w:val="outset" w:color="auto" w:sz="4" w:space="0"/>
              <w:right w:val="outset" w:color="auto" w:sz="4" w:space="0"/>
            </w:tcBorders>
            <w:vAlign w:val="center"/>
          </w:tcPr>
          <w:p w14:paraId="1D759D05"/>
        </w:tc>
        <w:tc>
          <w:tcPr>
            <w:tcW w:w="1110" w:type="pct"/>
            <w:tcBorders>
              <w:top w:val="outset" w:color="auto" w:sz="4" w:space="0"/>
              <w:left w:val="outset" w:color="auto" w:sz="4" w:space="0"/>
              <w:bottom w:val="outset" w:color="auto" w:sz="4" w:space="0"/>
              <w:right w:val="outset" w:color="auto" w:sz="4" w:space="0"/>
            </w:tcBorders>
            <w:vAlign w:val="center"/>
          </w:tcPr>
          <w:p w14:paraId="2594F67C">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3A5861C7">
            <w:pPr>
              <w:jc w:val="right"/>
            </w:pPr>
          </w:p>
        </w:tc>
      </w:tr>
      <w:tr w14:paraId="4A0C6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1F7A1E63">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6.外币财务报表折算差额</w:t>
            </w:r>
          </w:p>
        </w:tc>
        <w:tc>
          <w:tcPr>
            <w:tcW w:w="838" w:type="pct"/>
            <w:tcBorders>
              <w:top w:val="outset" w:color="auto" w:sz="4" w:space="0"/>
              <w:left w:val="outset" w:color="auto" w:sz="4" w:space="0"/>
              <w:bottom w:val="outset" w:color="auto" w:sz="4" w:space="0"/>
              <w:right w:val="outset" w:color="auto" w:sz="4" w:space="0"/>
            </w:tcBorders>
            <w:vAlign w:val="center"/>
          </w:tcPr>
          <w:p w14:paraId="650764DB"/>
        </w:tc>
        <w:tc>
          <w:tcPr>
            <w:tcW w:w="1110" w:type="pct"/>
            <w:tcBorders>
              <w:top w:val="outset" w:color="auto" w:sz="4" w:space="0"/>
              <w:left w:val="outset" w:color="auto" w:sz="4" w:space="0"/>
              <w:bottom w:val="outset" w:color="auto" w:sz="4" w:space="0"/>
              <w:right w:val="outset" w:color="auto" w:sz="4" w:space="0"/>
            </w:tcBorders>
            <w:vAlign w:val="center"/>
          </w:tcPr>
          <w:p w14:paraId="5A68BC54">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7FBEC2CA">
            <w:pPr>
              <w:jc w:val="right"/>
            </w:pPr>
          </w:p>
        </w:tc>
      </w:tr>
      <w:tr w14:paraId="3159B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0DCC64EC">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7.其他</w:t>
            </w:r>
          </w:p>
        </w:tc>
        <w:tc>
          <w:tcPr>
            <w:tcW w:w="838" w:type="pct"/>
            <w:tcBorders>
              <w:top w:val="outset" w:color="auto" w:sz="4" w:space="0"/>
              <w:left w:val="outset" w:color="auto" w:sz="4" w:space="0"/>
              <w:bottom w:val="outset" w:color="auto" w:sz="4" w:space="0"/>
              <w:right w:val="outset" w:color="auto" w:sz="4" w:space="0"/>
            </w:tcBorders>
            <w:vAlign w:val="center"/>
          </w:tcPr>
          <w:p w14:paraId="51D27FAA"/>
        </w:tc>
        <w:tc>
          <w:tcPr>
            <w:tcW w:w="1110" w:type="pct"/>
            <w:tcBorders>
              <w:top w:val="outset" w:color="auto" w:sz="4" w:space="0"/>
              <w:left w:val="outset" w:color="auto" w:sz="4" w:space="0"/>
              <w:bottom w:val="outset" w:color="auto" w:sz="4" w:space="0"/>
              <w:right w:val="outset" w:color="auto" w:sz="4" w:space="0"/>
            </w:tcBorders>
            <w:vAlign w:val="center"/>
          </w:tcPr>
          <w:p w14:paraId="475119AF">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3EFC8FF5">
            <w:pPr>
              <w:jc w:val="right"/>
            </w:pPr>
          </w:p>
        </w:tc>
      </w:tr>
      <w:tr w14:paraId="34F12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2B98DB98">
            <w:pPr>
              <w:rPr>
                <w:color w:val="000000" w:themeColor="text1"/>
                <w14:textFill>
                  <w14:solidFill>
                    <w14:schemeClr w14:val="tx1"/>
                  </w14:solidFill>
                </w14:textFill>
              </w:rPr>
            </w:pPr>
            <w:r>
              <w:rPr>
                <w:rFonts w:hint="eastAsia"/>
                <w:color w:val="000000" w:themeColor="text1"/>
                <w14:textFill>
                  <w14:solidFill>
                    <w14:schemeClr w14:val="tx1"/>
                  </w14:solidFill>
                </w14:textFill>
              </w:rPr>
              <w:t>六、综合收益总额</w:t>
            </w:r>
          </w:p>
        </w:tc>
        <w:tc>
          <w:tcPr>
            <w:tcW w:w="838" w:type="pct"/>
            <w:tcBorders>
              <w:top w:val="outset" w:color="auto" w:sz="4" w:space="0"/>
              <w:left w:val="outset" w:color="auto" w:sz="4" w:space="0"/>
              <w:bottom w:val="outset" w:color="auto" w:sz="4" w:space="0"/>
              <w:right w:val="outset" w:color="auto" w:sz="4" w:space="0"/>
            </w:tcBorders>
            <w:vAlign w:val="center"/>
          </w:tcPr>
          <w:p w14:paraId="73EA2BD8"/>
        </w:tc>
        <w:tc>
          <w:tcPr>
            <w:tcW w:w="1110" w:type="pct"/>
            <w:tcBorders>
              <w:top w:val="outset" w:color="auto" w:sz="4" w:space="0"/>
              <w:left w:val="outset" w:color="auto" w:sz="4" w:space="0"/>
              <w:bottom w:val="outset" w:color="auto" w:sz="4" w:space="0"/>
              <w:right w:val="outset" w:color="auto" w:sz="4" w:space="0"/>
            </w:tcBorders>
            <w:vAlign w:val="center"/>
          </w:tcPr>
          <w:p w14:paraId="1D95F6A8">
            <w:pPr>
              <w:jc w:val="right"/>
            </w:pPr>
            <w:r>
              <w:rPr>
                <w:rFonts w:hint="eastAsia"/>
              </w:rPr>
              <w:t>129,206,830.71</w:t>
            </w:r>
          </w:p>
        </w:tc>
        <w:tc>
          <w:tcPr>
            <w:tcW w:w="1114" w:type="pct"/>
            <w:tcBorders>
              <w:top w:val="outset" w:color="auto" w:sz="4" w:space="0"/>
              <w:left w:val="outset" w:color="auto" w:sz="4" w:space="0"/>
              <w:bottom w:val="outset" w:color="auto" w:sz="4" w:space="0"/>
              <w:right w:val="outset" w:color="auto" w:sz="4" w:space="0"/>
            </w:tcBorders>
            <w:vAlign w:val="center"/>
          </w:tcPr>
          <w:p w14:paraId="306253E7">
            <w:pPr>
              <w:jc w:val="right"/>
            </w:pPr>
            <w:r>
              <w:rPr>
                <w:rFonts w:hint="eastAsia"/>
              </w:rPr>
              <w:t>69,141,617.73</w:t>
            </w:r>
          </w:p>
        </w:tc>
      </w:tr>
      <w:tr w14:paraId="32835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02a225367d84b88a766d8daaf22e468"/>
            <w:id w:val="1988124523"/>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2C4BA929">
                <w:pPr>
                  <w:rPr>
                    <w:color w:val="000000" w:themeColor="text1"/>
                    <w14:textFill>
                      <w14:solidFill>
                        <w14:schemeClr w14:val="tx1"/>
                      </w14:solidFill>
                    </w14:textFill>
                  </w:rPr>
                </w:pPr>
                <w:r>
                  <w:rPr>
                    <w:rFonts w:hint="eastAsia"/>
                    <w:color w:val="000000" w:themeColor="text1"/>
                    <w14:textFill>
                      <w14:solidFill>
                        <w14:schemeClr w14:val="tx1"/>
                      </w14:solidFill>
                    </w14:textFill>
                  </w:rPr>
                  <w:t>七</w:t>
                </w:r>
                <w:r>
                  <w:rPr>
                    <w:color w:val="000000" w:themeColor="text1"/>
                    <w14:textFill>
                      <w14:solidFill>
                        <w14:schemeClr w14:val="tx1"/>
                      </w14:solidFill>
                    </w14:textFill>
                  </w:rPr>
                  <w:t>、每股收益：</w:t>
                </w:r>
              </w:p>
            </w:tc>
          </w:sdtContent>
        </w:sdt>
      </w:tr>
      <w:tr w14:paraId="16F50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5FD8473F">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（一）基本每股收益</w:t>
            </w:r>
            <w:r>
              <w:rPr>
                <w:rFonts w:hint="eastAsia"/>
                <w:color w:val="000000" w:themeColor="text1"/>
                <w14:textFill>
                  <w14:solidFill>
                    <w14:schemeClr w14:val="tx1"/>
                  </w14:solidFill>
                </w14:textFill>
              </w:rPr>
              <w:t>(元/股)</w:t>
            </w:r>
          </w:p>
        </w:tc>
        <w:tc>
          <w:tcPr>
            <w:tcW w:w="838" w:type="pct"/>
            <w:tcBorders>
              <w:top w:val="outset" w:color="auto" w:sz="4" w:space="0"/>
              <w:left w:val="outset" w:color="auto" w:sz="4" w:space="0"/>
              <w:bottom w:val="outset" w:color="auto" w:sz="4" w:space="0"/>
              <w:right w:val="outset" w:color="auto" w:sz="4" w:space="0"/>
            </w:tcBorders>
            <w:vAlign w:val="center"/>
          </w:tcPr>
          <w:p w14:paraId="58CBA3FE"/>
        </w:tc>
        <w:tc>
          <w:tcPr>
            <w:tcW w:w="1110" w:type="pct"/>
            <w:tcBorders>
              <w:top w:val="outset" w:color="auto" w:sz="4" w:space="0"/>
              <w:left w:val="outset" w:color="auto" w:sz="4" w:space="0"/>
              <w:bottom w:val="outset" w:color="auto" w:sz="4" w:space="0"/>
              <w:right w:val="outset" w:color="auto" w:sz="4" w:space="0"/>
            </w:tcBorders>
            <w:vAlign w:val="center"/>
          </w:tcPr>
          <w:p w14:paraId="1C00EF5C">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24FF8C2A">
            <w:pPr>
              <w:jc w:val="right"/>
            </w:pPr>
          </w:p>
        </w:tc>
      </w:tr>
      <w:tr w14:paraId="5CF142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p w14:paraId="6027A766">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（二）稀释每股收益</w:t>
            </w:r>
            <w:r>
              <w:rPr>
                <w:rFonts w:hint="eastAsia"/>
                <w:color w:val="000000" w:themeColor="text1"/>
                <w14:textFill>
                  <w14:solidFill>
                    <w14:schemeClr w14:val="tx1"/>
                  </w14:solidFill>
                </w14:textFill>
              </w:rPr>
              <w:t>(元/股)</w:t>
            </w:r>
          </w:p>
        </w:tc>
        <w:tc>
          <w:tcPr>
            <w:tcW w:w="838" w:type="pct"/>
            <w:tcBorders>
              <w:top w:val="outset" w:color="auto" w:sz="4" w:space="0"/>
              <w:left w:val="outset" w:color="auto" w:sz="4" w:space="0"/>
              <w:bottom w:val="outset" w:color="auto" w:sz="4" w:space="0"/>
              <w:right w:val="outset" w:color="auto" w:sz="4" w:space="0"/>
            </w:tcBorders>
            <w:vAlign w:val="center"/>
          </w:tcPr>
          <w:p w14:paraId="0EDD475E"/>
        </w:tc>
        <w:tc>
          <w:tcPr>
            <w:tcW w:w="1110" w:type="pct"/>
            <w:tcBorders>
              <w:top w:val="outset" w:color="auto" w:sz="4" w:space="0"/>
              <w:left w:val="outset" w:color="auto" w:sz="4" w:space="0"/>
              <w:bottom w:val="outset" w:color="auto" w:sz="4" w:space="0"/>
              <w:right w:val="outset" w:color="auto" w:sz="4" w:space="0"/>
            </w:tcBorders>
            <w:vAlign w:val="center"/>
          </w:tcPr>
          <w:p w14:paraId="7E12D46E">
            <w:pPr>
              <w:jc w:val="right"/>
            </w:pPr>
          </w:p>
        </w:tc>
        <w:tc>
          <w:tcPr>
            <w:tcW w:w="1114" w:type="pct"/>
            <w:tcBorders>
              <w:top w:val="outset" w:color="auto" w:sz="4" w:space="0"/>
              <w:left w:val="outset" w:color="auto" w:sz="4" w:space="0"/>
              <w:bottom w:val="outset" w:color="auto" w:sz="4" w:space="0"/>
              <w:right w:val="outset" w:color="auto" w:sz="4" w:space="0"/>
            </w:tcBorders>
            <w:vAlign w:val="center"/>
          </w:tcPr>
          <w:p w14:paraId="0580F922">
            <w:pPr>
              <w:jc w:val="right"/>
            </w:pPr>
          </w:p>
        </w:tc>
      </w:tr>
    </w:tbl>
    <w:p w14:paraId="735FA23D">
      <w:pPr>
        <w:rPr>
          <w:color w:val="000000" w:themeColor="text1"/>
          <w14:textFill>
            <w14:solidFill>
              <w14:schemeClr w14:val="tx1"/>
            </w14:solidFill>
          </w14:textFill>
        </w:rPr>
      </w:pPr>
    </w:p>
    <w:p w14:paraId="7FE4BB0B">
      <w:pPr>
        <w:snapToGrid w:val="0"/>
        <w:spacing w:line="240" w:lineRule="atLeast"/>
        <w:ind w:right="-153" w:rightChars="-73"/>
        <w:rPr>
          <w:rFonts w:cs="宋体-方正超大字符集"/>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6be9c51ef68a40f0b60486f4414f2413"/>
          <w:id w:val="-439680832"/>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印奇</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ac91a6c67f0a401ab312a449bd87b833"/>
          <w:id w:val="112873414"/>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黄强</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60f6b900783346cfad817de4d84acf5e"/>
          <w:id w:val="-1466266004"/>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徐衬</w:t>
          </w:r>
        </w:sdtContent>
      </w:sdt>
    </w:p>
    <w:p w14:paraId="1235A7D1">
      <w:pPr>
        <w:snapToGrid w:val="0"/>
        <w:spacing w:line="240" w:lineRule="atLeast"/>
        <w:ind w:right="-153" w:rightChars="-73"/>
        <w:rPr>
          <w:b/>
          <w:bCs/>
          <w:color w:val="000000" w:themeColor="text1"/>
          <w14:textFill>
            <w14:solidFill>
              <w14:schemeClr w14:val="tx1"/>
            </w14:solidFill>
          </w14:textFill>
        </w:rPr>
      </w:pPr>
    </w:p>
    <w:bookmarkEnd w:id="110"/>
    <w:p w14:paraId="5745C748">
      <w:pPr>
        <w:rPr>
          <w:color w:val="000000" w:themeColor="text1"/>
          <w14:textFill>
            <w14:solidFill>
              <w14:schemeClr w14:val="tx1"/>
            </w14:solidFill>
          </w14:textFill>
        </w:rPr>
      </w:pPr>
      <w:bookmarkStart w:id="112" w:name="_Hlk10211424"/>
      <w:bookmarkEnd w:id="112"/>
    </w:p>
    <w:p w14:paraId="432F169C">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48062DF4">
      <w:pPr>
        <w:rPr>
          <w:color w:val="000000" w:themeColor="text1"/>
          <w14:textFill>
            <w14:solidFill>
              <w14:schemeClr w14:val="tx1"/>
            </w14:solidFill>
          </w14:textFill>
        </w:rPr>
      </w:pPr>
    </w:p>
    <w:p w14:paraId="3DB2FAC0">
      <w:pPr>
        <w:pStyle w:val="4"/>
        <w:jc w:val="center"/>
        <w:rPr>
          <w:rFonts w:ascii="宋体" w:hAnsi="宋体"/>
          <w:color w:val="000000" w:themeColor="text1"/>
          <w14:textFill>
            <w14:solidFill>
              <w14:schemeClr w14:val="tx1"/>
            </w14:solidFill>
          </w14:textFill>
        </w:rPr>
      </w:pPr>
      <w:bookmarkStart w:id="113" w:name="_Hlk10211590"/>
      <w:r>
        <w:rPr>
          <w:rFonts w:hint="eastAsia" w:ascii="宋体" w:hAnsi="宋体"/>
          <w:color w:val="000000" w:themeColor="text1"/>
          <w14:textFill>
            <w14:solidFill>
              <w14:schemeClr w14:val="tx1"/>
            </w14:solidFill>
          </w14:textFill>
        </w:rPr>
        <w:t>合并</w:t>
      </w:r>
      <w:r>
        <w:rPr>
          <w:rFonts w:ascii="宋体" w:hAnsi="宋体"/>
          <w:color w:val="000000" w:themeColor="text1"/>
          <w14:textFill>
            <w14:solidFill>
              <w14:schemeClr w14:val="tx1"/>
            </w14:solidFill>
          </w14:textFill>
        </w:rPr>
        <w:t>现金流量表</w:t>
      </w:r>
    </w:p>
    <w:p w14:paraId="1B4B9936">
      <w:pPr>
        <w:jc w:val="center"/>
        <w:rPr>
          <w:b/>
          <w:bCs/>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74B76118">
      <w:pPr>
        <w:jc w:val="right"/>
        <w:rPr>
          <w:color w:val="000000" w:themeColor="text1"/>
          <w14:textFill>
            <w14:solidFill>
              <w14:schemeClr w14:val="tx1"/>
            </w14:solidFill>
          </w14:textFill>
        </w:rPr>
      </w:pPr>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单位：合并现金流量表"/>
          <w:tag w:val="_GBC_7049413ddb8f4e5eac9cb9fb4f802433"/>
          <w:id w:val="3688778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币种：合并现金流量表"/>
          <w:tag w:val="_GBC_5ab1c6e244484b228b8cdc6ee3840fd6"/>
          <w:id w:val="1597460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2"/>
        <w:gridCol w:w="1795"/>
        <w:gridCol w:w="1944"/>
        <w:gridCol w:w="2168"/>
      </w:tblGrid>
      <w:tr w14:paraId="136D13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a3b6af3ab824e2db1022630f7a58e18"/>
            <w:id w:val="-844007466"/>
          </w:sdtPr>
          <w:sdtContent>
            <w:tc>
              <w:tcPr>
                <w:tcW w:w="1736" w:type="pct"/>
                <w:tcBorders>
                  <w:top w:val="outset" w:color="auto" w:sz="4" w:space="0"/>
                  <w:left w:val="outset" w:color="auto" w:sz="4" w:space="0"/>
                  <w:bottom w:val="outset" w:color="auto" w:sz="4" w:space="0"/>
                  <w:right w:val="outset" w:color="auto" w:sz="4" w:space="0"/>
                </w:tcBorders>
                <w:vAlign w:val="center"/>
              </w:tcPr>
              <w:p w14:paraId="5BBC398F">
                <w:pPr>
                  <w:jc w:val="center"/>
                  <w:rPr>
                    <w:b/>
                    <w:bCs/>
                    <w:color w:val="000000" w:themeColor="text1"/>
                    <w14:textFill>
                      <w14:solidFill>
                        <w14:schemeClr w14:val="tx1"/>
                      </w14:solidFill>
                    </w14:textFill>
                  </w:rPr>
                </w:pPr>
                <w:r>
                  <w:rPr>
                    <w:b/>
                    <w:color w:val="000000" w:themeColor="text1"/>
                    <w14:textFill>
                      <w14:solidFill>
                        <w14:schemeClr w14:val="tx1"/>
                      </w14:solidFill>
                    </w14:textFill>
                  </w:rPr>
                  <w:t>项目</w:t>
                </w:r>
              </w:p>
            </w:tc>
          </w:sdtContent>
        </w:sdt>
        <w:sdt>
          <w:sdtPr>
            <w:tag w:val="_PLD_49df1a6f5a224085bdcd56671a898d47"/>
            <w:id w:val="-1760129167"/>
          </w:sdtPr>
          <w:sdtContent>
            <w:tc>
              <w:tcPr>
                <w:tcW w:w="992" w:type="pct"/>
                <w:tcBorders>
                  <w:top w:val="outset" w:color="auto" w:sz="4" w:space="0"/>
                  <w:left w:val="outset" w:color="auto" w:sz="4" w:space="0"/>
                  <w:bottom w:val="outset" w:color="auto" w:sz="4" w:space="0"/>
                  <w:right w:val="outset" w:color="auto" w:sz="4" w:space="0"/>
                </w:tcBorders>
                <w:vAlign w:val="center"/>
              </w:tcPr>
              <w:p w14:paraId="101D1553">
                <w:pPr>
                  <w:jc w:val="center"/>
                  <w:rPr>
                    <w:b/>
                    <w:color w:val="000000" w:themeColor="text1"/>
                    <w14:textFill>
                      <w14:solidFill>
                        <w14:schemeClr w14:val="tx1"/>
                      </w14:solidFill>
                    </w14:textFill>
                  </w:rPr>
                </w:pPr>
                <w:r>
                  <w:rPr>
                    <w:b/>
                    <w:color w:val="000000" w:themeColor="text1"/>
                    <w14:textFill>
                      <w14:solidFill>
                        <w14:schemeClr w14:val="tx1"/>
                      </w14:solidFill>
                    </w14:textFill>
                  </w:rPr>
                  <w:t>附注</w:t>
                </w:r>
              </w:p>
            </w:tc>
          </w:sdtContent>
        </w:sdt>
        <w:sdt>
          <w:sdtPr>
            <w:tag w:val="_PLD_aba5e14092764f689b78fdbe9892bc51"/>
            <w:id w:val="1114940474"/>
          </w:sdtPr>
          <w:sdtContent>
            <w:tc>
              <w:tcPr>
                <w:tcW w:w="1074" w:type="pct"/>
                <w:tcBorders>
                  <w:top w:val="outset" w:color="auto" w:sz="4" w:space="0"/>
                  <w:left w:val="outset" w:color="auto" w:sz="4" w:space="0"/>
                  <w:bottom w:val="outset" w:color="auto" w:sz="4" w:space="0"/>
                  <w:right w:val="outset" w:color="auto" w:sz="4" w:space="0"/>
                </w:tcBorders>
                <w:vAlign w:val="center"/>
              </w:tcPr>
              <w:p w14:paraId="11F1A466">
                <w:pPr>
                  <w:autoSpaceDE w:val="0"/>
                  <w:autoSpaceDN w:val="0"/>
                  <w:adjustRightInd w:val="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2025年半年度</w:t>
                </w:r>
              </w:p>
            </w:tc>
          </w:sdtContent>
        </w:sdt>
        <w:sdt>
          <w:sdtPr>
            <w:tag w:val="_PLD_8cac70c6f00c4266a9b8cff482cc71cc"/>
            <w:id w:val="-1351176880"/>
          </w:sdtPr>
          <w:sdtContent>
            <w:tc>
              <w:tcPr>
                <w:tcW w:w="1198" w:type="pct"/>
                <w:tcBorders>
                  <w:top w:val="outset" w:color="auto" w:sz="4" w:space="0"/>
                  <w:left w:val="outset" w:color="auto" w:sz="4" w:space="0"/>
                  <w:bottom w:val="outset" w:color="auto" w:sz="4" w:space="0"/>
                  <w:right w:val="outset" w:color="auto" w:sz="4" w:space="0"/>
                </w:tcBorders>
                <w:vAlign w:val="center"/>
              </w:tcPr>
              <w:p w14:paraId="7463FCBF">
                <w:pPr>
                  <w:autoSpaceDE w:val="0"/>
                  <w:autoSpaceDN w:val="0"/>
                  <w:adjustRightInd w:val="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2024年半年度</w:t>
                </w:r>
              </w:p>
            </w:tc>
          </w:sdtContent>
        </w:sdt>
      </w:tr>
      <w:tr w14:paraId="5865DE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fd119a1ffa641c1a00397806a78ee23"/>
            <w:id w:val="784851928"/>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58832C14">
                <w:pPr>
                  <w:rPr>
                    <w:color w:val="000000" w:themeColor="text1"/>
                    <w14:textFill>
                      <w14:solidFill>
                        <w14:schemeClr w14:val="tx1"/>
                      </w14:solidFill>
                    </w14:textFill>
                  </w:rPr>
                </w:pPr>
                <w:r>
                  <w:rPr>
                    <w:rFonts w:hint="eastAsia"/>
                    <w:b/>
                    <w:color w:val="000000" w:themeColor="text1"/>
                    <w14:textFill>
                      <w14:solidFill>
                        <w14:schemeClr w14:val="tx1"/>
                      </w14:solidFill>
                    </w14:textFill>
                  </w:rPr>
                  <w:t>一、经营活动产生的现金流量：</w:t>
                </w:r>
              </w:p>
            </w:tc>
          </w:sdtContent>
        </w:sdt>
      </w:tr>
      <w:tr w14:paraId="28289D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66D28FB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销售商品、提供劳务收到的现金</w:t>
            </w:r>
          </w:p>
        </w:tc>
        <w:tc>
          <w:tcPr>
            <w:tcW w:w="992" w:type="pct"/>
            <w:tcBorders>
              <w:top w:val="outset" w:color="auto" w:sz="4" w:space="0"/>
              <w:left w:val="outset" w:color="auto" w:sz="4" w:space="0"/>
              <w:bottom w:val="outset" w:color="auto" w:sz="4" w:space="0"/>
              <w:right w:val="outset" w:color="auto" w:sz="4" w:space="0"/>
            </w:tcBorders>
            <w:vAlign w:val="center"/>
          </w:tcPr>
          <w:p w14:paraId="34F9769A"/>
        </w:tc>
        <w:tc>
          <w:tcPr>
            <w:tcW w:w="1074" w:type="pct"/>
            <w:tcBorders>
              <w:top w:val="outset" w:color="auto" w:sz="4" w:space="0"/>
              <w:left w:val="outset" w:color="auto" w:sz="4" w:space="0"/>
              <w:bottom w:val="outset" w:color="auto" w:sz="4" w:space="0"/>
              <w:right w:val="outset" w:color="auto" w:sz="4" w:space="0"/>
            </w:tcBorders>
            <w:vAlign w:val="center"/>
          </w:tcPr>
          <w:p w14:paraId="5BA362F9">
            <w:pPr>
              <w:jc w:val="right"/>
            </w:pPr>
            <w:r>
              <w:t>4,224,041,572.95</w:t>
            </w:r>
          </w:p>
        </w:tc>
        <w:tc>
          <w:tcPr>
            <w:tcW w:w="1198" w:type="pct"/>
            <w:tcBorders>
              <w:top w:val="outset" w:color="auto" w:sz="4" w:space="0"/>
              <w:left w:val="outset" w:color="auto" w:sz="4" w:space="0"/>
              <w:bottom w:val="outset" w:color="auto" w:sz="4" w:space="0"/>
              <w:right w:val="outset" w:color="auto" w:sz="4" w:space="0"/>
            </w:tcBorders>
            <w:vAlign w:val="center"/>
          </w:tcPr>
          <w:p w14:paraId="532F0D95">
            <w:pPr>
              <w:jc w:val="right"/>
            </w:pPr>
            <w:r>
              <w:t>3,257,851,994.78</w:t>
            </w:r>
          </w:p>
        </w:tc>
      </w:tr>
      <w:tr w14:paraId="2D3486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529C24E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客户存款和同业存放款项净增加额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24EABE9C"/>
        </w:tc>
        <w:tc>
          <w:tcPr>
            <w:tcW w:w="1074" w:type="pct"/>
            <w:tcBorders>
              <w:top w:val="outset" w:color="auto" w:sz="4" w:space="0"/>
              <w:left w:val="outset" w:color="auto" w:sz="4" w:space="0"/>
              <w:bottom w:val="outset" w:color="auto" w:sz="4" w:space="0"/>
              <w:right w:val="outset" w:color="auto" w:sz="4" w:space="0"/>
            </w:tcBorders>
            <w:vAlign w:val="center"/>
          </w:tcPr>
          <w:p w14:paraId="0A1060FC">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3AA3465D">
            <w:pPr>
              <w:jc w:val="right"/>
            </w:pPr>
          </w:p>
        </w:tc>
      </w:tr>
      <w:tr w14:paraId="47AA2B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50C66A0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向中央银行借款净增加额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53105CA8"/>
        </w:tc>
        <w:tc>
          <w:tcPr>
            <w:tcW w:w="1074" w:type="pct"/>
            <w:tcBorders>
              <w:top w:val="outset" w:color="auto" w:sz="4" w:space="0"/>
              <w:left w:val="outset" w:color="auto" w:sz="4" w:space="0"/>
              <w:bottom w:val="outset" w:color="auto" w:sz="4" w:space="0"/>
              <w:right w:val="outset" w:color="auto" w:sz="4" w:space="0"/>
            </w:tcBorders>
            <w:vAlign w:val="center"/>
          </w:tcPr>
          <w:p w14:paraId="5B61E7BF">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68FCA20E">
            <w:pPr>
              <w:jc w:val="right"/>
            </w:pPr>
          </w:p>
        </w:tc>
      </w:tr>
      <w:tr w14:paraId="71D7E5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607028B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向其他金融机构拆入资金净增加额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43E1BD79"/>
        </w:tc>
        <w:tc>
          <w:tcPr>
            <w:tcW w:w="1074" w:type="pct"/>
            <w:tcBorders>
              <w:top w:val="outset" w:color="auto" w:sz="4" w:space="0"/>
              <w:left w:val="outset" w:color="auto" w:sz="4" w:space="0"/>
              <w:bottom w:val="outset" w:color="auto" w:sz="4" w:space="0"/>
              <w:right w:val="outset" w:color="auto" w:sz="4" w:space="0"/>
            </w:tcBorders>
            <w:vAlign w:val="center"/>
          </w:tcPr>
          <w:p w14:paraId="69B09DD6">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68A526CC">
            <w:pPr>
              <w:jc w:val="right"/>
            </w:pPr>
          </w:p>
        </w:tc>
      </w:tr>
      <w:tr w14:paraId="7132E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AF805D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收到原保险合同保费取得的现金</w:t>
            </w:r>
          </w:p>
        </w:tc>
        <w:tc>
          <w:tcPr>
            <w:tcW w:w="992" w:type="pct"/>
            <w:tcBorders>
              <w:top w:val="outset" w:color="auto" w:sz="4" w:space="0"/>
              <w:left w:val="outset" w:color="auto" w:sz="4" w:space="0"/>
              <w:bottom w:val="outset" w:color="auto" w:sz="4" w:space="0"/>
              <w:right w:val="outset" w:color="auto" w:sz="4" w:space="0"/>
            </w:tcBorders>
            <w:vAlign w:val="center"/>
          </w:tcPr>
          <w:p w14:paraId="2204CAB9"/>
        </w:tc>
        <w:tc>
          <w:tcPr>
            <w:tcW w:w="1074" w:type="pct"/>
            <w:tcBorders>
              <w:top w:val="outset" w:color="auto" w:sz="4" w:space="0"/>
              <w:left w:val="outset" w:color="auto" w:sz="4" w:space="0"/>
              <w:bottom w:val="outset" w:color="auto" w:sz="4" w:space="0"/>
              <w:right w:val="outset" w:color="auto" w:sz="4" w:space="0"/>
            </w:tcBorders>
            <w:vAlign w:val="center"/>
          </w:tcPr>
          <w:p w14:paraId="2679260E">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1DF6138E">
            <w:pPr>
              <w:jc w:val="right"/>
            </w:pPr>
          </w:p>
        </w:tc>
      </w:tr>
      <w:tr w14:paraId="6EA4E2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2075123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收到再保业务现金净额</w:t>
            </w:r>
          </w:p>
        </w:tc>
        <w:tc>
          <w:tcPr>
            <w:tcW w:w="992" w:type="pct"/>
            <w:tcBorders>
              <w:top w:val="outset" w:color="auto" w:sz="4" w:space="0"/>
              <w:left w:val="outset" w:color="auto" w:sz="4" w:space="0"/>
              <w:bottom w:val="outset" w:color="auto" w:sz="4" w:space="0"/>
              <w:right w:val="outset" w:color="auto" w:sz="4" w:space="0"/>
            </w:tcBorders>
            <w:vAlign w:val="center"/>
          </w:tcPr>
          <w:p w14:paraId="0619268F"/>
        </w:tc>
        <w:tc>
          <w:tcPr>
            <w:tcW w:w="1074" w:type="pct"/>
            <w:tcBorders>
              <w:top w:val="outset" w:color="auto" w:sz="4" w:space="0"/>
              <w:left w:val="outset" w:color="auto" w:sz="4" w:space="0"/>
              <w:bottom w:val="outset" w:color="auto" w:sz="4" w:space="0"/>
              <w:right w:val="outset" w:color="auto" w:sz="4" w:space="0"/>
            </w:tcBorders>
            <w:vAlign w:val="center"/>
          </w:tcPr>
          <w:p w14:paraId="3CFEE13B">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099541B6">
            <w:pPr>
              <w:jc w:val="right"/>
            </w:pPr>
          </w:p>
        </w:tc>
      </w:tr>
      <w:tr w14:paraId="0F1661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4E66407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保户储金及投资款净增加额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3ACB8CAF"/>
        </w:tc>
        <w:tc>
          <w:tcPr>
            <w:tcW w:w="1074" w:type="pct"/>
            <w:tcBorders>
              <w:top w:val="outset" w:color="auto" w:sz="4" w:space="0"/>
              <w:left w:val="outset" w:color="auto" w:sz="4" w:space="0"/>
              <w:bottom w:val="outset" w:color="auto" w:sz="4" w:space="0"/>
              <w:right w:val="outset" w:color="auto" w:sz="4" w:space="0"/>
            </w:tcBorders>
            <w:vAlign w:val="center"/>
          </w:tcPr>
          <w:p w14:paraId="63DBD882">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40B4717F">
            <w:pPr>
              <w:jc w:val="right"/>
            </w:pPr>
          </w:p>
        </w:tc>
      </w:tr>
      <w:tr w14:paraId="51104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86C124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收取利息、手续费及佣金的现金</w:t>
            </w:r>
          </w:p>
        </w:tc>
        <w:tc>
          <w:tcPr>
            <w:tcW w:w="992" w:type="pct"/>
            <w:tcBorders>
              <w:top w:val="outset" w:color="auto" w:sz="4" w:space="0"/>
              <w:left w:val="outset" w:color="auto" w:sz="4" w:space="0"/>
              <w:bottom w:val="outset" w:color="auto" w:sz="4" w:space="0"/>
              <w:right w:val="outset" w:color="auto" w:sz="4" w:space="0"/>
            </w:tcBorders>
            <w:vAlign w:val="center"/>
          </w:tcPr>
          <w:p w14:paraId="7CC1B5EA"/>
        </w:tc>
        <w:tc>
          <w:tcPr>
            <w:tcW w:w="1074" w:type="pct"/>
            <w:tcBorders>
              <w:top w:val="outset" w:color="auto" w:sz="4" w:space="0"/>
              <w:left w:val="outset" w:color="auto" w:sz="4" w:space="0"/>
              <w:bottom w:val="outset" w:color="auto" w:sz="4" w:space="0"/>
              <w:right w:val="outset" w:color="auto" w:sz="4" w:space="0"/>
            </w:tcBorders>
            <w:vAlign w:val="center"/>
          </w:tcPr>
          <w:p w14:paraId="1C90BA63">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13565584">
            <w:pPr>
              <w:jc w:val="right"/>
            </w:pPr>
          </w:p>
        </w:tc>
      </w:tr>
      <w:tr w14:paraId="65BC75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4BC75A6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拆入资金净增加额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6E645E51"/>
        </w:tc>
        <w:tc>
          <w:tcPr>
            <w:tcW w:w="1074" w:type="pct"/>
            <w:tcBorders>
              <w:top w:val="outset" w:color="auto" w:sz="4" w:space="0"/>
              <w:left w:val="outset" w:color="auto" w:sz="4" w:space="0"/>
              <w:bottom w:val="outset" w:color="auto" w:sz="4" w:space="0"/>
              <w:right w:val="outset" w:color="auto" w:sz="4" w:space="0"/>
            </w:tcBorders>
            <w:vAlign w:val="center"/>
          </w:tcPr>
          <w:p w14:paraId="7516AEBE">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37C2245C">
            <w:pPr>
              <w:jc w:val="right"/>
            </w:pPr>
          </w:p>
        </w:tc>
      </w:tr>
      <w:tr w14:paraId="2D0F9C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CEC330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回购业务资金净增加额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6E26C881"/>
        </w:tc>
        <w:tc>
          <w:tcPr>
            <w:tcW w:w="1074" w:type="pct"/>
            <w:tcBorders>
              <w:top w:val="outset" w:color="auto" w:sz="4" w:space="0"/>
              <w:left w:val="outset" w:color="auto" w:sz="4" w:space="0"/>
              <w:bottom w:val="outset" w:color="auto" w:sz="4" w:space="0"/>
              <w:right w:val="outset" w:color="auto" w:sz="4" w:space="0"/>
            </w:tcBorders>
            <w:vAlign w:val="center"/>
          </w:tcPr>
          <w:p w14:paraId="7EEE2DA1">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4F1137F7">
            <w:pPr>
              <w:jc w:val="right"/>
            </w:pPr>
          </w:p>
        </w:tc>
      </w:tr>
      <w:tr w14:paraId="152FCE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5BED0C65">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代理买卖证券收到的现金净额</w:t>
            </w:r>
          </w:p>
        </w:tc>
        <w:tc>
          <w:tcPr>
            <w:tcW w:w="992" w:type="pct"/>
            <w:tcBorders>
              <w:top w:val="outset" w:color="auto" w:sz="4" w:space="0"/>
              <w:left w:val="outset" w:color="auto" w:sz="4" w:space="0"/>
              <w:bottom w:val="outset" w:color="auto" w:sz="4" w:space="0"/>
              <w:right w:val="outset" w:color="auto" w:sz="4" w:space="0"/>
            </w:tcBorders>
            <w:vAlign w:val="center"/>
          </w:tcPr>
          <w:p w14:paraId="58B5E441"/>
        </w:tc>
        <w:tc>
          <w:tcPr>
            <w:tcW w:w="1074" w:type="pct"/>
            <w:tcBorders>
              <w:top w:val="outset" w:color="auto" w:sz="4" w:space="0"/>
              <w:left w:val="outset" w:color="auto" w:sz="4" w:space="0"/>
              <w:bottom w:val="outset" w:color="auto" w:sz="4" w:space="0"/>
              <w:right w:val="outset" w:color="auto" w:sz="4" w:space="0"/>
            </w:tcBorders>
            <w:vAlign w:val="center"/>
          </w:tcPr>
          <w:p w14:paraId="2A8820F8">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19B23A13">
            <w:pPr>
              <w:jc w:val="right"/>
            </w:pPr>
          </w:p>
        </w:tc>
      </w:tr>
      <w:tr w14:paraId="5D599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39FE54A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收到的税费返还</w:t>
            </w:r>
          </w:p>
        </w:tc>
        <w:tc>
          <w:tcPr>
            <w:tcW w:w="992" w:type="pct"/>
            <w:tcBorders>
              <w:top w:val="outset" w:color="auto" w:sz="4" w:space="0"/>
              <w:left w:val="outset" w:color="auto" w:sz="4" w:space="0"/>
              <w:bottom w:val="outset" w:color="auto" w:sz="4" w:space="0"/>
              <w:right w:val="outset" w:color="auto" w:sz="4" w:space="0"/>
            </w:tcBorders>
            <w:vAlign w:val="center"/>
          </w:tcPr>
          <w:p w14:paraId="1D4F3D64"/>
        </w:tc>
        <w:tc>
          <w:tcPr>
            <w:tcW w:w="1074" w:type="pct"/>
            <w:tcBorders>
              <w:top w:val="outset" w:color="auto" w:sz="4" w:space="0"/>
              <w:left w:val="outset" w:color="auto" w:sz="4" w:space="0"/>
              <w:bottom w:val="outset" w:color="auto" w:sz="4" w:space="0"/>
              <w:right w:val="outset" w:color="auto" w:sz="4" w:space="0"/>
            </w:tcBorders>
            <w:vAlign w:val="center"/>
          </w:tcPr>
          <w:p w14:paraId="2B69125C">
            <w:pPr>
              <w:jc w:val="right"/>
            </w:pPr>
            <w:r>
              <w:t>212,211,864.14</w:t>
            </w:r>
          </w:p>
        </w:tc>
        <w:tc>
          <w:tcPr>
            <w:tcW w:w="1198" w:type="pct"/>
            <w:tcBorders>
              <w:top w:val="outset" w:color="auto" w:sz="4" w:space="0"/>
              <w:left w:val="outset" w:color="auto" w:sz="4" w:space="0"/>
              <w:bottom w:val="outset" w:color="auto" w:sz="4" w:space="0"/>
              <w:right w:val="outset" w:color="auto" w:sz="4" w:space="0"/>
            </w:tcBorders>
            <w:vAlign w:val="center"/>
          </w:tcPr>
          <w:p w14:paraId="304251DE">
            <w:pPr>
              <w:jc w:val="right"/>
            </w:pPr>
            <w:r>
              <w:t>129,846,757.39</w:t>
            </w:r>
          </w:p>
        </w:tc>
      </w:tr>
      <w:tr w14:paraId="30FB65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6BAD109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收到其他与经营活动有关的现金</w:t>
            </w:r>
          </w:p>
        </w:tc>
        <w:tc>
          <w:tcPr>
            <w:tcW w:w="992" w:type="pct"/>
            <w:tcBorders>
              <w:top w:val="outset" w:color="auto" w:sz="4" w:space="0"/>
              <w:left w:val="outset" w:color="auto" w:sz="4" w:space="0"/>
              <w:bottom w:val="outset" w:color="auto" w:sz="4" w:space="0"/>
              <w:right w:val="outset" w:color="auto" w:sz="4" w:space="0"/>
            </w:tcBorders>
            <w:vAlign w:val="center"/>
          </w:tcPr>
          <w:p w14:paraId="1DC4D6DB">
            <w:r>
              <w:rPr>
                <w:rFonts w:hint="eastAsia"/>
              </w:rPr>
              <w:t>七、78</w:t>
            </w:r>
          </w:p>
        </w:tc>
        <w:tc>
          <w:tcPr>
            <w:tcW w:w="1074" w:type="pct"/>
            <w:tcBorders>
              <w:top w:val="outset" w:color="auto" w:sz="4" w:space="0"/>
              <w:left w:val="outset" w:color="auto" w:sz="4" w:space="0"/>
              <w:bottom w:val="outset" w:color="auto" w:sz="4" w:space="0"/>
              <w:right w:val="outset" w:color="auto" w:sz="4" w:space="0"/>
            </w:tcBorders>
            <w:vAlign w:val="center"/>
          </w:tcPr>
          <w:p w14:paraId="1C471355">
            <w:pPr>
              <w:jc w:val="right"/>
            </w:pPr>
            <w:r>
              <w:t>568,186,703.56</w:t>
            </w:r>
          </w:p>
        </w:tc>
        <w:tc>
          <w:tcPr>
            <w:tcW w:w="1198" w:type="pct"/>
            <w:tcBorders>
              <w:top w:val="outset" w:color="auto" w:sz="4" w:space="0"/>
              <w:left w:val="outset" w:color="auto" w:sz="4" w:space="0"/>
              <w:bottom w:val="outset" w:color="auto" w:sz="4" w:space="0"/>
              <w:right w:val="outset" w:color="auto" w:sz="4" w:space="0"/>
            </w:tcBorders>
            <w:vAlign w:val="center"/>
          </w:tcPr>
          <w:p w14:paraId="74F32633">
            <w:pPr>
              <w:jc w:val="right"/>
            </w:pPr>
            <w:r>
              <w:t>93,032,578.04</w:t>
            </w:r>
          </w:p>
        </w:tc>
      </w:tr>
      <w:tr w14:paraId="3D054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732A0070">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经营活动现金流入小计</w:t>
            </w:r>
          </w:p>
        </w:tc>
        <w:tc>
          <w:tcPr>
            <w:tcW w:w="992" w:type="pct"/>
            <w:tcBorders>
              <w:top w:val="outset" w:color="auto" w:sz="4" w:space="0"/>
              <w:left w:val="outset" w:color="auto" w:sz="4" w:space="0"/>
              <w:bottom w:val="outset" w:color="auto" w:sz="4" w:space="0"/>
              <w:right w:val="outset" w:color="auto" w:sz="4" w:space="0"/>
            </w:tcBorders>
            <w:vAlign w:val="center"/>
          </w:tcPr>
          <w:p w14:paraId="0EDF1E92"/>
        </w:tc>
        <w:tc>
          <w:tcPr>
            <w:tcW w:w="1074" w:type="pct"/>
            <w:tcBorders>
              <w:top w:val="outset" w:color="auto" w:sz="4" w:space="0"/>
              <w:left w:val="outset" w:color="auto" w:sz="4" w:space="0"/>
              <w:bottom w:val="outset" w:color="auto" w:sz="4" w:space="0"/>
              <w:right w:val="outset" w:color="auto" w:sz="4" w:space="0"/>
            </w:tcBorders>
            <w:vAlign w:val="center"/>
          </w:tcPr>
          <w:p w14:paraId="1A0098F0">
            <w:pPr>
              <w:jc w:val="right"/>
            </w:pPr>
            <w:r>
              <w:t>5,004,440,140.65</w:t>
            </w:r>
          </w:p>
        </w:tc>
        <w:tc>
          <w:tcPr>
            <w:tcW w:w="1198" w:type="pct"/>
            <w:tcBorders>
              <w:top w:val="outset" w:color="auto" w:sz="4" w:space="0"/>
              <w:left w:val="outset" w:color="auto" w:sz="4" w:space="0"/>
              <w:bottom w:val="outset" w:color="auto" w:sz="4" w:space="0"/>
              <w:right w:val="outset" w:color="auto" w:sz="4" w:space="0"/>
            </w:tcBorders>
            <w:vAlign w:val="center"/>
          </w:tcPr>
          <w:p w14:paraId="0609EA57">
            <w:pPr>
              <w:jc w:val="right"/>
            </w:pPr>
            <w:r>
              <w:t>3,480,731,330.21</w:t>
            </w:r>
          </w:p>
        </w:tc>
      </w:tr>
      <w:tr w14:paraId="172DEE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59DE78B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购买商品、接受劳务支付的现金</w:t>
            </w:r>
          </w:p>
        </w:tc>
        <w:tc>
          <w:tcPr>
            <w:tcW w:w="992" w:type="pct"/>
            <w:tcBorders>
              <w:top w:val="outset" w:color="auto" w:sz="4" w:space="0"/>
              <w:left w:val="outset" w:color="auto" w:sz="4" w:space="0"/>
              <w:bottom w:val="outset" w:color="auto" w:sz="4" w:space="0"/>
              <w:right w:val="outset" w:color="auto" w:sz="4" w:space="0"/>
            </w:tcBorders>
            <w:vAlign w:val="center"/>
          </w:tcPr>
          <w:p w14:paraId="1F5BBF04"/>
        </w:tc>
        <w:tc>
          <w:tcPr>
            <w:tcW w:w="1074" w:type="pct"/>
            <w:tcBorders>
              <w:top w:val="outset" w:color="auto" w:sz="4" w:space="0"/>
              <w:left w:val="outset" w:color="auto" w:sz="4" w:space="0"/>
              <w:bottom w:val="outset" w:color="auto" w:sz="4" w:space="0"/>
              <w:right w:val="outset" w:color="auto" w:sz="4" w:space="0"/>
            </w:tcBorders>
            <w:vAlign w:val="center"/>
          </w:tcPr>
          <w:p w14:paraId="513844A1">
            <w:pPr>
              <w:jc w:val="right"/>
            </w:pPr>
            <w:r>
              <w:t>2,925,279,486.17</w:t>
            </w:r>
          </w:p>
        </w:tc>
        <w:tc>
          <w:tcPr>
            <w:tcW w:w="1198" w:type="pct"/>
            <w:tcBorders>
              <w:top w:val="outset" w:color="auto" w:sz="4" w:space="0"/>
              <w:left w:val="outset" w:color="auto" w:sz="4" w:space="0"/>
              <w:bottom w:val="outset" w:color="auto" w:sz="4" w:space="0"/>
              <w:right w:val="outset" w:color="auto" w:sz="4" w:space="0"/>
            </w:tcBorders>
            <w:vAlign w:val="center"/>
          </w:tcPr>
          <w:p w14:paraId="482495AD">
            <w:pPr>
              <w:jc w:val="right"/>
            </w:pPr>
            <w:r>
              <w:t>2,360,971,176.72</w:t>
            </w:r>
          </w:p>
        </w:tc>
      </w:tr>
      <w:tr w14:paraId="037A3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7031864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客户贷款及垫款净增加额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0561C862"/>
        </w:tc>
        <w:tc>
          <w:tcPr>
            <w:tcW w:w="1074" w:type="pct"/>
            <w:tcBorders>
              <w:top w:val="outset" w:color="auto" w:sz="4" w:space="0"/>
              <w:left w:val="outset" w:color="auto" w:sz="4" w:space="0"/>
              <w:bottom w:val="outset" w:color="auto" w:sz="4" w:space="0"/>
              <w:right w:val="outset" w:color="auto" w:sz="4" w:space="0"/>
            </w:tcBorders>
            <w:vAlign w:val="center"/>
          </w:tcPr>
          <w:p w14:paraId="605BE031">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2DD4F2DE">
            <w:pPr>
              <w:jc w:val="right"/>
            </w:pPr>
          </w:p>
        </w:tc>
      </w:tr>
      <w:tr w14:paraId="2CEACE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7892000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存放中央银行和同业款项净增加额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722A11B6"/>
        </w:tc>
        <w:tc>
          <w:tcPr>
            <w:tcW w:w="1074" w:type="pct"/>
            <w:tcBorders>
              <w:top w:val="outset" w:color="auto" w:sz="4" w:space="0"/>
              <w:left w:val="outset" w:color="auto" w:sz="4" w:space="0"/>
              <w:bottom w:val="outset" w:color="auto" w:sz="4" w:space="0"/>
              <w:right w:val="outset" w:color="auto" w:sz="4" w:space="0"/>
            </w:tcBorders>
            <w:vAlign w:val="center"/>
          </w:tcPr>
          <w:p w14:paraId="7EE75C9B">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2E33AE61">
            <w:pPr>
              <w:jc w:val="right"/>
            </w:pPr>
          </w:p>
        </w:tc>
      </w:tr>
      <w:tr w14:paraId="1BF77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32D3EA98">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支付原保险合同赔付款项的现金</w:t>
            </w:r>
          </w:p>
        </w:tc>
        <w:tc>
          <w:tcPr>
            <w:tcW w:w="992" w:type="pct"/>
            <w:tcBorders>
              <w:top w:val="outset" w:color="auto" w:sz="4" w:space="0"/>
              <w:left w:val="outset" w:color="auto" w:sz="4" w:space="0"/>
              <w:bottom w:val="outset" w:color="auto" w:sz="4" w:space="0"/>
              <w:right w:val="outset" w:color="auto" w:sz="4" w:space="0"/>
            </w:tcBorders>
            <w:vAlign w:val="center"/>
          </w:tcPr>
          <w:p w14:paraId="7C081591"/>
        </w:tc>
        <w:tc>
          <w:tcPr>
            <w:tcW w:w="1074" w:type="pct"/>
            <w:tcBorders>
              <w:top w:val="outset" w:color="auto" w:sz="4" w:space="0"/>
              <w:left w:val="outset" w:color="auto" w:sz="4" w:space="0"/>
              <w:bottom w:val="outset" w:color="auto" w:sz="4" w:space="0"/>
              <w:right w:val="outset" w:color="auto" w:sz="4" w:space="0"/>
            </w:tcBorders>
            <w:vAlign w:val="center"/>
          </w:tcPr>
          <w:p w14:paraId="30822877">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143A171D">
            <w:pPr>
              <w:jc w:val="right"/>
            </w:pPr>
          </w:p>
        </w:tc>
      </w:tr>
      <w:tr w14:paraId="40C82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50A2B90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拆出资金净增加额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31CD7921"/>
        </w:tc>
        <w:tc>
          <w:tcPr>
            <w:tcW w:w="1074" w:type="pct"/>
            <w:tcBorders>
              <w:top w:val="outset" w:color="auto" w:sz="4" w:space="0"/>
              <w:left w:val="outset" w:color="auto" w:sz="4" w:space="0"/>
              <w:bottom w:val="outset" w:color="auto" w:sz="4" w:space="0"/>
              <w:right w:val="outset" w:color="auto" w:sz="4" w:space="0"/>
            </w:tcBorders>
            <w:vAlign w:val="center"/>
          </w:tcPr>
          <w:p w14:paraId="7ED4F913">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3D13FC4B">
            <w:pPr>
              <w:jc w:val="right"/>
            </w:pPr>
          </w:p>
        </w:tc>
      </w:tr>
      <w:tr w14:paraId="7F5B87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075825B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支付利息、手续费及佣金的现金</w:t>
            </w:r>
          </w:p>
        </w:tc>
        <w:tc>
          <w:tcPr>
            <w:tcW w:w="992" w:type="pct"/>
            <w:tcBorders>
              <w:top w:val="outset" w:color="auto" w:sz="4" w:space="0"/>
              <w:left w:val="outset" w:color="auto" w:sz="4" w:space="0"/>
              <w:bottom w:val="outset" w:color="auto" w:sz="4" w:space="0"/>
              <w:right w:val="outset" w:color="auto" w:sz="4" w:space="0"/>
            </w:tcBorders>
            <w:vAlign w:val="center"/>
          </w:tcPr>
          <w:p w14:paraId="11840C6D"/>
        </w:tc>
        <w:tc>
          <w:tcPr>
            <w:tcW w:w="1074" w:type="pct"/>
            <w:tcBorders>
              <w:top w:val="outset" w:color="auto" w:sz="4" w:space="0"/>
              <w:left w:val="outset" w:color="auto" w:sz="4" w:space="0"/>
              <w:bottom w:val="outset" w:color="auto" w:sz="4" w:space="0"/>
              <w:right w:val="outset" w:color="auto" w:sz="4" w:space="0"/>
            </w:tcBorders>
            <w:vAlign w:val="center"/>
          </w:tcPr>
          <w:p w14:paraId="333241E9">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0CE4CB57">
            <w:pPr>
              <w:jc w:val="right"/>
            </w:pPr>
          </w:p>
        </w:tc>
      </w:tr>
      <w:tr w14:paraId="14BDC0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F8B252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支付保单红利的现金</w:t>
            </w:r>
          </w:p>
        </w:tc>
        <w:tc>
          <w:tcPr>
            <w:tcW w:w="992" w:type="pct"/>
            <w:tcBorders>
              <w:top w:val="outset" w:color="auto" w:sz="4" w:space="0"/>
              <w:left w:val="outset" w:color="auto" w:sz="4" w:space="0"/>
              <w:bottom w:val="outset" w:color="auto" w:sz="4" w:space="0"/>
              <w:right w:val="outset" w:color="auto" w:sz="4" w:space="0"/>
            </w:tcBorders>
            <w:vAlign w:val="center"/>
          </w:tcPr>
          <w:p w14:paraId="7EFEDE2E"/>
        </w:tc>
        <w:tc>
          <w:tcPr>
            <w:tcW w:w="1074" w:type="pct"/>
            <w:tcBorders>
              <w:top w:val="outset" w:color="auto" w:sz="4" w:space="0"/>
              <w:left w:val="outset" w:color="auto" w:sz="4" w:space="0"/>
              <w:bottom w:val="outset" w:color="auto" w:sz="4" w:space="0"/>
              <w:right w:val="outset" w:color="auto" w:sz="4" w:space="0"/>
            </w:tcBorders>
            <w:vAlign w:val="center"/>
          </w:tcPr>
          <w:p w14:paraId="7EA3F0B1">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1B97C8A3">
            <w:pPr>
              <w:jc w:val="right"/>
            </w:pPr>
          </w:p>
        </w:tc>
      </w:tr>
      <w:tr w14:paraId="24B54E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29FF5EA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支付给职工及为职工支付的现金</w:t>
            </w:r>
          </w:p>
        </w:tc>
        <w:tc>
          <w:tcPr>
            <w:tcW w:w="992" w:type="pct"/>
            <w:tcBorders>
              <w:top w:val="outset" w:color="auto" w:sz="4" w:space="0"/>
              <w:left w:val="outset" w:color="auto" w:sz="4" w:space="0"/>
              <w:bottom w:val="outset" w:color="auto" w:sz="4" w:space="0"/>
              <w:right w:val="outset" w:color="auto" w:sz="4" w:space="0"/>
            </w:tcBorders>
            <w:vAlign w:val="center"/>
          </w:tcPr>
          <w:p w14:paraId="3B277EEA"/>
        </w:tc>
        <w:tc>
          <w:tcPr>
            <w:tcW w:w="1074" w:type="pct"/>
            <w:tcBorders>
              <w:top w:val="outset" w:color="auto" w:sz="4" w:space="0"/>
              <w:left w:val="outset" w:color="auto" w:sz="4" w:space="0"/>
              <w:bottom w:val="outset" w:color="auto" w:sz="4" w:space="0"/>
              <w:right w:val="outset" w:color="auto" w:sz="4" w:space="0"/>
            </w:tcBorders>
            <w:vAlign w:val="center"/>
          </w:tcPr>
          <w:p w14:paraId="25CF6D02">
            <w:pPr>
              <w:jc w:val="right"/>
            </w:pPr>
            <w:r>
              <w:t>414,871,891.47</w:t>
            </w:r>
          </w:p>
        </w:tc>
        <w:tc>
          <w:tcPr>
            <w:tcW w:w="1198" w:type="pct"/>
            <w:tcBorders>
              <w:top w:val="outset" w:color="auto" w:sz="4" w:space="0"/>
              <w:left w:val="outset" w:color="auto" w:sz="4" w:space="0"/>
              <w:bottom w:val="outset" w:color="auto" w:sz="4" w:space="0"/>
              <w:right w:val="outset" w:color="auto" w:sz="4" w:space="0"/>
            </w:tcBorders>
            <w:vAlign w:val="center"/>
          </w:tcPr>
          <w:p w14:paraId="2742D044">
            <w:pPr>
              <w:jc w:val="right"/>
            </w:pPr>
            <w:r>
              <w:t>371,034,042.78</w:t>
            </w:r>
          </w:p>
        </w:tc>
      </w:tr>
      <w:tr w14:paraId="02F29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00EB4A3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支付的各项税费</w:t>
            </w:r>
          </w:p>
        </w:tc>
        <w:tc>
          <w:tcPr>
            <w:tcW w:w="992" w:type="pct"/>
            <w:tcBorders>
              <w:top w:val="outset" w:color="auto" w:sz="4" w:space="0"/>
              <w:left w:val="outset" w:color="auto" w:sz="4" w:space="0"/>
              <w:bottom w:val="outset" w:color="auto" w:sz="4" w:space="0"/>
              <w:right w:val="outset" w:color="auto" w:sz="4" w:space="0"/>
            </w:tcBorders>
            <w:vAlign w:val="center"/>
          </w:tcPr>
          <w:p w14:paraId="53C885D7"/>
        </w:tc>
        <w:tc>
          <w:tcPr>
            <w:tcW w:w="1074" w:type="pct"/>
            <w:tcBorders>
              <w:top w:val="outset" w:color="auto" w:sz="4" w:space="0"/>
              <w:left w:val="outset" w:color="auto" w:sz="4" w:space="0"/>
              <w:bottom w:val="outset" w:color="auto" w:sz="4" w:space="0"/>
              <w:right w:val="outset" w:color="auto" w:sz="4" w:space="0"/>
            </w:tcBorders>
            <w:vAlign w:val="center"/>
          </w:tcPr>
          <w:p w14:paraId="6BB31392">
            <w:pPr>
              <w:jc w:val="right"/>
            </w:pPr>
            <w:r>
              <w:t>125,391,339.35</w:t>
            </w:r>
          </w:p>
        </w:tc>
        <w:tc>
          <w:tcPr>
            <w:tcW w:w="1198" w:type="pct"/>
            <w:tcBorders>
              <w:top w:val="outset" w:color="auto" w:sz="4" w:space="0"/>
              <w:left w:val="outset" w:color="auto" w:sz="4" w:space="0"/>
              <w:bottom w:val="outset" w:color="auto" w:sz="4" w:space="0"/>
              <w:right w:val="outset" w:color="auto" w:sz="4" w:space="0"/>
            </w:tcBorders>
            <w:vAlign w:val="center"/>
          </w:tcPr>
          <w:p w14:paraId="4CC979FA">
            <w:pPr>
              <w:jc w:val="right"/>
            </w:pPr>
            <w:r>
              <w:t>193,934,694.76</w:t>
            </w:r>
          </w:p>
        </w:tc>
      </w:tr>
      <w:tr w14:paraId="261FCC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5BC8525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支付其他与经营活动有关的现金</w:t>
            </w:r>
          </w:p>
        </w:tc>
        <w:tc>
          <w:tcPr>
            <w:tcW w:w="992" w:type="pct"/>
            <w:tcBorders>
              <w:top w:val="outset" w:color="auto" w:sz="4" w:space="0"/>
              <w:left w:val="outset" w:color="auto" w:sz="4" w:space="0"/>
              <w:bottom w:val="outset" w:color="auto" w:sz="4" w:space="0"/>
              <w:right w:val="outset" w:color="auto" w:sz="4" w:space="0"/>
            </w:tcBorders>
            <w:vAlign w:val="center"/>
          </w:tcPr>
          <w:p w14:paraId="5E2E614E">
            <w:r>
              <w:rPr>
                <w:rFonts w:hint="eastAsia"/>
              </w:rPr>
              <w:t>七、7</w:t>
            </w:r>
            <w:r>
              <w:t>8</w:t>
            </w:r>
          </w:p>
        </w:tc>
        <w:tc>
          <w:tcPr>
            <w:tcW w:w="1074" w:type="pct"/>
            <w:tcBorders>
              <w:top w:val="outset" w:color="auto" w:sz="4" w:space="0"/>
              <w:left w:val="outset" w:color="auto" w:sz="4" w:space="0"/>
              <w:bottom w:val="outset" w:color="auto" w:sz="4" w:space="0"/>
              <w:right w:val="outset" w:color="auto" w:sz="4" w:space="0"/>
            </w:tcBorders>
            <w:vAlign w:val="center"/>
          </w:tcPr>
          <w:p w14:paraId="3ECD57D6">
            <w:pPr>
              <w:jc w:val="right"/>
            </w:pPr>
            <w:r>
              <w:t>223,930,138.05</w:t>
            </w:r>
          </w:p>
        </w:tc>
        <w:tc>
          <w:tcPr>
            <w:tcW w:w="1198" w:type="pct"/>
            <w:tcBorders>
              <w:top w:val="outset" w:color="auto" w:sz="4" w:space="0"/>
              <w:left w:val="outset" w:color="auto" w:sz="4" w:space="0"/>
              <w:bottom w:val="outset" w:color="auto" w:sz="4" w:space="0"/>
              <w:right w:val="outset" w:color="auto" w:sz="4" w:space="0"/>
            </w:tcBorders>
            <w:vAlign w:val="center"/>
          </w:tcPr>
          <w:p w14:paraId="0ED2FDCF">
            <w:pPr>
              <w:jc w:val="right"/>
            </w:pPr>
            <w:r>
              <w:t>289,829,400.01</w:t>
            </w:r>
          </w:p>
        </w:tc>
      </w:tr>
      <w:tr w14:paraId="7E65B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DC99BB9">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经营活动现金流出小计</w:t>
            </w:r>
          </w:p>
        </w:tc>
        <w:tc>
          <w:tcPr>
            <w:tcW w:w="992" w:type="pct"/>
            <w:tcBorders>
              <w:top w:val="outset" w:color="auto" w:sz="4" w:space="0"/>
              <w:left w:val="outset" w:color="auto" w:sz="4" w:space="0"/>
              <w:bottom w:val="outset" w:color="auto" w:sz="4" w:space="0"/>
              <w:right w:val="outset" w:color="auto" w:sz="4" w:space="0"/>
            </w:tcBorders>
            <w:vAlign w:val="center"/>
          </w:tcPr>
          <w:p w14:paraId="46A48221"/>
        </w:tc>
        <w:tc>
          <w:tcPr>
            <w:tcW w:w="1074" w:type="pct"/>
            <w:tcBorders>
              <w:top w:val="outset" w:color="auto" w:sz="4" w:space="0"/>
              <w:left w:val="outset" w:color="auto" w:sz="4" w:space="0"/>
              <w:bottom w:val="outset" w:color="auto" w:sz="4" w:space="0"/>
              <w:right w:val="outset" w:color="auto" w:sz="4" w:space="0"/>
            </w:tcBorders>
            <w:vAlign w:val="center"/>
          </w:tcPr>
          <w:p w14:paraId="08F991BF">
            <w:pPr>
              <w:jc w:val="right"/>
            </w:pPr>
            <w:r>
              <w:t>3,689,472,855.04</w:t>
            </w:r>
          </w:p>
        </w:tc>
        <w:tc>
          <w:tcPr>
            <w:tcW w:w="1198" w:type="pct"/>
            <w:tcBorders>
              <w:top w:val="outset" w:color="auto" w:sz="4" w:space="0"/>
              <w:left w:val="outset" w:color="auto" w:sz="4" w:space="0"/>
              <w:bottom w:val="outset" w:color="auto" w:sz="4" w:space="0"/>
              <w:right w:val="outset" w:color="auto" w:sz="4" w:space="0"/>
            </w:tcBorders>
            <w:vAlign w:val="center"/>
          </w:tcPr>
          <w:p w14:paraId="03BE3F49">
            <w:pPr>
              <w:jc w:val="right"/>
            </w:pPr>
            <w:r>
              <w:t>3,215,769,314.27</w:t>
            </w:r>
          </w:p>
        </w:tc>
      </w:tr>
      <w:tr w14:paraId="18EC95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E97147E">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经营活动产生的现金流量净额</w:t>
            </w:r>
          </w:p>
        </w:tc>
        <w:tc>
          <w:tcPr>
            <w:tcW w:w="992" w:type="pct"/>
            <w:tcBorders>
              <w:top w:val="outset" w:color="auto" w:sz="4" w:space="0"/>
              <w:left w:val="outset" w:color="auto" w:sz="4" w:space="0"/>
              <w:bottom w:val="outset" w:color="auto" w:sz="4" w:space="0"/>
              <w:right w:val="outset" w:color="auto" w:sz="4" w:space="0"/>
            </w:tcBorders>
            <w:vAlign w:val="center"/>
          </w:tcPr>
          <w:p w14:paraId="419283E4">
            <w:r>
              <w:rPr>
                <w:rFonts w:hint="eastAsia"/>
              </w:rPr>
              <w:t>七、79</w:t>
            </w:r>
          </w:p>
        </w:tc>
        <w:tc>
          <w:tcPr>
            <w:tcW w:w="1074" w:type="pct"/>
            <w:tcBorders>
              <w:top w:val="outset" w:color="auto" w:sz="4" w:space="0"/>
              <w:left w:val="outset" w:color="auto" w:sz="4" w:space="0"/>
              <w:bottom w:val="outset" w:color="auto" w:sz="4" w:space="0"/>
              <w:right w:val="outset" w:color="auto" w:sz="4" w:space="0"/>
            </w:tcBorders>
            <w:vAlign w:val="center"/>
          </w:tcPr>
          <w:p w14:paraId="60FF468C">
            <w:pPr>
              <w:jc w:val="right"/>
            </w:pPr>
            <w:r>
              <w:t>1,314,967,285.61</w:t>
            </w:r>
          </w:p>
        </w:tc>
        <w:tc>
          <w:tcPr>
            <w:tcW w:w="1198" w:type="pct"/>
            <w:tcBorders>
              <w:top w:val="outset" w:color="auto" w:sz="4" w:space="0"/>
              <w:left w:val="outset" w:color="auto" w:sz="4" w:space="0"/>
              <w:bottom w:val="outset" w:color="auto" w:sz="4" w:space="0"/>
              <w:right w:val="outset" w:color="auto" w:sz="4" w:space="0"/>
            </w:tcBorders>
            <w:vAlign w:val="center"/>
          </w:tcPr>
          <w:p w14:paraId="6C2F8B21">
            <w:pPr>
              <w:jc w:val="right"/>
            </w:pPr>
            <w:r>
              <w:t>264,962,015.94</w:t>
            </w:r>
          </w:p>
        </w:tc>
      </w:tr>
      <w:tr w14:paraId="443BFD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5b1c638e8714129b03173a0758b863f"/>
            <w:id w:val="996158647"/>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192E2767">
                <w:pPr>
                  <w:rPr>
                    <w:color w:val="000000" w:themeColor="text1"/>
                    <w14:textFill>
                      <w14:solidFill>
                        <w14:schemeClr w14:val="tx1"/>
                      </w14:solidFill>
                    </w14:textFill>
                  </w:rPr>
                </w:pPr>
                <w:r>
                  <w:rPr>
                    <w:rFonts w:hint="eastAsia"/>
                    <w:b/>
                    <w:color w:val="000000" w:themeColor="text1"/>
                    <w14:textFill>
                      <w14:solidFill>
                        <w14:schemeClr w14:val="tx1"/>
                      </w14:solidFill>
                    </w14:textFill>
                  </w:rPr>
                  <w:t>二、投资活动产生的现金流量：</w:t>
                </w:r>
              </w:p>
            </w:tc>
          </w:sdtContent>
        </w:sdt>
      </w:tr>
      <w:tr w14:paraId="41D2B6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7807C04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收回投资收到的现金</w:t>
            </w:r>
          </w:p>
        </w:tc>
        <w:tc>
          <w:tcPr>
            <w:tcW w:w="992" w:type="pct"/>
            <w:tcBorders>
              <w:top w:val="outset" w:color="auto" w:sz="4" w:space="0"/>
              <w:left w:val="outset" w:color="auto" w:sz="4" w:space="0"/>
              <w:bottom w:val="outset" w:color="auto" w:sz="4" w:space="0"/>
              <w:right w:val="outset" w:color="auto" w:sz="4" w:space="0"/>
            </w:tcBorders>
            <w:vAlign w:val="center"/>
          </w:tcPr>
          <w:p w14:paraId="11513A8C"/>
        </w:tc>
        <w:tc>
          <w:tcPr>
            <w:tcW w:w="1074" w:type="pct"/>
            <w:tcBorders>
              <w:top w:val="outset" w:color="auto" w:sz="4" w:space="0"/>
              <w:left w:val="outset" w:color="auto" w:sz="4" w:space="0"/>
              <w:bottom w:val="outset" w:color="auto" w:sz="4" w:space="0"/>
              <w:right w:val="outset" w:color="auto" w:sz="4" w:space="0"/>
            </w:tcBorders>
            <w:vAlign w:val="center"/>
          </w:tcPr>
          <w:p w14:paraId="70C2C21A">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799C24F5">
            <w:pPr>
              <w:jc w:val="right"/>
            </w:pPr>
            <w:r>
              <w:t>30,000,000.00</w:t>
            </w:r>
          </w:p>
        </w:tc>
      </w:tr>
      <w:tr w14:paraId="4E041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4F097DB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取得投资收益收到的现金</w:t>
            </w:r>
          </w:p>
        </w:tc>
        <w:tc>
          <w:tcPr>
            <w:tcW w:w="992" w:type="pct"/>
            <w:tcBorders>
              <w:top w:val="outset" w:color="auto" w:sz="4" w:space="0"/>
              <w:left w:val="outset" w:color="auto" w:sz="4" w:space="0"/>
              <w:bottom w:val="outset" w:color="auto" w:sz="4" w:space="0"/>
              <w:right w:val="outset" w:color="auto" w:sz="4" w:space="0"/>
            </w:tcBorders>
            <w:vAlign w:val="center"/>
          </w:tcPr>
          <w:p w14:paraId="634F4688"/>
        </w:tc>
        <w:tc>
          <w:tcPr>
            <w:tcW w:w="1074" w:type="pct"/>
            <w:tcBorders>
              <w:top w:val="outset" w:color="auto" w:sz="4" w:space="0"/>
              <w:left w:val="outset" w:color="auto" w:sz="4" w:space="0"/>
              <w:bottom w:val="outset" w:color="auto" w:sz="4" w:space="0"/>
              <w:right w:val="outset" w:color="auto" w:sz="4" w:space="0"/>
            </w:tcBorders>
            <w:vAlign w:val="center"/>
          </w:tcPr>
          <w:p w14:paraId="0AC674CC">
            <w:pPr>
              <w:jc w:val="right"/>
            </w:pPr>
            <w:r>
              <w:t>114,519,797.68</w:t>
            </w:r>
          </w:p>
        </w:tc>
        <w:tc>
          <w:tcPr>
            <w:tcW w:w="1198" w:type="pct"/>
            <w:tcBorders>
              <w:top w:val="outset" w:color="auto" w:sz="4" w:space="0"/>
              <w:left w:val="outset" w:color="auto" w:sz="4" w:space="0"/>
              <w:bottom w:val="outset" w:color="auto" w:sz="4" w:space="0"/>
              <w:right w:val="outset" w:color="auto" w:sz="4" w:space="0"/>
            </w:tcBorders>
            <w:vAlign w:val="center"/>
          </w:tcPr>
          <w:p w14:paraId="1DCF0422">
            <w:pPr>
              <w:jc w:val="right"/>
            </w:pPr>
            <w:r>
              <w:t>47,228,148.14</w:t>
            </w:r>
          </w:p>
        </w:tc>
      </w:tr>
      <w:tr w14:paraId="1E741C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2FF9431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处置固定资产、无形资产和其他长期资产收回的现金净额</w:t>
            </w:r>
          </w:p>
        </w:tc>
        <w:tc>
          <w:tcPr>
            <w:tcW w:w="992" w:type="pct"/>
            <w:tcBorders>
              <w:top w:val="outset" w:color="auto" w:sz="4" w:space="0"/>
              <w:left w:val="outset" w:color="auto" w:sz="4" w:space="0"/>
              <w:bottom w:val="outset" w:color="auto" w:sz="4" w:space="0"/>
              <w:right w:val="outset" w:color="auto" w:sz="4" w:space="0"/>
            </w:tcBorders>
            <w:vAlign w:val="center"/>
          </w:tcPr>
          <w:p w14:paraId="3AEDA86E"/>
        </w:tc>
        <w:tc>
          <w:tcPr>
            <w:tcW w:w="1074" w:type="pct"/>
            <w:tcBorders>
              <w:top w:val="outset" w:color="auto" w:sz="4" w:space="0"/>
              <w:left w:val="outset" w:color="auto" w:sz="4" w:space="0"/>
              <w:bottom w:val="outset" w:color="auto" w:sz="4" w:space="0"/>
              <w:right w:val="outset" w:color="auto" w:sz="4" w:space="0"/>
            </w:tcBorders>
            <w:vAlign w:val="center"/>
          </w:tcPr>
          <w:p w14:paraId="288B2F8F">
            <w:pPr>
              <w:jc w:val="right"/>
            </w:pPr>
            <w:r>
              <w:t>16,024,711.89</w:t>
            </w:r>
          </w:p>
        </w:tc>
        <w:tc>
          <w:tcPr>
            <w:tcW w:w="1198" w:type="pct"/>
            <w:tcBorders>
              <w:top w:val="outset" w:color="auto" w:sz="4" w:space="0"/>
              <w:left w:val="outset" w:color="auto" w:sz="4" w:space="0"/>
              <w:bottom w:val="outset" w:color="auto" w:sz="4" w:space="0"/>
              <w:right w:val="outset" w:color="auto" w:sz="4" w:space="0"/>
            </w:tcBorders>
            <w:vAlign w:val="center"/>
          </w:tcPr>
          <w:p w14:paraId="5A3C22D9">
            <w:pPr>
              <w:jc w:val="right"/>
            </w:pPr>
            <w:r>
              <w:t>16,797,742.61</w:t>
            </w:r>
          </w:p>
        </w:tc>
      </w:tr>
      <w:tr w14:paraId="07EBF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3B08267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处置子公司及其他营业单位收到的现金净额</w:t>
            </w:r>
          </w:p>
        </w:tc>
        <w:tc>
          <w:tcPr>
            <w:tcW w:w="992" w:type="pct"/>
            <w:tcBorders>
              <w:top w:val="outset" w:color="auto" w:sz="4" w:space="0"/>
              <w:left w:val="outset" w:color="auto" w:sz="4" w:space="0"/>
              <w:bottom w:val="outset" w:color="auto" w:sz="4" w:space="0"/>
              <w:right w:val="outset" w:color="auto" w:sz="4" w:space="0"/>
            </w:tcBorders>
            <w:vAlign w:val="center"/>
          </w:tcPr>
          <w:p w14:paraId="2B24956D"/>
        </w:tc>
        <w:tc>
          <w:tcPr>
            <w:tcW w:w="1074" w:type="pct"/>
            <w:tcBorders>
              <w:top w:val="outset" w:color="auto" w:sz="4" w:space="0"/>
              <w:left w:val="outset" w:color="auto" w:sz="4" w:space="0"/>
              <w:bottom w:val="outset" w:color="auto" w:sz="4" w:space="0"/>
              <w:right w:val="outset" w:color="auto" w:sz="4" w:space="0"/>
            </w:tcBorders>
            <w:vAlign w:val="center"/>
          </w:tcPr>
          <w:p w14:paraId="2C11A650">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21F94A14">
            <w:pPr>
              <w:jc w:val="right"/>
            </w:pPr>
          </w:p>
        </w:tc>
      </w:tr>
      <w:tr w14:paraId="3C0900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649FF76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收到其他与投资活动有关的现金</w:t>
            </w:r>
          </w:p>
        </w:tc>
        <w:tc>
          <w:tcPr>
            <w:tcW w:w="992" w:type="pct"/>
            <w:tcBorders>
              <w:top w:val="outset" w:color="auto" w:sz="4" w:space="0"/>
              <w:left w:val="outset" w:color="auto" w:sz="4" w:space="0"/>
              <w:bottom w:val="outset" w:color="auto" w:sz="4" w:space="0"/>
              <w:right w:val="outset" w:color="auto" w:sz="4" w:space="0"/>
            </w:tcBorders>
            <w:vAlign w:val="center"/>
          </w:tcPr>
          <w:p w14:paraId="14DE2840">
            <w:r>
              <w:rPr>
                <w:rFonts w:hint="eastAsia"/>
              </w:rPr>
              <w:t>七、78</w:t>
            </w:r>
          </w:p>
        </w:tc>
        <w:tc>
          <w:tcPr>
            <w:tcW w:w="1074" w:type="pct"/>
            <w:tcBorders>
              <w:top w:val="outset" w:color="auto" w:sz="4" w:space="0"/>
              <w:left w:val="outset" w:color="auto" w:sz="4" w:space="0"/>
              <w:bottom w:val="outset" w:color="auto" w:sz="4" w:space="0"/>
              <w:right w:val="outset" w:color="auto" w:sz="4" w:space="0"/>
            </w:tcBorders>
            <w:vAlign w:val="center"/>
          </w:tcPr>
          <w:p w14:paraId="09F9031E">
            <w:pPr>
              <w:jc w:val="right"/>
              <w:rPr>
                <w:rFonts w:ascii="宋体" w:hAnsi="宋体"/>
                <w:sz w:val="24"/>
                <w:szCs w:val="24"/>
              </w:rPr>
            </w:pPr>
            <w:r>
              <w:t>100,000,000.00</w:t>
            </w:r>
          </w:p>
        </w:tc>
        <w:tc>
          <w:tcPr>
            <w:tcW w:w="1198" w:type="pct"/>
            <w:tcBorders>
              <w:top w:val="outset" w:color="auto" w:sz="4" w:space="0"/>
              <w:left w:val="outset" w:color="auto" w:sz="4" w:space="0"/>
              <w:bottom w:val="outset" w:color="auto" w:sz="4" w:space="0"/>
              <w:right w:val="outset" w:color="auto" w:sz="4" w:space="0"/>
            </w:tcBorders>
            <w:vAlign w:val="center"/>
          </w:tcPr>
          <w:p w14:paraId="7D472A25">
            <w:pPr>
              <w:jc w:val="right"/>
            </w:pPr>
            <w:r>
              <w:t>532,040,277.77</w:t>
            </w:r>
          </w:p>
        </w:tc>
      </w:tr>
      <w:tr w14:paraId="57F1C3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79CB4891">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投资活动现金流入小计</w:t>
            </w:r>
          </w:p>
        </w:tc>
        <w:tc>
          <w:tcPr>
            <w:tcW w:w="992" w:type="pct"/>
            <w:tcBorders>
              <w:top w:val="outset" w:color="auto" w:sz="4" w:space="0"/>
              <w:left w:val="outset" w:color="auto" w:sz="4" w:space="0"/>
              <w:bottom w:val="outset" w:color="auto" w:sz="4" w:space="0"/>
              <w:right w:val="outset" w:color="auto" w:sz="4" w:space="0"/>
            </w:tcBorders>
            <w:vAlign w:val="center"/>
          </w:tcPr>
          <w:p w14:paraId="630D19AC"/>
        </w:tc>
        <w:tc>
          <w:tcPr>
            <w:tcW w:w="1074" w:type="pct"/>
            <w:tcBorders>
              <w:top w:val="outset" w:color="auto" w:sz="4" w:space="0"/>
              <w:left w:val="outset" w:color="auto" w:sz="4" w:space="0"/>
              <w:bottom w:val="outset" w:color="auto" w:sz="4" w:space="0"/>
              <w:right w:val="outset" w:color="auto" w:sz="4" w:space="0"/>
            </w:tcBorders>
            <w:vAlign w:val="center"/>
          </w:tcPr>
          <w:p w14:paraId="4F264B1C">
            <w:pPr>
              <w:jc w:val="right"/>
            </w:pPr>
            <w:r>
              <w:t>230,544,509.57</w:t>
            </w:r>
          </w:p>
        </w:tc>
        <w:tc>
          <w:tcPr>
            <w:tcW w:w="1198" w:type="pct"/>
            <w:tcBorders>
              <w:top w:val="outset" w:color="auto" w:sz="4" w:space="0"/>
              <w:left w:val="outset" w:color="auto" w:sz="4" w:space="0"/>
              <w:bottom w:val="outset" w:color="auto" w:sz="4" w:space="0"/>
              <w:right w:val="outset" w:color="auto" w:sz="4" w:space="0"/>
            </w:tcBorders>
            <w:vAlign w:val="center"/>
          </w:tcPr>
          <w:p w14:paraId="526036E7">
            <w:pPr>
              <w:jc w:val="right"/>
            </w:pPr>
            <w:r>
              <w:t>626,066,168.52</w:t>
            </w:r>
          </w:p>
        </w:tc>
      </w:tr>
      <w:tr w14:paraId="7B4AFE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21D2F3C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购建固定资产、无形资产和其他长期资产支付的现金</w:t>
            </w:r>
          </w:p>
        </w:tc>
        <w:tc>
          <w:tcPr>
            <w:tcW w:w="992" w:type="pct"/>
            <w:tcBorders>
              <w:top w:val="outset" w:color="auto" w:sz="4" w:space="0"/>
              <w:left w:val="outset" w:color="auto" w:sz="4" w:space="0"/>
              <w:bottom w:val="outset" w:color="auto" w:sz="4" w:space="0"/>
              <w:right w:val="outset" w:color="auto" w:sz="4" w:space="0"/>
            </w:tcBorders>
            <w:vAlign w:val="center"/>
          </w:tcPr>
          <w:p w14:paraId="31EE78A6"/>
        </w:tc>
        <w:tc>
          <w:tcPr>
            <w:tcW w:w="1074" w:type="pct"/>
            <w:tcBorders>
              <w:top w:val="outset" w:color="auto" w:sz="4" w:space="0"/>
              <w:left w:val="outset" w:color="auto" w:sz="4" w:space="0"/>
              <w:bottom w:val="outset" w:color="auto" w:sz="4" w:space="0"/>
              <w:right w:val="outset" w:color="auto" w:sz="4" w:space="0"/>
            </w:tcBorders>
            <w:vAlign w:val="center"/>
          </w:tcPr>
          <w:p w14:paraId="53CA97CD">
            <w:pPr>
              <w:jc w:val="right"/>
            </w:pPr>
            <w:r>
              <w:t>110,231,533.36</w:t>
            </w:r>
          </w:p>
        </w:tc>
        <w:tc>
          <w:tcPr>
            <w:tcW w:w="1198" w:type="pct"/>
            <w:tcBorders>
              <w:top w:val="outset" w:color="auto" w:sz="4" w:space="0"/>
              <w:left w:val="outset" w:color="auto" w:sz="4" w:space="0"/>
              <w:bottom w:val="outset" w:color="auto" w:sz="4" w:space="0"/>
              <w:right w:val="outset" w:color="auto" w:sz="4" w:space="0"/>
            </w:tcBorders>
            <w:vAlign w:val="center"/>
          </w:tcPr>
          <w:p w14:paraId="0C0D6BCF">
            <w:pPr>
              <w:jc w:val="right"/>
            </w:pPr>
            <w:r>
              <w:t>221,269,935.32</w:t>
            </w:r>
          </w:p>
        </w:tc>
      </w:tr>
      <w:tr w14:paraId="58661A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287AD37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投资支付的现金</w:t>
            </w:r>
          </w:p>
        </w:tc>
        <w:tc>
          <w:tcPr>
            <w:tcW w:w="992" w:type="pct"/>
            <w:tcBorders>
              <w:top w:val="outset" w:color="auto" w:sz="4" w:space="0"/>
              <w:left w:val="outset" w:color="auto" w:sz="4" w:space="0"/>
              <w:bottom w:val="outset" w:color="auto" w:sz="4" w:space="0"/>
              <w:right w:val="outset" w:color="auto" w:sz="4" w:space="0"/>
            </w:tcBorders>
            <w:vAlign w:val="center"/>
          </w:tcPr>
          <w:p w14:paraId="3941BBEB"/>
        </w:tc>
        <w:tc>
          <w:tcPr>
            <w:tcW w:w="1074" w:type="pct"/>
            <w:tcBorders>
              <w:top w:val="outset" w:color="auto" w:sz="4" w:space="0"/>
              <w:left w:val="outset" w:color="auto" w:sz="4" w:space="0"/>
              <w:bottom w:val="outset" w:color="auto" w:sz="4" w:space="0"/>
              <w:right w:val="outset" w:color="auto" w:sz="4" w:space="0"/>
            </w:tcBorders>
            <w:vAlign w:val="center"/>
          </w:tcPr>
          <w:p w14:paraId="493630FC">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59CEDD2C">
            <w:pPr>
              <w:jc w:val="right"/>
            </w:pPr>
          </w:p>
        </w:tc>
      </w:tr>
      <w:tr w14:paraId="02921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34CC642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质押贷款净增加额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2EB5B809"/>
        </w:tc>
        <w:tc>
          <w:tcPr>
            <w:tcW w:w="1074" w:type="pct"/>
            <w:tcBorders>
              <w:top w:val="outset" w:color="auto" w:sz="4" w:space="0"/>
              <w:left w:val="outset" w:color="auto" w:sz="4" w:space="0"/>
              <w:bottom w:val="outset" w:color="auto" w:sz="4" w:space="0"/>
              <w:right w:val="outset" w:color="auto" w:sz="4" w:space="0"/>
            </w:tcBorders>
            <w:vAlign w:val="center"/>
          </w:tcPr>
          <w:p w14:paraId="35AA72E1">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7D369FB0">
            <w:pPr>
              <w:jc w:val="right"/>
            </w:pPr>
          </w:p>
        </w:tc>
      </w:tr>
      <w:tr w14:paraId="5D0DA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4B84F7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取得子公司及其他营业单位支付的现金净额</w:t>
            </w:r>
          </w:p>
        </w:tc>
        <w:tc>
          <w:tcPr>
            <w:tcW w:w="992" w:type="pct"/>
            <w:tcBorders>
              <w:top w:val="outset" w:color="auto" w:sz="4" w:space="0"/>
              <w:left w:val="outset" w:color="auto" w:sz="4" w:space="0"/>
              <w:bottom w:val="outset" w:color="auto" w:sz="4" w:space="0"/>
              <w:right w:val="outset" w:color="auto" w:sz="4" w:space="0"/>
            </w:tcBorders>
            <w:vAlign w:val="center"/>
          </w:tcPr>
          <w:p w14:paraId="74F6CECD"/>
        </w:tc>
        <w:tc>
          <w:tcPr>
            <w:tcW w:w="1074" w:type="pct"/>
            <w:tcBorders>
              <w:top w:val="outset" w:color="auto" w:sz="4" w:space="0"/>
              <w:left w:val="outset" w:color="auto" w:sz="4" w:space="0"/>
              <w:bottom w:val="outset" w:color="auto" w:sz="4" w:space="0"/>
              <w:right w:val="outset" w:color="auto" w:sz="4" w:space="0"/>
            </w:tcBorders>
            <w:vAlign w:val="center"/>
          </w:tcPr>
          <w:p w14:paraId="5743FFDC">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35E0BD26">
            <w:pPr>
              <w:jc w:val="right"/>
            </w:pPr>
          </w:p>
        </w:tc>
      </w:tr>
      <w:tr w14:paraId="7F851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71AC1D3">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支付其他与投资活动有关的现金</w:t>
            </w:r>
          </w:p>
        </w:tc>
        <w:tc>
          <w:tcPr>
            <w:tcW w:w="992" w:type="pct"/>
            <w:tcBorders>
              <w:top w:val="outset" w:color="auto" w:sz="4" w:space="0"/>
              <w:left w:val="outset" w:color="auto" w:sz="4" w:space="0"/>
              <w:bottom w:val="outset" w:color="auto" w:sz="4" w:space="0"/>
              <w:right w:val="outset" w:color="auto" w:sz="4" w:space="0"/>
            </w:tcBorders>
            <w:vAlign w:val="center"/>
          </w:tcPr>
          <w:p w14:paraId="61E6617C">
            <w:r>
              <w:rPr>
                <w:rFonts w:hint="eastAsia"/>
              </w:rPr>
              <w:t>七、78</w:t>
            </w:r>
          </w:p>
        </w:tc>
        <w:tc>
          <w:tcPr>
            <w:tcW w:w="1074" w:type="pct"/>
            <w:tcBorders>
              <w:top w:val="outset" w:color="auto" w:sz="4" w:space="0"/>
              <w:left w:val="outset" w:color="auto" w:sz="4" w:space="0"/>
              <w:bottom w:val="outset" w:color="auto" w:sz="4" w:space="0"/>
              <w:right w:val="outset" w:color="auto" w:sz="4" w:space="0"/>
            </w:tcBorders>
            <w:vAlign w:val="center"/>
          </w:tcPr>
          <w:p w14:paraId="05EF420E">
            <w:pPr>
              <w:jc w:val="right"/>
            </w:pPr>
            <w:r>
              <w:t>1,365,693,029.59</w:t>
            </w:r>
          </w:p>
        </w:tc>
        <w:tc>
          <w:tcPr>
            <w:tcW w:w="1198" w:type="pct"/>
            <w:tcBorders>
              <w:top w:val="outset" w:color="auto" w:sz="4" w:space="0"/>
              <w:left w:val="outset" w:color="auto" w:sz="4" w:space="0"/>
              <w:bottom w:val="outset" w:color="auto" w:sz="4" w:space="0"/>
              <w:right w:val="outset" w:color="auto" w:sz="4" w:space="0"/>
            </w:tcBorders>
            <w:vAlign w:val="center"/>
          </w:tcPr>
          <w:p w14:paraId="747F523E">
            <w:pPr>
              <w:jc w:val="right"/>
            </w:pPr>
          </w:p>
        </w:tc>
      </w:tr>
      <w:tr w14:paraId="1C27C5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38A6707E">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投资活动现金流出小计</w:t>
            </w:r>
          </w:p>
        </w:tc>
        <w:tc>
          <w:tcPr>
            <w:tcW w:w="992" w:type="pct"/>
            <w:tcBorders>
              <w:top w:val="outset" w:color="auto" w:sz="4" w:space="0"/>
              <w:left w:val="outset" w:color="auto" w:sz="4" w:space="0"/>
              <w:bottom w:val="outset" w:color="auto" w:sz="4" w:space="0"/>
              <w:right w:val="outset" w:color="auto" w:sz="4" w:space="0"/>
            </w:tcBorders>
            <w:vAlign w:val="center"/>
          </w:tcPr>
          <w:p w14:paraId="618B6326"/>
        </w:tc>
        <w:tc>
          <w:tcPr>
            <w:tcW w:w="1074" w:type="pct"/>
            <w:tcBorders>
              <w:top w:val="outset" w:color="auto" w:sz="4" w:space="0"/>
              <w:left w:val="outset" w:color="auto" w:sz="4" w:space="0"/>
              <w:bottom w:val="outset" w:color="auto" w:sz="4" w:space="0"/>
              <w:right w:val="outset" w:color="auto" w:sz="4" w:space="0"/>
            </w:tcBorders>
            <w:vAlign w:val="center"/>
          </w:tcPr>
          <w:p w14:paraId="296D6395">
            <w:pPr>
              <w:jc w:val="right"/>
              <w:rPr>
                <w:rFonts w:ascii="宋体" w:hAnsi="宋体"/>
                <w:sz w:val="24"/>
                <w:szCs w:val="24"/>
              </w:rPr>
            </w:pPr>
            <w:r>
              <w:t>1,475,924,562.95</w:t>
            </w:r>
          </w:p>
        </w:tc>
        <w:tc>
          <w:tcPr>
            <w:tcW w:w="1198" w:type="pct"/>
            <w:tcBorders>
              <w:top w:val="outset" w:color="auto" w:sz="4" w:space="0"/>
              <w:left w:val="outset" w:color="auto" w:sz="4" w:space="0"/>
              <w:bottom w:val="outset" w:color="auto" w:sz="4" w:space="0"/>
              <w:right w:val="outset" w:color="auto" w:sz="4" w:space="0"/>
            </w:tcBorders>
            <w:vAlign w:val="center"/>
          </w:tcPr>
          <w:p w14:paraId="075CF063">
            <w:pPr>
              <w:jc w:val="right"/>
            </w:pPr>
            <w:r>
              <w:t>221,269,935.32</w:t>
            </w:r>
          </w:p>
        </w:tc>
      </w:tr>
      <w:tr w14:paraId="5AA4E6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270E6B51">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投资活动产生的现金流量净额</w:t>
            </w:r>
          </w:p>
        </w:tc>
        <w:tc>
          <w:tcPr>
            <w:tcW w:w="992" w:type="pct"/>
            <w:tcBorders>
              <w:top w:val="outset" w:color="auto" w:sz="4" w:space="0"/>
              <w:left w:val="outset" w:color="auto" w:sz="4" w:space="0"/>
              <w:bottom w:val="outset" w:color="auto" w:sz="4" w:space="0"/>
              <w:right w:val="outset" w:color="auto" w:sz="4" w:space="0"/>
            </w:tcBorders>
            <w:vAlign w:val="center"/>
          </w:tcPr>
          <w:p w14:paraId="0B3BBA2C"/>
        </w:tc>
        <w:tc>
          <w:tcPr>
            <w:tcW w:w="1074" w:type="pct"/>
            <w:tcBorders>
              <w:top w:val="outset" w:color="auto" w:sz="4" w:space="0"/>
              <w:left w:val="outset" w:color="auto" w:sz="4" w:space="0"/>
              <w:bottom w:val="outset" w:color="auto" w:sz="4" w:space="0"/>
              <w:right w:val="outset" w:color="auto" w:sz="4" w:space="0"/>
            </w:tcBorders>
            <w:vAlign w:val="center"/>
          </w:tcPr>
          <w:p w14:paraId="757333D8">
            <w:pPr>
              <w:jc w:val="right"/>
            </w:pPr>
            <w:r>
              <w:t>-1,245,380,053.38</w:t>
            </w:r>
          </w:p>
        </w:tc>
        <w:tc>
          <w:tcPr>
            <w:tcW w:w="1198" w:type="pct"/>
            <w:tcBorders>
              <w:top w:val="outset" w:color="auto" w:sz="4" w:space="0"/>
              <w:left w:val="outset" w:color="auto" w:sz="4" w:space="0"/>
              <w:bottom w:val="outset" w:color="auto" w:sz="4" w:space="0"/>
              <w:right w:val="outset" w:color="auto" w:sz="4" w:space="0"/>
            </w:tcBorders>
            <w:vAlign w:val="center"/>
          </w:tcPr>
          <w:p w14:paraId="21D9A37F">
            <w:pPr>
              <w:jc w:val="right"/>
            </w:pPr>
            <w:r>
              <w:t>404,796,233.20</w:t>
            </w:r>
          </w:p>
        </w:tc>
      </w:tr>
      <w:tr w14:paraId="1C639E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bd9a8b5d8e4227a6bc3b0738379ef1"/>
            <w:id w:val="-930817548"/>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777135B2">
                <w:pPr>
                  <w:rPr>
                    <w:color w:val="000000" w:themeColor="text1"/>
                    <w14:textFill>
                      <w14:solidFill>
                        <w14:schemeClr w14:val="tx1"/>
                      </w14:solidFill>
                    </w14:textFill>
                  </w:rPr>
                </w:pPr>
                <w:r>
                  <w:rPr>
                    <w:rFonts w:hint="eastAsia"/>
                    <w:b/>
                    <w:color w:val="000000" w:themeColor="text1"/>
                    <w14:textFill>
                      <w14:solidFill>
                        <w14:schemeClr w14:val="tx1"/>
                      </w14:solidFill>
                    </w14:textFill>
                  </w:rPr>
                  <w:t>三、筹资活动产生的现金流量：</w:t>
                </w:r>
              </w:p>
            </w:tc>
          </w:sdtContent>
        </w:sdt>
      </w:tr>
      <w:tr w14:paraId="0A9E23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BB06E1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吸收投资收到的现金</w:t>
            </w:r>
          </w:p>
        </w:tc>
        <w:tc>
          <w:tcPr>
            <w:tcW w:w="992" w:type="pct"/>
            <w:tcBorders>
              <w:top w:val="outset" w:color="auto" w:sz="4" w:space="0"/>
              <w:left w:val="outset" w:color="auto" w:sz="4" w:space="0"/>
              <w:bottom w:val="outset" w:color="auto" w:sz="4" w:space="0"/>
              <w:right w:val="outset" w:color="auto" w:sz="4" w:space="0"/>
            </w:tcBorders>
            <w:vAlign w:val="center"/>
          </w:tcPr>
          <w:p w14:paraId="590C798A"/>
        </w:tc>
        <w:tc>
          <w:tcPr>
            <w:tcW w:w="1074" w:type="pct"/>
            <w:tcBorders>
              <w:top w:val="outset" w:color="auto" w:sz="4" w:space="0"/>
              <w:left w:val="outset" w:color="auto" w:sz="4" w:space="0"/>
              <w:bottom w:val="outset" w:color="auto" w:sz="4" w:space="0"/>
              <w:right w:val="outset" w:color="auto" w:sz="4" w:space="0"/>
            </w:tcBorders>
            <w:vAlign w:val="center"/>
          </w:tcPr>
          <w:p w14:paraId="57A70BC6">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6DA80F1E">
            <w:pPr>
              <w:jc w:val="right"/>
            </w:pPr>
          </w:p>
        </w:tc>
      </w:tr>
      <w:tr w14:paraId="27570B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6A43028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其中：子公司吸收少数股东投资收到的现金</w:t>
            </w:r>
          </w:p>
        </w:tc>
        <w:tc>
          <w:tcPr>
            <w:tcW w:w="992" w:type="pct"/>
            <w:tcBorders>
              <w:top w:val="outset" w:color="auto" w:sz="4" w:space="0"/>
              <w:left w:val="outset" w:color="auto" w:sz="4" w:space="0"/>
              <w:bottom w:val="outset" w:color="auto" w:sz="4" w:space="0"/>
              <w:right w:val="outset" w:color="auto" w:sz="4" w:space="0"/>
            </w:tcBorders>
            <w:vAlign w:val="center"/>
          </w:tcPr>
          <w:p w14:paraId="1F5B40D8"/>
        </w:tc>
        <w:tc>
          <w:tcPr>
            <w:tcW w:w="1074" w:type="pct"/>
            <w:tcBorders>
              <w:top w:val="outset" w:color="auto" w:sz="4" w:space="0"/>
              <w:left w:val="outset" w:color="auto" w:sz="4" w:space="0"/>
              <w:bottom w:val="outset" w:color="auto" w:sz="4" w:space="0"/>
              <w:right w:val="outset" w:color="auto" w:sz="4" w:space="0"/>
            </w:tcBorders>
            <w:vAlign w:val="center"/>
          </w:tcPr>
          <w:p w14:paraId="3EEFA47B">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3B2B8427">
            <w:pPr>
              <w:jc w:val="right"/>
            </w:pPr>
          </w:p>
        </w:tc>
      </w:tr>
      <w:tr w14:paraId="2B92BE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27B9AD2">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取得借款收到的现金</w:t>
            </w:r>
          </w:p>
        </w:tc>
        <w:tc>
          <w:tcPr>
            <w:tcW w:w="992" w:type="pct"/>
            <w:tcBorders>
              <w:top w:val="outset" w:color="auto" w:sz="4" w:space="0"/>
              <w:left w:val="outset" w:color="auto" w:sz="4" w:space="0"/>
              <w:bottom w:val="outset" w:color="auto" w:sz="4" w:space="0"/>
              <w:right w:val="outset" w:color="auto" w:sz="4" w:space="0"/>
            </w:tcBorders>
            <w:vAlign w:val="center"/>
          </w:tcPr>
          <w:p w14:paraId="1EF1799A"/>
        </w:tc>
        <w:tc>
          <w:tcPr>
            <w:tcW w:w="1074" w:type="pct"/>
            <w:tcBorders>
              <w:top w:val="outset" w:color="auto" w:sz="4" w:space="0"/>
              <w:left w:val="outset" w:color="auto" w:sz="4" w:space="0"/>
              <w:bottom w:val="outset" w:color="auto" w:sz="4" w:space="0"/>
              <w:right w:val="outset" w:color="auto" w:sz="4" w:space="0"/>
            </w:tcBorders>
            <w:vAlign w:val="center"/>
          </w:tcPr>
          <w:p w14:paraId="2421CB17">
            <w:pPr>
              <w:jc w:val="right"/>
            </w:pPr>
            <w:r>
              <w:t>150,000,000.00</w:t>
            </w:r>
          </w:p>
        </w:tc>
        <w:tc>
          <w:tcPr>
            <w:tcW w:w="1198" w:type="pct"/>
            <w:tcBorders>
              <w:top w:val="outset" w:color="auto" w:sz="4" w:space="0"/>
              <w:left w:val="outset" w:color="auto" w:sz="4" w:space="0"/>
              <w:bottom w:val="outset" w:color="auto" w:sz="4" w:space="0"/>
              <w:right w:val="outset" w:color="auto" w:sz="4" w:space="0"/>
            </w:tcBorders>
            <w:vAlign w:val="center"/>
          </w:tcPr>
          <w:p w14:paraId="64B95811">
            <w:pPr>
              <w:jc w:val="right"/>
            </w:pPr>
            <w:r>
              <w:t>260,000,000.00</w:t>
            </w:r>
          </w:p>
        </w:tc>
      </w:tr>
      <w:tr w14:paraId="239B5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16DECE2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收到其他与筹资活动有关的现金</w:t>
            </w:r>
          </w:p>
        </w:tc>
        <w:tc>
          <w:tcPr>
            <w:tcW w:w="992" w:type="pct"/>
            <w:tcBorders>
              <w:top w:val="outset" w:color="auto" w:sz="4" w:space="0"/>
              <w:left w:val="outset" w:color="auto" w:sz="4" w:space="0"/>
              <w:bottom w:val="outset" w:color="auto" w:sz="4" w:space="0"/>
              <w:right w:val="outset" w:color="auto" w:sz="4" w:space="0"/>
            </w:tcBorders>
            <w:vAlign w:val="center"/>
          </w:tcPr>
          <w:p w14:paraId="7BE0727E">
            <w:r>
              <w:rPr>
                <w:rFonts w:hint="eastAsia"/>
              </w:rPr>
              <w:t>七、78</w:t>
            </w:r>
          </w:p>
        </w:tc>
        <w:tc>
          <w:tcPr>
            <w:tcW w:w="1074" w:type="pct"/>
            <w:tcBorders>
              <w:top w:val="outset" w:color="auto" w:sz="4" w:space="0"/>
              <w:left w:val="outset" w:color="auto" w:sz="4" w:space="0"/>
              <w:bottom w:val="outset" w:color="auto" w:sz="4" w:space="0"/>
              <w:right w:val="outset" w:color="auto" w:sz="4" w:space="0"/>
            </w:tcBorders>
            <w:vAlign w:val="center"/>
          </w:tcPr>
          <w:p w14:paraId="0F2B5775">
            <w:pPr>
              <w:jc w:val="right"/>
            </w:pPr>
            <w:r>
              <w:t>727,997,655.08</w:t>
            </w:r>
          </w:p>
        </w:tc>
        <w:tc>
          <w:tcPr>
            <w:tcW w:w="1198" w:type="pct"/>
            <w:tcBorders>
              <w:top w:val="outset" w:color="auto" w:sz="4" w:space="0"/>
              <w:left w:val="outset" w:color="auto" w:sz="4" w:space="0"/>
              <w:bottom w:val="outset" w:color="auto" w:sz="4" w:space="0"/>
              <w:right w:val="outset" w:color="auto" w:sz="4" w:space="0"/>
            </w:tcBorders>
            <w:vAlign w:val="center"/>
          </w:tcPr>
          <w:p w14:paraId="24209A76">
            <w:pPr>
              <w:jc w:val="right"/>
            </w:pPr>
          </w:p>
        </w:tc>
      </w:tr>
      <w:tr w14:paraId="6E5D2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420B77F4">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筹资活动现金流入小计</w:t>
            </w:r>
          </w:p>
        </w:tc>
        <w:tc>
          <w:tcPr>
            <w:tcW w:w="992" w:type="pct"/>
            <w:tcBorders>
              <w:top w:val="outset" w:color="auto" w:sz="4" w:space="0"/>
              <w:left w:val="outset" w:color="auto" w:sz="4" w:space="0"/>
              <w:bottom w:val="outset" w:color="auto" w:sz="4" w:space="0"/>
              <w:right w:val="outset" w:color="auto" w:sz="4" w:space="0"/>
            </w:tcBorders>
            <w:vAlign w:val="center"/>
          </w:tcPr>
          <w:p w14:paraId="0E8C359D"/>
        </w:tc>
        <w:tc>
          <w:tcPr>
            <w:tcW w:w="1074" w:type="pct"/>
            <w:tcBorders>
              <w:top w:val="outset" w:color="auto" w:sz="4" w:space="0"/>
              <w:left w:val="outset" w:color="auto" w:sz="4" w:space="0"/>
              <w:bottom w:val="outset" w:color="auto" w:sz="4" w:space="0"/>
              <w:right w:val="outset" w:color="auto" w:sz="4" w:space="0"/>
            </w:tcBorders>
            <w:vAlign w:val="center"/>
          </w:tcPr>
          <w:p w14:paraId="299917D4">
            <w:pPr>
              <w:jc w:val="right"/>
              <w:rPr>
                <w:rFonts w:ascii="宋体" w:hAnsi="宋体"/>
                <w:sz w:val="24"/>
                <w:szCs w:val="24"/>
              </w:rPr>
            </w:pPr>
            <w:r>
              <w:t>877,997,655.08</w:t>
            </w:r>
          </w:p>
        </w:tc>
        <w:tc>
          <w:tcPr>
            <w:tcW w:w="1198" w:type="pct"/>
            <w:tcBorders>
              <w:top w:val="outset" w:color="auto" w:sz="4" w:space="0"/>
              <w:left w:val="outset" w:color="auto" w:sz="4" w:space="0"/>
              <w:bottom w:val="outset" w:color="auto" w:sz="4" w:space="0"/>
              <w:right w:val="outset" w:color="auto" w:sz="4" w:space="0"/>
            </w:tcBorders>
            <w:vAlign w:val="center"/>
          </w:tcPr>
          <w:p w14:paraId="5E951C24">
            <w:pPr>
              <w:jc w:val="right"/>
            </w:pPr>
            <w:r>
              <w:t>260,000,000.00</w:t>
            </w:r>
          </w:p>
        </w:tc>
      </w:tr>
      <w:tr w14:paraId="6D9108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494A7EE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偿还债务支付的现金</w:t>
            </w:r>
          </w:p>
        </w:tc>
        <w:tc>
          <w:tcPr>
            <w:tcW w:w="992" w:type="pct"/>
            <w:tcBorders>
              <w:top w:val="outset" w:color="auto" w:sz="4" w:space="0"/>
              <w:left w:val="outset" w:color="auto" w:sz="4" w:space="0"/>
              <w:bottom w:val="outset" w:color="auto" w:sz="4" w:space="0"/>
              <w:right w:val="outset" w:color="auto" w:sz="4" w:space="0"/>
            </w:tcBorders>
            <w:vAlign w:val="center"/>
          </w:tcPr>
          <w:p w14:paraId="635FB122"/>
        </w:tc>
        <w:tc>
          <w:tcPr>
            <w:tcW w:w="1074" w:type="pct"/>
            <w:tcBorders>
              <w:top w:val="outset" w:color="auto" w:sz="4" w:space="0"/>
              <w:left w:val="outset" w:color="auto" w:sz="4" w:space="0"/>
              <w:bottom w:val="outset" w:color="auto" w:sz="4" w:space="0"/>
              <w:right w:val="outset" w:color="auto" w:sz="4" w:space="0"/>
            </w:tcBorders>
            <w:vAlign w:val="center"/>
          </w:tcPr>
          <w:p w14:paraId="135A7BD1">
            <w:pPr>
              <w:jc w:val="right"/>
            </w:pPr>
            <w:r>
              <w:t>374,509,579.39</w:t>
            </w:r>
          </w:p>
        </w:tc>
        <w:tc>
          <w:tcPr>
            <w:tcW w:w="1198" w:type="pct"/>
            <w:tcBorders>
              <w:top w:val="outset" w:color="auto" w:sz="4" w:space="0"/>
              <w:left w:val="outset" w:color="auto" w:sz="4" w:space="0"/>
              <w:bottom w:val="outset" w:color="auto" w:sz="4" w:space="0"/>
              <w:right w:val="outset" w:color="auto" w:sz="4" w:space="0"/>
            </w:tcBorders>
            <w:vAlign w:val="center"/>
          </w:tcPr>
          <w:p w14:paraId="243CC1E0">
            <w:pPr>
              <w:jc w:val="right"/>
            </w:pPr>
            <w:r>
              <w:t>505,635,066.01</w:t>
            </w:r>
          </w:p>
        </w:tc>
      </w:tr>
      <w:tr w14:paraId="32CCA5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0ED0E61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分配股利、利润或偿付利息支付的现金</w:t>
            </w:r>
          </w:p>
        </w:tc>
        <w:tc>
          <w:tcPr>
            <w:tcW w:w="992" w:type="pct"/>
            <w:tcBorders>
              <w:top w:val="outset" w:color="auto" w:sz="4" w:space="0"/>
              <w:left w:val="outset" w:color="auto" w:sz="4" w:space="0"/>
              <w:bottom w:val="outset" w:color="auto" w:sz="4" w:space="0"/>
              <w:right w:val="outset" w:color="auto" w:sz="4" w:space="0"/>
            </w:tcBorders>
            <w:vAlign w:val="center"/>
          </w:tcPr>
          <w:p w14:paraId="7660021A"/>
        </w:tc>
        <w:tc>
          <w:tcPr>
            <w:tcW w:w="1074" w:type="pct"/>
            <w:tcBorders>
              <w:top w:val="outset" w:color="auto" w:sz="4" w:space="0"/>
              <w:left w:val="outset" w:color="auto" w:sz="4" w:space="0"/>
              <w:bottom w:val="outset" w:color="auto" w:sz="4" w:space="0"/>
              <w:right w:val="outset" w:color="auto" w:sz="4" w:space="0"/>
            </w:tcBorders>
            <w:vAlign w:val="center"/>
          </w:tcPr>
          <w:p w14:paraId="7230D1BC">
            <w:pPr>
              <w:jc w:val="right"/>
            </w:pPr>
            <w:r>
              <w:t>30,378,053.02</w:t>
            </w:r>
          </w:p>
        </w:tc>
        <w:tc>
          <w:tcPr>
            <w:tcW w:w="1198" w:type="pct"/>
            <w:tcBorders>
              <w:top w:val="outset" w:color="auto" w:sz="4" w:space="0"/>
              <w:left w:val="outset" w:color="auto" w:sz="4" w:space="0"/>
              <w:bottom w:val="outset" w:color="auto" w:sz="4" w:space="0"/>
              <w:right w:val="outset" w:color="auto" w:sz="4" w:space="0"/>
            </w:tcBorders>
            <w:vAlign w:val="center"/>
          </w:tcPr>
          <w:p w14:paraId="294F1DD7">
            <w:pPr>
              <w:jc w:val="right"/>
            </w:pPr>
            <w:r>
              <w:t>35,329,125.46</w:t>
            </w:r>
          </w:p>
        </w:tc>
      </w:tr>
      <w:tr w14:paraId="5D6F3D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7676322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其中：子公司支付给少数股东的股利、利润</w:t>
            </w:r>
          </w:p>
        </w:tc>
        <w:tc>
          <w:tcPr>
            <w:tcW w:w="992" w:type="pct"/>
            <w:tcBorders>
              <w:top w:val="outset" w:color="auto" w:sz="4" w:space="0"/>
              <w:left w:val="outset" w:color="auto" w:sz="4" w:space="0"/>
              <w:bottom w:val="outset" w:color="auto" w:sz="4" w:space="0"/>
              <w:right w:val="outset" w:color="auto" w:sz="4" w:space="0"/>
            </w:tcBorders>
            <w:vAlign w:val="center"/>
          </w:tcPr>
          <w:p w14:paraId="50F09929"/>
        </w:tc>
        <w:tc>
          <w:tcPr>
            <w:tcW w:w="1074" w:type="pct"/>
            <w:tcBorders>
              <w:top w:val="outset" w:color="auto" w:sz="4" w:space="0"/>
              <w:left w:val="outset" w:color="auto" w:sz="4" w:space="0"/>
              <w:bottom w:val="outset" w:color="auto" w:sz="4" w:space="0"/>
              <w:right w:val="outset" w:color="auto" w:sz="4" w:space="0"/>
            </w:tcBorders>
            <w:vAlign w:val="center"/>
          </w:tcPr>
          <w:p w14:paraId="1C9B7E41">
            <w:pPr>
              <w:jc w:val="right"/>
            </w:pPr>
          </w:p>
        </w:tc>
        <w:tc>
          <w:tcPr>
            <w:tcW w:w="1198" w:type="pct"/>
            <w:tcBorders>
              <w:top w:val="outset" w:color="auto" w:sz="4" w:space="0"/>
              <w:left w:val="outset" w:color="auto" w:sz="4" w:space="0"/>
              <w:bottom w:val="outset" w:color="auto" w:sz="4" w:space="0"/>
              <w:right w:val="outset" w:color="auto" w:sz="4" w:space="0"/>
            </w:tcBorders>
            <w:vAlign w:val="center"/>
          </w:tcPr>
          <w:p w14:paraId="0C609AC8">
            <w:pPr>
              <w:jc w:val="right"/>
              <w:rPr>
                <w:rFonts w:eastAsia="Times New Roman" w:cs="Times New Roman"/>
                <w:sz w:val="20"/>
                <w:szCs w:val="20"/>
              </w:rPr>
            </w:pPr>
          </w:p>
        </w:tc>
      </w:tr>
      <w:tr w14:paraId="7F5C18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2598C20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支付其他与筹资活动有关的现金</w:t>
            </w:r>
          </w:p>
        </w:tc>
        <w:tc>
          <w:tcPr>
            <w:tcW w:w="992" w:type="pct"/>
            <w:tcBorders>
              <w:top w:val="outset" w:color="auto" w:sz="4" w:space="0"/>
              <w:left w:val="outset" w:color="auto" w:sz="4" w:space="0"/>
              <w:bottom w:val="outset" w:color="auto" w:sz="4" w:space="0"/>
              <w:right w:val="outset" w:color="auto" w:sz="4" w:space="0"/>
            </w:tcBorders>
            <w:vAlign w:val="center"/>
          </w:tcPr>
          <w:p w14:paraId="34F4C4AA">
            <w:r>
              <w:rPr>
                <w:rFonts w:hint="eastAsia"/>
              </w:rPr>
              <w:t>七、78</w:t>
            </w:r>
          </w:p>
        </w:tc>
        <w:tc>
          <w:tcPr>
            <w:tcW w:w="1074" w:type="pct"/>
            <w:tcBorders>
              <w:top w:val="outset" w:color="auto" w:sz="4" w:space="0"/>
              <w:left w:val="outset" w:color="auto" w:sz="4" w:space="0"/>
              <w:bottom w:val="outset" w:color="auto" w:sz="4" w:space="0"/>
              <w:right w:val="outset" w:color="auto" w:sz="4" w:space="0"/>
            </w:tcBorders>
            <w:vAlign w:val="center"/>
          </w:tcPr>
          <w:p w14:paraId="1BA383DE">
            <w:pPr>
              <w:jc w:val="right"/>
              <w:rPr>
                <w:rFonts w:ascii="宋体" w:hAnsi="宋体"/>
                <w:sz w:val="24"/>
                <w:szCs w:val="24"/>
              </w:rPr>
            </w:pPr>
            <w:r>
              <w:t>1,310,500.00</w:t>
            </w:r>
          </w:p>
        </w:tc>
        <w:tc>
          <w:tcPr>
            <w:tcW w:w="1198" w:type="pct"/>
            <w:tcBorders>
              <w:top w:val="outset" w:color="auto" w:sz="4" w:space="0"/>
              <w:left w:val="outset" w:color="auto" w:sz="4" w:space="0"/>
              <w:bottom w:val="outset" w:color="auto" w:sz="4" w:space="0"/>
              <w:right w:val="outset" w:color="auto" w:sz="4" w:space="0"/>
            </w:tcBorders>
            <w:vAlign w:val="center"/>
          </w:tcPr>
          <w:p w14:paraId="2B1F040F">
            <w:pPr>
              <w:jc w:val="right"/>
            </w:pPr>
            <w:r>
              <w:t>130,859,058.08</w:t>
            </w:r>
          </w:p>
        </w:tc>
      </w:tr>
      <w:tr w14:paraId="2B43E7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75C648D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筹资活动现金流出小计</w:t>
            </w:r>
          </w:p>
        </w:tc>
        <w:tc>
          <w:tcPr>
            <w:tcW w:w="992" w:type="pct"/>
            <w:tcBorders>
              <w:top w:val="outset" w:color="auto" w:sz="4" w:space="0"/>
              <w:left w:val="outset" w:color="auto" w:sz="4" w:space="0"/>
              <w:bottom w:val="outset" w:color="auto" w:sz="4" w:space="0"/>
              <w:right w:val="outset" w:color="auto" w:sz="4" w:space="0"/>
            </w:tcBorders>
            <w:vAlign w:val="center"/>
          </w:tcPr>
          <w:p w14:paraId="07AFC4AA"/>
        </w:tc>
        <w:tc>
          <w:tcPr>
            <w:tcW w:w="1074" w:type="pct"/>
            <w:tcBorders>
              <w:top w:val="outset" w:color="auto" w:sz="4" w:space="0"/>
              <w:left w:val="outset" w:color="auto" w:sz="4" w:space="0"/>
              <w:bottom w:val="outset" w:color="auto" w:sz="4" w:space="0"/>
              <w:right w:val="outset" w:color="auto" w:sz="4" w:space="0"/>
            </w:tcBorders>
            <w:vAlign w:val="center"/>
          </w:tcPr>
          <w:p w14:paraId="5CA1FEF3">
            <w:pPr>
              <w:jc w:val="right"/>
            </w:pPr>
            <w:r>
              <w:t>406,198,132.41</w:t>
            </w:r>
          </w:p>
        </w:tc>
        <w:tc>
          <w:tcPr>
            <w:tcW w:w="1198" w:type="pct"/>
            <w:tcBorders>
              <w:top w:val="outset" w:color="auto" w:sz="4" w:space="0"/>
              <w:left w:val="outset" w:color="auto" w:sz="4" w:space="0"/>
              <w:bottom w:val="outset" w:color="auto" w:sz="4" w:space="0"/>
              <w:right w:val="outset" w:color="auto" w:sz="4" w:space="0"/>
            </w:tcBorders>
            <w:vAlign w:val="center"/>
          </w:tcPr>
          <w:p w14:paraId="1706096A">
            <w:pPr>
              <w:jc w:val="right"/>
            </w:pPr>
            <w:r>
              <w:t>671,823,249.55</w:t>
            </w:r>
          </w:p>
        </w:tc>
      </w:tr>
      <w:tr w14:paraId="7A4E90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6BEE2ED5">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筹资活动产生的现金流量净额</w:t>
            </w:r>
          </w:p>
        </w:tc>
        <w:tc>
          <w:tcPr>
            <w:tcW w:w="992" w:type="pct"/>
            <w:tcBorders>
              <w:top w:val="outset" w:color="auto" w:sz="4" w:space="0"/>
              <w:left w:val="outset" w:color="auto" w:sz="4" w:space="0"/>
              <w:bottom w:val="outset" w:color="auto" w:sz="4" w:space="0"/>
              <w:right w:val="outset" w:color="auto" w:sz="4" w:space="0"/>
            </w:tcBorders>
            <w:vAlign w:val="center"/>
          </w:tcPr>
          <w:p w14:paraId="6F896519"/>
        </w:tc>
        <w:tc>
          <w:tcPr>
            <w:tcW w:w="1074" w:type="pct"/>
            <w:tcBorders>
              <w:top w:val="outset" w:color="auto" w:sz="4" w:space="0"/>
              <w:left w:val="outset" w:color="auto" w:sz="4" w:space="0"/>
              <w:bottom w:val="outset" w:color="auto" w:sz="4" w:space="0"/>
              <w:right w:val="outset" w:color="auto" w:sz="4" w:space="0"/>
            </w:tcBorders>
            <w:vAlign w:val="center"/>
          </w:tcPr>
          <w:p w14:paraId="4CFC12BC">
            <w:pPr>
              <w:jc w:val="right"/>
            </w:pPr>
            <w:r>
              <w:t>471,799,522.67</w:t>
            </w:r>
          </w:p>
        </w:tc>
        <w:tc>
          <w:tcPr>
            <w:tcW w:w="1198" w:type="pct"/>
            <w:tcBorders>
              <w:top w:val="outset" w:color="auto" w:sz="4" w:space="0"/>
              <w:left w:val="outset" w:color="auto" w:sz="4" w:space="0"/>
              <w:bottom w:val="outset" w:color="auto" w:sz="4" w:space="0"/>
              <w:right w:val="outset" w:color="auto" w:sz="4" w:space="0"/>
            </w:tcBorders>
            <w:vAlign w:val="center"/>
          </w:tcPr>
          <w:p w14:paraId="4E315138">
            <w:pPr>
              <w:jc w:val="right"/>
            </w:pPr>
            <w:r>
              <w:t>-411,823,249.55</w:t>
            </w:r>
          </w:p>
        </w:tc>
      </w:tr>
      <w:tr w14:paraId="5026B6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62C656E5">
            <w:pPr>
              <w:rPr>
                <w:color w:val="000000" w:themeColor="text1"/>
                <w14:textFill>
                  <w14:solidFill>
                    <w14:schemeClr w14:val="tx1"/>
                  </w14:solidFill>
                </w14:textFill>
              </w:rPr>
            </w:pPr>
            <w:r>
              <w:rPr>
                <w:rFonts w:hint="eastAsia"/>
                <w:b/>
                <w:color w:val="000000" w:themeColor="text1"/>
                <w14:textFill>
                  <w14:solidFill>
                    <w14:schemeClr w14:val="tx1"/>
                  </w14:solidFill>
                </w14:textFill>
              </w:rPr>
              <w:t>四、汇率变动对现金及现金等价物的影响</w:t>
            </w:r>
          </w:p>
        </w:tc>
        <w:tc>
          <w:tcPr>
            <w:tcW w:w="992" w:type="pct"/>
            <w:tcBorders>
              <w:top w:val="outset" w:color="auto" w:sz="4" w:space="0"/>
              <w:left w:val="outset" w:color="auto" w:sz="4" w:space="0"/>
              <w:bottom w:val="outset" w:color="auto" w:sz="4" w:space="0"/>
              <w:right w:val="outset" w:color="auto" w:sz="4" w:space="0"/>
            </w:tcBorders>
            <w:vAlign w:val="center"/>
          </w:tcPr>
          <w:p w14:paraId="40CF4A89"/>
        </w:tc>
        <w:tc>
          <w:tcPr>
            <w:tcW w:w="1074" w:type="pct"/>
            <w:tcBorders>
              <w:top w:val="outset" w:color="auto" w:sz="4" w:space="0"/>
              <w:left w:val="outset" w:color="auto" w:sz="4" w:space="0"/>
              <w:bottom w:val="outset" w:color="auto" w:sz="4" w:space="0"/>
              <w:right w:val="outset" w:color="auto" w:sz="4" w:space="0"/>
            </w:tcBorders>
            <w:vAlign w:val="center"/>
          </w:tcPr>
          <w:p w14:paraId="06782503">
            <w:pPr>
              <w:jc w:val="right"/>
            </w:pPr>
            <w:r>
              <w:t>32,534,843.39</w:t>
            </w:r>
          </w:p>
        </w:tc>
        <w:tc>
          <w:tcPr>
            <w:tcW w:w="1198" w:type="pct"/>
            <w:tcBorders>
              <w:top w:val="outset" w:color="auto" w:sz="4" w:space="0"/>
              <w:left w:val="outset" w:color="auto" w:sz="4" w:space="0"/>
              <w:bottom w:val="outset" w:color="auto" w:sz="4" w:space="0"/>
              <w:right w:val="outset" w:color="auto" w:sz="4" w:space="0"/>
            </w:tcBorders>
            <w:vAlign w:val="center"/>
          </w:tcPr>
          <w:p w14:paraId="036379C2">
            <w:pPr>
              <w:jc w:val="right"/>
            </w:pPr>
            <w:r>
              <w:t>16,192,637.00</w:t>
            </w:r>
          </w:p>
        </w:tc>
      </w:tr>
      <w:tr w14:paraId="4632AC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7A7D5809">
            <w:pPr>
              <w:rPr>
                <w:color w:val="000000" w:themeColor="text1"/>
                <w14:textFill>
                  <w14:solidFill>
                    <w14:schemeClr w14:val="tx1"/>
                  </w14:solidFill>
                </w14:textFill>
              </w:rPr>
            </w:pPr>
            <w:r>
              <w:rPr>
                <w:rFonts w:hint="eastAsia"/>
                <w:b/>
                <w:color w:val="000000" w:themeColor="text1"/>
                <w14:textFill>
                  <w14:solidFill>
                    <w14:schemeClr w14:val="tx1"/>
                  </w14:solidFill>
                </w14:textFill>
              </w:rPr>
              <w:t>五、现金及现金等价物净增加额</w:t>
            </w:r>
          </w:p>
        </w:tc>
        <w:tc>
          <w:tcPr>
            <w:tcW w:w="992" w:type="pct"/>
            <w:tcBorders>
              <w:top w:val="outset" w:color="auto" w:sz="4" w:space="0"/>
              <w:left w:val="outset" w:color="auto" w:sz="4" w:space="0"/>
              <w:bottom w:val="outset" w:color="auto" w:sz="4" w:space="0"/>
              <w:right w:val="outset" w:color="auto" w:sz="4" w:space="0"/>
            </w:tcBorders>
            <w:vAlign w:val="center"/>
          </w:tcPr>
          <w:p w14:paraId="76A24494">
            <w:r>
              <w:rPr>
                <w:rFonts w:hint="eastAsia"/>
              </w:rPr>
              <w:t>七、7</w:t>
            </w:r>
            <w:r>
              <w:t>9</w:t>
            </w:r>
          </w:p>
        </w:tc>
        <w:tc>
          <w:tcPr>
            <w:tcW w:w="1074" w:type="pct"/>
            <w:tcBorders>
              <w:top w:val="outset" w:color="auto" w:sz="4" w:space="0"/>
              <w:left w:val="outset" w:color="auto" w:sz="4" w:space="0"/>
              <w:bottom w:val="outset" w:color="auto" w:sz="4" w:space="0"/>
              <w:right w:val="outset" w:color="auto" w:sz="4" w:space="0"/>
            </w:tcBorders>
            <w:vAlign w:val="center"/>
          </w:tcPr>
          <w:p w14:paraId="7E044F34">
            <w:pPr>
              <w:jc w:val="right"/>
            </w:pPr>
            <w:r>
              <w:t>573,921,598.29</w:t>
            </w:r>
          </w:p>
        </w:tc>
        <w:tc>
          <w:tcPr>
            <w:tcW w:w="1198" w:type="pct"/>
            <w:tcBorders>
              <w:top w:val="outset" w:color="auto" w:sz="4" w:space="0"/>
              <w:left w:val="outset" w:color="auto" w:sz="4" w:space="0"/>
              <w:bottom w:val="outset" w:color="auto" w:sz="4" w:space="0"/>
              <w:right w:val="outset" w:color="auto" w:sz="4" w:space="0"/>
            </w:tcBorders>
            <w:vAlign w:val="center"/>
          </w:tcPr>
          <w:p w14:paraId="78760781">
            <w:pPr>
              <w:jc w:val="right"/>
            </w:pPr>
            <w:r>
              <w:t>274,127,636.59</w:t>
            </w:r>
          </w:p>
        </w:tc>
      </w:tr>
      <w:tr w14:paraId="3481DF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050B8EB4">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加：期初现金及现金等价物余额</w:t>
            </w:r>
          </w:p>
        </w:tc>
        <w:tc>
          <w:tcPr>
            <w:tcW w:w="992" w:type="pct"/>
            <w:tcBorders>
              <w:top w:val="outset" w:color="auto" w:sz="4" w:space="0"/>
              <w:left w:val="outset" w:color="auto" w:sz="4" w:space="0"/>
              <w:bottom w:val="outset" w:color="auto" w:sz="4" w:space="0"/>
              <w:right w:val="outset" w:color="auto" w:sz="4" w:space="0"/>
            </w:tcBorders>
            <w:vAlign w:val="center"/>
          </w:tcPr>
          <w:p w14:paraId="72A332CB">
            <w:r>
              <w:rPr>
                <w:rFonts w:hint="eastAsia"/>
              </w:rPr>
              <w:t>七、79</w:t>
            </w:r>
          </w:p>
        </w:tc>
        <w:tc>
          <w:tcPr>
            <w:tcW w:w="1074" w:type="pct"/>
            <w:tcBorders>
              <w:top w:val="outset" w:color="auto" w:sz="4" w:space="0"/>
              <w:left w:val="outset" w:color="auto" w:sz="4" w:space="0"/>
              <w:bottom w:val="outset" w:color="auto" w:sz="4" w:space="0"/>
              <w:right w:val="outset" w:color="auto" w:sz="4" w:space="0"/>
            </w:tcBorders>
            <w:vAlign w:val="center"/>
          </w:tcPr>
          <w:p w14:paraId="5E3B86F2">
            <w:pPr>
              <w:jc w:val="right"/>
            </w:pPr>
            <w:r>
              <w:t>1,321,676,451.02</w:t>
            </w:r>
          </w:p>
        </w:tc>
        <w:tc>
          <w:tcPr>
            <w:tcW w:w="1198" w:type="pct"/>
            <w:tcBorders>
              <w:top w:val="outset" w:color="auto" w:sz="4" w:space="0"/>
              <w:left w:val="outset" w:color="auto" w:sz="4" w:space="0"/>
              <w:bottom w:val="outset" w:color="auto" w:sz="4" w:space="0"/>
              <w:right w:val="outset" w:color="auto" w:sz="4" w:space="0"/>
            </w:tcBorders>
            <w:vAlign w:val="center"/>
          </w:tcPr>
          <w:p w14:paraId="3A81FECB">
            <w:pPr>
              <w:jc w:val="right"/>
            </w:pPr>
            <w:r>
              <w:t>986,332,956.87</w:t>
            </w:r>
          </w:p>
        </w:tc>
      </w:tr>
      <w:tr w14:paraId="18CC27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6" w:type="pct"/>
            <w:tcBorders>
              <w:top w:val="outset" w:color="auto" w:sz="4" w:space="0"/>
              <w:left w:val="outset" w:color="auto" w:sz="4" w:space="0"/>
              <w:bottom w:val="outset" w:color="auto" w:sz="4" w:space="0"/>
              <w:right w:val="outset" w:color="auto" w:sz="4" w:space="0"/>
            </w:tcBorders>
            <w:vAlign w:val="center"/>
          </w:tcPr>
          <w:p w14:paraId="3049F28A">
            <w:pPr>
              <w:rPr>
                <w:color w:val="000000" w:themeColor="text1"/>
                <w14:textFill>
                  <w14:solidFill>
                    <w14:schemeClr w14:val="tx1"/>
                  </w14:solidFill>
                </w14:textFill>
              </w:rPr>
            </w:pPr>
            <w:r>
              <w:rPr>
                <w:rFonts w:hint="eastAsia"/>
                <w:b/>
                <w:color w:val="000000" w:themeColor="text1"/>
                <w14:textFill>
                  <w14:solidFill>
                    <w14:schemeClr w14:val="tx1"/>
                  </w14:solidFill>
                </w14:textFill>
              </w:rPr>
              <w:t>六、期末现金及现金等价物余额</w:t>
            </w:r>
          </w:p>
        </w:tc>
        <w:tc>
          <w:tcPr>
            <w:tcW w:w="992" w:type="pct"/>
            <w:tcBorders>
              <w:top w:val="outset" w:color="auto" w:sz="4" w:space="0"/>
              <w:left w:val="outset" w:color="auto" w:sz="4" w:space="0"/>
              <w:bottom w:val="outset" w:color="auto" w:sz="4" w:space="0"/>
              <w:right w:val="outset" w:color="auto" w:sz="4" w:space="0"/>
            </w:tcBorders>
            <w:vAlign w:val="center"/>
          </w:tcPr>
          <w:p w14:paraId="4A8859D9">
            <w:r>
              <w:rPr>
                <w:rFonts w:hint="eastAsia"/>
              </w:rPr>
              <w:t>七、79</w:t>
            </w:r>
          </w:p>
        </w:tc>
        <w:tc>
          <w:tcPr>
            <w:tcW w:w="1074" w:type="pct"/>
            <w:tcBorders>
              <w:top w:val="outset" w:color="auto" w:sz="4" w:space="0"/>
              <w:left w:val="outset" w:color="auto" w:sz="4" w:space="0"/>
              <w:bottom w:val="outset" w:color="auto" w:sz="4" w:space="0"/>
              <w:right w:val="outset" w:color="auto" w:sz="4" w:space="0"/>
            </w:tcBorders>
            <w:vAlign w:val="center"/>
          </w:tcPr>
          <w:p w14:paraId="741D12AD">
            <w:pPr>
              <w:jc w:val="right"/>
            </w:pPr>
            <w:r>
              <w:t>1,895,598,049.31</w:t>
            </w:r>
          </w:p>
        </w:tc>
        <w:tc>
          <w:tcPr>
            <w:tcW w:w="1198" w:type="pct"/>
            <w:tcBorders>
              <w:top w:val="outset" w:color="auto" w:sz="4" w:space="0"/>
              <w:left w:val="outset" w:color="auto" w:sz="4" w:space="0"/>
              <w:bottom w:val="outset" w:color="auto" w:sz="4" w:space="0"/>
              <w:right w:val="outset" w:color="auto" w:sz="4" w:space="0"/>
            </w:tcBorders>
            <w:vAlign w:val="center"/>
          </w:tcPr>
          <w:p w14:paraId="36BCEF3A">
            <w:pPr>
              <w:jc w:val="right"/>
            </w:pPr>
            <w:r>
              <w:t>1,260,460,593.46</w:t>
            </w:r>
          </w:p>
        </w:tc>
      </w:tr>
    </w:tbl>
    <w:p w14:paraId="5C6C55FE">
      <w:pPr>
        <w:snapToGrid w:val="0"/>
        <w:spacing w:line="240" w:lineRule="atLeast"/>
        <w:ind w:right="25" w:rightChars="12"/>
        <w:rPr>
          <w:b/>
          <w:bCs/>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d1f7cb193ab444ff8482a06aad12f0db"/>
          <w:id w:val="-664628145"/>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印奇</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45110b4746914613a7aad68cef7b1bed"/>
          <w:id w:val="-40446975"/>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黄强</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e7d70223996e482d9871cfff87704452"/>
          <w:id w:val="-1993408533"/>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徐衬</w:t>
          </w:r>
        </w:sdtContent>
      </w:sdt>
    </w:p>
    <w:p w14:paraId="6632BDB2">
      <w:pPr>
        <w:rPr>
          <w:color w:val="000000" w:themeColor="text1"/>
          <w14:textFill>
            <w14:solidFill>
              <w14:schemeClr w14:val="tx1"/>
            </w14:solidFill>
          </w14:textFill>
        </w:rPr>
      </w:pPr>
    </w:p>
    <w:p w14:paraId="4E4EE7E6">
      <w:pPr>
        <w:jc w:val="center"/>
        <w:rPr>
          <w:b/>
          <w:bCs/>
          <w:color w:val="000000" w:themeColor="text1"/>
          <w14:textFill>
            <w14:solidFill>
              <w14:schemeClr w14:val="tx1"/>
            </w14:solidFill>
          </w14:textFill>
        </w:rPr>
      </w:pPr>
    </w:p>
    <w:p w14:paraId="1C5FDF72">
      <w:pPr>
        <w:rPr>
          <w:rFonts w:ascii="宋体" w:hAnsi="宋体" w:cs="Times New Roman"/>
          <w:b/>
          <w:bCs/>
          <w:color w:val="000000" w:themeColor="text1"/>
          <w:kern w:val="2"/>
          <w:szCs w:val="32"/>
          <w14:textFill>
            <w14:solidFill>
              <w14:schemeClr w14:val="tx1"/>
            </w14:solidFill>
          </w14:textFill>
        </w:rPr>
      </w:pPr>
      <w:r>
        <w:rPr>
          <w:rFonts w:hint="eastAsia" w:ascii="宋体" w:hAnsi="宋体"/>
          <w:color w:val="000000" w:themeColor="text1"/>
          <w14:textFill>
            <w14:solidFill>
              <w14:schemeClr w14:val="tx1"/>
            </w14:solidFill>
          </w14:textFill>
        </w:rPr>
        <w:br w:type="page"/>
      </w:r>
    </w:p>
    <w:p w14:paraId="011C2CA1">
      <w:pPr>
        <w:pStyle w:val="4"/>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母公司</w:t>
      </w:r>
      <w:r>
        <w:rPr>
          <w:rFonts w:ascii="宋体" w:hAnsi="宋体"/>
          <w:color w:val="000000" w:themeColor="text1"/>
          <w14:textFill>
            <w14:solidFill>
              <w14:schemeClr w14:val="tx1"/>
            </w14:solidFill>
          </w14:textFill>
        </w:rPr>
        <w:t>现金流量表</w:t>
      </w:r>
    </w:p>
    <w:p w14:paraId="52989CB4">
      <w:pPr>
        <w:jc w:val="center"/>
        <w:rPr>
          <w:b/>
          <w:bCs/>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5897FC4B">
      <w:pPr>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母公司现金流量表"/>
          <w:tag w:val="_GBC_993ead81b27a41dfaccaacfaec8b7c78"/>
          <w:id w:val="13910669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母公司现金流量表"/>
          <w:tag w:val="_GBC_2dd4b706d0a244a4b4c21166025356cc"/>
          <w:id w:val="-21226044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067"/>
        <w:gridCol w:w="1801"/>
        <w:gridCol w:w="2096"/>
        <w:gridCol w:w="2085"/>
      </w:tblGrid>
      <w:tr w14:paraId="1EB8C7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ae0904ed714106892a5beddfe5846a"/>
            <w:id w:val="-2075574854"/>
          </w:sdtPr>
          <w:sdtContent>
            <w:tc>
              <w:tcPr>
                <w:tcW w:w="1695" w:type="pct"/>
                <w:tcBorders>
                  <w:top w:val="outset" w:color="auto" w:sz="4" w:space="0"/>
                  <w:left w:val="outset" w:color="auto" w:sz="4" w:space="0"/>
                  <w:bottom w:val="outset" w:color="auto" w:sz="4" w:space="0"/>
                  <w:right w:val="outset" w:color="auto" w:sz="4" w:space="0"/>
                </w:tcBorders>
                <w:vAlign w:val="center"/>
              </w:tcPr>
              <w:p w14:paraId="27B2DF2E">
                <w:pPr>
                  <w:jc w:val="center"/>
                  <w:rPr>
                    <w:b/>
                    <w:bCs/>
                    <w:color w:val="000000" w:themeColor="text1"/>
                    <w14:textFill>
                      <w14:solidFill>
                        <w14:schemeClr w14:val="tx1"/>
                      </w14:solidFill>
                    </w14:textFill>
                  </w:rPr>
                </w:pPr>
                <w:r>
                  <w:rPr>
                    <w:b/>
                    <w:color w:val="000000" w:themeColor="text1"/>
                    <w14:textFill>
                      <w14:solidFill>
                        <w14:schemeClr w14:val="tx1"/>
                      </w14:solidFill>
                    </w14:textFill>
                  </w:rPr>
                  <w:t>项目</w:t>
                </w:r>
              </w:p>
            </w:tc>
          </w:sdtContent>
        </w:sdt>
        <w:sdt>
          <w:sdtPr>
            <w:tag w:val="_PLD_9cb87427e0de42d2b7e58a286ff58290"/>
            <w:id w:val="1690093906"/>
          </w:sdtPr>
          <w:sdtContent>
            <w:tc>
              <w:tcPr>
                <w:tcW w:w="995" w:type="pct"/>
                <w:tcBorders>
                  <w:top w:val="outset" w:color="auto" w:sz="4" w:space="0"/>
                  <w:left w:val="outset" w:color="auto" w:sz="4" w:space="0"/>
                  <w:bottom w:val="outset" w:color="auto" w:sz="4" w:space="0"/>
                  <w:right w:val="outset" w:color="auto" w:sz="4" w:space="0"/>
                </w:tcBorders>
                <w:vAlign w:val="center"/>
              </w:tcPr>
              <w:p w14:paraId="4DF98ABB">
                <w:pPr>
                  <w:autoSpaceDE w:val="0"/>
                  <w:autoSpaceDN w:val="0"/>
                  <w:adjustRightInd w:val="0"/>
                  <w:jc w:val="center"/>
                  <w:rPr>
                    <w:b/>
                    <w:color w:val="000000" w:themeColor="text1"/>
                    <w14:textFill>
                      <w14:solidFill>
                        <w14:schemeClr w14:val="tx1"/>
                      </w14:solidFill>
                    </w14:textFill>
                  </w:rPr>
                </w:pPr>
                <w:r>
                  <w:rPr>
                    <w:b/>
                    <w:color w:val="000000" w:themeColor="text1"/>
                    <w14:textFill>
                      <w14:solidFill>
                        <w14:schemeClr w14:val="tx1"/>
                      </w14:solidFill>
                    </w14:textFill>
                  </w:rPr>
                  <w:t>附注</w:t>
                </w:r>
              </w:p>
            </w:tc>
          </w:sdtContent>
        </w:sdt>
        <w:sdt>
          <w:sdtPr>
            <w:tag w:val="_PLD_514bbce28b6040e393e59c5ec50c3820"/>
            <w:id w:val="-1405141214"/>
          </w:sdtPr>
          <w:sdtContent>
            <w:tc>
              <w:tcPr>
                <w:tcW w:w="1158" w:type="pct"/>
                <w:tcBorders>
                  <w:top w:val="outset" w:color="auto" w:sz="4" w:space="0"/>
                  <w:left w:val="outset" w:color="auto" w:sz="4" w:space="0"/>
                  <w:bottom w:val="outset" w:color="auto" w:sz="4" w:space="0"/>
                  <w:right w:val="outset" w:color="auto" w:sz="4" w:space="0"/>
                </w:tcBorders>
                <w:vAlign w:val="center"/>
              </w:tcPr>
              <w:p w14:paraId="0BE11C27">
                <w:pPr>
                  <w:autoSpaceDE w:val="0"/>
                  <w:autoSpaceDN w:val="0"/>
                  <w:adjustRightInd w:val="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2025年半年度</w:t>
                </w:r>
              </w:p>
            </w:tc>
          </w:sdtContent>
        </w:sdt>
        <w:sdt>
          <w:sdtPr>
            <w:tag w:val="_PLD_de39c3f730c74ecca3c9a890bc08a2c1"/>
            <w:id w:val="1348828519"/>
          </w:sdtPr>
          <w:sdtContent>
            <w:tc>
              <w:tcPr>
                <w:tcW w:w="1152" w:type="pct"/>
                <w:tcBorders>
                  <w:top w:val="outset" w:color="auto" w:sz="4" w:space="0"/>
                  <w:left w:val="outset" w:color="auto" w:sz="4" w:space="0"/>
                  <w:bottom w:val="outset" w:color="auto" w:sz="4" w:space="0"/>
                  <w:right w:val="outset" w:color="auto" w:sz="4" w:space="0"/>
                </w:tcBorders>
                <w:vAlign w:val="center"/>
              </w:tcPr>
              <w:p w14:paraId="634AB9EC">
                <w:pPr>
                  <w:autoSpaceDE w:val="0"/>
                  <w:autoSpaceDN w:val="0"/>
                  <w:adjustRightInd w:val="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2024年半年度</w:t>
                </w:r>
              </w:p>
            </w:tc>
          </w:sdtContent>
        </w:sdt>
      </w:tr>
      <w:tr w14:paraId="07C23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75fd724a7cb4261a6c80660162ce2fb"/>
            <w:id w:val="1170057401"/>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43C10B82">
                <w:pPr>
                  <w:rPr>
                    <w:color w:val="000000" w:themeColor="text1"/>
                    <w14:textFill>
                      <w14:solidFill>
                        <w14:schemeClr w14:val="tx1"/>
                      </w14:solidFill>
                    </w14:textFill>
                  </w:rPr>
                </w:pPr>
                <w:r>
                  <w:rPr>
                    <w:rFonts w:hint="eastAsia"/>
                    <w:b/>
                    <w:color w:val="000000" w:themeColor="text1"/>
                    <w14:textFill>
                      <w14:solidFill>
                        <w14:schemeClr w14:val="tx1"/>
                      </w14:solidFill>
                    </w14:textFill>
                  </w:rPr>
                  <w:t>一、经营活动产生的现金流量：</w:t>
                </w:r>
              </w:p>
            </w:tc>
          </w:sdtContent>
        </w:sdt>
      </w:tr>
      <w:tr w14:paraId="18E2A8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243DBA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销售商品、提供劳务收到的现金</w:t>
            </w:r>
          </w:p>
        </w:tc>
        <w:tc>
          <w:tcPr>
            <w:tcW w:w="995" w:type="pct"/>
            <w:tcBorders>
              <w:top w:val="outset" w:color="auto" w:sz="4" w:space="0"/>
              <w:left w:val="outset" w:color="auto" w:sz="4" w:space="0"/>
              <w:bottom w:val="outset" w:color="auto" w:sz="4" w:space="0"/>
              <w:right w:val="outset" w:color="auto" w:sz="4" w:space="0"/>
            </w:tcBorders>
            <w:vAlign w:val="center"/>
          </w:tcPr>
          <w:p w14:paraId="5988E241"/>
        </w:tc>
        <w:tc>
          <w:tcPr>
            <w:tcW w:w="1158" w:type="pct"/>
            <w:tcBorders>
              <w:top w:val="outset" w:color="auto" w:sz="4" w:space="0"/>
              <w:left w:val="outset" w:color="auto" w:sz="4" w:space="0"/>
              <w:bottom w:val="outset" w:color="auto" w:sz="4" w:space="0"/>
              <w:right w:val="outset" w:color="auto" w:sz="4" w:space="0"/>
            </w:tcBorders>
            <w:vAlign w:val="center"/>
          </w:tcPr>
          <w:p w14:paraId="3D1C644D">
            <w:pPr>
              <w:jc w:val="right"/>
            </w:pPr>
            <w:r>
              <w:t>1,220,123.22</w:t>
            </w:r>
          </w:p>
        </w:tc>
        <w:tc>
          <w:tcPr>
            <w:tcW w:w="1152" w:type="pct"/>
            <w:tcBorders>
              <w:top w:val="outset" w:color="auto" w:sz="4" w:space="0"/>
              <w:left w:val="outset" w:color="auto" w:sz="4" w:space="0"/>
              <w:bottom w:val="outset" w:color="auto" w:sz="4" w:space="0"/>
              <w:right w:val="outset" w:color="auto" w:sz="4" w:space="0"/>
            </w:tcBorders>
            <w:vAlign w:val="center"/>
          </w:tcPr>
          <w:p w14:paraId="664E520B">
            <w:pPr>
              <w:jc w:val="right"/>
            </w:pPr>
          </w:p>
        </w:tc>
      </w:tr>
      <w:tr w14:paraId="647A36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661A3ADB">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收到的税费返还</w:t>
            </w:r>
          </w:p>
        </w:tc>
        <w:tc>
          <w:tcPr>
            <w:tcW w:w="995" w:type="pct"/>
            <w:tcBorders>
              <w:top w:val="outset" w:color="auto" w:sz="4" w:space="0"/>
              <w:left w:val="outset" w:color="auto" w:sz="4" w:space="0"/>
              <w:bottom w:val="outset" w:color="auto" w:sz="4" w:space="0"/>
              <w:right w:val="outset" w:color="auto" w:sz="4" w:space="0"/>
            </w:tcBorders>
            <w:vAlign w:val="center"/>
          </w:tcPr>
          <w:p w14:paraId="18B0D689"/>
        </w:tc>
        <w:tc>
          <w:tcPr>
            <w:tcW w:w="1158" w:type="pct"/>
            <w:tcBorders>
              <w:top w:val="outset" w:color="auto" w:sz="4" w:space="0"/>
              <w:left w:val="outset" w:color="auto" w:sz="4" w:space="0"/>
              <w:bottom w:val="outset" w:color="auto" w:sz="4" w:space="0"/>
              <w:right w:val="outset" w:color="auto" w:sz="4" w:space="0"/>
            </w:tcBorders>
            <w:vAlign w:val="center"/>
          </w:tcPr>
          <w:p w14:paraId="0BC25CA5">
            <w:pPr>
              <w:jc w:val="right"/>
              <w:rPr>
                <w:rFonts w:ascii="宋体" w:hAnsi="宋体"/>
                <w:sz w:val="24"/>
                <w:szCs w:val="24"/>
              </w:rPr>
            </w:pPr>
          </w:p>
        </w:tc>
        <w:tc>
          <w:tcPr>
            <w:tcW w:w="1152" w:type="pct"/>
            <w:tcBorders>
              <w:top w:val="outset" w:color="auto" w:sz="4" w:space="0"/>
              <w:left w:val="outset" w:color="auto" w:sz="4" w:space="0"/>
              <w:bottom w:val="outset" w:color="auto" w:sz="4" w:space="0"/>
              <w:right w:val="outset" w:color="auto" w:sz="4" w:space="0"/>
            </w:tcBorders>
            <w:vAlign w:val="center"/>
          </w:tcPr>
          <w:p w14:paraId="77215758">
            <w:pPr>
              <w:jc w:val="right"/>
            </w:pPr>
          </w:p>
        </w:tc>
      </w:tr>
      <w:tr w14:paraId="24B270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34E2D6E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收到其他与经营活动有关的现金</w:t>
            </w:r>
          </w:p>
        </w:tc>
        <w:tc>
          <w:tcPr>
            <w:tcW w:w="995" w:type="pct"/>
            <w:tcBorders>
              <w:top w:val="outset" w:color="auto" w:sz="4" w:space="0"/>
              <w:left w:val="outset" w:color="auto" w:sz="4" w:space="0"/>
              <w:bottom w:val="outset" w:color="auto" w:sz="4" w:space="0"/>
              <w:right w:val="outset" w:color="auto" w:sz="4" w:space="0"/>
            </w:tcBorders>
            <w:vAlign w:val="center"/>
          </w:tcPr>
          <w:p w14:paraId="3AA30ADD"/>
        </w:tc>
        <w:tc>
          <w:tcPr>
            <w:tcW w:w="1158" w:type="pct"/>
            <w:tcBorders>
              <w:top w:val="outset" w:color="auto" w:sz="4" w:space="0"/>
              <w:left w:val="outset" w:color="auto" w:sz="4" w:space="0"/>
              <w:bottom w:val="outset" w:color="auto" w:sz="4" w:space="0"/>
              <w:right w:val="outset" w:color="auto" w:sz="4" w:space="0"/>
            </w:tcBorders>
            <w:vAlign w:val="center"/>
          </w:tcPr>
          <w:p w14:paraId="3BEE60C3">
            <w:pPr>
              <w:jc w:val="right"/>
              <w:rPr>
                <w:rFonts w:ascii="宋体" w:hAnsi="宋体"/>
                <w:sz w:val="24"/>
                <w:szCs w:val="24"/>
              </w:rPr>
            </w:pPr>
            <w:r>
              <w:t>764,641,770.84</w:t>
            </w:r>
          </w:p>
        </w:tc>
        <w:tc>
          <w:tcPr>
            <w:tcW w:w="1152" w:type="pct"/>
            <w:tcBorders>
              <w:top w:val="outset" w:color="auto" w:sz="4" w:space="0"/>
              <w:left w:val="outset" w:color="auto" w:sz="4" w:space="0"/>
              <w:bottom w:val="outset" w:color="auto" w:sz="4" w:space="0"/>
              <w:right w:val="outset" w:color="auto" w:sz="4" w:space="0"/>
            </w:tcBorders>
            <w:vAlign w:val="center"/>
          </w:tcPr>
          <w:p w14:paraId="550C6B53">
            <w:pPr>
              <w:jc w:val="right"/>
            </w:pPr>
            <w:r>
              <w:t>191,553,197.03</w:t>
            </w:r>
          </w:p>
        </w:tc>
      </w:tr>
      <w:tr w14:paraId="783EAD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03914C3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经营活动现金流入小计</w:t>
            </w:r>
          </w:p>
        </w:tc>
        <w:tc>
          <w:tcPr>
            <w:tcW w:w="995" w:type="pct"/>
            <w:tcBorders>
              <w:top w:val="outset" w:color="auto" w:sz="4" w:space="0"/>
              <w:left w:val="outset" w:color="auto" w:sz="4" w:space="0"/>
              <w:bottom w:val="outset" w:color="auto" w:sz="4" w:space="0"/>
              <w:right w:val="outset" w:color="auto" w:sz="4" w:space="0"/>
            </w:tcBorders>
            <w:vAlign w:val="center"/>
          </w:tcPr>
          <w:p w14:paraId="7B450FE7"/>
        </w:tc>
        <w:tc>
          <w:tcPr>
            <w:tcW w:w="1158" w:type="pct"/>
            <w:tcBorders>
              <w:top w:val="outset" w:color="auto" w:sz="4" w:space="0"/>
              <w:left w:val="outset" w:color="auto" w:sz="4" w:space="0"/>
              <w:bottom w:val="outset" w:color="auto" w:sz="4" w:space="0"/>
              <w:right w:val="outset" w:color="auto" w:sz="4" w:space="0"/>
            </w:tcBorders>
            <w:vAlign w:val="center"/>
          </w:tcPr>
          <w:p w14:paraId="5B8C1132">
            <w:pPr>
              <w:jc w:val="right"/>
            </w:pPr>
            <w:r>
              <w:t>765,861,894.06</w:t>
            </w:r>
          </w:p>
        </w:tc>
        <w:tc>
          <w:tcPr>
            <w:tcW w:w="1152" w:type="pct"/>
            <w:tcBorders>
              <w:top w:val="outset" w:color="auto" w:sz="4" w:space="0"/>
              <w:left w:val="outset" w:color="auto" w:sz="4" w:space="0"/>
              <w:bottom w:val="outset" w:color="auto" w:sz="4" w:space="0"/>
              <w:right w:val="outset" w:color="auto" w:sz="4" w:space="0"/>
            </w:tcBorders>
            <w:vAlign w:val="center"/>
          </w:tcPr>
          <w:p w14:paraId="61E8B6C2">
            <w:pPr>
              <w:jc w:val="right"/>
            </w:pPr>
            <w:r>
              <w:t>191,553,197.03</w:t>
            </w:r>
          </w:p>
        </w:tc>
      </w:tr>
      <w:tr w14:paraId="6CE057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0ABF166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购买商品、接受劳务支付的现金</w:t>
            </w:r>
          </w:p>
        </w:tc>
        <w:tc>
          <w:tcPr>
            <w:tcW w:w="995" w:type="pct"/>
            <w:tcBorders>
              <w:top w:val="outset" w:color="auto" w:sz="4" w:space="0"/>
              <w:left w:val="outset" w:color="auto" w:sz="4" w:space="0"/>
              <w:bottom w:val="outset" w:color="auto" w:sz="4" w:space="0"/>
              <w:right w:val="outset" w:color="auto" w:sz="4" w:space="0"/>
            </w:tcBorders>
            <w:vAlign w:val="center"/>
          </w:tcPr>
          <w:p w14:paraId="34C96DD3"/>
        </w:tc>
        <w:tc>
          <w:tcPr>
            <w:tcW w:w="1158" w:type="pct"/>
            <w:tcBorders>
              <w:top w:val="outset" w:color="auto" w:sz="4" w:space="0"/>
              <w:left w:val="outset" w:color="auto" w:sz="4" w:space="0"/>
              <w:bottom w:val="outset" w:color="auto" w:sz="4" w:space="0"/>
              <w:right w:val="outset" w:color="auto" w:sz="4" w:space="0"/>
            </w:tcBorders>
            <w:vAlign w:val="center"/>
          </w:tcPr>
          <w:p w14:paraId="6CB08347">
            <w:pPr>
              <w:jc w:val="right"/>
            </w:pPr>
          </w:p>
        </w:tc>
        <w:tc>
          <w:tcPr>
            <w:tcW w:w="1152" w:type="pct"/>
            <w:tcBorders>
              <w:top w:val="outset" w:color="auto" w:sz="4" w:space="0"/>
              <w:left w:val="outset" w:color="auto" w:sz="4" w:space="0"/>
              <w:bottom w:val="outset" w:color="auto" w:sz="4" w:space="0"/>
              <w:right w:val="outset" w:color="auto" w:sz="4" w:space="0"/>
            </w:tcBorders>
            <w:vAlign w:val="center"/>
          </w:tcPr>
          <w:p w14:paraId="4A109F38">
            <w:pPr>
              <w:jc w:val="right"/>
            </w:pPr>
          </w:p>
        </w:tc>
      </w:tr>
      <w:tr w14:paraId="629739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1E8710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支付给职工及为职工支付的现金</w:t>
            </w:r>
          </w:p>
        </w:tc>
        <w:tc>
          <w:tcPr>
            <w:tcW w:w="995" w:type="pct"/>
            <w:tcBorders>
              <w:top w:val="outset" w:color="auto" w:sz="4" w:space="0"/>
              <w:left w:val="outset" w:color="auto" w:sz="4" w:space="0"/>
              <w:bottom w:val="outset" w:color="auto" w:sz="4" w:space="0"/>
              <w:right w:val="outset" w:color="auto" w:sz="4" w:space="0"/>
            </w:tcBorders>
            <w:vAlign w:val="center"/>
          </w:tcPr>
          <w:p w14:paraId="636F7135"/>
        </w:tc>
        <w:tc>
          <w:tcPr>
            <w:tcW w:w="1158" w:type="pct"/>
            <w:tcBorders>
              <w:top w:val="outset" w:color="auto" w:sz="4" w:space="0"/>
              <w:left w:val="outset" w:color="auto" w:sz="4" w:space="0"/>
              <w:bottom w:val="outset" w:color="auto" w:sz="4" w:space="0"/>
              <w:right w:val="outset" w:color="auto" w:sz="4" w:space="0"/>
            </w:tcBorders>
            <w:vAlign w:val="center"/>
          </w:tcPr>
          <w:p w14:paraId="28B9709F">
            <w:pPr>
              <w:jc w:val="right"/>
            </w:pPr>
            <w:r>
              <w:t>27,759,350.55</w:t>
            </w:r>
          </w:p>
        </w:tc>
        <w:tc>
          <w:tcPr>
            <w:tcW w:w="1152" w:type="pct"/>
            <w:tcBorders>
              <w:top w:val="outset" w:color="auto" w:sz="4" w:space="0"/>
              <w:left w:val="outset" w:color="auto" w:sz="4" w:space="0"/>
              <w:bottom w:val="outset" w:color="auto" w:sz="4" w:space="0"/>
              <w:right w:val="outset" w:color="auto" w:sz="4" w:space="0"/>
            </w:tcBorders>
            <w:vAlign w:val="center"/>
          </w:tcPr>
          <w:p w14:paraId="4278E1F0">
            <w:pPr>
              <w:jc w:val="right"/>
            </w:pPr>
            <w:r>
              <w:t>25,403,675.97</w:t>
            </w:r>
          </w:p>
        </w:tc>
      </w:tr>
      <w:tr w14:paraId="2D9BF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5BDE730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支付的各项税费</w:t>
            </w:r>
          </w:p>
        </w:tc>
        <w:tc>
          <w:tcPr>
            <w:tcW w:w="995" w:type="pct"/>
            <w:tcBorders>
              <w:top w:val="outset" w:color="auto" w:sz="4" w:space="0"/>
              <w:left w:val="outset" w:color="auto" w:sz="4" w:space="0"/>
              <w:bottom w:val="outset" w:color="auto" w:sz="4" w:space="0"/>
              <w:right w:val="outset" w:color="auto" w:sz="4" w:space="0"/>
            </w:tcBorders>
            <w:vAlign w:val="center"/>
          </w:tcPr>
          <w:p w14:paraId="543FD5A2"/>
        </w:tc>
        <w:tc>
          <w:tcPr>
            <w:tcW w:w="1158" w:type="pct"/>
            <w:tcBorders>
              <w:top w:val="outset" w:color="auto" w:sz="4" w:space="0"/>
              <w:left w:val="outset" w:color="auto" w:sz="4" w:space="0"/>
              <w:bottom w:val="outset" w:color="auto" w:sz="4" w:space="0"/>
              <w:right w:val="outset" w:color="auto" w:sz="4" w:space="0"/>
            </w:tcBorders>
            <w:vAlign w:val="center"/>
          </w:tcPr>
          <w:p w14:paraId="6A38E3B7">
            <w:pPr>
              <w:jc w:val="right"/>
            </w:pPr>
            <w:r>
              <w:t>4,388,837.82</w:t>
            </w:r>
          </w:p>
        </w:tc>
        <w:tc>
          <w:tcPr>
            <w:tcW w:w="1152" w:type="pct"/>
            <w:tcBorders>
              <w:top w:val="outset" w:color="auto" w:sz="4" w:space="0"/>
              <w:left w:val="outset" w:color="auto" w:sz="4" w:space="0"/>
              <w:bottom w:val="outset" w:color="auto" w:sz="4" w:space="0"/>
              <w:right w:val="outset" w:color="auto" w:sz="4" w:space="0"/>
            </w:tcBorders>
            <w:vAlign w:val="center"/>
          </w:tcPr>
          <w:p w14:paraId="3157C1F8">
            <w:pPr>
              <w:jc w:val="right"/>
            </w:pPr>
            <w:r>
              <w:t>4,314,638.15</w:t>
            </w:r>
          </w:p>
        </w:tc>
      </w:tr>
      <w:tr w14:paraId="6C4D12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6C432EF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支付其他与经营活动有关的现金</w:t>
            </w:r>
          </w:p>
        </w:tc>
        <w:tc>
          <w:tcPr>
            <w:tcW w:w="995" w:type="pct"/>
            <w:tcBorders>
              <w:top w:val="outset" w:color="auto" w:sz="4" w:space="0"/>
              <w:left w:val="outset" w:color="auto" w:sz="4" w:space="0"/>
              <w:bottom w:val="outset" w:color="auto" w:sz="4" w:space="0"/>
              <w:right w:val="outset" w:color="auto" w:sz="4" w:space="0"/>
            </w:tcBorders>
            <w:vAlign w:val="center"/>
          </w:tcPr>
          <w:p w14:paraId="7295DB79"/>
        </w:tc>
        <w:tc>
          <w:tcPr>
            <w:tcW w:w="1158" w:type="pct"/>
            <w:tcBorders>
              <w:top w:val="outset" w:color="auto" w:sz="4" w:space="0"/>
              <w:left w:val="outset" w:color="auto" w:sz="4" w:space="0"/>
              <w:bottom w:val="outset" w:color="auto" w:sz="4" w:space="0"/>
              <w:right w:val="outset" w:color="auto" w:sz="4" w:space="0"/>
            </w:tcBorders>
            <w:vAlign w:val="center"/>
          </w:tcPr>
          <w:p w14:paraId="0F275C59">
            <w:pPr>
              <w:jc w:val="right"/>
            </w:pPr>
            <w:r>
              <w:t>647,314,956.64</w:t>
            </w:r>
          </w:p>
        </w:tc>
        <w:tc>
          <w:tcPr>
            <w:tcW w:w="1152" w:type="pct"/>
            <w:tcBorders>
              <w:top w:val="outset" w:color="auto" w:sz="4" w:space="0"/>
              <w:left w:val="outset" w:color="auto" w:sz="4" w:space="0"/>
              <w:bottom w:val="outset" w:color="auto" w:sz="4" w:space="0"/>
              <w:right w:val="outset" w:color="auto" w:sz="4" w:space="0"/>
            </w:tcBorders>
            <w:vAlign w:val="center"/>
          </w:tcPr>
          <w:p w14:paraId="43138F94">
            <w:pPr>
              <w:jc w:val="right"/>
            </w:pPr>
            <w:r>
              <w:t>17,072,385.51</w:t>
            </w:r>
          </w:p>
        </w:tc>
      </w:tr>
      <w:tr w14:paraId="0AF5A7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782B50F">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经营活动现金流出小计</w:t>
            </w:r>
          </w:p>
        </w:tc>
        <w:tc>
          <w:tcPr>
            <w:tcW w:w="995" w:type="pct"/>
            <w:tcBorders>
              <w:top w:val="outset" w:color="auto" w:sz="4" w:space="0"/>
              <w:left w:val="outset" w:color="auto" w:sz="4" w:space="0"/>
              <w:bottom w:val="outset" w:color="auto" w:sz="4" w:space="0"/>
              <w:right w:val="outset" w:color="auto" w:sz="4" w:space="0"/>
            </w:tcBorders>
            <w:vAlign w:val="center"/>
          </w:tcPr>
          <w:p w14:paraId="039FD2AD"/>
        </w:tc>
        <w:tc>
          <w:tcPr>
            <w:tcW w:w="1158" w:type="pct"/>
            <w:tcBorders>
              <w:top w:val="outset" w:color="auto" w:sz="4" w:space="0"/>
              <w:left w:val="outset" w:color="auto" w:sz="4" w:space="0"/>
              <w:bottom w:val="outset" w:color="auto" w:sz="4" w:space="0"/>
              <w:right w:val="outset" w:color="auto" w:sz="4" w:space="0"/>
            </w:tcBorders>
            <w:vAlign w:val="center"/>
          </w:tcPr>
          <w:p w14:paraId="7860B629">
            <w:pPr>
              <w:jc w:val="right"/>
            </w:pPr>
            <w:r>
              <w:t>679,463,145.01</w:t>
            </w:r>
          </w:p>
        </w:tc>
        <w:tc>
          <w:tcPr>
            <w:tcW w:w="1152" w:type="pct"/>
            <w:tcBorders>
              <w:top w:val="outset" w:color="auto" w:sz="4" w:space="0"/>
              <w:left w:val="outset" w:color="auto" w:sz="4" w:space="0"/>
              <w:bottom w:val="outset" w:color="auto" w:sz="4" w:space="0"/>
              <w:right w:val="outset" w:color="auto" w:sz="4" w:space="0"/>
            </w:tcBorders>
            <w:vAlign w:val="center"/>
          </w:tcPr>
          <w:p w14:paraId="1FC26E51">
            <w:pPr>
              <w:jc w:val="right"/>
            </w:pPr>
            <w:r>
              <w:t>46,790,699.63</w:t>
            </w:r>
          </w:p>
        </w:tc>
      </w:tr>
      <w:tr w14:paraId="40D383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41987AD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经营活动产生的现金流量净额</w:t>
            </w:r>
          </w:p>
        </w:tc>
        <w:tc>
          <w:tcPr>
            <w:tcW w:w="995" w:type="pct"/>
            <w:tcBorders>
              <w:top w:val="outset" w:color="auto" w:sz="4" w:space="0"/>
              <w:left w:val="outset" w:color="auto" w:sz="4" w:space="0"/>
              <w:bottom w:val="outset" w:color="auto" w:sz="4" w:space="0"/>
              <w:right w:val="outset" w:color="auto" w:sz="4" w:space="0"/>
            </w:tcBorders>
            <w:vAlign w:val="center"/>
          </w:tcPr>
          <w:p w14:paraId="2339866A"/>
        </w:tc>
        <w:tc>
          <w:tcPr>
            <w:tcW w:w="1158" w:type="pct"/>
            <w:tcBorders>
              <w:top w:val="outset" w:color="auto" w:sz="4" w:space="0"/>
              <w:left w:val="outset" w:color="auto" w:sz="4" w:space="0"/>
              <w:bottom w:val="outset" w:color="auto" w:sz="4" w:space="0"/>
              <w:right w:val="outset" w:color="auto" w:sz="4" w:space="0"/>
            </w:tcBorders>
            <w:vAlign w:val="center"/>
          </w:tcPr>
          <w:p w14:paraId="47F99FEA">
            <w:pPr>
              <w:jc w:val="right"/>
            </w:pPr>
            <w:r>
              <w:t>86,398,749.05</w:t>
            </w:r>
          </w:p>
        </w:tc>
        <w:tc>
          <w:tcPr>
            <w:tcW w:w="1152" w:type="pct"/>
            <w:tcBorders>
              <w:top w:val="outset" w:color="auto" w:sz="4" w:space="0"/>
              <w:left w:val="outset" w:color="auto" w:sz="4" w:space="0"/>
              <w:bottom w:val="outset" w:color="auto" w:sz="4" w:space="0"/>
              <w:right w:val="outset" w:color="auto" w:sz="4" w:space="0"/>
            </w:tcBorders>
            <w:vAlign w:val="center"/>
          </w:tcPr>
          <w:p w14:paraId="0E2A8DCA">
            <w:pPr>
              <w:jc w:val="right"/>
            </w:pPr>
            <w:r>
              <w:t>144,762,497.40</w:t>
            </w:r>
          </w:p>
        </w:tc>
      </w:tr>
      <w:tr w14:paraId="153C67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f9190ce4227402ab02ac6431a00b46e"/>
            <w:id w:val="583258353"/>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286637C0">
                <w:pPr>
                  <w:rPr>
                    <w:color w:val="000000" w:themeColor="text1"/>
                    <w14:textFill>
                      <w14:solidFill>
                        <w14:schemeClr w14:val="tx1"/>
                      </w14:solidFill>
                    </w14:textFill>
                  </w:rPr>
                </w:pPr>
                <w:r>
                  <w:rPr>
                    <w:rFonts w:hint="eastAsia"/>
                    <w:b/>
                    <w:color w:val="000000" w:themeColor="text1"/>
                    <w14:textFill>
                      <w14:solidFill>
                        <w14:schemeClr w14:val="tx1"/>
                      </w14:solidFill>
                    </w14:textFill>
                  </w:rPr>
                  <w:t>二、投资活动产生的现金流量：</w:t>
                </w:r>
              </w:p>
            </w:tc>
          </w:sdtContent>
        </w:sdt>
      </w:tr>
      <w:tr w14:paraId="61938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6F66317C">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收回投资收到的现金</w:t>
            </w:r>
          </w:p>
        </w:tc>
        <w:tc>
          <w:tcPr>
            <w:tcW w:w="995" w:type="pct"/>
            <w:tcBorders>
              <w:top w:val="outset" w:color="auto" w:sz="4" w:space="0"/>
              <w:left w:val="outset" w:color="auto" w:sz="4" w:space="0"/>
              <w:bottom w:val="outset" w:color="auto" w:sz="4" w:space="0"/>
              <w:right w:val="outset" w:color="auto" w:sz="4" w:space="0"/>
            </w:tcBorders>
            <w:vAlign w:val="center"/>
          </w:tcPr>
          <w:p w14:paraId="5A310FDB"/>
        </w:tc>
        <w:tc>
          <w:tcPr>
            <w:tcW w:w="1158" w:type="pct"/>
            <w:tcBorders>
              <w:top w:val="outset" w:color="auto" w:sz="4" w:space="0"/>
              <w:left w:val="outset" w:color="auto" w:sz="4" w:space="0"/>
              <w:bottom w:val="outset" w:color="auto" w:sz="4" w:space="0"/>
              <w:right w:val="outset" w:color="auto" w:sz="4" w:space="0"/>
            </w:tcBorders>
            <w:vAlign w:val="center"/>
          </w:tcPr>
          <w:p w14:paraId="054E292E">
            <w:pPr>
              <w:jc w:val="right"/>
            </w:pPr>
          </w:p>
        </w:tc>
        <w:tc>
          <w:tcPr>
            <w:tcW w:w="1152" w:type="pct"/>
            <w:tcBorders>
              <w:top w:val="outset" w:color="auto" w:sz="4" w:space="0"/>
              <w:left w:val="outset" w:color="auto" w:sz="4" w:space="0"/>
              <w:bottom w:val="outset" w:color="auto" w:sz="4" w:space="0"/>
              <w:right w:val="outset" w:color="auto" w:sz="4" w:space="0"/>
            </w:tcBorders>
            <w:vAlign w:val="center"/>
          </w:tcPr>
          <w:p w14:paraId="31C01615">
            <w:pPr>
              <w:jc w:val="right"/>
            </w:pPr>
          </w:p>
        </w:tc>
      </w:tr>
      <w:tr w14:paraId="531C4C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386525C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取得投资收益收到的现金</w:t>
            </w:r>
          </w:p>
        </w:tc>
        <w:tc>
          <w:tcPr>
            <w:tcW w:w="995" w:type="pct"/>
            <w:tcBorders>
              <w:top w:val="outset" w:color="auto" w:sz="4" w:space="0"/>
              <w:left w:val="outset" w:color="auto" w:sz="4" w:space="0"/>
              <w:bottom w:val="outset" w:color="auto" w:sz="4" w:space="0"/>
              <w:right w:val="outset" w:color="auto" w:sz="4" w:space="0"/>
            </w:tcBorders>
            <w:vAlign w:val="center"/>
          </w:tcPr>
          <w:p w14:paraId="0EC03AD6"/>
        </w:tc>
        <w:tc>
          <w:tcPr>
            <w:tcW w:w="1158" w:type="pct"/>
            <w:tcBorders>
              <w:top w:val="outset" w:color="auto" w:sz="4" w:space="0"/>
              <w:left w:val="outset" w:color="auto" w:sz="4" w:space="0"/>
              <w:bottom w:val="outset" w:color="auto" w:sz="4" w:space="0"/>
              <w:right w:val="outset" w:color="auto" w:sz="4" w:space="0"/>
            </w:tcBorders>
            <w:vAlign w:val="center"/>
          </w:tcPr>
          <w:p w14:paraId="38DC0A29">
            <w:pPr>
              <w:jc w:val="right"/>
            </w:pPr>
            <w:r>
              <w:t>53,639,881.85</w:t>
            </w:r>
          </w:p>
        </w:tc>
        <w:tc>
          <w:tcPr>
            <w:tcW w:w="1152" w:type="pct"/>
            <w:tcBorders>
              <w:top w:val="outset" w:color="auto" w:sz="4" w:space="0"/>
              <w:left w:val="outset" w:color="auto" w:sz="4" w:space="0"/>
              <w:bottom w:val="outset" w:color="auto" w:sz="4" w:space="0"/>
              <w:right w:val="outset" w:color="auto" w:sz="4" w:space="0"/>
            </w:tcBorders>
            <w:vAlign w:val="center"/>
          </w:tcPr>
          <w:p w14:paraId="6CC30329">
            <w:pPr>
              <w:jc w:val="right"/>
            </w:pPr>
            <w:r>
              <w:t>47,228,148.14</w:t>
            </w:r>
          </w:p>
        </w:tc>
      </w:tr>
      <w:tr w14:paraId="02EEB9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7C8CA1E7">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处置固定资产、无形资产和其他长期资产收回的现金净额</w:t>
            </w:r>
          </w:p>
        </w:tc>
        <w:tc>
          <w:tcPr>
            <w:tcW w:w="995" w:type="pct"/>
            <w:tcBorders>
              <w:top w:val="outset" w:color="auto" w:sz="4" w:space="0"/>
              <w:left w:val="outset" w:color="auto" w:sz="4" w:space="0"/>
              <w:bottom w:val="outset" w:color="auto" w:sz="4" w:space="0"/>
              <w:right w:val="outset" w:color="auto" w:sz="4" w:space="0"/>
            </w:tcBorders>
            <w:vAlign w:val="center"/>
          </w:tcPr>
          <w:p w14:paraId="053D3B08"/>
        </w:tc>
        <w:tc>
          <w:tcPr>
            <w:tcW w:w="1158" w:type="pct"/>
            <w:tcBorders>
              <w:top w:val="outset" w:color="auto" w:sz="4" w:space="0"/>
              <w:left w:val="outset" w:color="auto" w:sz="4" w:space="0"/>
              <w:bottom w:val="outset" w:color="auto" w:sz="4" w:space="0"/>
              <w:right w:val="outset" w:color="auto" w:sz="4" w:space="0"/>
            </w:tcBorders>
            <w:vAlign w:val="center"/>
          </w:tcPr>
          <w:p w14:paraId="704894C5">
            <w:pPr>
              <w:jc w:val="right"/>
            </w:pPr>
            <w:r>
              <w:t>164,700.91</w:t>
            </w:r>
          </w:p>
        </w:tc>
        <w:tc>
          <w:tcPr>
            <w:tcW w:w="1152" w:type="pct"/>
            <w:tcBorders>
              <w:top w:val="outset" w:color="auto" w:sz="4" w:space="0"/>
              <w:left w:val="outset" w:color="auto" w:sz="4" w:space="0"/>
              <w:bottom w:val="outset" w:color="auto" w:sz="4" w:space="0"/>
              <w:right w:val="outset" w:color="auto" w:sz="4" w:space="0"/>
            </w:tcBorders>
            <w:vAlign w:val="center"/>
          </w:tcPr>
          <w:p w14:paraId="1CFD9AD9">
            <w:pPr>
              <w:jc w:val="right"/>
            </w:pPr>
            <w:r>
              <w:t>48,422.00</w:t>
            </w:r>
          </w:p>
        </w:tc>
      </w:tr>
      <w:tr w14:paraId="28825C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6492804A">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处置子公司及其他营业单位收到的现金净额</w:t>
            </w:r>
          </w:p>
        </w:tc>
        <w:tc>
          <w:tcPr>
            <w:tcW w:w="995" w:type="pct"/>
            <w:tcBorders>
              <w:top w:val="outset" w:color="auto" w:sz="4" w:space="0"/>
              <w:left w:val="outset" w:color="auto" w:sz="4" w:space="0"/>
              <w:bottom w:val="outset" w:color="auto" w:sz="4" w:space="0"/>
              <w:right w:val="outset" w:color="auto" w:sz="4" w:space="0"/>
            </w:tcBorders>
            <w:vAlign w:val="center"/>
          </w:tcPr>
          <w:p w14:paraId="2409D19E"/>
        </w:tc>
        <w:tc>
          <w:tcPr>
            <w:tcW w:w="1158" w:type="pct"/>
            <w:tcBorders>
              <w:top w:val="outset" w:color="auto" w:sz="4" w:space="0"/>
              <w:left w:val="outset" w:color="auto" w:sz="4" w:space="0"/>
              <w:bottom w:val="outset" w:color="auto" w:sz="4" w:space="0"/>
              <w:right w:val="outset" w:color="auto" w:sz="4" w:space="0"/>
            </w:tcBorders>
            <w:vAlign w:val="center"/>
          </w:tcPr>
          <w:p w14:paraId="35DF68AF">
            <w:pPr>
              <w:jc w:val="right"/>
            </w:pPr>
          </w:p>
        </w:tc>
        <w:tc>
          <w:tcPr>
            <w:tcW w:w="1152" w:type="pct"/>
            <w:tcBorders>
              <w:top w:val="outset" w:color="auto" w:sz="4" w:space="0"/>
              <w:left w:val="outset" w:color="auto" w:sz="4" w:space="0"/>
              <w:bottom w:val="outset" w:color="auto" w:sz="4" w:space="0"/>
              <w:right w:val="outset" w:color="auto" w:sz="4" w:space="0"/>
            </w:tcBorders>
            <w:vAlign w:val="center"/>
          </w:tcPr>
          <w:p w14:paraId="126B8DCF">
            <w:pPr>
              <w:jc w:val="right"/>
            </w:pPr>
          </w:p>
        </w:tc>
      </w:tr>
      <w:tr w14:paraId="18CF7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5736033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收到其他与投资活动有关的现金</w:t>
            </w:r>
          </w:p>
        </w:tc>
        <w:tc>
          <w:tcPr>
            <w:tcW w:w="995" w:type="pct"/>
            <w:tcBorders>
              <w:top w:val="outset" w:color="auto" w:sz="4" w:space="0"/>
              <w:left w:val="outset" w:color="auto" w:sz="4" w:space="0"/>
              <w:bottom w:val="outset" w:color="auto" w:sz="4" w:space="0"/>
              <w:right w:val="outset" w:color="auto" w:sz="4" w:space="0"/>
            </w:tcBorders>
            <w:vAlign w:val="center"/>
          </w:tcPr>
          <w:p w14:paraId="0D7C6D33"/>
        </w:tc>
        <w:tc>
          <w:tcPr>
            <w:tcW w:w="1158" w:type="pct"/>
            <w:tcBorders>
              <w:top w:val="outset" w:color="auto" w:sz="4" w:space="0"/>
              <w:left w:val="outset" w:color="auto" w:sz="4" w:space="0"/>
              <w:bottom w:val="outset" w:color="auto" w:sz="4" w:space="0"/>
              <w:right w:val="outset" w:color="auto" w:sz="4" w:space="0"/>
            </w:tcBorders>
            <w:vAlign w:val="center"/>
          </w:tcPr>
          <w:p w14:paraId="5F02DEFC">
            <w:pPr>
              <w:jc w:val="right"/>
            </w:pPr>
            <w:r>
              <w:t>80,000,000.00</w:t>
            </w:r>
          </w:p>
        </w:tc>
        <w:tc>
          <w:tcPr>
            <w:tcW w:w="1152" w:type="pct"/>
            <w:tcBorders>
              <w:top w:val="outset" w:color="auto" w:sz="4" w:space="0"/>
              <w:left w:val="outset" w:color="auto" w:sz="4" w:space="0"/>
              <w:bottom w:val="outset" w:color="auto" w:sz="4" w:space="0"/>
              <w:right w:val="outset" w:color="auto" w:sz="4" w:space="0"/>
            </w:tcBorders>
            <w:vAlign w:val="center"/>
          </w:tcPr>
          <w:p w14:paraId="732C7ECB">
            <w:pPr>
              <w:jc w:val="right"/>
            </w:pPr>
            <w:r>
              <w:t>532,040,277.77</w:t>
            </w:r>
          </w:p>
        </w:tc>
      </w:tr>
      <w:tr w14:paraId="56212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582BB0E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投资活动现金流入小计</w:t>
            </w:r>
          </w:p>
        </w:tc>
        <w:tc>
          <w:tcPr>
            <w:tcW w:w="995" w:type="pct"/>
            <w:tcBorders>
              <w:top w:val="outset" w:color="auto" w:sz="4" w:space="0"/>
              <w:left w:val="outset" w:color="auto" w:sz="4" w:space="0"/>
              <w:bottom w:val="outset" w:color="auto" w:sz="4" w:space="0"/>
              <w:right w:val="outset" w:color="auto" w:sz="4" w:space="0"/>
            </w:tcBorders>
            <w:vAlign w:val="center"/>
          </w:tcPr>
          <w:p w14:paraId="5488F592"/>
        </w:tc>
        <w:tc>
          <w:tcPr>
            <w:tcW w:w="1158" w:type="pct"/>
            <w:tcBorders>
              <w:top w:val="outset" w:color="auto" w:sz="4" w:space="0"/>
              <w:left w:val="outset" w:color="auto" w:sz="4" w:space="0"/>
              <w:bottom w:val="outset" w:color="auto" w:sz="4" w:space="0"/>
              <w:right w:val="outset" w:color="auto" w:sz="4" w:space="0"/>
            </w:tcBorders>
            <w:vAlign w:val="center"/>
          </w:tcPr>
          <w:p w14:paraId="55C8FC2C">
            <w:pPr>
              <w:jc w:val="right"/>
            </w:pPr>
            <w:r>
              <w:t>133,804,582.76</w:t>
            </w:r>
          </w:p>
        </w:tc>
        <w:tc>
          <w:tcPr>
            <w:tcW w:w="1152" w:type="pct"/>
            <w:tcBorders>
              <w:top w:val="outset" w:color="auto" w:sz="4" w:space="0"/>
              <w:left w:val="outset" w:color="auto" w:sz="4" w:space="0"/>
              <w:bottom w:val="outset" w:color="auto" w:sz="4" w:space="0"/>
              <w:right w:val="outset" w:color="auto" w:sz="4" w:space="0"/>
            </w:tcBorders>
            <w:vAlign w:val="center"/>
          </w:tcPr>
          <w:p w14:paraId="448706D1">
            <w:pPr>
              <w:jc w:val="right"/>
            </w:pPr>
            <w:r>
              <w:t>579,316,847.91</w:t>
            </w:r>
          </w:p>
        </w:tc>
      </w:tr>
      <w:tr w14:paraId="2AA1CE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F0965F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购建固定资产、无形资产和其他长期资产支付的现金</w:t>
            </w:r>
          </w:p>
        </w:tc>
        <w:tc>
          <w:tcPr>
            <w:tcW w:w="995" w:type="pct"/>
            <w:tcBorders>
              <w:top w:val="outset" w:color="auto" w:sz="4" w:space="0"/>
              <w:left w:val="outset" w:color="auto" w:sz="4" w:space="0"/>
              <w:bottom w:val="outset" w:color="auto" w:sz="4" w:space="0"/>
              <w:right w:val="outset" w:color="auto" w:sz="4" w:space="0"/>
            </w:tcBorders>
            <w:vAlign w:val="center"/>
          </w:tcPr>
          <w:p w14:paraId="7A530AB9"/>
        </w:tc>
        <w:tc>
          <w:tcPr>
            <w:tcW w:w="1158" w:type="pct"/>
            <w:tcBorders>
              <w:top w:val="outset" w:color="auto" w:sz="4" w:space="0"/>
              <w:left w:val="outset" w:color="auto" w:sz="4" w:space="0"/>
              <w:bottom w:val="outset" w:color="auto" w:sz="4" w:space="0"/>
              <w:right w:val="outset" w:color="auto" w:sz="4" w:space="0"/>
            </w:tcBorders>
            <w:vAlign w:val="center"/>
          </w:tcPr>
          <w:p w14:paraId="519BED86">
            <w:pPr>
              <w:jc w:val="right"/>
            </w:pPr>
            <w:r>
              <w:t>117,649.96</w:t>
            </w:r>
          </w:p>
        </w:tc>
        <w:tc>
          <w:tcPr>
            <w:tcW w:w="1152" w:type="pct"/>
            <w:tcBorders>
              <w:top w:val="outset" w:color="auto" w:sz="4" w:space="0"/>
              <w:left w:val="outset" w:color="auto" w:sz="4" w:space="0"/>
              <w:bottom w:val="outset" w:color="auto" w:sz="4" w:space="0"/>
              <w:right w:val="outset" w:color="auto" w:sz="4" w:space="0"/>
            </w:tcBorders>
            <w:vAlign w:val="center"/>
          </w:tcPr>
          <w:p w14:paraId="42A426F5">
            <w:pPr>
              <w:jc w:val="right"/>
            </w:pPr>
            <w:r>
              <w:t>414,355.28</w:t>
            </w:r>
          </w:p>
        </w:tc>
      </w:tr>
      <w:tr w14:paraId="5CB5A3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F5CE3B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投资支付的现金</w:t>
            </w:r>
          </w:p>
        </w:tc>
        <w:tc>
          <w:tcPr>
            <w:tcW w:w="995" w:type="pct"/>
            <w:tcBorders>
              <w:top w:val="outset" w:color="auto" w:sz="4" w:space="0"/>
              <w:left w:val="outset" w:color="auto" w:sz="4" w:space="0"/>
              <w:bottom w:val="outset" w:color="auto" w:sz="4" w:space="0"/>
              <w:right w:val="outset" w:color="auto" w:sz="4" w:space="0"/>
            </w:tcBorders>
            <w:vAlign w:val="center"/>
          </w:tcPr>
          <w:p w14:paraId="7D003C3A"/>
        </w:tc>
        <w:tc>
          <w:tcPr>
            <w:tcW w:w="1158" w:type="pct"/>
            <w:tcBorders>
              <w:top w:val="outset" w:color="auto" w:sz="4" w:space="0"/>
              <w:left w:val="outset" w:color="auto" w:sz="4" w:space="0"/>
              <w:bottom w:val="outset" w:color="auto" w:sz="4" w:space="0"/>
              <w:right w:val="outset" w:color="auto" w:sz="4" w:space="0"/>
            </w:tcBorders>
            <w:vAlign w:val="center"/>
          </w:tcPr>
          <w:p w14:paraId="5D5873D7">
            <w:pPr>
              <w:jc w:val="right"/>
            </w:pPr>
          </w:p>
        </w:tc>
        <w:tc>
          <w:tcPr>
            <w:tcW w:w="1152" w:type="pct"/>
            <w:tcBorders>
              <w:top w:val="outset" w:color="auto" w:sz="4" w:space="0"/>
              <w:left w:val="outset" w:color="auto" w:sz="4" w:space="0"/>
              <w:bottom w:val="outset" w:color="auto" w:sz="4" w:space="0"/>
              <w:right w:val="outset" w:color="auto" w:sz="4" w:space="0"/>
            </w:tcBorders>
            <w:vAlign w:val="center"/>
          </w:tcPr>
          <w:p w14:paraId="15C99845">
            <w:pPr>
              <w:jc w:val="right"/>
            </w:pPr>
          </w:p>
        </w:tc>
      </w:tr>
      <w:tr w14:paraId="41E4C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23F5E10D">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取得子公司及其他营业单位支付的现金净额</w:t>
            </w:r>
          </w:p>
        </w:tc>
        <w:tc>
          <w:tcPr>
            <w:tcW w:w="995" w:type="pct"/>
            <w:tcBorders>
              <w:top w:val="outset" w:color="auto" w:sz="4" w:space="0"/>
              <w:left w:val="outset" w:color="auto" w:sz="4" w:space="0"/>
              <w:bottom w:val="outset" w:color="auto" w:sz="4" w:space="0"/>
              <w:right w:val="outset" w:color="auto" w:sz="4" w:space="0"/>
            </w:tcBorders>
            <w:vAlign w:val="center"/>
          </w:tcPr>
          <w:p w14:paraId="5BB6753E"/>
        </w:tc>
        <w:tc>
          <w:tcPr>
            <w:tcW w:w="1158" w:type="pct"/>
            <w:tcBorders>
              <w:top w:val="outset" w:color="auto" w:sz="4" w:space="0"/>
              <w:left w:val="outset" w:color="auto" w:sz="4" w:space="0"/>
              <w:bottom w:val="outset" w:color="auto" w:sz="4" w:space="0"/>
              <w:right w:val="outset" w:color="auto" w:sz="4" w:space="0"/>
            </w:tcBorders>
            <w:vAlign w:val="center"/>
          </w:tcPr>
          <w:p w14:paraId="4AF0E3BC">
            <w:pPr>
              <w:jc w:val="right"/>
            </w:pPr>
          </w:p>
        </w:tc>
        <w:tc>
          <w:tcPr>
            <w:tcW w:w="1152" w:type="pct"/>
            <w:tcBorders>
              <w:top w:val="outset" w:color="auto" w:sz="4" w:space="0"/>
              <w:left w:val="outset" w:color="auto" w:sz="4" w:space="0"/>
              <w:bottom w:val="outset" w:color="auto" w:sz="4" w:space="0"/>
              <w:right w:val="outset" w:color="auto" w:sz="4" w:space="0"/>
            </w:tcBorders>
            <w:vAlign w:val="center"/>
          </w:tcPr>
          <w:p w14:paraId="10A44310">
            <w:pPr>
              <w:jc w:val="right"/>
            </w:pPr>
          </w:p>
        </w:tc>
      </w:tr>
      <w:tr w14:paraId="04EB1A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03513F2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支付其他与投资活动有关的现金</w:t>
            </w:r>
          </w:p>
        </w:tc>
        <w:tc>
          <w:tcPr>
            <w:tcW w:w="995" w:type="pct"/>
            <w:tcBorders>
              <w:top w:val="outset" w:color="auto" w:sz="4" w:space="0"/>
              <w:left w:val="outset" w:color="auto" w:sz="4" w:space="0"/>
              <w:bottom w:val="outset" w:color="auto" w:sz="4" w:space="0"/>
              <w:right w:val="outset" w:color="auto" w:sz="4" w:space="0"/>
            </w:tcBorders>
            <w:vAlign w:val="center"/>
          </w:tcPr>
          <w:p w14:paraId="328A9615"/>
        </w:tc>
        <w:tc>
          <w:tcPr>
            <w:tcW w:w="1158" w:type="pct"/>
            <w:tcBorders>
              <w:top w:val="outset" w:color="auto" w:sz="4" w:space="0"/>
              <w:left w:val="outset" w:color="auto" w:sz="4" w:space="0"/>
              <w:bottom w:val="outset" w:color="auto" w:sz="4" w:space="0"/>
              <w:right w:val="outset" w:color="auto" w:sz="4" w:space="0"/>
            </w:tcBorders>
            <w:vAlign w:val="center"/>
          </w:tcPr>
          <w:p w14:paraId="0B331376">
            <w:pPr>
              <w:jc w:val="right"/>
            </w:pPr>
          </w:p>
        </w:tc>
        <w:tc>
          <w:tcPr>
            <w:tcW w:w="1152" w:type="pct"/>
            <w:tcBorders>
              <w:top w:val="outset" w:color="auto" w:sz="4" w:space="0"/>
              <w:left w:val="outset" w:color="auto" w:sz="4" w:space="0"/>
              <w:bottom w:val="outset" w:color="auto" w:sz="4" w:space="0"/>
              <w:right w:val="outset" w:color="auto" w:sz="4" w:space="0"/>
            </w:tcBorders>
            <w:vAlign w:val="center"/>
          </w:tcPr>
          <w:p w14:paraId="2B54D5F2">
            <w:pPr>
              <w:jc w:val="right"/>
            </w:pPr>
          </w:p>
        </w:tc>
      </w:tr>
      <w:tr w14:paraId="5DE2E9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6EF89040">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投资活动现金流出小计</w:t>
            </w:r>
          </w:p>
        </w:tc>
        <w:tc>
          <w:tcPr>
            <w:tcW w:w="995" w:type="pct"/>
            <w:tcBorders>
              <w:top w:val="outset" w:color="auto" w:sz="4" w:space="0"/>
              <w:left w:val="outset" w:color="auto" w:sz="4" w:space="0"/>
              <w:bottom w:val="outset" w:color="auto" w:sz="4" w:space="0"/>
              <w:right w:val="outset" w:color="auto" w:sz="4" w:space="0"/>
            </w:tcBorders>
            <w:vAlign w:val="center"/>
          </w:tcPr>
          <w:p w14:paraId="6DB27176"/>
        </w:tc>
        <w:tc>
          <w:tcPr>
            <w:tcW w:w="1158" w:type="pct"/>
            <w:tcBorders>
              <w:top w:val="outset" w:color="auto" w:sz="4" w:space="0"/>
              <w:left w:val="outset" w:color="auto" w:sz="4" w:space="0"/>
              <w:bottom w:val="outset" w:color="auto" w:sz="4" w:space="0"/>
              <w:right w:val="outset" w:color="auto" w:sz="4" w:space="0"/>
            </w:tcBorders>
            <w:vAlign w:val="center"/>
          </w:tcPr>
          <w:p w14:paraId="3FB0B33D">
            <w:pPr>
              <w:jc w:val="right"/>
            </w:pPr>
            <w:r>
              <w:t>117,649.96</w:t>
            </w:r>
          </w:p>
        </w:tc>
        <w:tc>
          <w:tcPr>
            <w:tcW w:w="1152" w:type="pct"/>
            <w:tcBorders>
              <w:top w:val="outset" w:color="auto" w:sz="4" w:space="0"/>
              <w:left w:val="outset" w:color="auto" w:sz="4" w:space="0"/>
              <w:bottom w:val="outset" w:color="auto" w:sz="4" w:space="0"/>
              <w:right w:val="outset" w:color="auto" w:sz="4" w:space="0"/>
            </w:tcBorders>
            <w:vAlign w:val="center"/>
          </w:tcPr>
          <w:p w14:paraId="2BAD81E3">
            <w:pPr>
              <w:jc w:val="right"/>
            </w:pPr>
            <w:r>
              <w:t>414,355.28</w:t>
            </w:r>
          </w:p>
        </w:tc>
      </w:tr>
      <w:tr w14:paraId="53B84F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62177745">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投资活动产生的现金流量净额</w:t>
            </w:r>
          </w:p>
        </w:tc>
        <w:tc>
          <w:tcPr>
            <w:tcW w:w="995" w:type="pct"/>
            <w:tcBorders>
              <w:top w:val="outset" w:color="auto" w:sz="4" w:space="0"/>
              <w:left w:val="outset" w:color="auto" w:sz="4" w:space="0"/>
              <w:bottom w:val="outset" w:color="auto" w:sz="4" w:space="0"/>
              <w:right w:val="outset" w:color="auto" w:sz="4" w:space="0"/>
            </w:tcBorders>
            <w:vAlign w:val="center"/>
          </w:tcPr>
          <w:p w14:paraId="2AC00E35"/>
        </w:tc>
        <w:tc>
          <w:tcPr>
            <w:tcW w:w="1158" w:type="pct"/>
            <w:tcBorders>
              <w:top w:val="outset" w:color="auto" w:sz="4" w:space="0"/>
              <w:left w:val="outset" w:color="auto" w:sz="4" w:space="0"/>
              <w:bottom w:val="outset" w:color="auto" w:sz="4" w:space="0"/>
              <w:right w:val="outset" w:color="auto" w:sz="4" w:space="0"/>
            </w:tcBorders>
            <w:vAlign w:val="center"/>
          </w:tcPr>
          <w:p w14:paraId="225B144B">
            <w:pPr>
              <w:jc w:val="right"/>
            </w:pPr>
            <w:r>
              <w:t>133,686,932.80</w:t>
            </w:r>
          </w:p>
        </w:tc>
        <w:tc>
          <w:tcPr>
            <w:tcW w:w="1152" w:type="pct"/>
            <w:tcBorders>
              <w:top w:val="outset" w:color="auto" w:sz="4" w:space="0"/>
              <w:left w:val="outset" w:color="auto" w:sz="4" w:space="0"/>
              <w:bottom w:val="outset" w:color="auto" w:sz="4" w:space="0"/>
              <w:right w:val="outset" w:color="auto" w:sz="4" w:space="0"/>
            </w:tcBorders>
            <w:vAlign w:val="center"/>
          </w:tcPr>
          <w:p w14:paraId="73C61CD8">
            <w:pPr>
              <w:jc w:val="right"/>
            </w:pPr>
            <w:r>
              <w:t>578,902,492.63</w:t>
            </w:r>
          </w:p>
        </w:tc>
      </w:tr>
      <w:tr w14:paraId="3E93B4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68e34216d04af0934267b3078d3c35"/>
            <w:id w:val="582337783"/>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14:paraId="3C620FC0">
                <w:pPr>
                  <w:rPr>
                    <w:color w:val="000000" w:themeColor="text1"/>
                    <w14:textFill>
                      <w14:solidFill>
                        <w14:schemeClr w14:val="tx1"/>
                      </w14:solidFill>
                    </w14:textFill>
                  </w:rPr>
                </w:pPr>
                <w:r>
                  <w:rPr>
                    <w:rFonts w:hint="eastAsia"/>
                    <w:b/>
                    <w:color w:val="000000" w:themeColor="text1"/>
                    <w14:textFill>
                      <w14:solidFill>
                        <w14:schemeClr w14:val="tx1"/>
                      </w14:solidFill>
                    </w14:textFill>
                  </w:rPr>
                  <w:t>三、筹资活动产生的现金流量：</w:t>
                </w:r>
              </w:p>
            </w:tc>
          </w:sdtContent>
        </w:sdt>
      </w:tr>
      <w:tr w14:paraId="0C6A54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D99C390">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吸收投资收到的现金</w:t>
            </w:r>
          </w:p>
        </w:tc>
        <w:tc>
          <w:tcPr>
            <w:tcW w:w="995" w:type="pct"/>
            <w:tcBorders>
              <w:top w:val="outset" w:color="auto" w:sz="4" w:space="0"/>
              <w:left w:val="outset" w:color="auto" w:sz="4" w:space="0"/>
              <w:bottom w:val="outset" w:color="auto" w:sz="4" w:space="0"/>
              <w:right w:val="outset" w:color="auto" w:sz="4" w:space="0"/>
            </w:tcBorders>
            <w:vAlign w:val="center"/>
          </w:tcPr>
          <w:p w14:paraId="7B02B94F"/>
        </w:tc>
        <w:tc>
          <w:tcPr>
            <w:tcW w:w="1158" w:type="pct"/>
            <w:tcBorders>
              <w:top w:val="outset" w:color="auto" w:sz="4" w:space="0"/>
              <w:left w:val="outset" w:color="auto" w:sz="4" w:space="0"/>
              <w:bottom w:val="outset" w:color="auto" w:sz="4" w:space="0"/>
              <w:right w:val="outset" w:color="auto" w:sz="4" w:space="0"/>
            </w:tcBorders>
            <w:vAlign w:val="center"/>
          </w:tcPr>
          <w:p w14:paraId="3619A0F9">
            <w:pPr>
              <w:jc w:val="right"/>
            </w:pPr>
          </w:p>
        </w:tc>
        <w:tc>
          <w:tcPr>
            <w:tcW w:w="1152" w:type="pct"/>
            <w:tcBorders>
              <w:top w:val="outset" w:color="auto" w:sz="4" w:space="0"/>
              <w:left w:val="outset" w:color="auto" w:sz="4" w:space="0"/>
              <w:bottom w:val="outset" w:color="auto" w:sz="4" w:space="0"/>
              <w:right w:val="outset" w:color="auto" w:sz="4" w:space="0"/>
            </w:tcBorders>
            <w:vAlign w:val="center"/>
          </w:tcPr>
          <w:p w14:paraId="582C962B">
            <w:pPr>
              <w:jc w:val="right"/>
            </w:pPr>
          </w:p>
        </w:tc>
      </w:tr>
      <w:tr w14:paraId="13EC9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3EC9565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取得借款收到的现金</w:t>
            </w:r>
          </w:p>
        </w:tc>
        <w:tc>
          <w:tcPr>
            <w:tcW w:w="995" w:type="pct"/>
            <w:tcBorders>
              <w:top w:val="outset" w:color="auto" w:sz="4" w:space="0"/>
              <w:left w:val="outset" w:color="auto" w:sz="4" w:space="0"/>
              <w:bottom w:val="outset" w:color="auto" w:sz="4" w:space="0"/>
              <w:right w:val="outset" w:color="auto" w:sz="4" w:space="0"/>
            </w:tcBorders>
            <w:vAlign w:val="center"/>
          </w:tcPr>
          <w:p w14:paraId="7DCA8AED"/>
        </w:tc>
        <w:tc>
          <w:tcPr>
            <w:tcW w:w="1158" w:type="pct"/>
            <w:tcBorders>
              <w:top w:val="outset" w:color="auto" w:sz="4" w:space="0"/>
              <w:left w:val="outset" w:color="auto" w:sz="4" w:space="0"/>
              <w:bottom w:val="outset" w:color="auto" w:sz="4" w:space="0"/>
              <w:right w:val="outset" w:color="auto" w:sz="4" w:space="0"/>
            </w:tcBorders>
            <w:vAlign w:val="center"/>
          </w:tcPr>
          <w:p w14:paraId="10CA7E2A">
            <w:pPr>
              <w:jc w:val="right"/>
            </w:pPr>
            <w:r>
              <w:t>50,000,000.00</w:t>
            </w:r>
          </w:p>
        </w:tc>
        <w:tc>
          <w:tcPr>
            <w:tcW w:w="1152" w:type="pct"/>
            <w:tcBorders>
              <w:top w:val="outset" w:color="auto" w:sz="4" w:space="0"/>
              <w:left w:val="outset" w:color="auto" w:sz="4" w:space="0"/>
              <w:bottom w:val="outset" w:color="auto" w:sz="4" w:space="0"/>
              <w:right w:val="outset" w:color="auto" w:sz="4" w:space="0"/>
            </w:tcBorders>
            <w:vAlign w:val="center"/>
          </w:tcPr>
          <w:p w14:paraId="56C63CC2">
            <w:pPr>
              <w:jc w:val="right"/>
            </w:pPr>
            <w:r>
              <w:t>10,000,000.00</w:t>
            </w:r>
          </w:p>
        </w:tc>
      </w:tr>
      <w:tr w14:paraId="29FCB2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0AA14AE6">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收到其他与筹资活动有关的现金</w:t>
            </w:r>
          </w:p>
        </w:tc>
        <w:tc>
          <w:tcPr>
            <w:tcW w:w="995" w:type="pct"/>
            <w:tcBorders>
              <w:top w:val="outset" w:color="auto" w:sz="4" w:space="0"/>
              <w:left w:val="outset" w:color="auto" w:sz="4" w:space="0"/>
              <w:bottom w:val="outset" w:color="auto" w:sz="4" w:space="0"/>
              <w:right w:val="outset" w:color="auto" w:sz="4" w:space="0"/>
            </w:tcBorders>
            <w:vAlign w:val="center"/>
          </w:tcPr>
          <w:p w14:paraId="4CCCBE85"/>
        </w:tc>
        <w:tc>
          <w:tcPr>
            <w:tcW w:w="1158" w:type="pct"/>
            <w:tcBorders>
              <w:top w:val="outset" w:color="auto" w:sz="4" w:space="0"/>
              <w:left w:val="outset" w:color="auto" w:sz="4" w:space="0"/>
              <w:bottom w:val="outset" w:color="auto" w:sz="4" w:space="0"/>
              <w:right w:val="outset" w:color="auto" w:sz="4" w:space="0"/>
            </w:tcBorders>
            <w:vAlign w:val="center"/>
          </w:tcPr>
          <w:p w14:paraId="0D2627D8">
            <w:pPr>
              <w:jc w:val="right"/>
            </w:pPr>
          </w:p>
        </w:tc>
        <w:tc>
          <w:tcPr>
            <w:tcW w:w="1152" w:type="pct"/>
            <w:tcBorders>
              <w:top w:val="outset" w:color="auto" w:sz="4" w:space="0"/>
              <w:left w:val="outset" w:color="auto" w:sz="4" w:space="0"/>
              <w:bottom w:val="outset" w:color="auto" w:sz="4" w:space="0"/>
              <w:right w:val="outset" w:color="auto" w:sz="4" w:space="0"/>
            </w:tcBorders>
            <w:vAlign w:val="center"/>
          </w:tcPr>
          <w:p w14:paraId="38825133">
            <w:pPr>
              <w:jc w:val="right"/>
            </w:pPr>
          </w:p>
        </w:tc>
      </w:tr>
      <w:tr w14:paraId="0FA2B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D5BAA7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筹资活动现金流入小计</w:t>
            </w:r>
          </w:p>
        </w:tc>
        <w:tc>
          <w:tcPr>
            <w:tcW w:w="995" w:type="pct"/>
            <w:tcBorders>
              <w:top w:val="outset" w:color="auto" w:sz="4" w:space="0"/>
              <w:left w:val="outset" w:color="auto" w:sz="4" w:space="0"/>
              <w:bottom w:val="outset" w:color="auto" w:sz="4" w:space="0"/>
              <w:right w:val="outset" w:color="auto" w:sz="4" w:space="0"/>
            </w:tcBorders>
            <w:vAlign w:val="center"/>
          </w:tcPr>
          <w:p w14:paraId="764C96EE"/>
        </w:tc>
        <w:tc>
          <w:tcPr>
            <w:tcW w:w="1158" w:type="pct"/>
            <w:tcBorders>
              <w:top w:val="outset" w:color="auto" w:sz="4" w:space="0"/>
              <w:left w:val="outset" w:color="auto" w:sz="4" w:space="0"/>
              <w:bottom w:val="outset" w:color="auto" w:sz="4" w:space="0"/>
              <w:right w:val="outset" w:color="auto" w:sz="4" w:space="0"/>
            </w:tcBorders>
            <w:vAlign w:val="center"/>
          </w:tcPr>
          <w:p w14:paraId="3E124B82">
            <w:pPr>
              <w:jc w:val="right"/>
              <w:rPr>
                <w:rFonts w:ascii="宋体" w:hAnsi="宋体"/>
                <w:sz w:val="24"/>
                <w:szCs w:val="24"/>
              </w:rPr>
            </w:pPr>
            <w:r>
              <w:t>50,000,000.00</w:t>
            </w:r>
          </w:p>
        </w:tc>
        <w:tc>
          <w:tcPr>
            <w:tcW w:w="1152" w:type="pct"/>
            <w:tcBorders>
              <w:top w:val="outset" w:color="auto" w:sz="4" w:space="0"/>
              <w:left w:val="outset" w:color="auto" w:sz="4" w:space="0"/>
              <w:bottom w:val="outset" w:color="auto" w:sz="4" w:space="0"/>
              <w:right w:val="outset" w:color="auto" w:sz="4" w:space="0"/>
            </w:tcBorders>
            <w:vAlign w:val="center"/>
          </w:tcPr>
          <w:p w14:paraId="724AA654">
            <w:pPr>
              <w:jc w:val="right"/>
            </w:pPr>
            <w:r>
              <w:t>10,000,000.00</w:t>
            </w:r>
          </w:p>
        </w:tc>
      </w:tr>
      <w:tr w14:paraId="68937F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55C09A4E">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偿还债务支付的现金</w:t>
            </w:r>
          </w:p>
        </w:tc>
        <w:tc>
          <w:tcPr>
            <w:tcW w:w="995" w:type="pct"/>
            <w:tcBorders>
              <w:top w:val="outset" w:color="auto" w:sz="4" w:space="0"/>
              <w:left w:val="outset" w:color="auto" w:sz="4" w:space="0"/>
              <w:bottom w:val="outset" w:color="auto" w:sz="4" w:space="0"/>
              <w:right w:val="outset" w:color="auto" w:sz="4" w:space="0"/>
            </w:tcBorders>
            <w:vAlign w:val="center"/>
          </w:tcPr>
          <w:p w14:paraId="3524741D"/>
        </w:tc>
        <w:tc>
          <w:tcPr>
            <w:tcW w:w="1158" w:type="pct"/>
            <w:tcBorders>
              <w:top w:val="outset" w:color="auto" w:sz="4" w:space="0"/>
              <w:left w:val="outset" w:color="auto" w:sz="4" w:space="0"/>
              <w:bottom w:val="outset" w:color="auto" w:sz="4" w:space="0"/>
              <w:right w:val="outset" w:color="auto" w:sz="4" w:space="0"/>
            </w:tcBorders>
            <w:vAlign w:val="center"/>
          </w:tcPr>
          <w:p w14:paraId="74FB3DDD">
            <w:pPr>
              <w:jc w:val="right"/>
            </w:pPr>
            <w:r>
              <w:t>133,334,264.81</w:t>
            </w:r>
          </w:p>
        </w:tc>
        <w:tc>
          <w:tcPr>
            <w:tcW w:w="1152" w:type="pct"/>
            <w:tcBorders>
              <w:top w:val="outset" w:color="auto" w:sz="4" w:space="0"/>
              <w:left w:val="outset" w:color="auto" w:sz="4" w:space="0"/>
              <w:bottom w:val="outset" w:color="auto" w:sz="4" w:space="0"/>
              <w:right w:val="outset" w:color="auto" w:sz="4" w:space="0"/>
            </w:tcBorders>
            <w:vAlign w:val="center"/>
          </w:tcPr>
          <w:p w14:paraId="4186FA15">
            <w:pPr>
              <w:jc w:val="right"/>
            </w:pPr>
            <w:r>
              <w:t>429,140,657.28</w:t>
            </w:r>
          </w:p>
        </w:tc>
      </w:tr>
      <w:tr w14:paraId="71A232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76422A1">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分配股利、利润或偿付利息支付的现金</w:t>
            </w:r>
          </w:p>
        </w:tc>
        <w:tc>
          <w:tcPr>
            <w:tcW w:w="995" w:type="pct"/>
            <w:tcBorders>
              <w:top w:val="outset" w:color="auto" w:sz="4" w:space="0"/>
              <w:left w:val="outset" w:color="auto" w:sz="4" w:space="0"/>
              <w:bottom w:val="outset" w:color="auto" w:sz="4" w:space="0"/>
              <w:right w:val="outset" w:color="auto" w:sz="4" w:space="0"/>
            </w:tcBorders>
            <w:vAlign w:val="center"/>
          </w:tcPr>
          <w:p w14:paraId="28F31543"/>
        </w:tc>
        <w:tc>
          <w:tcPr>
            <w:tcW w:w="1158" w:type="pct"/>
            <w:tcBorders>
              <w:top w:val="outset" w:color="auto" w:sz="4" w:space="0"/>
              <w:left w:val="outset" w:color="auto" w:sz="4" w:space="0"/>
              <w:bottom w:val="outset" w:color="auto" w:sz="4" w:space="0"/>
              <w:right w:val="outset" w:color="auto" w:sz="4" w:space="0"/>
            </w:tcBorders>
            <w:vAlign w:val="center"/>
          </w:tcPr>
          <w:p w14:paraId="65ED2D40">
            <w:pPr>
              <w:jc w:val="right"/>
            </w:pPr>
            <w:r>
              <w:t>8,768,512.78</w:t>
            </w:r>
          </w:p>
        </w:tc>
        <w:tc>
          <w:tcPr>
            <w:tcW w:w="1152" w:type="pct"/>
            <w:tcBorders>
              <w:top w:val="outset" w:color="auto" w:sz="4" w:space="0"/>
              <w:left w:val="outset" w:color="auto" w:sz="4" w:space="0"/>
              <w:bottom w:val="outset" w:color="auto" w:sz="4" w:space="0"/>
              <w:right w:val="outset" w:color="auto" w:sz="4" w:space="0"/>
            </w:tcBorders>
            <w:vAlign w:val="center"/>
          </w:tcPr>
          <w:p w14:paraId="02F3CF06">
            <w:pPr>
              <w:jc w:val="right"/>
            </w:pPr>
            <w:r>
              <w:t>8,734,034.49</w:t>
            </w:r>
          </w:p>
        </w:tc>
      </w:tr>
      <w:tr w14:paraId="34FB7E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4D50F6CF">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支付其他与筹资活动有关的现金</w:t>
            </w:r>
          </w:p>
        </w:tc>
        <w:tc>
          <w:tcPr>
            <w:tcW w:w="995" w:type="pct"/>
            <w:tcBorders>
              <w:top w:val="outset" w:color="auto" w:sz="4" w:space="0"/>
              <w:left w:val="outset" w:color="auto" w:sz="4" w:space="0"/>
              <w:bottom w:val="outset" w:color="auto" w:sz="4" w:space="0"/>
              <w:right w:val="outset" w:color="auto" w:sz="4" w:space="0"/>
            </w:tcBorders>
            <w:vAlign w:val="center"/>
          </w:tcPr>
          <w:p w14:paraId="7902063A"/>
        </w:tc>
        <w:tc>
          <w:tcPr>
            <w:tcW w:w="1158" w:type="pct"/>
            <w:tcBorders>
              <w:top w:val="outset" w:color="auto" w:sz="4" w:space="0"/>
              <w:left w:val="outset" w:color="auto" w:sz="4" w:space="0"/>
              <w:bottom w:val="outset" w:color="auto" w:sz="4" w:space="0"/>
              <w:right w:val="outset" w:color="auto" w:sz="4" w:space="0"/>
            </w:tcBorders>
            <w:vAlign w:val="center"/>
          </w:tcPr>
          <w:p w14:paraId="247456F3">
            <w:pPr>
              <w:jc w:val="right"/>
            </w:pPr>
          </w:p>
        </w:tc>
        <w:tc>
          <w:tcPr>
            <w:tcW w:w="1152" w:type="pct"/>
            <w:tcBorders>
              <w:top w:val="outset" w:color="auto" w:sz="4" w:space="0"/>
              <w:left w:val="outset" w:color="auto" w:sz="4" w:space="0"/>
              <w:bottom w:val="outset" w:color="auto" w:sz="4" w:space="0"/>
              <w:right w:val="outset" w:color="auto" w:sz="4" w:space="0"/>
            </w:tcBorders>
            <w:vAlign w:val="center"/>
          </w:tcPr>
          <w:p w14:paraId="0DF54478">
            <w:pPr>
              <w:jc w:val="right"/>
            </w:pPr>
            <w:r>
              <w:t>111,018,342.08</w:t>
            </w:r>
          </w:p>
        </w:tc>
      </w:tr>
      <w:tr w14:paraId="292BE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31BE9C6">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筹资活动现金流出小计</w:t>
            </w:r>
          </w:p>
        </w:tc>
        <w:tc>
          <w:tcPr>
            <w:tcW w:w="995" w:type="pct"/>
            <w:tcBorders>
              <w:top w:val="outset" w:color="auto" w:sz="4" w:space="0"/>
              <w:left w:val="outset" w:color="auto" w:sz="4" w:space="0"/>
              <w:bottom w:val="outset" w:color="auto" w:sz="4" w:space="0"/>
              <w:right w:val="outset" w:color="auto" w:sz="4" w:space="0"/>
            </w:tcBorders>
            <w:vAlign w:val="center"/>
          </w:tcPr>
          <w:p w14:paraId="56DEEB98"/>
        </w:tc>
        <w:tc>
          <w:tcPr>
            <w:tcW w:w="1158" w:type="pct"/>
            <w:tcBorders>
              <w:top w:val="outset" w:color="auto" w:sz="4" w:space="0"/>
              <w:left w:val="outset" w:color="auto" w:sz="4" w:space="0"/>
              <w:bottom w:val="outset" w:color="auto" w:sz="4" w:space="0"/>
              <w:right w:val="outset" w:color="auto" w:sz="4" w:space="0"/>
            </w:tcBorders>
            <w:vAlign w:val="center"/>
          </w:tcPr>
          <w:p w14:paraId="4577FBD5">
            <w:pPr>
              <w:jc w:val="right"/>
            </w:pPr>
            <w:r>
              <w:t>142,102,777.59</w:t>
            </w:r>
          </w:p>
        </w:tc>
        <w:tc>
          <w:tcPr>
            <w:tcW w:w="1152" w:type="pct"/>
            <w:tcBorders>
              <w:top w:val="outset" w:color="auto" w:sz="4" w:space="0"/>
              <w:left w:val="outset" w:color="auto" w:sz="4" w:space="0"/>
              <w:bottom w:val="outset" w:color="auto" w:sz="4" w:space="0"/>
              <w:right w:val="outset" w:color="auto" w:sz="4" w:space="0"/>
            </w:tcBorders>
            <w:vAlign w:val="center"/>
          </w:tcPr>
          <w:p w14:paraId="43BE8ACF">
            <w:pPr>
              <w:jc w:val="right"/>
            </w:pPr>
            <w:r>
              <w:t>548,893,033.85</w:t>
            </w:r>
          </w:p>
        </w:tc>
      </w:tr>
      <w:tr w14:paraId="08806E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3A255561">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筹资活动产生的现金流量净额</w:t>
            </w:r>
          </w:p>
        </w:tc>
        <w:tc>
          <w:tcPr>
            <w:tcW w:w="995" w:type="pct"/>
            <w:tcBorders>
              <w:top w:val="outset" w:color="auto" w:sz="4" w:space="0"/>
              <w:left w:val="outset" w:color="auto" w:sz="4" w:space="0"/>
              <w:bottom w:val="outset" w:color="auto" w:sz="4" w:space="0"/>
              <w:right w:val="outset" w:color="auto" w:sz="4" w:space="0"/>
            </w:tcBorders>
            <w:vAlign w:val="center"/>
          </w:tcPr>
          <w:p w14:paraId="4CFF630E"/>
        </w:tc>
        <w:tc>
          <w:tcPr>
            <w:tcW w:w="1158" w:type="pct"/>
            <w:tcBorders>
              <w:top w:val="outset" w:color="auto" w:sz="4" w:space="0"/>
              <w:left w:val="outset" w:color="auto" w:sz="4" w:space="0"/>
              <w:bottom w:val="outset" w:color="auto" w:sz="4" w:space="0"/>
              <w:right w:val="outset" w:color="auto" w:sz="4" w:space="0"/>
            </w:tcBorders>
            <w:vAlign w:val="center"/>
          </w:tcPr>
          <w:p w14:paraId="43A9839F">
            <w:pPr>
              <w:jc w:val="right"/>
            </w:pPr>
            <w:r>
              <w:t>-92,102,777.59</w:t>
            </w:r>
          </w:p>
        </w:tc>
        <w:tc>
          <w:tcPr>
            <w:tcW w:w="1152" w:type="pct"/>
            <w:tcBorders>
              <w:top w:val="outset" w:color="auto" w:sz="4" w:space="0"/>
              <w:left w:val="outset" w:color="auto" w:sz="4" w:space="0"/>
              <w:bottom w:val="outset" w:color="auto" w:sz="4" w:space="0"/>
              <w:right w:val="outset" w:color="auto" w:sz="4" w:space="0"/>
            </w:tcBorders>
            <w:vAlign w:val="center"/>
          </w:tcPr>
          <w:p w14:paraId="427CF760">
            <w:pPr>
              <w:jc w:val="right"/>
            </w:pPr>
            <w:r>
              <w:t>-538,893,033.85</w:t>
            </w:r>
          </w:p>
        </w:tc>
      </w:tr>
      <w:tr w14:paraId="347AE9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62BE7866">
            <w:pPr>
              <w:rPr>
                <w:color w:val="000000" w:themeColor="text1"/>
                <w14:textFill>
                  <w14:solidFill>
                    <w14:schemeClr w14:val="tx1"/>
                  </w14:solidFill>
                </w14:textFill>
              </w:rPr>
            </w:pPr>
            <w:r>
              <w:rPr>
                <w:rFonts w:hint="eastAsia"/>
                <w:b/>
                <w:color w:val="000000" w:themeColor="text1"/>
                <w14:textFill>
                  <w14:solidFill>
                    <w14:schemeClr w14:val="tx1"/>
                  </w14:solidFill>
                </w14:textFill>
              </w:rPr>
              <w:t>四、汇率变动对现金及现金等价物的影响</w:t>
            </w:r>
          </w:p>
        </w:tc>
        <w:tc>
          <w:tcPr>
            <w:tcW w:w="995" w:type="pct"/>
            <w:tcBorders>
              <w:top w:val="outset" w:color="auto" w:sz="4" w:space="0"/>
              <w:left w:val="outset" w:color="auto" w:sz="4" w:space="0"/>
              <w:bottom w:val="outset" w:color="auto" w:sz="4" w:space="0"/>
              <w:right w:val="outset" w:color="auto" w:sz="4" w:space="0"/>
            </w:tcBorders>
            <w:vAlign w:val="center"/>
          </w:tcPr>
          <w:p w14:paraId="7B68CB76"/>
        </w:tc>
        <w:tc>
          <w:tcPr>
            <w:tcW w:w="1158" w:type="pct"/>
            <w:tcBorders>
              <w:top w:val="outset" w:color="auto" w:sz="4" w:space="0"/>
              <w:left w:val="outset" w:color="auto" w:sz="4" w:space="0"/>
              <w:bottom w:val="outset" w:color="auto" w:sz="4" w:space="0"/>
              <w:right w:val="outset" w:color="auto" w:sz="4" w:space="0"/>
            </w:tcBorders>
            <w:vAlign w:val="center"/>
          </w:tcPr>
          <w:p w14:paraId="7C858B64">
            <w:pPr>
              <w:jc w:val="right"/>
            </w:pPr>
            <w:r>
              <w:t>-1.38</w:t>
            </w:r>
          </w:p>
        </w:tc>
        <w:tc>
          <w:tcPr>
            <w:tcW w:w="1152" w:type="pct"/>
            <w:tcBorders>
              <w:top w:val="outset" w:color="auto" w:sz="4" w:space="0"/>
              <w:left w:val="outset" w:color="auto" w:sz="4" w:space="0"/>
              <w:bottom w:val="outset" w:color="auto" w:sz="4" w:space="0"/>
              <w:right w:val="outset" w:color="auto" w:sz="4" w:space="0"/>
            </w:tcBorders>
            <w:vAlign w:val="center"/>
          </w:tcPr>
          <w:p w14:paraId="5655C54D">
            <w:pPr>
              <w:jc w:val="right"/>
            </w:pPr>
            <w:r>
              <w:t>104,872.82</w:t>
            </w:r>
          </w:p>
        </w:tc>
      </w:tr>
      <w:tr w14:paraId="191D6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5119D8E1">
            <w:pPr>
              <w:rPr>
                <w:color w:val="000000" w:themeColor="text1"/>
                <w14:textFill>
                  <w14:solidFill>
                    <w14:schemeClr w14:val="tx1"/>
                  </w14:solidFill>
                </w14:textFill>
              </w:rPr>
            </w:pPr>
            <w:r>
              <w:rPr>
                <w:rFonts w:hint="eastAsia"/>
                <w:b/>
                <w:color w:val="000000" w:themeColor="text1"/>
                <w14:textFill>
                  <w14:solidFill>
                    <w14:schemeClr w14:val="tx1"/>
                  </w14:solidFill>
                </w14:textFill>
              </w:rPr>
              <w:t>五、现金及现金等价物净增加额</w:t>
            </w:r>
          </w:p>
        </w:tc>
        <w:tc>
          <w:tcPr>
            <w:tcW w:w="995" w:type="pct"/>
            <w:tcBorders>
              <w:top w:val="outset" w:color="auto" w:sz="4" w:space="0"/>
              <w:left w:val="outset" w:color="auto" w:sz="4" w:space="0"/>
              <w:bottom w:val="outset" w:color="auto" w:sz="4" w:space="0"/>
              <w:right w:val="outset" w:color="auto" w:sz="4" w:space="0"/>
            </w:tcBorders>
            <w:vAlign w:val="center"/>
          </w:tcPr>
          <w:p w14:paraId="758C0D65"/>
        </w:tc>
        <w:tc>
          <w:tcPr>
            <w:tcW w:w="1158" w:type="pct"/>
            <w:tcBorders>
              <w:top w:val="outset" w:color="auto" w:sz="4" w:space="0"/>
              <w:left w:val="outset" w:color="auto" w:sz="4" w:space="0"/>
              <w:bottom w:val="outset" w:color="auto" w:sz="4" w:space="0"/>
              <w:right w:val="outset" w:color="auto" w:sz="4" w:space="0"/>
            </w:tcBorders>
            <w:vAlign w:val="center"/>
          </w:tcPr>
          <w:p w14:paraId="31F0EFBC">
            <w:pPr>
              <w:jc w:val="right"/>
            </w:pPr>
            <w:r>
              <w:t>127,982,902.88</w:t>
            </w:r>
          </w:p>
        </w:tc>
        <w:tc>
          <w:tcPr>
            <w:tcW w:w="1152" w:type="pct"/>
            <w:tcBorders>
              <w:top w:val="outset" w:color="auto" w:sz="4" w:space="0"/>
              <w:left w:val="outset" w:color="auto" w:sz="4" w:space="0"/>
              <w:bottom w:val="outset" w:color="auto" w:sz="4" w:space="0"/>
              <w:right w:val="outset" w:color="auto" w:sz="4" w:space="0"/>
            </w:tcBorders>
            <w:vAlign w:val="center"/>
          </w:tcPr>
          <w:p w14:paraId="778088AF">
            <w:pPr>
              <w:jc w:val="right"/>
            </w:pPr>
            <w:r>
              <w:t>184,876,829.00</w:t>
            </w:r>
          </w:p>
        </w:tc>
      </w:tr>
      <w:tr w14:paraId="1BB095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0EAA1579">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加：期初现金及现金等价物余额</w:t>
            </w:r>
          </w:p>
        </w:tc>
        <w:tc>
          <w:tcPr>
            <w:tcW w:w="995" w:type="pct"/>
            <w:tcBorders>
              <w:top w:val="outset" w:color="auto" w:sz="4" w:space="0"/>
              <w:left w:val="outset" w:color="auto" w:sz="4" w:space="0"/>
              <w:bottom w:val="outset" w:color="auto" w:sz="4" w:space="0"/>
              <w:right w:val="outset" w:color="auto" w:sz="4" w:space="0"/>
            </w:tcBorders>
            <w:vAlign w:val="center"/>
          </w:tcPr>
          <w:p w14:paraId="5891F878"/>
        </w:tc>
        <w:tc>
          <w:tcPr>
            <w:tcW w:w="1158" w:type="pct"/>
            <w:tcBorders>
              <w:top w:val="outset" w:color="auto" w:sz="4" w:space="0"/>
              <w:left w:val="outset" w:color="auto" w:sz="4" w:space="0"/>
              <w:bottom w:val="outset" w:color="auto" w:sz="4" w:space="0"/>
              <w:right w:val="outset" w:color="auto" w:sz="4" w:space="0"/>
            </w:tcBorders>
            <w:vAlign w:val="center"/>
          </w:tcPr>
          <w:p w14:paraId="32DB2D51">
            <w:pPr>
              <w:jc w:val="right"/>
            </w:pPr>
            <w:r>
              <w:t>352,313,293.84</w:t>
            </w:r>
          </w:p>
        </w:tc>
        <w:tc>
          <w:tcPr>
            <w:tcW w:w="1152" w:type="pct"/>
            <w:tcBorders>
              <w:top w:val="outset" w:color="auto" w:sz="4" w:space="0"/>
              <w:left w:val="outset" w:color="auto" w:sz="4" w:space="0"/>
              <w:bottom w:val="outset" w:color="auto" w:sz="4" w:space="0"/>
              <w:right w:val="outset" w:color="auto" w:sz="4" w:space="0"/>
            </w:tcBorders>
            <w:vAlign w:val="center"/>
          </w:tcPr>
          <w:p w14:paraId="453B7EAE">
            <w:pPr>
              <w:jc w:val="right"/>
            </w:pPr>
            <w:r>
              <w:t>292,110,398.52</w:t>
            </w:r>
          </w:p>
        </w:tc>
      </w:tr>
      <w:tr w14:paraId="207CC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95" w:type="pct"/>
            <w:tcBorders>
              <w:top w:val="outset" w:color="auto" w:sz="4" w:space="0"/>
              <w:left w:val="outset" w:color="auto" w:sz="4" w:space="0"/>
              <w:bottom w:val="outset" w:color="auto" w:sz="4" w:space="0"/>
              <w:right w:val="outset" w:color="auto" w:sz="4" w:space="0"/>
            </w:tcBorders>
            <w:vAlign w:val="center"/>
          </w:tcPr>
          <w:p w14:paraId="11AE0257">
            <w:pPr>
              <w:rPr>
                <w:color w:val="000000" w:themeColor="text1"/>
                <w14:textFill>
                  <w14:solidFill>
                    <w14:schemeClr w14:val="tx1"/>
                  </w14:solidFill>
                </w14:textFill>
              </w:rPr>
            </w:pPr>
            <w:r>
              <w:rPr>
                <w:rFonts w:hint="eastAsia"/>
                <w:b/>
                <w:color w:val="000000" w:themeColor="text1"/>
                <w14:textFill>
                  <w14:solidFill>
                    <w14:schemeClr w14:val="tx1"/>
                  </w14:solidFill>
                </w14:textFill>
              </w:rPr>
              <w:t>六、期末现金及现金等价物余额</w:t>
            </w:r>
          </w:p>
        </w:tc>
        <w:tc>
          <w:tcPr>
            <w:tcW w:w="995" w:type="pct"/>
            <w:tcBorders>
              <w:top w:val="outset" w:color="auto" w:sz="4" w:space="0"/>
              <w:left w:val="outset" w:color="auto" w:sz="4" w:space="0"/>
              <w:bottom w:val="outset" w:color="auto" w:sz="4" w:space="0"/>
              <w:right w:val="outset" w:color="auto" w:sz="4" w:space="0"/>
            </w:tcBorders>
            <w:vAlign w:val="center"/>
          </w:tcPr>
          <w:p w14:paraId="0778023F"/>
        </w:tc>
        <w:tc>
          <w:tcPr>
            <w:tcW w:w="1158" w:type="pct"/>
            <w:tcBorders>
              <w:top w:val="outset" w:color="auto" w:sz="4" w:space="0"/>
              <w:left w:val="outset" w:color="auto" w:sz="4" w:space="0"/>
              <w:bottom w:val="outset" w:color="auto" w:sz="4" w:space="0"/>
              <w:right w:val="outset" w:color="auto" w:sz="4" w:space="0"/>
            </w:tcBorders>
            <w:vAlign w:val="center"/>
          </w:tcPr>
          <w:p w14:paraId="7E2F7B52">
            <w:pPr>
              <w:jc w:val="right"/>
            </w:pPr>
            <w:r>
              <w:t>480,296,196.72</w:t>
            </w:r>
          </w:p>
        </w:tc>
        <w:tc>
          <w:tcPr>
            <w:tcW w:w="1152" w:type="pct"/>
            <w:tcBorders>
              <w:top w:val="outset" w:color="auto" w:sz="4" w:space="0"/>
              <w:left w:val="outset" w:color="auto" w:sz="4" w:space="0"/>
              <w:bottom w:val="outset" w:color="auto" w:sz="4" w:space="0"/>
              <w:right w:val="outset" w:color="auto" w:sz="4" w:space="0"/>
            </w:tcBorders>
            <w:vAlign w:val="center"/>
          </w:tcPr>
          <w:p w14:paraId="00CFE9A6">
            <w:pPr>
              <w:jc w:val="right"/>
            </w:pPr>
            <w:r>
              <w:t>476,987,227.52</w:t>
            </w:r>
          </w:p>
        </w:tc>
      </w:tr>
    </w:tbl>
    <w:p w14:paraId="76BAA541">
      <w:pPr>
        <w:snapToGrid w:val="0"/>
        <w:spacing w:line="240" w:lineRule="atLeast"/>
        <w:ind w:right="-153" w:rightChars="-73"/>
        <w:rPr>
          <w:b/>
          <w:bCs/>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b872f4b10a12453987b2d73dfe2a5ff9"/>
          <w:id w:val="-1480839759"/>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印奇</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29443dd8858043c68f8217b05d1e3346"/>
          <w:id w:val="1063293046"/>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黄强</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952065710c0f41709539d877935c1903"/>
          <w:id w:val="1361319213"/>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徐衬</w:t>
          </w:r>
        </w:sdtContent>
      </w:sdt>
    </w:p>
    <w:bookmarkEnd w:id="113"/>
    <w:p w14:paraId="5B15C423">
      <w:pPr>
        <w:rPr>
          <w:color w:val="000000" w:themeColor="text1"/>
          <w14:textFill>
            <w14:solidFill>
              <w14:schemeClr w14:val="tx1"/>
            </w14:solidFill>
          </w14:textFill>
        </w:rPr>
        <w:sectPr>
          <w:pgSz w:w="11906" w:h="16838"/>
          <w:pgMar w:top="1525" w:right="1276" w:bottom="1440" w:left="1797" w:header="851" w:footer="992" w:gutter="0"/>
          <w:cols w:space="425" w:num="1"/>
          <w:docGrid w:linePitch="312" w:charSpace="0"/>
        </w:sectPr>
      </w:pPr>
      <w:bookmarkStart w:id="114" w:name="_Hlk10211660"/>
      <w:bookmarkEnd w:id="114"/>
    </w:p>
    <w:p w14:paraId="56DBB848">
      <w:pPr>
        <w:pStyle w:val="4"/>
        <w:jc w:val="center"/>
        <w:rPr>
          <w:rFonts w:ascii="宋体" w:hAnsi="宋体"/>
          <w:color w:val="000000" w:themeColor="text1"/>
          <w14:textFill>
            <w14:solidFill>
              <w14:schemeClr w14:val="tx1"/>
            </w14:solidFill>
          </w14:textFill>
        </w:rPr>
      </w:pPr>
      <w:bookmarkStart w:id="115" w:name="_Hlk10211858"/>
      <w:r>
        <w:rPr>
          <w:rFonts w:ascii="宋体" w:hAnsi="宋体"/>
          <w:color w:val="000000" w:themeColor="text1"/>
          <w14:textFill>
            <w14:solidFill>
              <w14:schemeClr w14:val="tx1"/>
            </w14:solidFill>
          </w14:textFill>
        </w:rPr>
        <w:t>合并</w:t>
      </w:r>
      <w:r>
        <w:rPr>
          <w:rFonts w:hint="eastAsia" w:ascii="宋体" w:hAnsi="宋体"/>
          <w:color w:val="000000" w:themeColor="text1"/>
          <w14:textFill>
            <w14:solidFill>
              <w14:schemeClr w14:val="tx1"/>
            </w14:solidFill>
          </w14:textFill>
        </w:rPr>
        <w:t>所有者权益变动表</w:t>
      </w:r>
    </w:p>
    <w:p w14:paraId="24FF1D50">
      <w:pPr>
        <w:tabs>
          <w:tab w:val="left" w:pos="10080"/>
        </w:tabs>
        <w:snapToGrid w:val="0"/>
        <w:spacing w:line="240" w:lineRule="atLeast"/>
        <w:ind w:right="25" w:rightChars="12"/>
        <w:jc w:val="center"/>
        <w:rPr>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1—6月</w:t>
      </w:r>
    </w:p>
    <w:p w14:paraId="1AD6EEDD">
      <w:pPr>
        <w:tabs>
          <w:tab w:val="left" w:pos="10080"/>
        </w:tabs>
        <w:snapToGrid w:val="0"/>
        <w:spacing w:line="240" w:lineRule="atLeast"/>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合并股东权益调节表"/>
          <w:tag w:val="_GBC_57faea4e453e49ad93821b7dd6ce8bc4"/>
          <w:id w:val="-14576356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合并股东权益调节表"/>
          <w:tag w:val="_GBC_cef77704267643d794145c73763360e5"/>
          <w:id w:val="7673526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361" w:type="pct"/>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286"/>
        <w:gridCol w:w="371"/>
        <w:gridCol w:w="372"/>
        <w:gridCol w:w="375"/>
        <w:gridCol w:w="1287"/>
        <w:gridCol w:w="1172"/>
        <w:gridCol w:w="1372"/>
        <w:gridCol w:w="372"/>
        <w:gridCol w:w="1172"/>
        <w:gridCol w:w="372"/>
        <w:gridCol w:w="1393"/>
        <w:gridCol w:w="372"/>
        <w:gridCol w:w="1363"/>
        <w:gridCol w:w="24"/>
        <w:gridCol w:w="1263"/>
        <w:gridCol w:w="24"/>
        <w:gridCol w:w="1363"/>
      </w:tblGrid>
      <w:tr w14:paraId="5CB7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restart"/>
            <w:vAlign w:val="center"/>
          </w:tcPr>
          <w:sdt>
            <w:sdtPr>
              <w:rPr>
                <w:sz w:val="15"/>
                <w:szCs w:val="15"/>
              </w:rPr>
              <w:tag w:val="_PLD_5bd68ed5796041328d1a003c1362ceaf"/>
              <w:id w:val="-1384324639"/>
            </w:sdtPr>
            <w:sdtEndPr>
              <w:rPr>
                <w:sz w:val="15"/>
                <w:szCs w:val="15"/>
              </w:rPr>
            </w:sdtEndPr>
            <w:sdtContent>
              <w:p w14:paraId="5991DC95">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项目</w:t>
                </w:r>
              </w:p>
            </w:sdtContent>
          </w:sdt>
        </w:tc>
        <w:tc>
          <w:tcPr>
            <w:tcW w:w="4618" w:type="pct"/>
            <w:gridSpan w:val="17"/>
            <w:vAlign w:val="center"/>
          </w:tcPr>
          <w:p w14:paraId="53C80309">
            <w:pPr>
              <w:snapToGrid w:val="0"/>
              <w:spacing w:line="240" w:lineRule="atLeast"/>
              <w:ind w:right="-1594" w:rightChars="-759"/>
              <w:jc w:val="center"/>
              <w:rPr>
                <w:color w:val="000000" w:themeColor="text1"/>
                <w:sz w:val="15"/>
                <w:szCs w:val="15"/>
                <w14:textFill>
                  <w14:solidFill>
                    <w14:schemeClr w14:val="tx1"/>
                  </w14:solidFill>
                </w14:textFill>
              </w:rPr>
            </w:pPr>
            <w:sdt>
              <w:sdtPr>
                <w:rPr>
                  <w:sz w:val="15"/>
                  <w:szCs w:val="15"/>
                </w:rPr>
                <w:tag w:val="_PLD_70c71cd0427542b1b96a0fa943173d3d"/>
                <w:id w:val="-827894687"/>
              </w:sdtPr>
              <w:sdtEndPr>
                <w:rPr>
                  <w:sz w:val="15"/>
                  <w:szCs w:val="15"/>
                </w:rPr>
              </w:sdtEndPr>
              <w:sdtContent>
                <w:r>
                  <w:rPr>
                    <w:rFonts w:hint="eastAsia"/>
                    <w:color w:val="000000" w:themeColor="text1"/>
                    <w:sz w:val="15"/>
                    <w:szCs w:val="15"/>
                    <w14:textFill>
                      <w14:solidFill>
                        <w14:schemeClr w14:val="tx1"/>
                      </w14:solidFill>
                    </w14:textFill>
                  </w:rPr>
                  <w:t>2025年半年度</w:t>
                </w:r>
              </w:sdtContent>
            </w:sdt>
          </w:p>
        </w:tc>
      </w:tr>
      <w:tr w14:paraId="73C4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82" w:type="pct"/>
            <w:vMerge w:val="continue"/>
            <w:vAlign w:val="center"/>
          </w:tcPr>
          <w:p w14:paraId="70D9BA9C">
            <w:pPr>
              <w:snapToGrid w:val="0"/>
              <w:spacing w:line="240" w:lineRule="atLeast"/>
              <w:ind w:right="-1594" w:rightChars="-759"/>
              <w:rPr>
                <w:color w:val="000000" w:themeColor="text1"/>
                <w:sz w:val="15"/>
                <w:szCs w:val="15"/>
                <w14:textFill>
                  <w14:solidFill>
                    <w14:schemeClr w14:val="tx1"/>
                  </w14:solidFill>
                </w14:textFill>
              </w:rPr>
            </w:pPr>
          </w:p>
        </w:tc>
        <w:sdt>
          <w:sdtPr>
            <w:rPr>
              <w:sz w:val="15"/>
              <w:szCs w:val="15"/>
            </w:rPr>
            <w:tag w:val="_PLD_e146ec74496c4c03a714dcef40faa972"/>
            <w:id w:val="1515952502"/>
          </w:sdtPr>
          <w:sdtEndPr>
            <w:rPr>
              <w:sz w:val="15"/>
              <w:szCs w:val="15"/>
            </w:rPr>
          </w:sdtEndPr>
          <w:sdtContent>
            <w:tc>
              <w:tcPr>
                <w:tcW w:w="3741" w:type="pct"/>
                <w:gridSpan w:val="14"/>
                <w:vAlign w:val="center"/>
              </w:tcPr>
              <w:p w14:paraId="3DFC54CD">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归属于母公司所有者权益</w:t>
                </w:r>
              </w:p>
            </w:tc>
          </w:sdtContent>
        </w:sdt>
        <w:sdt>
          <w:sdtPr>
            <w:rPr>
              <w:sz w:val="15"/>
              <w:szCs w:val="15"/>
            </w:rPr>
            <w:tag w:val="_PLD_b1ca85c50c1341e59b4b412e92d87f2f"/>
            <w:id w:val="-1432738380"/>
          </w:sdtPr>
          <w:sdtEndPr>
            <w:rPr>
              <w:sz w:val="15"/>
              <w:szCs w:val="15"/>
            </w:rPr>
          </w:sdtEndPr>
          <w:sdtContent>
            <w:tc>
              <w:tcPr>
                <w:tcW w:w="426" w:type="pct"/>
                <w:gridSpan w:val="2"/>
                <w:vAlign w:val="center"/>
              </w:tcPr>
              <w:p w14:paraId="4FE7BC6C">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少数股东权益</w:t>
                </w:r>
              </w:p>
            </w:tc>
          </w:sdtContent>
        </w:sdt>
        <w:sdt>
          <w:sdtPr>
            <w:rPr>
              <w:sz w:val="15"/>
              <w:szCs w:val="15"/>
            </w:rPr>
            <w:tag w:val="_PLD_0e252e0d00f04386b93d4e3064ba423d"/>
            <w:id w:val="-1486697153"/>
          </w:sdtPr>
          <w:sdtEndPr>
            <w:rPr>
              <w:sz w:val="15"/>
              <w:szCs w:val="15"/>
            </w:rPr>
          </w:sdtEndPr>
          <w:sdtContent>
            <w:tc>
              <w:tcPr>
                <w:tcW w:w="451" w:type="pct"/>
                <w:vAlign w:val="center"/>
              </w:tcPr>
              <w:p w14:paraId="5DF29482">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所有者权益合计</w:t>
                </w:r>
              </w:p>
            </w:tc>
          </w:sdtContent>
        </w:sdt>
      </w:tr>
      <w:tr w14:paraId="2343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82" w:type="pct"/>
            <w:vMerge w:val="continue"/>
            <w:vAlign w:val="center"/>
          </w:tcPr>
          <w:p w14:paraId="039BD46B">
            <w:pPr>
              <w:snapToGrid w:val="0"/>
              <w:spacing w:line="240" w:lineRule="atLeast"/>
              <w:ind w:right="-1594" w:rightChars="-759"/>
              <w:rPr>
                <w:color w:val="000000" w:themeColor="text1"/>
                <w:sz w:val="15"/>
                <w:szCs w:val="15"/>
                <w14:textFill>
                  <w14:solidFill>
                    <w14:schemeClr w14:val="tx1"/>
                  </w14:solidFill>
                </w14:textFill>
              </w:rPr>
            </w:pPr>
          </w:p>
        </w:tc>
        <w:sdt>
          <w:sdtPr>
            <w:rPr>
              <w:sz w:val="15"/>
              <w:szCs w:val="15"/>
            </w:rPr>
            <w:tag w:val="_PLD_1605afb5a60946a9ba86cca783d492d3"/>
            <w:id w:val="1242063687"/>
          </w:sdtPr>
          <w:sdtEndPr>
            <w:rPr>
              <w:sz w:val="15"/>
              <w:szCs w:val="15"/>
            </w:rPr>
          </w:sdtEndPr>
          <w:sdtContent>
            <w:tc>
              <w:tcPr>
                <w:tcW w:w="426" w:type="pct"/>
                <w:vMerge w:val="restart"/>
                <w:vAlign w:val="center"/>
              </w:tcPr>
              <w:p w14:paraId="6251F4BB">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实收资本</w:t>
                </w:r>
                <w:r>
                  <w:rPr>
                    <w:color w:val="000000" w:themeColor="text1"/>
                    <w:sz w:val="15"/>
                    <w:szCs w:val="15"/>
                    <w14:textFill>
                      <w14:solidFill>
                        <w14:schemeClr w14:val="tx1"/>
                      </w14:solidFill>
                    </w14:textFill>
                  </w:rPr>
                  <w:t xml:space="preserve"> (或股本)</w:t>
                </w:r>
              </w:p>
            </w:tc>
          </w:sdtContent>
        </w:sdt>
        <w:sdt>
          <w:sdtPr>
            <w:rPr>
              <w:sz w:val="15"/>
              <w:szCs w:val="15"/>
            </w:rPr>
            <w:tag w:val="_PLD_78f5e518a65d422c99d27d23e96afb9e"/>
            <w:id w:val="-149282984"/>
          </w:sdtPr>
          <w:sdtEndPr>
            <w:rPr>
              <w:sz w:val="15"/>
              <w:szCs w:val="15"/>
            </w:rPr>
          </w:sdtEndPr>
          <w:sdtContent>
            <w:tc>
              <w:tcPr>
                <w:tcW w:w="370" w:type="pct"/>
                <w:gridSpan w:val="3"/>
                <w:vAlign w:val="center"/>
              </w:tcPr>
              <w:p w14:paraId="6758DB3A">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其他权益工具</w:t>
                </w:r>
              </w:p>
            </w:tc>
          </w:sdtContent>
        </w:sdt>
        <w:sdt>
          <w:sdtPr>
            <w:rPr>
              <w:sz w:val="15"/>
              <w:szCs w:val="15"/>
            </w:rPr>
            <w:tag w:val="_PLD_f67d05ac9f6f4daaafdf90084911dcee"/>
            <w:id w:val="-1303834519"/>
          </w:sdtPr>
          <w:sdtEndPr>
            <w:rPr>
              <w:sz w:val="15"/>
              <w:szCs w:val="15"/>
            </w:rPr>
          </w:sdtEndPr>
          <w:sdtContent>
            <w:tc>
              <w:tcPr>
                <w:tcW w:w="426" w:type="pct"/>
                <w:vMerge w:val="restart"/>
                <w:vAlign w:val="center"/>
              </w:tcPr>
              <w:p w14:paraId="721577D5">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资本公积</w:t>
                </w:r>
              </w:p>
            </w:tc>
          </w:sdtContent>
        </w:sdt>
        <w:sdt>
          <w:sdtPr>
            <w:rPr>
              <w:sz w:val="15"/>
              <w:szCs w:val="15"/>
            </w:rPr>
            <w:tag w:val="_PLD_21df11f52b3443acacf7dd8421b5cc67"/>
            <w:id w:val="-886186879"/>
          </w:sdtPr>
          <w:sdtEndPr>
            <w:rPr>
              <w:sz w:val="15"/>
              <w:szCs w:val="15"/>
            </w:rPr>
          </w:sdtEndPr>
          <w:sdtContent>
            <w:tc>
              <w:tcPr>
                <w:tcW w:w="388" w:type="pct"/>
                <w:vMerge w:val="restart"/>
                <w:vAlign w:val="center"/>
              </w:tcPr>
              <w:p w14:paraId="6B4FC47D">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减：库存股</w:t>
                </w:r>
              </w:p>
            </w:tc>
          </w:sdtContent>
        </w:sdt>
        <w:sdt>
          <w:sdtPr>
            <w:rPr>
              <w:sz w:val="15"/>
              <w:szCs w:val="15"/>
            </w:rPr>
            <w:tag w:val="_PLD_bdc12fd277ea4fbe9c90f9480d9ecddb"/>
            <w:id w:val="-1170786914"/>
          </w:sdtPr>
          <w:sdtEndPr>
            <w:rPr>
              <w:sz w:val="15"/>
              <w:szCs w:val="15"/>
            </w:rPr>
          </w:sdtEndPr>
          <w:sdtContent>
            <w:tc>
              <w:tcPr>
                <w:tcW w:w="454" w:type="pct"/>
                <w:vMerge w:val="restart"/>
                <w:vAlign w:val="center"/>
              </w:tcPr>
              <w:p w14:paraId="35A49564">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其他综合收益</w:t>
                </w:r>
              </w:p>
            </w:tc>
          </w:sdtContent>
        </w:sdt>
        <w:sdt>
          <w:sdtPr>
            <w:rPr>
              <w:sz w:val="15"/>
              <w:szCs w:val="15"/>
            </w:rPr>
            <w:tag w:val="_PLD_b4aa95f4be904a02958b77b5542bb78d"/>
            <w:id w:val="1160885914"/>
          </w:sdtPr>
          <w:sdtEndPr>
            <w:rPr>
              <w:sz w:val="15"/>
              <w:szCs w:val="15"/>
            </w:rPr>
          </w:sdtEndPr>
          <w:sdtContent>
            <w:tc>
              <w:tcPr>
                <w:tcW w:w="123" w:type="pct"/>
                <w:vMerge w:val="restart"/>
                <w:vAlign w:val="center"/>
              </w:tcPr>
              <w:p w14:paraId="1AA5DF77">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专项储备</w:t>
                </w:r>
              </w:p>
            </w:tc>
          </w:sdtContent>
        </w:sdt>
        <w:sdt>
          <w:sdtPr>
            <w:rPr>
              <w:sz w:val="15"/>
              <w:szCs w:val="15"/>
            </w:rPr>
            <w:tag w:val="_PLD_1ee8f47ee38e4000af64e781a1a0e729"/>
            <w:id w:val="-1870605573"/>
          </w:sdtPr>
          <w:sdtEndPr>
            <w:rPr>
              <w:sz w:val="15"/>
              <w:szCs w:val="15"/>
            </w:rPr>
          </w:sdtEndPr>
          <w:sdtContent>
            <w:tc>
              <w:tcPr>
                <w:tcW w:w="388" w:type="pct"/>
                <w:vMerge w:val="restart"/>
                <w:vAlign w:val="center"/>
              </w:tcPr>
              <w:p w14:paraId="6C9E47C9">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盈余公积</w:t>
                </w:r>
              </w:p>
            </w:tc>
          </w:sdtContent>
        </w:sdt>
        <w:sdt>
          <w:sdtPr>
            <w:rPr>
              <w:sz w:val="15"/>
              <w:szCs w:val="15"/>
            </w:rPr>
            <w:tag w:val="_PLD_b09258af0aa4494b8e88e711ca2dd7b8"/>
            <w:id w:val="1586262715"/>
          </w:sdtPr>
          <w:sdtEndPr>
            <w:rPr>
              <w:sz w:val="15"/>
              <w:szCs w:val="15"/>
            </w:rPr>
          </w:sdtEndPr>
          <w:sdtContent>
            <w:tc>
              <w:tcPr>
                <w:tcW w:w="123" w:type="pct"/>
                <w:vMerge w:val="restart"/>
                <w:vAlign w:val="center"/>
              </w:tcPr>
              <w:p w14:paraId="5EB048ED">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一般风险准备</w:t>
                </w:r>
              </w:p>
            </w:tc>
          </w:sdtContent>
        </w:sdt>
        <w:sdt>
          <w:sdtPr>
            <w:rPr>
              <w:sz w:val="15"/>
              <w:szCs w:val="15"/>
            </w:rPr>
            <w:tag w:val="_PLD_f20054bead0a491aafe7bb5a5952f48f"/>
            <w:id w:val="-1173031351"/>
          </w:sdtPr>
          <w:sdtEndPr>
            <w:rPr>
              <w:sz w:val="15"/>
              <w:szCs w:val="15"/>
            </w:rPr>
          </w:sdtEndPr>
          <w:sdtContent>
            <w:tc>
              <w:tcPr>
                <w:tcW w:w="461" w:type="pct"/>
                <w:vMerge w:val="restart"/>
                <w:vAlign w:val="center"/>
              </w:tcPr>
              <w:p w14:paraId="7A097811">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未分配利润</w:t>
                </w:r>
              </w:p>
            </w:tc>
          </w:sdtContent>
        </w:sdt>
        <w:tc>
          <w:tcPr>
            <w:tcW w:w="123" w:type="pct"/>
            <w:vMerge w:val="restart"/>
            <w:vAlign w:val="center"/>
          </w:tcPr>
          <w:sdt>
            <w:sdtPr>
              <w:rPr>
                <w:sz w:val="15"/>
                <w:szCs w:val="15"/>
              </w:rPr>
              <w:tag w:val="_PLD_ee763dfa69fd4fa3bec927cefa83eadc"/>
              <w:id w:val="-1244409231"/>
            </w:sdtPr>
            <w:sdtEndPr>
              <w:rPr>
                <w:sz w:val="15"/>
                <w:szCs w:val="15"/>
              </w:rPr>
            </w:sdtEndPr>
            <w:sdtContent>
              <w:p w14:paraId="42898AA9">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sdtContent>
          </w:sdt>
        </w:tc>
        <w:tc>
          <w:tcPr>
            <w:tcW w:w="451" w:type="pct"/>
            <w:vMerge w:val="restart"/>
            <w:vAlign w:val="center"/>
          </w:tcPr>
          <w:sdt>
            <w:sdtPr>
              <w:rPr>
                <w:sz w:val="15"/>
                <w:szCs w:val="15"/>
              </w:rPr>
              <w:tag w:val="_PLD_97c92cf2be1e4f36880a16a2c16704b4"/>
              <w:id w:val="-1395187862"/>
            </w:sdtPr>
            <w:sdtEndPr>
              <w:rPr>
                <w:sz w:val="15"/>
                <w:szCs w:val="15"/>
              </w:rPr>
            </w:sdtEndPr>
            <w:sdtContent>
              <w:p w14:paraId="609F51D3">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小计</w:t>
                </w:r>
              </w:p>
            </w:sdtContent>
          </w:sdt>
        </w:tc>
        <w:tc>
          <w:tcPr>
            <w:tcW w:w="426" w:type="pct"/>
            <w:gridSpan w:val="2"/>
            <w:vMerge w:val="restart"/>
            <w:vAlign w:val="center"/>
          </w:tcPr>
          <w:p w14:paraId="611C3146">
            <w:pPr>
              <w:jc w:val="center"/>
              <w:rPr>
                <w:color w:val="000000" w:themeColor="text1"/>
                <w:sz w:val="15"/>
                <w:szCs w:val="15"/>
                <w14:textFill>
                  <w14:solidFill>
                    <w14:schemeClr w14:val="tx1"/>
                  </w14:solidFill>
                </w14:textFill>
              </w:rPr>
            </w:pPr>
          </w:p>
        </w:tc>
        <w:tc>
          <w:tcPr>
            <w:tcW w:w="459" w:type="pct"/>
            <w:gridSpan w:val="2"/>
            <w:vMerge w:val="restart"/>
            <w:vAlign w:val="center"/>
          </w:tcPr>
          <w:p w14:paraId="08B25B68">
            <w:pPr>
              <w:jc w:val="center"/>
              <w:rPr>
                <w:color w:val="000000" w:themeColor="text1"/>
                <w:sz w:val="15"/>
                <w:szCs w:val="15"/>
                <w14:textFill>
                  <w14:solidFill>
                    <w14:schemeClr w14:val="tx1"/>
                  </w14:solidFill>
                </w14:textFill>
              </w:rPr>
            </w:pPr>
          </w:p>
        </w:tc>
      </w:tr>
      <w:tr w14:paraId="1A2E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2" w:type="pct"/>
            <w:vMerge w:val="continue"/>
            <w:vAlign w:val="center"/>
          </w:tcPr>
          <w:p w14:paraId="1DFB2D53">
            <w:pPr>
              <w:snapToGrid w:val="0"/>
              <w:spacing w:line="240" w:lineRule="atLeast"/>
              <w:ind w:right="-1594" w:rightChars="-759"/>
              <w:rPr>
                <w:color w:val="000000" w:themeColor="text1"/>
                <w:sz w:val="15"/>
                <w:szCs w:val="15"/>
                <w14:textFill>
                  <w14:solidFill>
                    <w14:schemeClr w14:val="tx1"/>
                  </w14:solidFill>
                </w14:textFill>
              </w:rPr>
            </w:pPr>
          </w:p>
        </w:tc>
        <w:tc>
          <w:tcPr>
            <w:tcW w:w="426" w:type="pct"/>
            <w:vMerge w:val="continue"/>
            <w:vAlign w:val="center"/>
          </w:tcPr>
          <w:p w14:paraId="5ABC556D">
            <w:pPr>
              <w:snapToGrid w:val="0"/>
              <w:spacing w:line="240" w:lineRule="atLeast"/>
              <w:jc w:val="center"/>
              <w:rPr>
                <w:color w:val="000000" w:themeColor="text1"/>
                <w:sz w:val="15"/>
                <w:szCs w:val="15"/>
                <w14:textFill>
                  <w14:solidFill>
                    <w14:schemeClr w14:val="tx1"/>
                  </w14:solidFill>
                </w14:textFill>
              </w:rPr>
            </w:pPr>
          </w:p>
        </w:tc>
        <w:sdt>
          <w:sdtPr>
            <w:rPr>
              <w:sz w:val="15"/>
              <w:szCs w:val="15"/>
            </w:rPr>
            <w:tag w:val="_PLD_7b6493af25ff4e3986120f711cb3be4e"/>
            <w:id w:val="1642454434"/>
          </w:sdtPr>
          <w:sdtEndPr>
            <w:rPr>
              <w:sz w:val="15"/>
              <w:szCs w:val="15"/>
            </w:rPr>
          </w:sdtEndPr>
          <w:sdtContent>
            <w:tc>
              <w:tcPr>
                <w:tcW w:w="123" w:type="pct"/>
                <w:vAlign w:val="center"/>
              </w:tcPr>
              <w:p w14:paraId="527427BB">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优先股</w:t>
                </w:r>
              </w:p>
            </w:tc>
          </w:sdtContent>
        </w:sdt>
        <w:sdt>
          <w:sdtPr>
            <w:rPr>
              <w:sz w:val="15"/>
              <w:szCs w:val="15"/>
            </w:rPr>
            <w:tag w:val="_PLD_446c35c8857c4ad0bb648db82e104141"/>
            <w:id w:val="126058304"/>
          </w:sdtPr>
          <w:sdtEndPr>
            <w:rPr>
              <w:sz w:val="15"/>
              <w:szCs w:val="15"/>
            </w:rPr>
          </w:sdtEndPr>
          <w:sdtContent>
            <w:tc>
              <w:tcPr>
                <w:tcW w:w="123" w:type="pct"/>
                <w:vAlign w:val="center"/>
              </w:tcPr>
              <w:p w14:paraId="5EFD5BFD">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永续债</w:t>
                </w:r>
              </w:p>
            </w:tc>
          </w:sdtContent>
        </w:sdt>
        <w:sdt>
          <w:sdtPr>
            <w:rPr>
              <w:sz w:val="15"/>
              <w:szCs w:val="15"/>
            </w:rPr>
            <w:tag w:val="_PLD_e8048d05ab294ec8a2a849ca1f70a7c9"/>
            <w:id w:val="260489350"/>
          </w:sdtPr>
          <w:sdtEndPr>
            <w:rPr>
              <w:sz w:val="15"/>
              <w:szCs w:val="15"/>
            </w:rPr>
          </w:sdtEndPr>
          <w:sdtContent>
            <w:tc>
              <w:tcPr>
                <w:tcW w:w="124" w:type="pct"/>
                <w:vAlign w:val="center"/>
              </w:tcPr>
              <w:p w14:paraId="40093122">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tc>
          </w:sdtContent>
        </w:sdt>
        <w:tc>
          <w:tcPr>
            <w:tcW w:w="426" w:type="pct"/>
            <w:vMerge w:val="continue"/>
            <w:vAlign w:val="center"/>
          </w:tcPr>
          <w:p w14:paraId="7FBC1804">
            <w:pPr>
              <w:snapToGrid w:val="0"/>
              <w:spacing w:line="240" w:lineRule="atLeast"/>
              <w:jc w:val="center"/>
              <w:rPr>
                <w:color w:val="000000" w:themeColor="text1"/>
                <w:sz w:val="15"/>
                <w:szCs w:val="15"/>
                <w14:textFill>
                  <w14:solidFill>
                    <w14:schemeClr w14:val="tx1"/>
                  </w14:solidFill>
                </w14:textFill>
              </w:rPr>
            </w:pPr>
          </w:p>
        </w:tc>
        <w:tc>
          <w:tcPr>
            <w:tcW w:w="388" w:type="pct"/>
            <w:vMerge w:val="continue"/>
            <w:vAlign w:val="center"/>
          </w:tcPr>
          <w:p w14:paraId="31A44973">
            <w:pPr>
              <w:snapToGrid w:val="0"/>
              <w:spacing w:line="240" w:lineRule="atLeast"/>
              <w:jc w:val="center"/>
              <w:rPr>
                <w:color w:val="000000" w:themeColor="text1"/>
                <w:sz w:val="15"/>
                <w:szCs w:val="15"/>
                <w14:textFill>
                  <w14:solidFill>
                    <w14:schemeClr w14:val="tx1"/>
                  </w14:solidFill>
                </w14:textFill>
              </w:rPr>
            </w:pPr>
          </w:p>
        </w:tc>
        <w:tc>
          <w:tcPr>
            <w:tcW w:w="454" w:type="pct"/>
            <w:vMerge w:val="continue"/>
            <w:vAlign w:val="center"/>
          </w:tcPr>
          <w:p w14:paraId="02074149">
            <w:pPr>
              <w:snapToGrid w:val="0"/>
              <w:spacing w:line="240" w:lineRule="atLeast"/>
              <w:jc w:val="center"/>
              <w:rPr>
                <w:color w:val="000000" w:themeColor="text1"/>
                <w:sz w:val="15"/>
                <w:szCs w:val="15"/>
                <w14:textFill>
                  <w14:solidFill>
                    <w14:schemeClr w14:val="tx1"/>
                  </w14:solidFill>
                </w14:textFill>
              </w:rPr>
            </w:pPr>
          </w:p>
        </w:tc>
        <w:tc>
          <w:tcPr>
            <w:tcW w:w="123" w:type="pct"/>
            <w:vMerge w:val="continue"/>
            <w:vAlign w:val="center"/>
          </w:tcPr>
          <w:p w14:paraId="074FDD01">
            <w:pPr>
              <w:snapToGrid w:val="0"/>
              <w:spacing w:line="240" w:lineRule="atLeast"/>
              <w:jc w:val="center"/>
              <w:rPr>
                <w:color w:val="000000" w:themeColor="text1"/>
                <w:sz w:val="15"/>
                <w:szCs w:val="15"/>
                <w14:textFill>
                  <w14:solidFill>
                    <w14:schemeClr w14:val="tx1"/>
                  </w14:solidFill>
                </w14:textFill>
              </w:rPr>
            </w:pPr>
          </w:p>
        </w:tc>
        <w:tc>
          <w:tcPr>
            <w:tcW w:w="388" w:type="pct"/>
            <w:vMerge w:val="continue"/>
            <w:vAlign w:val="center"/>
          </w:tcPr>
          <w:p w14:paraId="01EB49C5">
            <w:pPr>
              <w:snapToGrid w:val="0"/>
              <w:spacing w:line="240" w:lineRule="atLeast"/>
              <w:jc w:val="center"/>
              <w:rPr>
                <w:color w:val="000000" w:themeColor="text1"/>
                <w:sz w:val="15"/>
                <w:szCs w:val="15"/>
                <w14:textFill>
                  <w14:solidFill>
                    <w14:schemeClr w14:val="tx1"/>
                  </w14:solidFill>
                </w14:textFill>
              </w:rPr>
            </w:pPr>
          </w:p>
        </w:tc>
        <w:tc>
          <w:tcPr>
            <w:tcW w:w="123" w:type="pct"/>
            <w:vMerge w:val="continue"/>
            <w:vAlign w:val="center"/>
          </w:tcPr>
          <w:p w14:paraId="00555556">
            <w:pPr>
              <w:snapToGrid w:val="0"/>
              <w:spacing w:line="240" w:lineRule="atLeast"/>
              <w:jc w:val="center"/>
              <w:rPr>
                <w:color w:val="000000" w:themeColor="text1"/>
                <w:sz w:val="15"/>
                <w:szCs w:val="15"/>
                <w14:textFill>
                  <w14:solidFill>
                    <w14:schemeClr w14:val="tx1"/>
                  </w14:solidFill>
                </w14:textFill>
              </w:rPr>
            </w:pPr>
          </w:p>
        </w:tc>
        <w:tc>
          <w:tcPr>
            <w:tcW w:w="461" w:type="pct"/>
            <w:vMerge w:val="continue"/>
            <w:vAlign w:val="center"/>
          </w:tcPr>
          <w:p w14:paraId="7FC34187">
            <w:pPr>
              <w:snapToGrid w:val="0"/>
              <w:spacing w:line="240" w:lineRule="atLeast"/>
              <w:jc w:val="center"/>
              <w:rPr>
                <w:color w:val="000000" w:themeColor="text1"/>
                <w:sz w:val="15"/>
                <w:szCs w:val="15"/>
                <w14:textFill>
                  <w14:solidFill>
                    <w14:schemeClr w14:val="tx1"/>
                  </w14:solidFill>
                </w14:textFill>
              </w:rPr>
            </w:pPr>
          </w:p>
        </w:tc>
        <w:tc>
          <w:tcPr>
            <w:tcW w:w="123" w:type="pct"/>
            <w:vMerge w:val="continue"/>
            <w:vAlign w:val="center"/>
          </w:tcPr>
          <w:p w14:paraId="345A561F">
            <w:pPr>
              <w:jc w:val="center"/>
              <w:rPr>
                <w:color w:val="000000" w:themeColor="text1"/>
                <w:sz w:val="15"/>
                <w:szCs w:val="15"/>
                <w14:textFill>
                  <w14:solidFill>
                    <w14:schemeClr w14:val="tx1"/>
                  </w14:solidFill>
                </w14:textFill>
              </w:rPr>
            </w:pPr>
          </w:p>
        </w:tc>
        <w:tc>
          <w:tcPr>
            <w:tcW w:w="451" w:type="pct"/>
            <w:vMerge w:val="continue"/>
            <w:vAlign w:val="center"/>
          </w:tcPr>
          <w:p w14:paraId="1A2A3ECF">
            <w:pPr>
              <w:jc w:val="center"/>
              <w:rPr>
                <w:color w:val="000000" w:themeColor="text1"/>
                <w:sz w:val="15"/>
                <w:szCs w:val="15"/>
                <w14:textFill>
                  <w14:solidFill>
                    <w14:schemeClr w14:val="tx1"/>
                  </w14:solidFill>
                </w14:textFill>
              </w:rPr>
            </w:pPr>
          </w:p>
        </w:tc>
        <w:tc>
          <w:tcPr>
            <w:tcW w:w="426" w:type="pct"/>
            <w:gridSpan w:val="2"/>
            <w:vMerge w:val="continue"/>
            <w:vAlign w:val="center"/>
          </w:tcPr>
          <w:p w14:paraId="161BF1D6">
            <w:pPr>
              <w:jc w:val="center"/>
              <w:rPr>
                <w:color w:val="000000" w:themeColor="text1"/>
                <w:sz w:val="15"/>
                <w:szCs w:val="15"/>
                <w14:textFill>
                  <w14:solidFill>
                    <w14:schemeClr w14:val="tx1"/>
                  </w14:solidFill>
                </w14:textFill>
              </w:rPr>
            </w:pPr>
          </w:p>
        </w:tc>
        <w:tc>
          <w:tcPr>
            <w:tcW w:w="459" w:type="pct"/>
            <w:gridSpan w:val="2"/>
            <w:vMerge w:val="continue"/>
            <w:tcBorders>
              <w:bottom w:val="nil"/>
            </w:tcBorders>
            <w:vAlign w:val="center"/>
          </w:tcPr>
          <w:p w14:paraId="7DB00877">
            <w:pPr>
              <w:jc w:val="center"/>
              <w:rPr>
                <w:color w:val="000000" w:themeColor="text1"/>
                <w:sz w:val="15"/>
                <w:szCs w:val="15"/>
                <w14:textFill>
                  <w14:solidFill>
                    <w14:schemeClr w14:val="tx1"/>
                  </w14:solidFill>
                </w14:textFill>
              </w:rPr>
            </w:pPr>
          </w:p>
        </w:tc>
      </w:tr>
      <w:tr w14:paraId="6498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1f22f69e67ea4292afb08dec65f863c7"/>
            <w:id w:val="766349158"/>
          </w:sdtPr>
          <w:sdtEndPr>
            <w:rPr>
              <w:sz w:val="15"/>
              <w:szCs w:val="15"/>
            </w:rPr>
          </w:sdtEndPr>
          <w:sdtContent>
            <w:tc>
              <w:tcPr>
                <w:tcW w:w="382" w:type="pct"/>
                <w:vAlign w:val="center"/>
              </w:tcPr>
              <w:p w14:paraId="329CF58C">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一、上年</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末余额</w:t>
                </w:r>
              </w:p>
            </w:tc>
          </w:sdtContent>
        </w:sdt>
        <w:tc>
          <w:tcPr>
            <w:tcW w:w="426" w:type="pct"/>
            <w:vAlign w:val="center"/>
          </w:tcPr>
          <w:p w14:paraId="2619EE9A">
            <w:pPr>
              <w:jc w:val="right"/>
              <w:rPr>
                <w:sz w:val="15"/>
                <w:szCs w:val="15"/>
              </w:rPr>
            </w:pPr>
            <w:r>
              <w:rPr>
                <w:sz w:val="15"/>
                <w:szCs w:val="15"/>
              </w:rPr>
              <w:t>4,521,100,071.00</w:t>
            </w:r>
          </w:p>
        </w:tc>
        <w:tc>
          <w:tcPr>
            <w:tcW w:w="123" w:type="pct"/>
            <w:vAlign w:val="center"/>
          </w:tcPr>
          <w:p w14:paraId="61DCADBC">
            <w:pPr>
              <w:jc w:val="right"/>
              <w:rPr>
                <w:sz w:val="15"/>
                <w:szCs w:val="15"/>
              </w:rPr>
            </w:pPr>
          </w:p>
        </w:tc>
        <w:tc>
          <w:tcPr>
            <w:tcW w:w="123" w:type="pct"/>
            <w:vAlign w:val="center"/>
          </w:tcPr>
          <w:p w14:paraId="3559C2C3">
            <w:pPr>
              <w:jc w:val="right"/>
              <w:rPr>
                <w:rFonts w:eastAsia="Times New Roman" w:cs="Times New Roman"/>
                <w:sz w:val="15"/>
                <w:szCs w:val="15"/>
              </w:rPr>
            </w:pPr>
          </w:p>
        </w:tc>
        <w:tc>
          <w:tcPr>
            <w:tcW w:w="124" w:type="pct"/>
            <w:vAlign w:val="center"/>
          </w:tcPr>
          <w:p w14:paraId="779A6D0D">
            <w:pPr>
              <w:jc w:val="right"/>
              <w:rPr>
                <w:rFonts w:eastAsia="Times New Roman" w:cs="Times New Roman"/>
                <w:sz w:val="15"/>
                <w:szCs w:val="15"/>
              </w:rPr>
            </w:pPr>
          </w:p>
        </w:tc>
        <w:tc>
          <w:tcPr>
            <w:tcW w:w="426" w:type="pct"/>
            <w:vAlign w:val="center"/>
          </w:tcPr>
          <w:p w14:paraId="6CDA3BD9">
            <w:pPr>
              <w:jc w:val="right"/>
              <w:rPr>
                <w:rFonts w:ascii="宋体" w:hAnsi="宋体"/>
                <w:sz w:val="15"/>
                <w:szCs w:val="15"/>
              </w:rPr>
            </w:pPr>
            <w:r>
              <w:rPr>
                <w:sz w:val="15"/>
                <w:szCs w:val="15"/>
              </w:rPr>
              <w:t>8,642,979,113.53</w:t>
            </w:r>
          </w:p>
        </w:tc>
        <w:tc>
          <w:tcPr>
            <w:tcW w:w="388" w:type="pct"/>
            <w:vAlign w:val="center"/>
          </w:tcPr>
          <w:p w14:paraId="62A5D79E">
            <w:pPr>
              <w:jc w:val="right"/>
              <w:rPr>
                <w:sz w:val="15"/>
                <w:szCs w:val="15"/>
              </w:rPr>
            </w:pPr>
            <w:r>
              <w:rPr>
                <w:sz w:val="15"/>
                <w:szCs w:val="15"/>
              </w:rPr>
              <w:t>133,881,025.00</w:t>
            </w:r>
          </w:p>
        </w:tc>
        <w:tc>
          <w:tcPr>
            <w:tcW w:w="454" w:type="pct"/>
            <w:vAlign w:val="center"/>
          </w:tcPr>
          <w:p w14:paraId="2D764FA3">
            <w:pPr>
              <w:jc w:val="right"/>
              <w:rPr>
                <w:sz w:val="15"/>
                <w:szCs w:val="15"/>
              </w:rPr>
            </w:pPr>
            <w:r>
              <w:rPr>
                <w:sz w:val="15"/>
                <w:szCs w:val="15"/>
              </w:rPr>
              <w:t>-158,791,211.08</w:t>
            </w:r>
          </w:p>
        </w:tc>
        <w:tc>
          <w:tcPr>
            <w:tcW w:w="123" w:type="pct"/>
            <w:vAlign w:val="center"/>
          </w:tcPr>
          <w:p w14:paraId="1DB3137B">
            <w:pPr>
              <w:jc w:val="right"/>
              <w:rPr>
                <w:sz w:val="15"/>
                <w:szCs w:val="15"/>
              </w:rPr>
            </w:pPr>
          </w:p>
        </w:tc>
        <w:tc>
          <w:tcPr>
            <w:tcW w:w="388" w:type="pct"/>
            <w:vAlign w:val="center"/>
          </w:tcPr>
          <w:p w14:paraId="47551998">
            <w:pPr>
              <w:jc w:val="right"/>
              <w:rPr>
                <w:rFonts w:ascii="宋体" w:hAnsi="宋体"/>
                <w:sz w:val="15"/>
                <w:szCs w:val="15"/>
              </w:rPr>
            </w:pPr>
            <w:r>
              <w:rPr>
                <w:sz w:val="15"/>
                <w:szCs w:val="15"/>
              </w:rPr>
              <w:t>426,993,753.64</w:t>
            </w:r>
          </w:p>
        </w:tc>
        <w:tc>
          <w:tcPr>
            <w:tcW w:w="123" w:type="pct"/>
            <w:vAlign w:val="center"/>
          </w:tcPr>
          <w:p w14:paraId="5F977FD6">
            <w:pPr>
              <w:jc w:val="right"/>
              <w:rPr>
                <w:sz w:val="15"/>
                <w:szCs w:val="15"/>
              </w:rPr>
            </w:pPr>
          </w:p>
        </w:tc>
        <w:tc>
          <w:tcPr>
            <w:tcW w:w="461" w:type="pct"/>
            <w:vAlign w:val="center"/>
          </w:tcPr>
          <w:p w14:paraId="748CF5E6">
            <w:pPr>
              <w:jc w:val="right"/>
              <w:rPr>
                <w:rFonts w:ascii="宋体" w:hAnsi="宋体"/>
                <w:sz w:val="15"/>
                <w:szCs w:val="15"/>
              </w:rPr>
            </w:pPr>
            <w:r>
              <w:rPr>
                <w:sz w:val="15"/>
                <w:szCs w:val="15"/>
              </w:rPr>
              <w:t>-2,787,071,264.98</w:t>
            </w:r>
          </w:p>
        </w:tc>
        <w:tc>
          <w:tcPr>
            <w:tcW w:w="123" w:type="pct"/>
            <w:vAlign w:val="center"/>
          </w:tcPr>
          <w:p w14:paraId="3E73AAAE">
            <w:pPr>
              <w:jc w:val="right"/>
              <w:rPr>
                <w:sz w:val="15"/>
                <w:szCs w:val="15"/>
              </w:rPr>
            </w:pPr>
          </w:p>
        </w:tc>
        <w:tc>
          <w:tcPr>
            <w:tcW w:w="451" w:type="pct"/>
            <w:vAlign w:val="center"/>
          </w:tcPr>
          <w:p w14:paraId="286E5949">
            <w:pPr>
              <w:jc w:val="right"/>
              <w:rPr>
                <w:rFonts w:ascii="宋体" w:hAnsi="宋体"/>
                <w:sz w:val="15"/>
                <w:szCs w:val="15"/>
              </w:rPr>
            </w:pPr>
            <w:r>
              <w:rPr>
                <w:sz w:val="15"/>
                <w:szCs w:val="15"/>
              </w:rPr>
              <w:t>10,511,329,437.11</w:t>
            </w:r>
          </w:p>
        </w:tc>
        <w:tc>
          <w:tcPr>
            <w:tcW w:w="426" w:type="pct"/>
            <w:gridSpan w:val="2"/>
            <w:vAlign w:val="center"/>
          </w:tcPr>
          <w:p w14:paraId="32557806">
            <w:pPr>
              <w:jc w:val="right"/>
              <w:rPr>
                <w:sz w:val="15"/>
                <w:szCs w:val="15"/>
              </w:rPr>
            </w:pPr>
            <w:r>
              <w:rPr>
                <w:sz w:val="15"/>
                <w:szCs w:val="15"/>
              </w:rPr>
              <w:t>1,153,912,934.45</w:t>
            </w:r>
          </w:p>
        </w:tc>
        <w:tc>
          <w:tcPr>
            <w:tcW w:w="459" w:type="pct"/>
            <w:gridSpan w:val="2"/>
            <w:vAlign w:val="center"/>
          </w:tcPr>
          <w:p w14:paraId="1C1A6B8C">
            <w:pPr>
              <w:jc w:val="right"/>
              <w:rPr>
                <w:sz w:val="15"/>
                <w:szCs w:val="15"/>
              </w:rPr>
            </w:pPr>
            <w:r>
              <w:rPr>
                <w:sz w:val="15"/>
                <w:szCs w:val="15"/>
              </w:rPr>
              <w:t>11,665,242,371.56</w:t>
            </w:r>
          </w:p>
        </w:tc>
      </w:tr>
      <w:tr w14:paraId="7C7C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8753148a28244d68bf92b2fbad32f9b8"/>
            <w:id w:val="-1874910524"/>
          </w:sdtPr>
          <w:sdtEndPr>
            <w:rPr>
              <w:sz w:val="15"/>
              <w:szCs w:val="15"/>
            </w:rPr>
          </w:sdtEndPr>
          <w:sdtContent>
            <w:tc>
              <w:tcPr>
                <w:tcW w:w="382" w:type="pct"/>
                <w:vAlign w:val="center"/>
              </w:tcPr>
              <w:p w14:paraId="1BE10C08">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加：</w:t>
                </w:r>
                <w:r>
                  <w:rPr>
                    <w:color w:val="000000" w:themeColor="text1"/>
                    <w:sz w:val="15"/>
                    <w:szCs w:val="15"/>
                    <w14:textFill>
                      <w14:solidFill>
                        <w14:schemeClr w14:val="tx1"/>
                      </w14:solidFill>
                    </w14:textFill>
                  </w:rPr>
                  <w:t>会计政策变更</w:t>
                </w:r>
              </w:p>
            </w:tc>
          </w:sdtContent>
        </w:sdt>
        <w:tc>
          <w:tcPr>
            <w:tcW w:w="426" w:type="pct"/>
            <w:vAlign w:val="center"/>
          </w:tcPr>
          <w:p w14:paraId="1B25498E">
            <w:pPr>
              <w:jc w:val="right"/>
              <w:rPr>
                <w:sz w:val="15"/>
                <w:szCs w:val="15"/>
              </w:rPr>
            </w:pPr>
          </w:p>
        </w:tc>
        <w:tc>
          <w:tcPr>
            <w:tcW w:w="123" w:type="pct"/>
            <w:vAlign w:val="center"/>
          </w:tcPr>
          <w:p w14:paraId="3775A1ED">
            <w:pPr>
              <w:jc w:val="right"/>
              <w:rPr>
                <w:sz w:val="15"/>
                <w:szCs w:val="15"/>
              </w:rPr>
            </w:pPr>
          </w:p>
        </w:tc>
        <w:tc>
          <w:tcPr>
            <w:tcW w:w="123" w:type="pct"/>
            <w:vAlign w:val="center"/>
          </w:tcPr>
          <w:p w14:paraId="6DCD2A97">
            <w:pPr>
              <w:jc w:val="right"/>
              <w:rPr>
                <w:sz w:val="15"/>
                <w:szCs w:val="15"/>
              </w:rPr>
            </w:pPr>
          </w:p>
        </w:tc>
        <w:tc>
          <w:tcPr>
            <w:tcW w:w="124" w:type="pct"/>
            <w:vAlign w:val="center"/>
          </w:tcPr>
          <w:p w14:paraId="31CFD136">
            <w:pPr>
              <w:jc w:val="right"/>
              <w:rPr>
                <w:sz w:val="15"/>
                <w:szCs w:val="15"/>
              </w:rPr>
            </w:pPr>
          </w:p>
        </w:tc>
        <w:tc>
          <w:tcPr>
            <w:tcW w:w="426" w:type="pct"/>
            <w:vAlign w:val="center"/>
          </w:tcPr>
          <w:p w14:paraId="56B0BDF6">
            <w:pPr>
              <w:jc w:val="right"/>
              <w:rPr>
                <w:sz w:val="15"/>
                <w:szCs w:val="15"/>
              </w:rPr>
            </w:pPr>
          </w:p>
        </w:tc>
        <w:tc>
          <w:tcPr>
            <w:tcW w:w="388" w:type="pct"/>
            <w:vAlign w:val="center"/>
          </w:tcPr>
          <w:p w14:paraId="1F03E8FB">
            <w:pPr>
              <w:jc w:val="right"/>
              <w:rPr>
                <w:sz w:val="15"/>
                <w:szCs w:val="15"/>
              </w:rPr>
            </w:pPr>
          </w:p>
        </w:tc>
        <w:tc>
          <w:tcPr>
            <w:tcW w:w="454" w:type="pct"/>
            <w:vAlign w:val="center"/>
          </w:tcPr>
          <w:p w14:paraId="25FF37B5">
            <w:pPr>
              <w:jc w:val="right"/>
              <w:rPr>
                <w:sz w:val="15"/>
                <w:szCs w:val="15"/>
              </w:rPr>
            </w:pPr>
          </w:p>
        </w:tc>
        <w:tc>
          <w:tcPr>
            <w:tcW w:w="123" w:type="pct"/>
            <w:vAlign w:val="center"/>
          </w:tcPr>
          <w:p w14:paraId="2652B01F">
            <w:pPr>
              <w:jc w:val="right"/>
              <w:rPr>
                <w:sz w:val="15"/>
                <w:szCs w:val="15"/>
              </w:rPr>
            </w:pPr>
          </w:p>
        </w:tc>
        <w:tc>
          <w:tcPr>
            <w:tcW w:w="388" w:type="pct"/>
            <w:vAlign w:val="center"/>
          </w:tcPr>
          <w:p w14:paraId="3C1EA12F">
            <w:pPr>
              <w:jc w:val="right"/>
              <w:rPr>
                <w:sz w:val="15"/>
                <w:szCs w:val="15"/>
              </w:rPr>
            </w:pPr>
          </w:p>
        </w:tc>
        <w:tc>
          <w:tcPr>
            <w:tcW w:w="123" w:type="pct"/>
            <w:vAlign w:val="center"/>
          </w:tcPr>
          <w:p w14:paraId="0F08C0A4">
            <w:pPr>
              <w:jc w:val="right"/>
              <w:rPr>
                <w:sz w:val="15"/>
                <w:szCs w:val="15"/>
              </w:rPr>
            </w:pPr>
          </w:p>
        </w:tc>
        <w:tc>
          <w:tcPr>
            <w:tcW w:w="461" w:type="pct"/>
            <w:vAlign w:val="center"/>
          </w:tcPr>
          <w:p w14:paraId="39FBED92">
            <w:pPr>
              <w:jc w:val="right"/>
              <w:rPr>
                <w:sz w:val="15"/>
                <w:szCs w:val="15"/>
              </w:rPr>
            </w:pPr>
          </w:p>
        </w:tc>
        <w:tc>
          <w:tcPr>
            <w:tcW w:w="123" w:type="pct"/>
            <w:vAlign w:val="center"/>
          </w:tcPr>
          <w:p w14:paraId="0063A291">
            <w:pPr>
              <w:jc w:val="right"/>
              <w:rPr>
                <w:sz w:val="15"/>
                <w:szCs w:val="15"/>
              </w:rPr>
            </w:pPr>
          </w:p>
        </w:tc>
        <w:tc>
          <w:tcPr>
            <w:tcW w:w="451" w:type="pct"/>
            <w:vAlign w:val="center"/>
          </w:tcPr>
          <w:p w14:paraId="6F63C2E1">
            <w:pPr>
              <w:jc w:val="right"/>
              <w:rPr>
                <w:sz w:val="15"/>
                <w:szCs w:val="15"/>
              </w:rPr>
            </w:pPr>
          </w:p>
        </w:tc>
        <w:tc>
          <w:tcPr>
            <w:tcW w:w="426" w:type="pct"/>
            <w:gridSpan w:val="2"/>
            <w:vAlign w:val="center"/>
          </w:tcPr>
          <w:p w14:paraId="30712509">
            <w:pPr>
              <w:jc w:val="right"/>
              <w:rPr>
                <w:sz w:val="15"/>
                <w:szCs w:val="15"/>
              </w:rPr>
            </w:pPr>
          </w:p>
        </w:tc>
        <w:tc>
          <w:tcPr>
            <w:tcW w:w="459" w:type="pct"/>
            <w:gridSpan w:val="2"/>
            <w:vAlign w:val="center"/>
          </w:tcPr>
          <w:p w14:paraId="07AACB77">
            <w:pPr>
              <w:jc w:val="right"/>
              <w:rPr>
                <w:sz w:val="15"/>
                <w:szCs w:val="15"/>
              </w:rPr>
            </w:pPr>
          </w:p>
        </w:tc>
      </w:tr>
      <w:tr w14:paraId="62C7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291ece6b974e4962be6cec3c398fd5be"/>
            <w:id w:val="216324401"/>
          </w:sdtPr>
          <w:sdtEndPr>
            <w:rPr>
              <w:sz w:val="15"/>
              <w:szCs w:val="15"/>
            </w:rPr>
          </w:sdtEndPr>
          <w:sdtContent>
            <w:tc>
              <w:tcPr>
                <w:tcW w:w="382" w:type="pct"/>
                <w:vAlign w:val="center"/>
              </w:tcPr>
              <w:p w14:paraId="42646317">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前期差错更正</w:t>
                </w:r>
              </w:p>
            </w:tc>
          </w:sdtContent>
        </w:sdt>
        <w:tc>
          <w:tcPr>
            <w:tcW w:w="426" w:type="pct"/>
            <w:vAlign w:val="center"/>
          </w:tcPr>
          <w:p w14:paraId="1F405A9D">
            <w:pPr>
              <w:jc w:val="right"/>
              <w:rPr>
                <w:sz w:val="15"/>
                <w:szCs w:val="15"/>
              </w:rPr>
            </w:pPr>
          </w:p>
        </w:tc>
        <w:tc>
          <w:tcPr>
            <w:tcW w:w="123" w:type="pct"/>
            <w:vAlign w:val="center"/>
          </w:tcPr>
          <w:p w14:paraId="114D952C">
            <w:pPr>
              <w:jc w:val="right"/>
              <w:rPr>
                <w:sz w:val="15"/>
                <w:szCs w:val="15"/>
              </w:rPr>
            </w:pPr>
          </w:p>
        </w:tc>
        <w:tc>
          <w:tcPr>
            <w:tcW w:w="123" w:type="pct"/>
            <w:vAlign w:val="center"/>
          </w:tcPr>
          <w:p w14:paraId="5BC1B946">
            <w:pPr>
              <w:jc w:val="right"/>
              <w:rPr>
                <w:sz w:val="15"/>
                <w:szCs w:val="15"/>
              </w:rPr>
            </w:pPr>
          </w:p>
        </w:tc>
        <w:tc>
          <w:tcPr>
            <w:tcW w:w="124" w:type="pct"/>
            <w:vAlign w:val="center"/>
          </w:tcPr>
          <w:p w14:paraId="29371768">
            <w:pPr>
              <w:jc w:val="right"/>
              <w:rPr>
                <w:sz w:val="15"/>
                <w:szCs w:val="15"/>
              </w:rPr>
            </w:pPr>
          </w:p>
        </w:tc>
        <w:tc>
          <w:tcPr>
            <w:tcW w:w="426" w:type="pct"/>
            <w:vAlign w:val="center"/>
          </w:tcPr>
          <w:p w14:paraId="159FCEA7">
            <w:pPr>
              <w:jc w:val="right"/>
              <w:rPr>
                <w:sz w:val="15"/>
                <w:szCs w:val="15"/>
              </w:rPr>
            </w:pPr>
          </w:p>
        </w:tc>
        <w:tc>
          <w:tcPr>
            <w:tcW w:w="388" w:type="pct"/>
            <w:vAlign w:val="center"/>
          </w:tcPr>
          <w:p w14:paraId="51EC8A19">
            <w:pPr>
              <w:jc w:val="right"/>
              <w:rPr>
                <w:sz w:val="15"/>
                <w:szCs w:val="15"/>
              </w:rPr>
            </w:pPr>
          </w:p>
        </w:tc>
        <w:tc>
          <w:tcPr>
            <w:tcW w:w="454" w:type="pct"/>
            <w:vAlign w:val="center"/>
          </w:tcPr>
          <w:p w14:paraId="5B2C3742">
            <w:pPr>
              <w:jc w:val="right"/>
              <w:rPr>
                <w:sz w:val="15"/>
                <w:szCs w:val="15"/>
              </w:rPr>
            </w:pPr>
          </w:p>
        </w:tc>
        <w:tc>
          <w:tcPr>
            <w:tcW w:w="123" w:type="pct"/>
            <w:vAlign w:val="center"/>
          </w:tcPr>
          <w:p w14:paraId="272DC774">
            <w:pPr>
              <w:jc w:val="right"/>
              <w:rPr>
                <w:sz w:val="15"/>
                <w:szCs w:val="15"/>
              </w:rPr>
            </w:pPr>
          </w:p>
        </w:tc>
        <w:tc>
          <w:tcPr>
            <w:tcW w:w="388" w:type="pct"/>
            <w:vAlign w:val="center"/>
          </w:tcPr>
          <w:p w14:paraId="409B7BB6">
            <w:pPr>
              <w:jc w:val="right"/>
              <w:rPr>
                <w:sz w:val="15"/>
                <w:szCs w:val="15"/>
              </w:rPr>
            </w:pPr>
          </w:p>
        </w:tc>
        <w:tc>
          <w:tcPr>
            <w:tcW w:w="123" w:type="pct"/>
            <w:vAlign w:val="center"/>
          </w:tcPr>
          <w:p w14:paraId="4F3A4DD0">
            <w:pPr>
              <w:jc w:val="right"/>
              <w:rPr>
                <w:sz w:val="15"/>
                <w:szCs w:val="15"/>
              </w:rPr>
            </w:pPr>
          </w:p>
        </w:tc>
        <w:tc>
          <w:tcPr>
            <w:tcW w:w="461" w:type="pct"/>
            <w:vAlign w:val="center"/>
          </w:tcPr>
          <w:p w14:paraId="65F34715">
            <w:pPr>
              <w:jc w:val="right"/>
              <w:rPr>
                <w:sz w:val="15"/>
                <w:szCs w:val="15"/>
              </w:rPr>
            </w:pPr>
          </w:p>
        </w:tc>
        <w:tc>
          <w:tcPr>
            <w:tcW w:w="123" w:type="pct"/>
            <w:vAlign w:val="center"/>
          </w:tcPr>
          <w:p w14:paraId="65253907">
            <w:pPr>
              <w:jc w:val="right"/>
              <w:rPr>
                <w:sz w:val="15"/>
                <w:szCs w:val="15"/>
              </w:rPr>
            </w:pPr>
          </w:p>
        </w:tc>
        <w:tc>
          <w:tcPr>
            <w:tcW w:w="451" w:type="pct"/>
            <w:vAlign w:val="center"/>
          </w:tcPr>
          <w:p w14:paraId="4BCA1F36">
            <w:pPr>
              <w:jc w:val="right"/>
              <w:rPr>
                <w:sz w:val="15"/>
                <w:szCs w:val="15"/>
              </w:rPr>
            </w:pPr>
          </w:p>
        </w:tc>
        <w:tc>
          <w:tcPr>
            <w:tcW w:w="426" w:type="pct"/>
            <w:gridSpan w:val="2"/>
            <w:vAlign w:val="center"/>
          </w:tcPr>
          <w:p w14:paraId="5724A449">
            <w:pPr>
              <w:jc w:val="right"/>
              <w:rPr>
                <w:sz w:val="15"/>
                <w:szCs w:val="15"/>
              </w:rPr>
            </w:pPr>
          </w:p>
        </w:tc>
        <w:tc>
          <w:tcPr>
            <w:tcW w:w="459" w:type="pct"/>
            <w:gridSpan w:val="2"/>
            <w:vAlign w:val="center"/>
          </w:tcPr>
          <w:p w14:paraId="66BEABA7">
            <w:pPr>
              <w:jc w:val="right"/>
              <w:rPr>
                <w:sz w:val="15"/>
                <w:szCs w:val="15"/>
              </w:rPr>
            </w:pPr>
          </w:p>
        </w:tc>
      </w:tr>
      <w:tr w14:paraId="5A64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7953fd87201b462ab8c42a4716d6cb65"/>
            <w:id w:val="-1564563727"/>
          </w:sdtPr>
          <w:sdtEndPr>
            <w:rPr>
              <w:sz w:val="15"/>
              <w:szCs w:val="15"/>
            </w:rPr>
          </w:sdtEndPr>
          <w:sdtContent>
            <w:tc>
              <w:tcPr>
                <w:tcW w:w="382" w:type="pct"/>
                <w:vAlign w:val="center"/>
              </w:tcPr>
              <w:p w14:paraId="3FD5C1AD">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tc>
          </w:sdtContent>
        </w:sdt>
        <w:tc>
          <w:tcPr>
            <w:tcW w:w="426" w:type="pct"/>
            <w:vAlign w:val="center"/>
          </w:tcPr>
          <w:p w14:paraId="57C2037E">
            <w:pPr>
              <w:jc w:val="right"/>
              <w:rPr>
                <w:sz w:val="15"/>
                <w:szCs w:val="15"/>
              </w:rPr>
            </w:pPr>
          </w:p>
        </w:tc>
        <w:tc>
          <w:tcPr>
            <w:tcW w:w="123" w:type="pct"/>
            <w:vAlign w:val="center"/>
          </w:tcPr>
          <w:p w14:paraId="15D67F56">
            <w:pPr>
              <w:jc w:val="right"/>
              <w:rPr>
                <w:sz w:val="15"/>
                <w:szCs w:val="15"/>
              </w:rPr>
            </w:pPr>
          </w:p>
        </w:tc>
        <w:tc>
          <w:tcPr>
            <w:tcW w:w="123" w:type="pct"/>
            <w:vAlign w:val="center"/>
          </w:tcPr>
          <w:p w14:paraId="473DBECB">
            <w:pPr>
              <w:jc w:val="right"/>
              <w:rPr>
                <w:sz w:val="15"/>
                <w:szCs w:val="15"/>
              </w:rPr>
            </w:pPr>
          </w:p>
        </w:tc>
        <w:tc>
          <w:tcPr>
            <w:tcW w:w="124" w:type="pct"/>
            <w:vAlign w:val="center"/>
          </w:tcPr>
          <w:p w14:paraId="6FF19295">
            <w:pPr>
              <w:jc w:val="right"/>
              <w:rPr>
                <w:sz w:val="15"/>
                <w:szCs w:val="15"/>
              </w:rPr>
            </w:pPr>
          </w:p>
        </w:tc>
        <w:tc>
          <w:tcPr>
            <w:tcW w:w="426" w:type="pct"/>
            <w:vAlign w:val="center"/>
          </w:tcPr>
          <w:p w14:paraId="5136A39D">
            <w:pPr>
              <w:jc w:val="right"/>
              <w:rPr>
                <w:sz w:val="15"/>
                <w:szCs w:val="15"/>
              </w:rPr>
            </w:pPr>
          </w:p>
        </w:tc>
        <w:tc>
          <w:tcPr>
            <w:tcW w:w="388" w:type="pct"/>
            <w:vAlign w:val="center"/>
          </w:tcPr>
          <w:p w14:paraId="27A0A06D">
            <w:pPr>
              <w:jc w:val="right"/>
              <w:rPr>
                <w:sz w:val="15"/>
                <w:szCs w:val="15"/>
              </w:rPr>
            </w:pPr>
          </w:p>
        </w:tc>
        <w:tc>
          <w:tcPr>
            <w:tcW w:w="454" w:type="pct"/>
            <w:vAlign w:val="center"/>
          </w:tcPr>
          <w:p w14:paraId="3D2F27FF">
            <w:pPr>
              <w:jc w:val="right"/>
              <w:rPr>
                <w:sz w:val="15"/>
                <w:szCs w:val="15"/>
              </w:rPr>
            </w:pPr>
          </w:p>
        </w:tc>
        <w:tc>
          <w:tcPr>
            <w:tcW w:w="123" w:type="pct"/>
            <w:vAlign w:val="center"/>
          </w:tcPr>
          <w:p w14:paraId="084D08F4">
            <w:pPr>
              <w:jc w:val="right"/>
              <w:rPr>
                <w:sz w:val="15"/>
                <w:szCs w:val="15"/>
              </w:rPr>
            </w:pPr>
          </w:p>
        </w:tc>
        <w:tc>
          <w:tcPr>
            <w:tcW w:w="388" w:type="pct"/>
            <w:vAlign w:val="center"/>
          </w:tcPr>
          <w:p w14:paraId="37E90BFB">
            <w:pPr>
              <w:jc w:val="right"/>
              <w:rPr>
                <w:sz w:val="15"/>
                <w:szCs w:val="15"/>
              </w:rPr>
            </w:pPr>
          </w:p>
        </w:tc>
        <w:tc>
          <w:tcPr>
            <w:tcW w:w="123" w:type="pct"/>
            <w:vAlign w:val="center"/>
          </w:tcPr>
          <w:p w14:paraId="4CBF4D9B">
            <w:pPr>
              <w:jc w:val="right"/>
              <w:rPr>
                <w:sz w:val="15"/>
                <w:szCs w:val="15"/>
              </w:rPr>
            </w:pPr>
          </w:p>
        </w:tc>
        <w:tc>
          <w:tcPr>
            <w:tcW w:w="461" w:type="pct"/>
            <w:vAlign w:val="center"/>
          </w:tcPr>
          <w:p w14:paraId="48117B17">
            <w:pPr>
              <w:jc w:val="right"/>
              <w:rPr>
                <w:sz w:val="15"/>
                <w:szCs w:val="15"/>
              </w:rPr>
            </w:pPr>
          </w:p>
        </w:tc>
        <w:tc>
          <w:tcPr>
            <w:tcW w:w="123" w:type="pct"/>
            <w:vAlign w:val="center"/>
          </w:tcPr>
          <w:p w14:paraId="5518F818">
            <w:pPr>
              <w:jc w:val="right"/>
              <w:rPr>
                <w:sz w:val="15"/>
                <w:szCs w:val="15"/>
              </w:rPr>
            </w:pPr>
          </w:p>
        </w:tc>
        <w:tc>
          <w:tcPr>
            <w:tcW w:w="451" w:type="pct"/>
            <w:vAlign w:val="center"/>
          </w:tcPr>
          <w:p w14:paraId="39F54DF0">
            <w:pPr>
              <w:jc w:val="right"/>
              <w:rPr>
                <w:sz w:val="15"/>
                <w:szCs w:val="15"/>
              </w:rPr>
            </w:pPr>
          </w:p>
        </w:tc>
        <w:tc>
          <w:tcPr>
            <w:tcW w:w="426" w:type="pct"/>
            <w:gridSpan w:val="2"/>
            <w:vAlign w:val="center"/>
          </w:tcPr>
          <w:p w14:paraId="4428ECAD">
            <w:pPr>
              <w:jc w:val="right"/>
              <w:rPr>
                <w:sz w:val="15"/>
                <w:szCs w:val="15"/>
              </w:rPr>
            </w:pPr>
          </w:p>
        </w:tc>
        <w:tc>
          <w:tcPr>
            <w:tcW w:w="459" w:type="pct"/>
            <w:gridSpan w:val="2"/>
            <w:vAlign w:val="center"/>
          </w:tcPr>
          <w:p w14:paraId="24A69F6A">
            <w:pPr>
              <w:jc w:val="right"/>
              <w:rPr>
                <w:sz w:val="15"/>
                <w:szCs w:val="15"/>
              </w:rPr>
            </w:pPr>
          </w:p>
        </w:tc>
      </w:tr>
      <w:tr w14:paraId="6BF3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16d601e73dc14990b60ca53acf1371ba"/>
            <w:id w:val="-814563957"/>
          </w:sdtPr>
          <w:sdtEndPr>
            <w:rPr>
              <w:sz w:val="15"/>
              <w:szCs w:val="15"/>
            </w:rPr>
          </w:sdtEndPr>
          <w:sdtContent>
            <w:tc>
              <w:tcPr>
                <w:tcW w:w="382" w:type="pct"/>
                <w:vAlign w:val="center"/>
              </w:tcPr>
              <w:p w14:paraId="2B4DD293">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二、本年</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初余额</w:t>
                </w:r>
              </w:p>
            </w:tc>
          </w:sdtContent>
        </w:sdt>
        <w:tc>
          <w:tcPr>
            <w:tcW w:w="426" w:type="pct"/>
            <w:vAlign w:val="center"/>
          </w:tcPr>
          <w:p w14:paraId="16375E40">
            <w:pPr>
              <w:jc w:val="right"/>
              <w:rPr>
                <w:sz w:val="15"/>
                <w:szCs w:val="15"/>
              </w:rPr>
            </w:pPr>
            <w:r>
              <w:rPr>
                <w:sz w:val="15"/>
                <w:szCs w:val="15"/>
              </w:rPr>
              <w:t>4,521,100,071.00</w:t>
            </w:r>
          </w:p>
        </w:tc>
        <w:tc>
          <w:tcPr>
            <w:tcW w:w="123" w:type="pct"/>
            <w:vAlign w:val="center"/>
          </w:tcPr>
          <w:p w14:paraId="39AA312D">
            <w:pPr>
              <w:jc w:val="right"/>
              <w:rPr>
                <w:sz w:val="15"/>
                <w:szCs w:val="15"/>
              </w:rPr>
            </w:pPr>
          </w:p>
        </w:tc>
        <w:tc>
          <w:tcPr>
            <w:tcW w:w="123" w:type="pct"/>
            <w:vAlign w:val="center"/>
          </w:tcPr>
          <w:p w14:paraId="3439E6F9">
            <w:pPr>
              <w:jc w:val="right"/>
              <w:rPr>
                <w:rFonts w:eastAsia="Times New Roman" w:cs="Times New Roman"/>
                <w:sz w:val="15"/>
                <w:szCs w:val="15"/>
              </w:rPr>
            </w:pPr>
          </w:p>
        </w:tc>
        <w:tc>
          <w:tcPr>
            <w:tcW w:w="124" w:type="pct"/>
            <w:vAlign w:val="center"/>
          </w:tcPr>
          <w:p w14:paraId="0BA22BF3">
            <w:pPr>
              <w:jc w:val="right"/>
              <w:rPr>
                <w:rFonts w:eastAsia="Times New Roman" w:cs="Times New Roman"/>
                <w:sz w:val="15"/>
                <w:szCs w:val="15"/>
              </w:rPr>
            </w:pPr>
          </w:p>
        </w:tc>
        <w:tc>
          <w:tcPr>
            <w:tcW w:w="426" w:type="pct"/>
            <w:vAlign w:val="center"/>
          </w:tcPr>
          <w:p w14:paraId="3CD6B7BF">
            <w:pPr>
              <w:jc w:val="right"/>
              <w:rPr>
                <w:rFonts w:ascii="宋体" w:hAnsi="宋体"/>
                <w:sz w:val="15"/>
                <w:szCs w:val="15"/>
              </w:rPr>
            </w:pPr>
            <w:r>
              <w:rPr>
                <w:sz w:val="15"/>
                <w:szCs w:val="15"/>
              </w:rPr>
              <w:t>8,642,979,113.53</w:t>
            </w:r>
          </w:p>
        </w:tc>
        <w:tc>
          <w:tcPr>
            <w:tcW w:w="388" w:type="pct"/>
            <w:vAlign w:val="center"/>
          </w:tcPr>
          <w:p w14:paraId="5270C984">
            <w:pPr>
              <w:jc w:val="right"/>
              <w:rPr>
                <w:sz w:val="15"/>
                <w:szCs w:val="15"/>
              </w:rPr>
            </w:pPr>
            <w:r>
              <w:rPr>
                <w:sz w:val="15"/>
                <w:szCs w:val="15"/>
              </w:rPr>
              <w:t>133,881,025.00</w:t>
            </w:r>
          </w:p>
        </w:tc>
        <w:tc>
          <w:tcPr>
            <w:tcW w:w="454" w:type="pct"/>
            <w:vAlign w:val="center"/>
          </w:tcPr>
          <w:p w14:paraId="3C2BCC14">
            <w:pPr>
              <w:jc w:val="right"/>
              <w:rPr>
                <w:sz w:val="15"/>
                <w:szCs w:val="15"/>
              </w:rPr>
            </w:pPr>
            <w:r>
              <w:rPr>
                <w:sz w:val="15"/>
                <w:szCs w:val="15"/>
              </w:rPr>
              <w:t>-158,791,211.08</w:t>
            </w:r>
          </w:p>
        </w:tc>
        <w:tc>
          <w:tcPr>
            <w:tcW w:w="123" w:type="pct"/>
            <w:vAlign w:val="center"/>
          </w:tcPr>
          <w:p w14:paraId="14AC5C8E">
            <w:pPr>
              <w:jc w:val="right"/>
              <w:rPr>
                <w:sz w:val="15"/>
                <w:szCs w:val="15"/>
              </w:rPr>
            </w:pPr>
          </w:p>
        </w:tc>
        <w:tc>
          <w:tcPr>
            <w:tcW w:w="388" w:type="pct"/>
            <w:vAlign w:val="center"/>
          </w:tcPr>
          <w:p w14:paraId="0D0F7E40">
            <w:pPr>
              <w:jc w:val="right"/>
              <w:rPr>
                <w:rFonts w:ascii="宋体" w:hAnsi="宋体"/>
                <w:sz w:val="15"/>
                <w:szCs w:val="15"/>
              </w:rPr>
            </w:pPr>
            <w:r>
              <w:rPr>
                <w:sz w:val="15"/>
                <w:szCs w:val="15"/>
              </w:rPr>
              <w:t>426,993,753.64</w:t>
            </w:r>
          </w:p>
        </w:tc>
        <w:tc>
          <w:tcPr>
            <w:tcW w:w="123" w:type="pct"/>
            <w:vAlign w:val="center"/>
          </w:tcPr>
          <w:p w14:paraId="0DE23BBF">
            <w:pPr>
              <w:jc w:val="right"/>
              <w:rPr>
                <w:sz w:val="15"/>
                <w:szCs w:val="15"/>
              </w:rPr>
            </w:pPr>
          </w:p>
        </w:tc>
        <w:tc>
          <w:tcPr>
            <w:tcW w:w="461" w:type="pct"/>
            <w:vAlign w:val="center"/>
          </w:tcPr>
          <w:p w14:paraId="2534ED27">
            <w:pPr>
              <w:jc w:val="right"/>
              <w:rPr>
                <w:rFonts w:ascii="宋体" w:hAnsi="宋体"/>
                <w:sz w:val="15"/>
                <w:szCs w:val="15"/>
              </w:rPr>
            </w:pPr>
            <w:r>
              <w:rPr>
                <w:sz w:val="15"/>
                <w:szCs w:val="15"/>
              </w:rPr>
              <w:t>-2,787,071,264.98</w:t>
            </w:r>
          </w:p>
        </w:tc>
        <w:tc>
          <w:tcPr>
            <w:tcW w:w="123" w:type="pct"/>
            <w:vAlign w:val="center"/>
          </w:tcPr>
          <w:p w14:paraId="1BCD59B0">
            <w:pPr>
              <w:jc w:val="right"/>
              <w:rPr>
                <w:sz w:val="15"/>
                <w:szCs w:val="15"/>
              </w:rPr>
            </w:pPr>
          </w:p>
        </w:tc>
        <w:tc>
          <w:tcPr>
            <w:tcW w:w="451" w:type="pct"/>
            <w:vAlign w:val="center"/>
          </w:tcPr>
          <w:p w14:paraId="0BC9C0D4">
            <w:pPr>
              <w:jc w:val="right"/>
              <w:rPr>
                <w:rFonts w:ascii="宋体" w:hAnsi="宋体"/>
                <w:sz w:val="15"/>
                <w:szCs w:val="15"/>
              </w:rPr>
            </w:pPr>
            <w:r>
              <w:rPr>
                <w:sz w:val="15"/>
                <w:szCs w:val="15"/>
              </w:rPr>
              <w:t>10,511,329,437.11</w:t>
            </w:r>
          </w:p>
        </w:tc>
        <w:tc>
          <w:tcPr>
            <w:tcW w:w="426" w:type="pct"/>
            <w:gridSpan w:val="2"/>
            <w:vAlign w:val="center"/>
          </w:tcPr>
          <w:p w14:paraId="10587B86">
            <w:pPr>
              <w:jc w:val="right"/>
              <w:rPr>
                <w:sz w:val="15"/>
                <w:szCs w:val="15"/>
              </w:rPr>
            </w:pPr>
            <w:r>
              <w:rPr>
                <w:sz w:val="15"/>
                <w:szCs w:val="15"/>
              </w:rPr>
              <w:t>1,153,912,934.45</w:t>
            </w:r>
          </w:p>
        </w:tc>
        <w:tc>
          <w:tcPr>
            <w:tcW w:w="459" w:type="pct"/>
            <w:gridSpan w:val="2"/>
            <w:vAlign w:val="center"/>
          </w:tcPr>
          <w:p w14:paraId="4FC084FE">
            <w:pPr>
              <w:jc w:val="right"/>
              <w:rPr>
                <w:sz w:val="15"/>
                <w:szCs w:val="15"/>
              </w:rPr>
            </w:pPr>
            <w:r>
              <w:rPr>
                <w:sz w:val="15"/>
                <w:szCs w:val="15"/>
              </w:rPr>
              <w:t>11,665,242,371.56</w:t>
            </w:r>
          </w:p>
        </w:tc>
      </w:tr>
      <w:tr w14:paraId="1853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60156dcb8ac241a7929015e75c8eef16"/>
            <w:id w:val="-768998995"/>
          </w:sdtPr>
          <w:sdtEndPr>
            <w:rPr>
              <w:sz w:val="15"/>
              <w:szCs w:val="15"/>
            </w:rPr>
          </w:sdtEndPr>
          <w:sdtContent>
            <w:tc>
              <w:tcPr>
                <w:tcW w:w="382" w:type="pct"/>
                <w:vAlign w:val="center"/>
              </w:tcPr>
              <w:p w14:paraId="43EB43C4">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三、本</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增减变动金额（减少以“－”号填列）</w:t>
                </w:r>
              </w:p>
            </w:tc>
          </w:sdtContent>
        </w:sdt>
        <w:tc>
          <w:tcPr>
            <w:tcW w:w="426" w:type="pct"/>
            <w:vAlign w:val="center"/>
          </w:tcPr>
          <w:p w14:paraId="41659DEE">
            <w:pPr>
              <w:jc w:val="right"/>
              <w:rPr>
                <w:sz w:val="15"/>
                <w:szCs w:val="15"/>
              </w:rPr>
            </w:pPr>
          </w:p>
        </w:tc>
        <w:tc>
          <w:tcPr>
            <w:tcW w:w="123" w:type="pct"/>
            <w:vAlign w:val="center"/>
          </w:tcPr>
          <w:p w14:paraId="5ED1C996">
            <w:pPr>
              <w:jc w:val="right"/>
              <w:rPr>
                <w:rFonts w:eastAsia="Times New Roman" w:cs="Times New Roman"/>
                <w:sz w:val="15"/>
                <w:szCs w:val="15"/>
              </w:rPr>
            </w:pPr>
          </w:p>
        </w:tc>
        <w:tc>
          <w:tcPr>
            <w:tcW w:w="123" w:type="pct"/>
            <w:vAlign w:val="center"/>
          </w:tcPr>
          <w:p w14:paraId="64C0E3AB">
            <w:pPr>
              <w:jc w:val="right"/>
              <w:rPr>
                <w:rFonts w:eastAsia="Times New Roman" w:cs="Times New Roman"/>
                <w:sz w:val="15"/>
                <w:szCs w:val="15"/>
              </w:rPr>
            </w:pPr>
          </w:p>
        </w:tc>
        <w:tc>
          <w:tcPr>
            <w:tcW w:w="124" w:type="pct"/>
            <w:vAlign w:val="center"/>
          </w:tcPr>
          <w:p w14:paraId="1CC2E686">
            <w:pPr>
              <w:jc w:val="right"/>
              <w:rPr>
                <w:rFonts w:eastAsia="Times New Roman" w:cs="Times New Roman"/>
                <w:sz w:val="15"/>
                <w:szCs w:val="15"/>
              </w:rPr>
            </w:pPr>
          </w:p>
        </w:tc>
        <w:tc>
          <w:tcPr>
            <w:tcW w:w="426" w:type="pct"/>
            <w:vAlign w:val="center"/>
          </w:tcPr>
          <w:p w14:paraId="007403A2">
            <w:pPr>
              <w:jc w:val="right"/>
              <w:rPr>
                <w:rFonts w:eastAsia="Times New Roman" w:cs="Times New Roman"/>
                <w:sz w:val="15"/>
                <w:szCs w:val="15"/>
              </w:rPr>
            </w:pPr>
            <w:r>
              <w:rPr>
                <w:sz w:val="15"/>
                <w:szCs w:val="15"/>
              </w:rPr>
              <w:t>22,061.04</w:t>
            </w:r>
          </w:p>
        </w:tc>
        <w:tc>
          <w:tcPr>
            <w:tcW w:w="388" w:type="pct"/>
            <w:vAlign w:val="center"/>
          </w:tcPr>
          <w:p w14:paraId="61BDDE88">
            <w:pPr>
              <w:jc w:val="right"/>
              <w:rPr>
                <w:rFonts w:eastAsia="Times New Roman" w:cs="Times New Roman"/>
                <w:sz w:val="15"/>
                <w:szCs w:val="15"/>
              </w:rPr>
            </w:pPr>
          </w:p>
        </w:tc>
        <w:tc>
          <w:tcPr>
            <w:tcW w:w="454" w:type="pct"/>
            <w:vAlign w:val="center"/>
          </w:tcPr>
          <w:p w14:paraId="7BA3512F">
            <w:pPr>
              <w:jc w:val="right"/>
              <w:rPr>
                <w:rFonts w:ascii="宋体" w:hAnsi="宋体"/>
                <w:sz w:val="15"/>
                <w:szCs w:val="15"/>
              </w:rPr>
            </w:pPr>
            <w:r>
              <w:rPr>
                <w:sz w:val="15"/>
                <w:szCs w:val="15"/>
              </w:rPr>
              <w:t>11,415,175.72</w:t>
            </w:r>
          </w:p>
        </w:tc>
        <w:tc>
          <w:tcPr>
            <w:tcW w:w="123" w:type="pct"/>
            <w:vAlign w:val="center"/>
          </w:tcPr>
          <w:p w14:paraId="2699D517">
            <w:pPr>
              <w:jc w:val="right"/>
              <w:rPr>
                <w:sz w:val="15"/>
                <w:szCs w:val="15"/>
              </w:rPr>
            </w:pPr>
          </w:p>
        </w:tc>
        <w:tc>
          <w:tcPr>
            <w:tcW w:w="388" w:type="pct"/>
            <w:vAlign w:val="center"/>
          </w:tcPr>
          <w:p w14:paraId="714A16C3">
            <w:pPr>
              <w:jc w:val="right"/>
              <w:rPr>
                <w:rFonts w:eastAsia="Times New Roman" w:cs="Times New Roman"/>
                <w:sz w:val="15"/>
                <w:szCs w:val="15"/>
              </w:rPr>
            </w:pPr>
          </w:p>
        </w:tc>
        <w:tc>
          <w:tcPr>
            <w:tcW w:w="123" w:type="pct"/>
            <w:vAlign w:val="center"/>
          </w:tcPr>
          <w:p w14:paraId="22776E1F">
            <w:pPr>
              <w:jc w:val="right"/>
              <w:rPr>
                <w:rFonts w:eastAsia="Times New Roman" w:cs="Times New Roman"/>
                <w:sz w:val="15"/>
                <w:szCs w:val="15"/>
              </w:rPr>
            </w:pPr>
          </w:p>
        </w:tc>
        <w:tc>
          <w:tcPr>
            <w:tcW w:w="461" w:type="pct"/>
            <w:vAlign w:val="center"/>
          </w:tcPr>
          <w:p w14:paraId="46B73507">
            <w:pPr>
              <w:jc w:val="right"/>
              <w:rPr>
                <w:rFonts w:ascii="宋体" w:hAnsi="宋体"/>
                <w:sz w:val="15"/>
                <w:szCs w:val="15"/>
              </w:rPr>
            </w:pPr>
            <w:r>
              <w:rPr>
                <w:sz w:val="15"/>
                <w:szCs w:val="15"/>
              </w:rPr>
              <w:t>31,170,783.19</w:t>
            </w:r>
          </w:p>
        </w:tc>
        <w:tc>
          <w:tcPr>
            <w:tcW w:w="123" w:type="pct"/>
            <w:vAlign w:val="center"/>
          </w:tcPr>
          <w:p w14:paraId="770374F7">
            <w:pPr>
              <w:jc w:val="right"/>
              <w:rPr>
                <w:sz w:val="15"/>
                <w:szCs w:val="15"/>
              </w:rPr>
            </w:pPr>
          </w:p>
        </w:tc>
        <w:tc>
          <w:tcPr>
            <w:tcW w:w="451" w:type="pct"/>
            <w:vAlign w:val="center"/>
          </w:tcPr>
          <w:p w14:paraId="1B559F05">
            <w:pPr>
              <w:jc w:val="right"/>
              <w:rPr>
                <w:rFonts w:ascii="宋体" w:hAnsi="宋体"/>
                <w:sz w:val="15"/>
                <w:szCs w:val="15"/>
              </w:rPr>
            </w:pPr>
            <w:r>
              <w:rPr>
                <w:sz w:val="15"/>
                <w:szCs w:val="15"/>
              </w:rPr>
              <w:t>42,608,019.95</w:t>
            </w:r>
          </w:p>
        </w:tc>
        <w:tc>
          <w:tcPr>
            <w:tcW w:w="426" w:type="pct"/>
            <w:gridSpan w:val="2"/>
            <w:vAlign w:val="center"/>
          </w:tcPr>
          <w:p w14:paraId="49468DA7">
            <w:pPr>
              <w:jc w:val="right"/>
              <w:rPr>
                <w:sz w:val="15"/>
                <w:szCs w:val="15"/>
              </w:rPr>
            </w:pPr>
            <w:r>
              <w:rPr>
                <w:sz w:val="15"/>
                <w:szCs w:val="15"/>
              </w:rPr>
              <w:t>-145,788,330.52</w:t>
            </w:r>
          </w:p>
        </w:tc>
        <w:tc>
          <w:tcPr>
            <w:tcW w:w="459" w:type="pct"/>
            <w:gridSpan w:val="2"/>
            <w:vAlign w:val="center"/>
          </w:tcPr>
          <w:p w14:paraId="151C9FA7">
            <w:pPr>
              <w:jc w:val="right"/>
              <w:rPr>
                <w:sz w:val="15"/>
                <w:szCs w:val="15"/>
              </w:rPr>
            </w:pPr>
            <w:r>
              <w:rPr>
                <w:sz w:val="15"/>
                <w:szCs w:val="15"/>
              </w:rPr>
              <w:t>-103,180,310.57</w:t>
            </w:r>
          </w:p>
        </w:tc>
      </w:tr>
      <w:tr w14:paraId="7F67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b05dacde51ff43abaf7ec73bf9668d99"/>
            <w:id w:val="-1750258759"/>
          </w:sdtPr>
          <w:sdtEndPr>
            <w:rPr>
              <w:sz w:val="15"/>
              <w:szCs w:val="15"/>
            </w:rPr>
          </w:sdtEndPr>
          <w:sdtContent>
            <w:tc>
              <w:tcPr>
                <w:tcW w:w="382" w:type="pct"/>
                <w:vAlign w:val="center"/>
              </w:tcPr>
              <w:p w14:paraId="49CA90B8">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（一）综合收益总额</w:t>
                </w:r>
              </w:p>
            </w:tc>
          </w:sdtContent>
        </w:sdt>
        <w:tc>
          <w:tcPr>
            <w:tcW w:w="426" w:type="pct"/>
            <w:vAlign w:val="center"/>
          </w:tcPr>
          <w:p w14:paraId="720AA44E">
            <w:pPr>
              <w:jc w:val="right"/>
              <w:rPr>
                <w:sz w:val="15"/>
                <w:szCs w:val="15"/>
              </w:rPr>
            </w:pPr>
          </w:p>
        </w:tc>
        <w:tc>
          <w:tcPr>
            <w:tcW w:w="123" w:type="pct"/>
            <w:vAlign w:val="center"/>
          </w:tcPr>
          <w:p w14:paraId="67CFD469">
            <w:pPr>
              <w:jc w:val="right"/>
              <w:rPr>
                <w:rFonts w:eastAsia="Times New Roman" w:cs="Times New Roman"/>
                <w:sz w:val="15"/>
                <w:szCs w:val="15"/>
              </w:rPr>
            </w:pPr>
          </w:p>
        </w:tc>
        <w:tc>
          <w:tcPr>
            <w:tcW w:w="123" w:type="pct"/>
            <w:vAlign w:val="center"/>
          </w:tcPr>
          <w:p w14:paraId="576C529A">
            <w:pPr>
              <w:jc w:val="right"/>
              <w:rPr>
                <w:rFonts w:eastAsia="Times New Roman" w:cs="Times New Roman"/>
                <w:sz w:val="15"/>
                <w:szCs w:val="15"/>
              </w:rPr>
            </w:pPr>
          </w:p>
        </w:tc>
        <w:tc>
          <w:tcPr>
            <w:tcW w:w="124" w:type="pct"/>
            <w:vAlign w:val="center"/>
          </w:tcPr>
          <w:p w14:paraId="3B3CD5F8">
            <w:pPr>
              <w:jc w:val="right"/>
              <w:rPr>
                <w:rFonts w:eastAsia="Times New Roman" w:cs="Times New Roman"/>
                <w:sz w:val="15"/>
                <w:szCs w:val="15"/>
              </w:rPr>
            </w:pPr>
          </w:p>
        </w:tc>
        <w:tc>
          <w:tcPr>
            <w:tcW w:w="426" w:type="pct"/>
            <w:vAlign w:val="center"/>
          </w:tcPr>
          <w:p w14:paraId="1CE76992">
            <w:pPr>
              <w:jc w:val="right"/>
              <w:rPr>
                <w:rFonts w:eastAsia="Times New Roman" w:cs="Times New Roman"/>
                <w:sz w:val="15"/>
                <w:szCs w:val="15"/>
              </w:rPr>
            </w:pPr>
          </w:p>
        </w:tc>
        <w:tc>
          <w:tcPr>
            <w:tcW w:w="388" w:type="pct"/>
            <w:vAlign w:val="center"/>
          </w:tcPr>
          <w:p w14:paraId="334AD314">
            <w:pPr>
              <w:jc w:val="right"/>
              <w:rPr>
                <w:rFonts w:eastAsia="Times New Roman" w:cs="Times New Roman"/>
                <w:sz w:val="15"/>
                <w:szCs w:val="15"/>
              </w:rPr>
            </w:pPr>
          </w:p>
        </w:tc>
        <w:tc>
          <w:tcPr>
            <w:tcW w:w="454" w:type="pct"/>
            <w:vAlign w:val="center"/>
          </w:tcPr>
          <w:p w14:paraId="54D882E6">
            <w:pPr>
              <w:jc w:val="right"/>
              <w:rPr>
                <w:rFonts w:ascii="宋体" w:hAnsi="宋体"/>
                <w:sz w:val="15"/>
                <w:szCs w:val="15"/>
              </w:rPr>
            </w:pPr>
            <w:r>
              <w:rPr>
                <w:sz w:val="15"/>
                <w:szCs w:val="15"/>
              </w:rPr>
              <w:t>11,415,175.72</w:t>
            </w:r>
          </w:p>
        </w:tc>
        <w:tc>
          <w:tcPr>
            <w:tcW w:w="123" w:type="pct"/>
            <w:vAlign w:val="center"/>
          </w:tcPr>
          <w:p w14:paraId="7CA9F914">
            <w:pPr>
              <w:jc w:val="right"/>
              <w:rPr>
                <w:sz w:val="15"/>
                <w:szCs w:val="15"/>
              </w:rPr>
            </w:pPr>
          </w:p>
        </w:tc>
        <w:tc>
          <w:tcPr>
            <w:tcW w:w="388" w:type="pct"/>
            <w:vAlign w:val="center"/>
          </w:tcPr>
          <w:p w14:paraId="2764A5B7">
            <w:pPr>
              <w:jc w:val="right"/>
              <w:rPr>
                <w:rFonts w:eastAsia="Times New Roman" w:cs="Times New Roman"/>
                <w:sz w:val="15"/>
                <w:szCs w:val="15"/>
              </w:rPr>
            </w:pPr>
          </w:p>
        </w:tc>
        <w:tc>
          <w:tcPr>
            <w:tcW w:w="123" w:type="pct"/>
            <w:vAlign w:val="center"/>
          </w:tcPr>
          <w:p w14:paraId="11DEBB81">
            <w:pPr>
              <w:jc w:val="right"/>
              <w:rPr>
                <w:rFonts w:eastAsia="Times New Roman" w:cs="Times New Roman"/>
                <w:sz w:val="15"/>
                <w:szCs w:val="15"/>
              </w:rPr>
            </w:pPr>
          </w:p>
        </w:tc>
        <w:tc>
          <w:tcPr>
            <w:tcW w:w="461" w:type="pct"/>
            <w:vAlign w:val="center"/>
          </w:tcPr>
          <w:p w14:paraId="2524410B">
            <w:pPr>
              <w:jc w:val="right"/>
              <w:rPr>
                <w:rFonts w:ascii="宋体" w:hAnsi="宋体"/>
                <w:sz w:val="15"/>
                <w:szCs w:val="15"/>
              </w:rPr>
            </w:pPr>
            <w:r>
              <w:rPr>
                <w:sz w:val="15"/>
                <w:szCs w:val="15"/>
              </w:rPr>
              <w:t>31,170,783.19</w:t>
            </w:r>
          </w:p>
        </w:tc>
        <w:tc>
          <w:tcPr>
            <w:tcW w:w="123" w:type="pct"/>
            <w:vAlign w:val="center"/>
          </w:tcPr>
          <w:p w14:paraId="4D6153D0">
            <w:pPr>
              <w:jc w:val="right"/>
              <w:rPr>
                <w:sz w:val="15"/>
                <w:szCs w:val="15"/>
              </w:rPr>
            </w:pPr>
          </w:p>
        </w:tc>
        <w:tc>
          <w:tcPr>
            <w:tcW w:w="451" w:type="pct"/>
            <w:vAlign w:val="center"/>
          </w:tcPr>
          <w:p w14:paraId="3DDF7A38">
            <w:pPr>
              <w:jc w:val="right"/>
              <w:rPr>
                <w:rFonts w:ascii="宋体" w:hAnsi="宋体"/>
                <w:sz w:val="15"/>
                <w:szCs w:val="15"/>
              </w:rPr>
            </w:pPr>
            <w:r>
              <w:rPr>
                <w:sz w:val="15"/>
                <w:szCs w:val="15"/>
              </w:rPr>
              <w:t>42,585,958.91</w:t>
            </w:r>
          </w:p>
        </w:tc>
        <w:tc>
          <w:tcPr>
            <w:tcW w:w="426" w:type="pct"/>
            <w:gridSpan w:val="2"/>
            <w:vAlign w:val="center"/>
          </w:tcPr>
          <w:p w14:paraId="35C43851">
            <w:pPr>
              <w:jc w:val="right"/>
              <w:rPr>
                <w:sz w:val="15"/>
                <w:szCs w:val="15"/>
              </w:rPr>
            </w:pPr>
            <w:r>
              <w:rPr>
                <w:sz w:val="15"/>
                <w:szCs w:val="15"/>
              </w:rPr>
              <w:t>-147,141,830.91</w:t>
            </w:r>
          </w:p>
        </w:tc>
        <w:tc>
          <w:tcPr>
            <w:tcW w:w="459" w:type="pct"/>
            <w:gridSpan w:val="2"/>
            <w:vAlign w:val="center"/>
          </w:tcPr>
          <w:p w14:paraId="70912481">
            <w:pPr>
              <w:jc w:val="right"/>
              <w:rPr>
                <w:sz w:val="15"/>
                <w:szCs w:val="15"/>
              </w:rPr>
            </w:pPr>
            <w:r>
              <w:rPr>
                <w:sz w:val="15"/>
                <w:szCs w:val="15"/>
              </w:rPr>
              <w:t>-104,555,872.00</w:t>
            </w:r>
          </w:p>
        </w:tc>
      </w:tr>
      <w:tr w14:paraId="0C25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f17921fb207340239c73a056e615d773"/>
            <w:id w:val="-1443602471"/>
          </w:sdtPr>
          <w:sdtEndPr>
            <w:rPr>
              <w:sz w:val="15"/>
              <w:szCs w:val="15"/>
            </w:rPr>
          </w:sdtEndPr>
          <w:sdtContent>
            <w:tc>
              <w:tcPr>
                <w:tcW w:w="382" w:type="pct"/>
                <w:vAlign w:val="center"/>
              </w:tcPr>
              <w:p w14:paraId="039C282F">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二</w:t>
                </w:r>
                <w:r>
                  <w:rPr>
                    <w:color w:val="000000" w:themeColor="text1"/>
                    <w:sz w:val="15"/>
                    <w:szCs w:val="15"/>
                    <w14:textFill>
                      <w14:solidFill>
                        <w14:schemeClr w14:val="tx1"/>
                      </w14:solidFill>
                    </w14:textFill>
                  </w:rPr>
                  <w:t>）所有者投入和减少资本</w:t>
                </w:r>
              </w:p>
            </w:tc>
          </w:sdtContent>
        </w:sdt>
        <w:tc>
          <w:tcPr>
            <w:tcW w:w="426" w:type="pct"/>
            <w:vAlign w:val="center"/>
          </w:tcPr>
          <w:p w14:paraId="3778E742">
            <w:pPr>
              <w:jc w:val="right"/>
              <w:rPr>
                <w:sz w:val="15"/>
                <w:szCs w:val="15"/>
              </w:rPr>
            </w:pPr>
          </w:p>
        </w:tc>
        <w:tc>
          <w:tcPr>
            <w:tcW w:w="123" w:type="pct"/>
            <w:vAlign w:val="center"/>
          </w:tcPr>
          <w:p w14:paraId="1E1A69BC">
            <w:pPr>
              <w:jc w:val="right"/>
              <w:rPr>
                <w:rFonts w:eastAsia="Times New Roman" w:cs="Times New Roman"/>
                <w:sz w:val="15"/>
                <w:szCs w:val="15"/>
              </w:rPr>
            </w:pPr>
          </w:p>
        </w:tc>
        <w:tc>
          <w:tcPr>
            <w:tcW w:w="123" w:type="pct"/>
            <w:vAlign w:val="center"/>
          </w:tcPr>
          <w:p w14:paraId="501C11B2">
            <w:pPr>
              <w:jc w:val="right"/>
              <w:rPr>
                <w:rFonts w:eastAsia="Times New Roman" w:cs="Times New Roman"/>
                <w:sz w:val="15"/>
                <w:szCs w:val="15"/>
              </w:rPr>
            </w:pPr>
          </w:p>
        </w:tc>
        <w:tc>
          <w:tcPr>
            <w:tcW w:w="124" w:type="pct"/>
            <w:vAlign w:val="center"/>
          </w:tcPr>
          <w:p w14:paraId="0C25F9B5">
            <w:pPr>
              <w:jc w:val="right"/>
              <w:rPr>
                <w:rFonts w:eastAsia="Times New Roman" w:cs="Times New Roman"/>
                <w:sz w:val="15"/>
                <w:szCs w:val="15"/>
              </w:rPr>
            </w:pPr>
          </w:p>
        </w:tc>
        <w:tc>
          <w:tcPr>
            <w:tcW w:w="426" w:type="pct"/>
            <w:vAlign w:val="center"/>
          </w:tcPr>
          <w:p w14:paraId="1B52BCEA">
            <w:pPr>
              <w:jc w:val="right"/>
              <w:rPr>
                <w:rFonts w:eastAsia="Times New Roman" w:cs="Times New Roman"/>
                <w:sz w:val="15"/>
                <w:szCs w:val="15"/>
              </w:rPr>
            </w:pPr>
            <w:r>
              <w:rPr>
                <w:sz w:val="15"/>
                <w:szCs w:val="15"/>
              </w:rPr>
              <w:t>22,061.04</w:t>
            </w:r>
          </w:p>
        </w:tc>
        <w:tc>
          <w:tcPr>
            <w:tcW w:w="388" w:type="pct"/>
            <w:vAlign w:val="center"/>
          </w:tcPr>
          <w:p w14:paraId="351DBB9B">
            <w:pPr>
              <w:jc w:val="right"/>
              <w:rPr>
                <w:rFonts w:eastAsia="Times New Roman" w:cs="Times New Roman"/>
                <w:sz w:val="15"/>
                <w:szCs w:val="15"/>
              </w:rPr>
            </w:pPr>
          </w:p>
        </w:tc>
        <w:tc>
          <w:tcPr>
            <w:tcW w:w="454" w:type="pct"/>
            <w:vAlign w:val="center"/>
          </w:tcPr>
          <w:p w14:paraId="2F4919DF">
            <w:pPr>
              <w:jc w:val="right"/>
              <w:rPr>
                <w:rFonts w:eastAsia="Times New Roman" w:cs="Times New Roman"/>
                <w:sz w:val="15"/>
                <w:szCs w:val="15"/>
              </w:rPr>
            </w:pPr>
          </w:p>
        </w:tc>
        <w:tc>
          <w:tcPr>
            <w:tcW w:w="123" w:type="pct"/>
            <w:vAlign w:val="center"/>
          </w:tcPr>
          <w:p w14:paraId="2E3250D8">
            <w:pPr>
              <w:jc w:val="right"/>
              <w:rPr>
                <w:rFonts w:eastAsia="Times New Roman" w:cs="Times New Roman"/>
                <w:sz w:val="15"/>
                <w:szCs w:val="15"/>
              </w:rPr>
            </w:pPr>
          </w:p>
        </w:tc>
        <w:tc>
          <w:tcPr>
            <w:tcW w:w="388" w:type="pct"/>
            <w:vAlign w:val="center"/>
          </w:tcPr>
          <w:p w14:paraId="01E2C8A0">
            <w:pPr>
              <w:jc w:val="right"/>
              <w:rPr>
                <w:rFonts w:eastAsia="Times New Roman" w:cs="Times New Roman"/>
                <w:sz w:val="15"/>
                <w:szCs w:val="15"/>
              </w:rPr>
            </w:pPr>
          </w:p>
        </w:tc>
        <w:tc>
          <w:tcPr>
            <w:tcW w:w="123" w:type="pct"/>
            <w:vAlign w:val="center"/>
          </w:tcPr>
          <w:p w14:paraId="02E50AB5">
            <w:pPr>
              <w:jc w:val="right"/>
              <w:rPr>
                <w:rFonts w:eastAsia="Times New Roman" w:cs="Times New Roman"/>
                <w:sz w:val="15"/>
                <w:szCs w:val="15"/>
              </w:rPr>
            </w:pPr>
          </w:p>
        </w:tc>
        <w:tc>
          <w:tcPr>
            <w:tcW w:w="461" w:type="pct"/>
            <w:vAlign w:val="center"/>
          </w:tcPr>
          <w:p w14:paraId="51FDC369">
            <w:pPr>
              <w:jc w:val="right"/>
              <w:rPr>
                <w:rFonts w:eastAsia="Times New Roman" w:cs="Times New Roman"/>
                <w:sz w:val="15"/>
                <w:szCs w:val="15"/>
              </w:rPr>
            </w:pPr>
          </w:p>
        </w:tc>
        <w:tc>
          <w:tcPr>
            <w:tcW w:w="123" w:type="pct"/>
            <w:vAlign w:val="center"/>
          </w:tcPr>
          <w:p w14:paraId="46919384">
            <w:pPr>
              <w:jc w:val="right"/>
              <w:rPr>
                <w:rFonts w:eastAsia="Times New Roman" w:cs="Times New Roman"/>
                <w:sz w:val="15"/>
                <w:szCs w:val="15"/>
              </w:rPr>
            </w:pPr>
          </w:p>
        </w:tc>
        <w:tc>
          <w:tcPr>
            <w:tcW w:w="451" w:type="pct"/>
            <w:vAlign w:val="center"/>
          </w:tcPr>
          <w:p w14:paraId="217D774C">
            <w:pPr>
              <w:jc w:val="right"/>
              <w:rPr>
                <w:rFonts w:eastAsia="Times New Roman" w:cs="Times New Roman"/>
                <w:sz w:val="15"/>
                <w:szCs w:val="15"/>
              </w:rPr>
            </w:pPr>
            <w:r>
              <w:rPr>
                <w:sz w:val="15"/>
                <w:szCs w:val="15"/>
              </w:rPr>
              <w:t>22,061.04</w:t>
            </w:r>
          </w:p>
        </w:tc>
        <w:tc>
          <w:tcPr>
            <w:tcW w:w="426" w:type="pct"/>
            <w:gridSpan w:val="2"/>
            <w:vAlign w:val="center"/>
          </w:tcPr>
          <w:p w14:paraId="7847975A">
            <w:pPr>
              <w:jc w:val="right"/>
              <w:rPr>
                <w:rFonts w:ascii="宋体" w:hAnsi="宋体"/>
                <w:sz w:val="15"/>
                <w:szCs w:val="15"/>
              </w:rPr>
            </w:pPr>
            <w:r>
              <w:rPr>
                <w:sz w:val="15"/>
                <w:szCs w:val="15"/>
              </w:rPr>
              <w:t>1,353,500.39</w:t>
            </w:r>
          </w:p>
        </w:tc>
        <w:tc>
          <w:tcPr>
            <w:tcW w:w="459" w:type="pct"/>
            <w:gridSpan w:val="2"/>
            <w:vAlign w:val="center"/>
          </w:tcPr>
          <w:p w14:paraId="6E0094B4">
            <w:pPr>
              <w:jc w:val="right"/>
              <w:rPr>
                <w:sz w:val="15"/>
                <w:szCs w:val="15"/>
              </w:rPr>
            </w:pPr>
            <w:r>
              <w:rPr>
                <w:sz w:val="15"/>
                <w:szCs w:val="15"/>
              </w:rPr>
              <w:t>1,375,561.43</w:t>
            </w:r>
          </w:p>
        </w:tc>
      </w:tr>
      <w:tr w14:paraId="6F71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a4e5a1909d05445a88f8a664e237ae02"/>
            <w:id w:val="1368953394"/>
          </w:sdtPr>
          <w:sdtEndPr>
            <w:rPr>
              <w:sz w:val="15"/>
              <w:szCs w:val="15"/>
            </w:rPr>
          </w:sdtEndPr>
          <w:sdtContent>
            <w:tc>
              <w:tcPr>
                <w:tcW w:w="382" w:type="pct"/>
                <w:vAlign w:val="center"/>
              </w:tcPr>
              <w:p w14:paraId="0E438A5E">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1．所有者投入的普通股</w:t>
                </w:r>
              </w:p>
            </w:tc>
          </w:sdtContent>
        </w:sdt>
        <w:tc>
          <w:tcPr>
            <w:tcW w:w="426" w:type="pct"/>
            <w:vAlign w:val="center"/>
          </w:tcPr>
          <w:p w14:paraId="115371C8">
            <w:pPr>
              <w:jc w:val="right"/>
              <w:rPr>
                <w:sz w:val="15"/>
                <w:szCs w:val="15"/>
              </w:rPr>
            </w:pPr>
          </w:p>
        </w:tc>
        <w:tc>
          <w:tcPr>
            <w:tcW w:w="123" w:type="pct"/>
            <w:vAlign w:val="center"/>
          </w:tcPr>
          <w:p w14:paraId="06FC111E">
            <w:pPr>
              <w:jc w:val="right"/>
              <w:rPr>
                <w:sz w:val="15"/>
                <w:szCs w:val="15"/>
              </w:rPr>
            </w:pPr>
          </w:p>
        </w:tc>
        <w:tc>
          <w:tcPr>
            <w:tcW w:w="123" w:type="pct"/>
            <w:vAlign w:val="center"/>
          </w:tcPr>
          <w:p w14:paraId="3E58CADD">
            <w:pPr>
              <w:jc w:val="right"/>
              <w:rPr>
                <w:sz w:val="15"/>
                <w:szCs w:val="15"/>
              </w:rPr>
            </w:pPr>
          </w:p>
        </w:tc>
        <w:tc>
          <w:tcPr>
            <w:tcW w:w="124" w:type="pct"/>
            <w:vAlign w:val="center"/>
          </w:tcPr>
          <w:p w14:paraId="67EB3E53">
            <w:pPr>
              <w:jc w:val="right"/>
              <w:rPr>
                <w:sz w:val="15"/>
                <w:szCs w:val="15"/>
              </w:rPr>
            </w:pPr>
          </w:p>
        </w:tc>
        <w:tc>
          <w:tcPr>
            <w:tcW w:w="426" w:type="pct"/>
            <w:vAlign w:val="center"/>
          </w:tcPr>
          <w:p w14:paraId="58216BAC">
            <w:pPr>
              <w:jc w:val="right"/>
              <w:rPr>
                <w:sz w:val="15"/>
                <w:szCs w:val="15"/>
              </w:rPr>
            </w:pPr>
          </w:p>
        </w:tc>
        <w:tc>
          <w:tcPr>
            <w:tcW w:w="388" w:type="pct"/>
            <w:vAlign w:val="center"/>
          </w:tcPr>
          <w:p w14:paraId="0E734253">
            <w:pPr>
              <w:jc w:val="right"/>
              <w:rPr>
                <w:sz w:val="15"/>
                <w:szCs w:val="15"/>
              </w:rPr>
            </w:pPr>
          </w:p>
        </w:tc>
        <w:tc>
          <w:tcPr>
            <w:tcW w:w="454" w:type="pct"/>
            <w:vAlign w:val="center"/>
          </w:tcPr>
          <w:p w14:paraId="4D314490">
            <w:pPr>
              <w:jc w:val="right"/>
              <w:rPr>
                <w:sz w:val="15"/>
                <w:szCs w:val="15"/>
              </w:rPr>
            </w:pPr>
          </w:p>
        </w:tc>
        <w:tc>
          <w:tcPr>
            <w:tcW w:w="123" w:type="pct"/>
            <w:vAlign w:val="center"/>
          </w:tcPr>
          <w:p w14:paraId="3B7C1E4E">
            <w:pPr>
              <w:jc w:val="right"/>
              <w:rPr>
                <w:sz w:val="15"/>
                <w:szCs w:val="15"/>
              </w:rPr>
            </w:pPr>
          </w:p>
        </w:tc>
        <w:tc>
          <w:tcPr>
            <w:tcW w:w="388" w:type="pct"/>
            <w:vAlign w:val="center"/>
          </w:tcPr>
          <w:p w14:paraId="7D4835E0">
            <w:pPr>
              <w:jc w:val="right"/>
              <w:rPr>
                <w:sz w:val="15"/>
                <w:szCs w:val="15"/>
              </w:rPr>
            </w:pPr>
          </w:p>
        </w:tc>
        <w:tc>
          <w:tcPr>
            <w:tcW w:w="123" w:type="pct"/>
            <w:vAlign w:val="center"/>
          </w:tcPr>
          <w:p w14:paraId="50E0C4F3">
            <w:pPr>
              <w:jc w:val="right"/>
              <w:rPr>
                <w:sz w:val="15"/>
                <w:szCs w:val="15"/>
              </w:rPr>
            </w:pPr>
          </w:p>
        </w:tc>
        <w:tc>
          <w:tcPr>
            <w:tcW w:w="461" w:type="pct"/>
            <w:vAlign w:val="center"/>
          </w:tcPr>
          <w:p w14:paraId="211A20F9">
            <w:pPr>
              <w:jc w:val="right"/>
              <w:rPr>
                <w:sz w:val="15"/>
                <w:szCs w:val="15"/>
              </w:rPr>
            </w:pPr>
          </w:p>
        </w:tc>
        <w:tc>
          <w:tcPr>
            <w:tcW w:w="123" w:type="pct"/>
            <w:vAlign w:val="center"/>
          </w:tcPr>
          <w:p w14:paraId="647CEE87">
            <w:pPr>
              <w:jc w:val="right"/>
              <w:rPr>
                <w:sz w:val="15"/>
                <w:szCs w:val="15"/>
              </w:rPr>
            </w:pPr>
          </w:p>
        </w:tc>
        <w:tc>
          <w:tcPr>
            <w:tcW w:w="451" w:type="pct"/>
            <w:vAlign w:val="center"/>
          </w:tcPr>
          <w:p w14:paraId="43454489">
            <w:pPr>
              <w:jc w:val="right"/>
              <w:rPr>
                <w:sz w:val="15"/>
                <w:szCs w:val="15"/>
              </w:rPr>
            </w:pPr>
          </w:p>
        </w:tc>
        <w:tc>
          <w:tcPr>
            <w:tcW w:w="426" w:type="pct"/>
            <w:gridSpan w:val="2"/>
            <w:vAlign w:val="center"/>
          </w:tcPr>
          <w:p w14:paraId="05C179F0">
            <w:pPr>
              <w:jc w:val="right"/>
              <w:rPr>
                <w:sz w:val="15"/>
                <w:szCs w:val="15"/>
              </w:rPr>
            </w:pPr>
          </w:p>
        </w:tc>
        <w:tc>
          <w:tcPr>
            <w:tcW w:w="459" w:type="pct"/>
            <w:gridSpan w:val="2"/>
            <w:vAlign w:val="center"/>
          </w:tcPr>
          <w:p w14:paraId="07106A59">
            <w:pPr>
              <w:jc w:val="right"/>
              <w:rPr>
                <w:sz w:val="15"/>
                <w:szCs w:val="15"/>
              </w:rPr>
            </w:pPr>
          </w:p>
        </w:tc>
      </w:tr>
      <w:tr w14:paraId="03B9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00983bc5e4cc404f92b2fab2c532ec5f"/>
            <w:id w:val="-139345536"/>
          </w:sdtPr>
          <w:sdtEndPr>
            <w:rPr>
              <w:sz w:val="15"/>
              <w:szCs w:val="15"/>
            </w:rPr>
          </w:sdtEndPr>
          <w:sdtContent>
            <w:tc>
              <w:tcPr>
                <w:tcW w:w="382" w:type="pct"/>
                <w:vAlign w:val="center"/>
              </w:tcPr>
              <w:p w14:paraId="52B7AA8B">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2．其他权益工具持有者投入资本</w:t>
                </w:r>
              </w:p>
            </w:tc>
          </w:sdtContent>
        </w:sdt>
        <w:tc>
          <w:tcPr>
            <w:tcW w:w="426" w:type="pct"/>
            <w:vAlign w:val="center"/>
          </w:tcPr>
          <w:p w14:paraId="7A82A214">
            <w:pPr>
              <w:jc w:val="right"/>
              <w:rPr>
                <w:sz w:val="15"/>
                <w:szCs w:val="15"/>
              </w:rPr>
            </w:pPr>
          </w:p>
        </w:tc>
        <w:tc>
          <w:tcPr>
            <w:tcW w:w="123" w:type="pct"/>
            <w:vAlign w:val="center"/>
          </w:tcPr>
          <w:p w14:paraId="7088C7BE">
            <w:pPr>
              <w:jc w:val="right"/>
              <w:rPr>
                <w:sz w:val="15"/>
                <w:szCs w:val="15"/>
              </w:rPr>
            </w:pPr>
          </w:p>
        </w:tc>
        <w:tc>
          <w:tcPr>
            <w:tcW w:w="123" w:type="pct"/>
            <w:vAlign w:val="center"/>
          </w:tcPr>
          <w:p w14:paraId="0A645356">
            <w:pPr>
              <w:jc w:val="right"/>
              <w:rPr>
                <w:sz w:val="15"/>
                <w:szCs w:val="15"/>
              </w:rPr>
            </w:pPr>
          </w:p>
        </w:tc>
        <w:tc>
          <w:tcPr>
            <w:tcW w:w="124" w:type="pct"/>
            <w:vAlign w:val="center"/>
          </w:tcPr>
          <w:p w14:paraId="3D5DDDB6">
            <w:pPr>
              <w:jc w:val="right"/>
              <w:rPr>
                <w:sz w:val="15"/>
                <w:szCs w:val="15"/>
              </w:rPr>
            </w:pPr>
          </w:p>
        </w:tc>
        <w:tc>
          <w:tcPr>
            <w:tcW w:w="426" w:type="pct"/>
            <w:vAlign w:val="center"/>
          </w:tcPr>
          <w:p w14:paraId="1BBF961A">
            <w:pPr>
              <w:jc w:val="right"/>
              <w:rPr>
                <w:sz w:val="15"/>
                <w:szCs w:val="15"/>
              </w:rPr>
            </w:pPr>
          </w:p>
        </w:tc>
        <w:tc>
          <w:tcPr>
            <w:tcW w:w="388" w:type="pct"/>
            <w:vAlign w:val="center"/>
          </w:tcPr>
          <w:p w14:paraId="1AFD7A80">
            <w:pPr>
              <w:jc w:val="right"/>
              <w:rPr>
                <w:sz w:val="15"/>
                <w:szCs w:val="15"/>
              </w:rPr>
            </w:pPr>
          </w:p>
        </w:tc>
        <w:tc>
          <w:tcPr>
            <w:tcW w:w="454" w:type="pct"/>
            <w:vAlign w:val="center"/>
          </w:tcPr>
          <w:p w14:paraId="705926A9">
            <w:pPr>
              <w:jc w:val="right"/>
              <w:rPr>
                <w:sz w:val="15"/>
                <w:szCs w:val="15"/>
              </w:rPr>
            </w:pPr>
          </w:p>
        </w:tc>
        <w:tc>
          <w:tcPr>
            <w:tcW w:w="123" w:type="pct"/>
            <w:vAlign w:val="center"/>
          </w:tcPr>
          <w:p w14:paraId="28C13A25">
            <w:pPr>
              <w:jc w:val="right"/>
              <w:rPr>
                <w:sz w:val="15"/>
                <w:szCs w:val="15"/>
              </w:rPr>
            </w:pPr>
          </w:p>
        </w:tc>
        <w:tc>
          <w:tcPr>
            <w:tcW w:w="388" w:type="pct"/>
            <w:vAlign w:val="center"/>
          </w:tcPr>
          <w:p w14:paraId="25CB7991">
            <w:pPr>
              <w:jc w:val="right"/>
              <w:rPr>
                <w:sz w:val="15"/>
                <w:szCs w:val="15"/>
              </w:rPr>
            </w:pPr>
          </w:p>
        </w:tc>
        <w:tc>
          <w:tcPr>
            <w:tcW w:w="123" w:type="pct"/>
            <w:vAlign w:val="center"/>
          </w:tcPr>
          <w:p w14:paraId="054F2E9F">
            <w:pPr>
              <w:jc w:val="right"/>
              <w:rPr>
                <w:sz w:val="15"/>
                <w:szCs w:val="15"/>
              </w:rPr>
            </w:pPr>
          </w:p>
        </w:tc>
        <w:tc>
          <w:tcPr>
            <w:tcW w:w="461" w:type="pct"/>
            <w:vAlign w:val="center"/>
          </w:tcPr>
          <w:p w14:paraId="08083C8C">
            <w:pPr>
              <w:jc w:val="right"/>
              <w:rPr>
                <w:sz w:val="15"/>
                <w:szCs w:val="15"/>
              </w:rPr>
            </w:pPr>
          </w:p>
        </w:tc>
        <w:tc>
          <w:tcPr>
            <w:tcW w:w="123" w:type="pct"/>
            <w:vAlign w:val="center"/>
          </w:tcPr>
          <w:p w14:paraId="62D81E0C">
            <w:pPr>
              <w:jc w:val="right"/>
              <w:rPr>
                <w:sz w:val="15"/>
                <w:szCs w:val="15"/>
              </w:rPr>
            </w:pPr>
          </w:p>
        </w:tc>
        <w:tc>
          <w:tcPr>
            <w:tcW w:w="451" w:type="pct"/>
            <w:vAlign w:val="center"/>
          </w:tcPr>
          <w:p w14:paraId="15DB7498">
            <w:pPr>
              <w:jc w:val="right"/>
              <w:rPr>
                <w:sz w:val="15"/>
                <w:szCs w:val="15"/>
              </w:rPr>
            </w:pPr>
          </w:p>
        </w:tc>
        <w:tc>
          <w:tcPr>
            <w:tcW w:w="426" w:type="pct"/>
            <w:gridSpan w:val="2"/>
            <w:vAlign w:val="center"/>
          </w:tcPr>
          <w:p w14:paraId="1F732246">
            <w:pPr>
              <w:jc w:val="right"/>
              <w:rPr>
                <w:sz w:val="15"/>
                <w:szCs w:val="15"/>
              </w:rPr>
            </w:pPr>
          </w:p>
        </w:tc>
        <w:tc>
          <w:tcPr>
            <w:tcW w:w="459" w:type="pct"/>
            <w:gridSpan w:val="2"/>
            <w:vAlign w:val="center"/>
          </w:tcPr>
          <w:p w14:paraId="30F5AD51">
            <w:pPr>
              <w:jc w:val="right"/>
              <w:rPr>
                <w:sz w:val="15"/>
                <w:szCs w:val="15"/>
              </w:rPr>
            </w:pPr>
          </w:p>
        </w:tc>
      </w:tr>
      <w:tr w14:paraId="399E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b945685508384f75ad9507566dd406a5"/>
            <w:id w:val="-1132869781"/>
          </w:sdtPr>
          <w:sdtEndPr>
            <w:rPr>
              <w:sz w:val="15"/>
              <w:szCs w:val="15"/>
            </w:rPr>
          </w:sdtEndPr>
          <w:sdtContent>
            <w:tc>
              <w:tcPr>
                <w:tcW w:w="382" w:type="pct"/>
                <w:vAlign w:val="center"/>
              </w:tcPr>
              <w:p w14:paraId="238B49E1">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w:t>
                </w:r>
                <w:r>
                  <w:rPr>
                    <w:color w:val="000000" w:themeColor="text1"/>
                    <w:sz w:val="15"/>
                    <w:szCs w:val="15"/>
                    <w14:textFill>
                      <w14:solidFill>
                        <w14:schemeClr w14:val="tx1"/>
                      </w14:solidFill>
                    </w14:textFill>
                  </w:rPr>
                  <w:t>．股份支付计入所有者权益的金额</w:t>
                </w:r>
              </w:p>
            </w:tc>
          </w:sdtContent>
        </w:sdt>
        <w:tc>
          <w:tcPr>
            <w:tcW w:w="426" w:type="pct"/>
            <w:vAlign w:val="center"/>
          </w:tcPr>
          <w:p w14:paraId="6DB7C415">
            <w:pPr>
              <w:jc w:val="right"/>
              <w:rPr>
                <w:sz w:val="15"/>
                <w:szCs w:val="15"/>
              </w:rPr>
            </w:pPr>
          </w:p>
        </w:tc>
        <w:tc>
          <w:tcPr>
            <w:tcW w:w="123" w:type="pct"/>
            <w:vAlign w:val="center"/>
          </w:tcPr>
          <w:p w14:paraId="61DFDDB8">
            <w:pPr>
              <w:jc w:val="right"/>
              <w:rPr>
                <w:sz w:val="15"/>
                <w:szCs w:val="15"/>
              </w:rPr>
            </w:pPr>
          </w:p>
        </w:tc>
        <w:tc>
          <w:tcPr>
            <w:tcW w:w="123" w:type="pct"/>
            <w:vAlign w:val="center"/>
          </w:tcPr>
          <w:p w14:paraId="2C37FF05">
            <w:pPr>
              <w:jc w:val="right"/>
              <w:rPr>
                <w:sz w:val="15"/>
                <w:szCs w:val="15"/>
              </w:rPr>
            </w:pPr>
          </w:p>
        </w:tc>
        <w:tc>
          <w:tcPr>
            <w:tcW w:w="124" w:type="pct"/>
            <w:vAlign w:val="center"/>
          </w:tcPr>
          <w:p w14:paraId="51EBB9DC">
            <w:pPr>
              <w:jc w:val="right"/>
              <w:rPr>
                <w:sz w:val="15"/>
                <w:szCs w:val="15"/>
              </w:rPr>
            </w:pPr>
          </w:p>
        </w:tc>
        <w:tc>
          <w:tcPr>
            <w:tcW w:w="426" w:type="pct"/>
            <w:vAlign w:val="center"/>
          </w:tcPr>
          <w:p w14:paraId="0AB52E07">
            <w:pPr>
              <w:jc w:val="right"/>
              <w:rPr>
                <w:sz w:val="15"/>
                <w:szCs w:val="15"/>
              </w:rPr>
            </w:pPr>
          </w:p>
        </w:tc>
        <w:tc>
          <w:tcPr>
            <w:tcW w:w="388" w:type="pct"/>
            <w:vAlign w:val="center"/>
          </w:tcPr>
          <w:p w14:paraId="1C1313A3">
            <w:pPr>
              <w:jc w:val="right"/>
              <w:rPr>
                <w:sz w:val="15"/>
                <w:szCs w:val="15"/>
              </w:rPr>
            </w:pPr>
          </w:p>
        </w:tc>
        <w:tc>
          <w:tcPr>
            <w:tcW w:w="454" w:type="pct"/>
            <w:vAlign w:val="center"/>
          </w:tcPr>
          <w:p w14:paraId="02AA27F9">
            <w:pPr>
              <w:jc w:val="right"/>
              <w:rPr>
                <w:sz w:val="15"/>
                <w:szCs w:val="15"/>
              </w:rPr>
            </w:pPr>
          </w:p>
        </w:tc>
        <w:tc>
          <w:tcPr>
            <w:tcW w:w="123" w:type="pct"/>
            <w:vAlign w:val="center"/>
          </w:tcPr>
          <w:p w14:paraId="13F695F2">
            <w:pPr>
              <w:jc w:val="right"/>
              <w:rPr>
                <w:sz w:val="15"/>
                <w:szCs w:val="15"/>
              </w:rPr>
            </w:pPr>
          </w:p>
        </w:tc>
        <w:tc>
          <w:tcPr>
            <w:tcW w:w="388" w:type="pct"/>
            <w:vAlign w:val="center"/>
          </w:tcPr>
          <w:p w14:paraId="6EBCF54A">
            <w:pPr>
              <w:jc w:val="right"/>
              <w:rPr>
                <w:sz w:val="15"/>
                <w:szCs w:val="15"/>
              </w:rPr>
            </w:pPr>
          </w:p>
        </w:tc>
        <w:tc>
          <w:tcPr>
            <w:tcW w:w="123" w:type="pct"/>
            <w:vAlign w:val="center"/>
          </w:tcPr>
          <w:p w14:paraId="56CF330A">
            <w:pPr>
              <w:jc w:val="right"/>
              <w:rPr>
                <w:sz w:val="15"/>
                <w:szCs w:val="15"/>
              </w:rPr>
            </w:pPr>
          </w:p>
        </w:tc>
        <w:tc>
          <w:tcPr>
            <w:tcW w:w="461" w:type="pct"/>
            <w:vAlign w:val="center"/>
          </w:tcPr>
          <w:p w14:paraId="446E3B04">
            <w:pPr>
              <w:jc w:val="right"/>
              <w:rPr>
                <w:sz w:val="15"/>
                <w:szCs w:val="15"/>
              </w:rPr>
            </w:pPr>
          </w:p>
        </w:tc>
        <w:tc>
          <w:tcPr>
            <w:tcW w:w="123" w:type="pct"/>
            <w:vAlign w:val="center"/>
          </w:tcPr>
          <w:p w14:paraId="073BC2F5">
            <w:pPr>
              <w:jc w:val="right"/>
              <w:rPr>
                <w:sz w:val="15"/>
                <w:szCs w:val="15"/>
              </w:rPr>
            </w:pPr>
          </w:p>
        </w:tc>
        <w:tc>
          <w:tcPr>
            <w:tcW w:w="451" w:type="pct"/>
            <w:vAlign w:val="center"/>
          </w:tcPr>
          <w:p w14:paraId="2CF85F8A">
            <w:pPr>
              <w:jc w:val="right"/>
              <w:rPr>
                <w:sz w:val="15"/>
                <w:szCs w:val="15"/>
              </w:rPr>
            </w:pPr>
          </w:p>
        </w:tc>
        <w:tc>
          <w:tcPr>
            <w:tcW w:w="426" w:type="pct"/>
            <w:gridSpan w:val="2"/>
            <w:vAlign w:val="center"/>
          </w:tcPr>
          <w:p w14:paraId="611482A2">
            <w:pPr>
              <w:jc w:val="right"/>
              <w:rPr>
                <w:sz w:val="15"/>
                <w:szCs w:val="15"/>
              </w:rPr>
            </w:pPr>
          </w:p>
        </w:tc>
        <w:tc>
          <w:tcPr>
            <w:tcW w:w="459" w:type="pct"/>
            <w:gridSpan w:val="2"/>
            <w:vAlign w:val="center"/>
          </w:tcPr>
          <w:p w14:paraId="6212E076">
            <w:pPr>
              <w:jc w:val="right"/>
              <w:rPr>
                <w:sz w:val="15"/>
                <w:szCs w:val="15"/>
              </w:rPr>
            </w:pPr>
          </w:p>
        </w:tc>
      </w:tr>
      <w:tr w14:paraId="290C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86538f5d06744ca9be65b0b439b17643"/>
            <w:id w:val="-1234008354"/>
          </w:sdtPr>
          <w:sdtEndPr>
            <w:rPr>
              <w:sz w:val="15"/>
              <w:szCs w:val="15"/>
            </w:rPr>
          </w:sdtEndPr>
          <w:sdtContent>
            <w:tc>
              <w:tcPr>
                <w:tcW w:w="382" w:type="pct"/>
                <w:vAlign w:val="center"/>
              </w:tcPr>
              <w:p w14:paraId="51907864">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w:t>
                </w:r>
                <w:r>
                  <w:rPr>
                    <w:color w:val="000000" w:themeColor="text1"/>
                    <w:sz w:val="15"/>
                    <w:szCs w:val="15"/>
                    <w14:textFill>
                      <w14:solidFill>
                        <w14:schemeClr w14:val="tx1"/>
                      </w14:solidFill>
                    </w14:textFill>
                  </w:rPr>
                  <w:t>．其他</w:t>
                </w:r>
              </w:p>
            </w:tc>
          </w:sdtContent>
        </w:sdt>
        <w:tc>
          <w:tcPr>
            <w:tcW w:w="426" w:type="pct"/>
            <w:vAlign w:val="center"/>
          </w:tcPr>
          <w:p w14:paraId="2056D9C3">
            <w:pPr>
              <w:jc w:val="right"/>
              <w:rPr>
                <w:sz w:val="15"/>
                <w:szCs w:val="15"/>
              </w:rPr>
            </w:pPr>
          </w:p>
        </w:tc>
        <w:tc>
          <w:tcPr>
            <w:tcW w:w="123" w:type="pct"/>
            <w:vAlign w:val="center"/>
          </w:tcPr>
          <w:p w14:paraId="7773271E">
            <w:pPr>
              <w:jc w:val="right"/>
              <w:rPr>
                <w:rFonts w:eastAsia="Times New Roman" w:cs="Times New Roman"/>
                <w:sz w:val="15"/>
                <w:szCs w:val="15"/>
              </w:rPr>
            </w:pPr>
          </w:p>
        </w:tc>
        <w:tc>
          <w:tcPr>
            <w:tcW w:w="123" w:type="pct"/>
            <w:vAlign w:val="center"/>
          </w:tcPr>
          <w:p w14:paraId="71D55595">
            <w:pPr>
              <w:jc w:val="right"/>
              <w:rPr>
                <w:rFonts w:eastAsia="Times New Roman" w:cs="Times New Roman"/>
                <w:sz w:val="15"/>
                <w:szCs w:val="15"/>
              </w:rPr>
            </w:pPr>
          </w:p>
        </w:tc>
        <w:tc>
          <w:tcPr>
            <w:tcW w:w="124" w:type="pct"/>
            <w:vAlign w:val="center"/>
          </w:tcPr>
          <w:p w14:paraId="1280F779">
            <w:pPr>
              <w:jc w:val="right"/>
              <w:rPr>
                <w:rFonts w:eastAsia="Times New Roman" w:cs="Times New Roman"/>
                <w:sz w:val="15"/>
                <w:szCs w:val="15"/>
              </w:rPr>
            </w:pPr>
          </w:p>
        </w:tc>
        <w:tc>
          <w:tcPr>
            <w:tcW w:w="426" w:type="pct"/>
            <w:vAlign w:val="center"/>
          </w:tcPr>
          <w:p w14:paraId="4ED589E0">
            <w:pPr>
              <w:jc w:val="right"/>
              <w:rPr>
                <w:rFonts w:eastAsia="Times New Roman" w:cs="Times New Roman"/>
                <w:sz w:val="15"/>
                <w:szCs w:val="15"/>
              </w:rPr>
            </w:pPr>
            <w:r>
              <w:rPr>
                <w:sz w:val="15"/>
                <w:szCs w:val="15"/>
              </w:rPr>
              <w:t>22,061.04</w:t>
            </w:r>
          </w:p>
        </w:tc>
        <w:tc>
          <w:tcPr>
            <w:tcW w:w="388" w:type="pct"/>
            <w:vAlign w:val="center"/>
          </w:tcPr>
          <w:p w14:paraId="0436498B">
            <w:pPr>
              <w:jc w:val="right"/>
              <w:rPr>
                <w:rFonts w:eastAsia="Times New Roman" w:cs="Times New Roman"/>
                <w:sz w:val="15"/>
                <w:szCs w:val="15"/>
              </w:rPr>
            </w:pPr>
          </w:p>
        </w:tc>
        <w:tc>
          <w:tcPr>
            <w:tcW w:w="454" w:type="pct"/>
            <w:vAlign w:val="center"/>
          </w:tcPr>
          <w:p w14:paraId="0AEAD362">
            <w:pPr>
              <w:jc w:val="right"/>
              <w:rPr>
                <w:rFonts w:eastAsia="Times New Roman" w:cs="Times New Roman"/>
                <w:sz w:val="15"/>
                <w:szCs w:val="15"/>
              </w:rPr>
            </w:pPr>
          </w:p>
        </w:tc>
        <w:tc>
          <w:tcPr>
            <w:tcW w:w="123" w:type="pct"/>
            <w:vAlign w:val="center"/>
          </w:tcPr>
          <w:p w14:paraId="31155A88">
            <w:pPr>
              <w:jc w:val="right"/>
              <w:rPr>
                <w:rFonts w:eastAsia="Times New Roman" w:cs="Times New Roman"/>
                <w:sz w:val="15"/>
                <w:szCs w:val="15"/>
              </w:rPr>
            </w:pPr>
          </w:p>
        </w:tc>
        <w:tc>
          <w:tcPr>
            <w:tcW w:w="388" w:type="pct"/>
            <w:vAlign w:val="center"/>
          </w:tcPr>
          <w:p w14:paraId="0666B7E2">
            <w:pPr>
              <w:jc w:val="right"/>
              <w:rPr>
                <w:rFonts w:eastAsia="Times New Roman" w:cs="Times New Roman"/>
                <w:sz w:val="15"/>
                <w:szCs w:val="15"/>
              </w:rPr>
            </w:pPr>
          </w:p>
        </w:tc>
        <w:tc>
          <w:tcPr>
            <w:tcW w:w="123" w:type="pct"/>
            <w:vAlign w:val="center"/>
          </w:tcPr>
          <w:p w14:paraId="623240AE">
            <w:pPr>
              <w:jc w:val="right"/>
              <w:rPr>
                <w:rFonts w:eastAsia="Times New Roman" w:cs="Times New Roman"/>
                <w:sz w:val="15"/>
                <w:szCs w:val="15"/>
              </w:rPr>
            </w:pPr>
          </w:p>
        </w:tc>
        <w:tc>
          <w:tcPr>
            <w:tcW w:w="461" w:type="pct"/>
            <w:vAlign w:val="center"/>
          </w:tcPr>
          <w:p w14:paraId="7A93F03D">
            <w:pPr>
              <w:jc w:val="right"/>
              <w:rPr>
                <w:rFonts w:eastAsia="Times New Roman" w:cs="Times New Roman"/>
                <w:sz w:val="15"/>
                <w:szCs w:val="15"/>
              </w:rPr>
            </w:pPr>
          </w:p>
        </w:tc>
        <w:tc>
          <w:tcPr>
            <w:tcW w:w="123" w:type="pct"/>
            <w:vAlign w:val="center"/>
          </w:tcPr>
          <w:p w14:paraId="6D54343D">
            <w:pPr>
              <w:jc w:val="right"/>
              <w:rPr>
                <w:rFonts w:eastAsia="Times New Roman" w:cs="Times New Roman"/>
                <w:sz w:val="15"/>
                <w:szCs w:val="15"/>
              </w:rPr>
            </w:pPr>
          </w:p>
        </w:tc>
        <w:tc>
          <w:tcPr>
            <w:tcW w:w="451" w:type="pct"/>
            <w:vAlign w:val="center"/>
          </w:tcPr>
          <w:p w14:paraId="57C8016D">
            <w:pPr>
              <w:jc w:val="right"/>
              <w:rPr>
                <w:rFonts w:eastAsia="Times New Roman" w:cs="Times New Roman"/>
                <w:sz w:val="15"/>
                <w:szCs w:val="15"/>
              </w:rPr>
            </w:pPr>
            <w:r>
              <w:rPr>
                <w:sz w:val="15"/>
                <w:szCs w:val="15"/>
              </w:rPr>
              <w:t>22,061.04</w:t>
            </w:r>
          </w:p>
        </w:tc>
        <w:tc>
          <w:tcPr>
            <w:tcW w:w="426" w:type="pct"/>
            <w:gridSpan w:val="2"/>
            <w:vAlign w:val="center"/>
          </w:tcPr>
          <w:p w14:paraId="6B2933FE">
            <w:pPr>
              <w:jc w:val="right"/>
              <w:rPr>
                <w:rFonts w:ascii="宋体" w:hAnsi="宋体"/>
                <w:sz w:val="15"/>
                <w:szCs w:val="15"/>
              </w:rPr>
            </w:pPr>
            <w:r>
              <w:rPr>
                <w:sz w:val="15"/>
                <w:szCs w:val="15"/>
              </w:rPr>
              <w:t>1,353,500.39</w:t>
            </w:r>
          </w:p>
        </w:tc>
        <w:tc>
          <w:tcPr>
            <w:tcW w:w="459" w:type="pct"/>
            <w:gridSpan w:val="2"/>
            <w:vAlign w:val="center"/>
          </w:tcPr>
          <w:p w14:paraId="16B92F59">
            <w:pPr>
              <w:jc w:val="right"/>
              <w:rPr>
                <w:sz w:val="15"/>
                <w:szCs w:val="15"/>
              </w:rPr>
            </w:pPr>
            <w:r>
              <w:rPr>
                <w:sz w:val="15"/>
                <w:szCs w:val="15"/>
              </w:rPr>
              <w:t>1,375,561.43</w:t>
            </w:r>
          </w:p>
        </w:tc>
      </w:tr>
      <w:tr w14:paraId="37DA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8fb1d678e8ca4e3ba31e34bed05e6c58"/>
            <w:id w:val="1294028674"/>
          </w:sdtPr>
          <w:sdtEndPr>
            <w:rPr>
              <w:sz w:val="15"/>
              <w:szCs w:val="15"/>
            </w:rPr>
          </w:sdtEndPr>
          <w:sdtContent>
            <w:tc>
              <w:tcPr>
                <w:tcW w:w="382" w:type="pct"/>
                <w:vAlign w:val="center"/>
              </w:tcPr>
              <w:p w14:paraId="3C3319D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三</w:t>
                </w:r>
                <w:r>
                  <w:rPr>
                    <w:color w:val="000000" w:themeColor="text1"/>
                    <w:sz w:val="15"/>
                    <w:szCs w:val="15"/>
                    <w14:textFill>
                      <w14:solidFill>
                        <w14:schemeClr w14:val="tx1"/>
                      </w14:solidFill>
                    </w14:textFill>
                  </w:rPr>
                  <w:t>）利润分配</w:t>
                </w:r>
              </w:p>
            </w:tc>
          </w:sdtContent>
        </w:sdt>
        <w:tc>
          <w:tcPr>
            <w:tcW w:w="426" w:type="pct"/>
            <w:vAlign w:val="center"/>
          </w:tcPr>
          <w:p w14:paraId="77CBB48E">
            <w:pPr>
              <w:jc w:val="right"/>
              <w:rPr>
                <w:sz w:val="15"/>
                <w:szCs w:val="15"/>
              </w:rPr>
            </w:pPr>
          </w:p>
        </w:tc>
        <w:tc>
          <w:tcPr>
            <w:tcW w:w="123" w:type="pct"/>
            <w:vAlign w:val="center"/>
          </w:tcPr>
          <w:p w14:paraId="4C8A7E5C">
            <w:pPr>
              <w:jc w:val="right"/>
              <w:rPr>
                <w:sz w:val="15"/>
                <w:szCs w:val="15"/>
              </w:rPr>
            </w:pPr>
          </w:p>
        </w:tc>
        <w:tc>
          <w:tcPr>
            <w:tcW w:w="123" w:type="pct"/>
            <w:vAlign w:val="center"/>
          </w:tcPr>
          <w:p w14:paraId="75CFE0E0">
            <w:pPr>
              <w:jc w:val="right"/>
              <w:rPr>
                <w:sz w:val="15"/>
                <w:szCs w:val="15"/>
              </w:rPr>
            </w:pPr>
          </w:p>
        </w:tc>
        <w:tc>
          <w:tcPr>
            <w:tcW w:w="124" w:type="pct"/>
            <w:vAlign w:val="center"/>
          </w:tcPr>
          <w:p w14:paraId="47022388">
            <w:pPr>
              <w:jc w:val="right"/>
              <w:rPr>
                <w:sz w:val="15"/>
                <w:szCs w:val="15"/>
              </w:rPr>
            </w:pPr>
          </w:p>
        </w:tc>
        <w:tc>
          <w:tcPr>
            <w:tcW w:w="426" w:type="pct"/>
            <w:vAlign w:val="center"/>
          </w:tcPr>
          <w:p w14:paraId="6E20B805">
            <w:pPr>
              <w:jc w:val="right"/>
              <w:rPr>
                <w:sz w:val="15"/>
                <w:szCs w:val="15"/>
              </w:rPr>
            </w:pPr>
          </w:p>
        </w:tc>
        <w:tc>
          <w:tcPr>
            <w:tcW w:w="388" w:type="pct"/>
            <w:vAlign w:val="center"/>
          </w:tcPr>
          <w:p w14:paraId="6D66CF1D">
            <w:pPr>
              <w:jc w:val="right"/>
              <w:rPr>
                <w:sz w:val="15"/>
                <w:szCs w:val="15"/>
              </w:rPr>
            </w:pPr>
          </w:p>
        </w:tc>
        <w:tc>
          <w:tcPr>
            <w:tcW w:w="454" w:type="pct"/>
            <w:vAlign w:val="center"/>
          </w:tcPr>
          <w:p w14:paraId="76506F8E">
            <w:pPr>
              <w:jc w:val="right"/>
              <w:rPr>
                <w:sz w:val="15"/>
                <w:szCs w:val="15"/>
              </w:rPr>
            </w:pPr>
          </w:p>
        </w:tc>
        <w:tc>
          <w:tcPr>
            <w:tcW w:w="123" w:type="pct"/>
            <w:vAlign w:val="center"/>
          </w:tcPr>
          <w:p w14:paraId="5F67ECFF">
            <w:pPr>
              <w:jc w:val="right"/>
              <w:rPr>
                <w:sz w:val="15"/>
                <w:szCs w:val="15"/>
              </w:rPr>
            </w:pPr>
          </w:p>
        </w:tc>
        <w:tc>
          <w:tcPr>
            <w:tcW w:w="388" w:type="pct"/>
            <w:vAlign w:val="center"/>
          </w:tcPr>
          <w:p w14:paraId="63DEF171">
            <w:pPr>
              <w:jc w:val="right"/>
              <w:rPr>
                <w:sz w:val="15"/>
                <w:szCs w:val="15"/>
              </w:rPr>
            </w:pPr>
          </w:p>
        </w:tc>
        <w:tc>
          <w:tcPr>
            <w:tcW w:w="123" w:type="pct"/>
            <w:vAlign w:val="center"/>
          </w:tcPr>
          <w:p w14:paraId="10A61C83">
            <w:pPr>
              <w:jc w:val="right"/>
              <w:rPr>
                <w:sz w:val="15"/>
                <w:szCs w:val="15"/>
              </w:rPr>
            </w:pPr>
          </w:p>
        </w:tc>
        <w:tc>
          <w:tcPr>
            <w:tcW w:w="461" w:type="pct"/>
            <w:vAlign w:val="center"/>
          </w:tcPr>
          <w:p w14:paraId="1D6A6262">
            <w:pPr>
              <w:jc w:val="right"/>
              <w:rPr>
                <w:sz w:val="15"/>
                <w:szCs w:val="15"/>
              </w:rPr>
            </w:pPr>
          </w:p>
        </w:tc>
        <w:tc>
          <w:tcPr>
            <w:tcW w:w="123" w:type="pct"/>
            <w:vAlign w:val="center"/>
          </w:tcPr>
          <w:p w14:paraId="76F391F3">
            <w:pPr>
              <w:jc w:val="right"/>
              <w:rPr>
                <w:sz w:val="15"/>
                <w:szCs w:val="15"/>
              </w:rPr>
            </w:pPr>
          </w:p>
        </w:tc>
        <w:tc>
          <w:tcPr>
            <w:tcW w:w="451" w:type="pct"/>
            <w:vAlign w:val="center"/>
          </w:tcPr>
          <w:p w14:paraId="0B7AF484">
            <w:pPr>
              <w:jc w:val="right"/>
              <w:rPr>
                <w:sz w:val="15"/>
                <w:szCs w:val="15"/>
              </w:rPr>
            </w:pPr>
          </w:p>
        </w:tc>
        <w:tc>
          <w:tcPr>
            <w:tcW w:w="426" w:type="pct"/>
            <w:gridSpan w:val="2"/>
            <w:vAlign w:val="center"/>
          </w:tcPr>
          <w:p w14:paraId="4220C36D">
            <w:pPr>
              <w:jc w:val="right"/>
              <w:rPr>
                <w:sz w:val="15"/>
                <w:szCs w:val="15"/>
              </w:rPr>
            </w:pPr>
          </w:p>
        </w:tc>
        <w:tc>
          <w:tcPr>
            <w:tcW w:w="459" w:type="pct"/>
            <w:gridSpan w:val="2"/>
            <w:vAlign w:val="center"/>
          </w:tcPr>
          <w:p w14:paraId="061E0292">
            <w:pPr>
              <w:jc w:val="right"/>
              <w:rPr>
                <w:sz w:val="15"/>
                <w:szCs w:val="15"/>
              </w:rPr>
            </w:pPr>
          </w:p>
        </w:tc>
      </w:tr>
      <w:tr w14:paraId="13C3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5badbc22860d48e29f8d8d9a4a633d8c"/>
            <w:id w:val="-2004891983"/>
          </w:sdtPr>
          <w:sdtEndPr>
            <w:rPr>
              <w:sz w:val="15"/>
              <w:szCs w:val="15"/>
            </w:rPr>
          </w:sdtEndPr>
          <w:sdtContent>
            <w:tc>
              <w:tcPr>
                <w:tcW w:w="382" w:type="pct"/>
                <w:vAlign w:val="center"/>
              </w:tcPr>
              <w:p w14:paraId="1CB3C13E">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1．提取盈余公积</w:t>
                </w:r>
              </w:p>
            </w:tc>
          </w:sdtContent>
        </w:sdt>
        <w:tc>
          <w:tcPr>
            <w:tcW w:w="426" w:type="pct"/>
            <w:vAlign w:val="center"/>
          </w:tcPr>
          <w:p w14:paraId="59A7940D">
            <w:pPr>
              <w:jc w:val="right"/>
              <w:rPr>
                <w:sz w:val="15"/>
                <w:szCs w:val="15"/>
              </w:rPr>
            </w:pPr>
          </w:p>
        </w:tc>
        <w:tc>
          <w:tcPr>
            <w:tcW w:w="123" w:type="pct"/>
            <w:vAlign w:val="center"/>
          </w:tcPr>
          <w:p w14:paraId="0CD81D02">
            <w:pPr>
              <w:jc w:val="right"/>
              <w:rPr>
                <w:sz w:val="15"/>
                <w:szCs w:val="15"/>
              </w:rPr>
            </w:pPr>
          </w:p>
        </w:tc>
        <w:tc>
          <w:tcPr>
            <w:tcW w:w="123" w:type="pct"/>
            <w:vAlign w:val="center"/>
          </w:tcPr>
          <w:p w14:paraId="62F08E4F">
            <w:pPr>
              <w:jc w:val="right"/>
              <w:rPr>
                <w:sz w:val="15"/>
                <w:szCs w:val="15"/>
              </w:rPr>
            </w:pPr>
          </w:p>
        </w:tc>
        <w:tc>
          <w:tcPr>
            <w:tcW w:w="124" w:type="pct"/>
            <w:vAlign w:val="center"/>
          </w:tcPr>
          <w:p w14:paraId="0AB6A7E4">
            <w:pPr>
              <w:jc w:val="right"/>
              <w:rPr>
                <w:sz w:val="15"/>
                <w:szCs w:val="15"/>
              </w:rPr>
            </w:pPr>
          </w:p>
        </w:tc>
        <w:tc>
          <w:tcPr>
            <w:tcW w:w="426" w:type="pct"/>
            <w:vAlign w:val="center"/>
          </w:tcPr>
          <w:p w14:paraId="058857FF">
            <w:pPr>
              <w:jc w:val="right"/>
              <w:rPr>
                <w:sz w:val="15"/>
                <w:szCs w:val="15"/>
              </w:rPr>
            </w:pPr>
          </w:p>
        </w:tc>
        <w:tc>
          <w:tcPr>
            <w:tcW w:w="388" w:type="pct"/>
            <w:vAlign w:val="center"/>
          </w:tcPr>
          <w:p w14:paraId="36687CCE">
            <w:pPr>
              <w:jc w:val="right"/>
              <w:rPr>
                <w:sz w:val="15"/>
                <w:szCs w:val="15"/>
              </w:rPr>
            </w:pPr>
          </w:p>
        </w:tc>
        <w:tc>
          <w:tcPr>
            <w:tcW w:w="454" w:type="pct"/>
            <w:vAlign w:val="center"/>
          </w:tcPr>
          <w:p w14:paraId="6DD4759F">
            <w:pPr>
              <w:jc w:val="right"/>
              <w:rPr>
                <w:sz w:val="15"/>
                <w:szCs w:val="15"/>
              </w:rPr>
            </w:pPr>
          </w:p>
        </w:tc>
        <w:tc>
          <w:tcPr>
            <w:tcW w:w="123" w:type="pct"/>
            <w:vAlign w:val="center"/>
          </w:tcPr>
          <w:p w14:paraId="15B3F1D5">
            <w:pPr>
              <w:jc w:val="right"/>
              <w:rPr>
                <w:sz w:val="15"/>
                <w:szCs w:val="15"/>
              </w:rPr>
            </w:pPr>
          </w:p>
        </w:tc>
        <w:tc>
          <w:tcPr>
            <w:tcW w:w="388" w:type="pct"/>
            <w:vAlign w:val="center"/>
          </w:tcPr>
          <w:p w14:paraId="4037EA0D">
            <w:pPr>
              <w:jc w:val="right"/>
              <w:rPr>
                <w:sz w:val="15"/>
                <w:szCs w:val="15"/>
              </w:rPr>
            </w:pPr>
          </w:p>
        </w:tc>
        <w:tc>
          <w:tcPr>
            <w:tcW w:w="123" w:type="pct"/>
            <w:vAlign w:val="center"/>
          </w:tcPr>
          <w:p w14:paraId="3876A6DE">
            <w:pPr>
              <w:jc w:val="right"/>
              <w:rPr>
                <w:sz w:val="15"/>
                <w:szCs w:val="15"/>
              </w:rPr>
            </w:pPr>
          </w:p>
        </w:tc>
        <w:tc>
          <w:tcPr>
            <w:tcW w:w="461" w:type="pct"/>
            <w:vAlign w:val="center"/>
          </w:tcPr>
          <w:p w14:paraId="46D3A6A1">
            <w:pPr>
              <w:jc w:val="right"/>
              <w:rPr>
                <w:sz w:val="15"/>
                <w:szCs w:val="15"/>
              </w:rPr>
            </w:pPr>
          </w:p>
        </w:tc>
        <w:tc>
          <w:tcPr>
            <w:tcW w:w="123" w:type="pct"/>
            <w:vAlign w:val="center"/>
          </w:tcPr>
          <w:p w14:paraId="2FC463BB">
            <w:pPr>
              <w:jc w:val="right"/>
              <w:rPr>
                <w:sz w:val="15"/>
                <w:szCs w:val="15"/>
              </w:rPr>
            </w:pPr>
          </w:p>
        </w:tc>
        <w:tc>
          <w:tcPr>
            <w:tcW w:w="451" w:type="pct"/>
            <w:vAlign w:val="center"/>
          </w:tcPr>
          <w:p w14:paraId="1F51E7F8">
            <w:pPr>
              <w:jc w:val="right"/>
              <w:rPr>
                <w:sz w:val="15"/>
                <w:szCs w:val="15"/>
              </w:rPr>
            </w:pPr>
          </w:p>
        </w:tc>
        <w:tc>
          <w:tcPr>
            <w:tcW w:w="426" w:type="pct"/>
            <w:gridSpan w:val="2"/>
            <w:vAlign w:val="center"/>
          </w:tcPr>
          <w:p w14:paraId="09E156DC">
            <w:pPr>
              <w:jc w:val="right"/>
              <w:rPr>
                <w:sz w:val="15"/>
                <w:szCs w:val="15"/>
              </w:rPr>
            </w:pPr>
          </w:p>
        </w:tc>
        <w:tc>
          <w:tcPr>
            <w:tcW w:w="459" w:type="pct"/>
            <w:gridSpan w:val="2"/>
            <w:vAlign w:val="center"/>
          </w:tcPr>
          <w:p w14:paraId="09B1E3EA">
            <w:pPr>
              <w:jc w:val="right"/>
              <w:rPr>
                <w:sz w:val="15"/>
                <w:szCs w:val="15"/>
              </w:rPr>
            </w:pPr>
          </w:p>
        </w:tc>
      </w:tr>
      <w:tr w14:paraId="5330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2c8b649d670044a9b5fda521dd40705d"/>
            <w:id w:val="-615603274"/>
          </w:sdtPr>
          <w:sdtEndPr>
            <w:rPr>
              <w:sz w:val="15"/>
              <w:szCs w:val="15"/>
            </w:rPr>
          </w:sdtEndPr>
          <w:sdtContent>
            <w:tc>
              <w:tcPr>
                <w:tcW w:w="382" w:type="pct"/>
                <w:vAlign w:val="center"/>
              </w:tcPr>
              <w:p w14:paraId="558CB550">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2．提取一般风险准备</w:t>
                </w:r>
              </w:p>
            </w:tc>
          </w:sdtContent>
        </w:sdt>
        <w:tc>
          <w:tcPr>
            <w:tcW w:w="426" w:type="pct"/>
            <w:vAlign w:val="center"/>
          </w:tcPr>
          <w:p w14:paraId="6856D075">
            <w:pPr>
              <w:jc w:val="right"/>
              <w:rPr>
                <w:sz w:val="15"/>
                <w:szCs w:val="15"/>
              </w:rPr>
            </w:pPr>
          </w:p>
        </w:tc>
        <w:tc>
          <w:tcPr>
            <w:tcW w:w="123" w:type="pct"/>
            <w:vAlign w:val="center"/>
          </w:tcPr>
          <w:p w14:paraId="10DCE40C">
            <w:pPr>
              <w:jc w:val="right"/>
              <w:rPr>
                <w:sz w:val="15"/>
                <w:szCs w:val="15"/>
              </w:rPr>
            </w:pPr>
          </w:p>
        </w:tc>
        <w:tc>
          <w:tcPr>
            <w:tcW w:w="123" w:type="pct"/>
            <w:vAlign w:val="center"/>
          </w:tcPr>
          <w:p w14:paraId="7406E579">
            <w:pPr>
              <w:jc w:val="right"/>
              <w:rPr>
                <w:sz w:val="15"/>
                <w:szCs w:val="15"/>
              </w:rPr>
            </w:pPr>
          </w:p>
        </w:tc>
        <w:tc>
          <w:tcPr>
            <w:tcW w:w="124" w:type="pct"/>
            <w:vAlign w:val="center"/>
          </w:tcPr>
          <w:p w14:paraId="2D6571FA">
            <w:pPr>
              <w:jc w:val="right"/>
              <w:rPr>
                <w:sz w:val="15"/>
                <w:szCs w:val="15"/>
              </w:rPr>
            </w:pPr>
          </w:p>
        </w:tc>
        <w:tc>
          <w:tcPr>
            <w:tcW w:w="426" w:type="pct"/>
            <w:vAlign w:val="center"/>
          </w:tcPr>
          <w:p w14:paraId="4FE2BD32">
            <w:pPr>
              <w:jc w:val="right"/>
              <w:rPr>
                <w:sz w:val="15"/>
                <w:szCs w:val="15"/>
              </w:rPr>
            </w:pPr>
          </w:p>
        </w:tc>
        <w:tc>
          <w:tcPr>
            <w:tcW w:w="388" w:type="pct"/>
            <w:vAlign w:val="center"/>
          </w:tcPr>
          <w:p w14:paraId="25083B9C">
            <w:pPr>
              <w:jc w:val="right"/>
              <w:rPr>
                <w:sz w:val="15"/>
                <w:szCs w:val="15"/>
              </w:rPr>
            </w:pPr>
          </w:p>
        </w:tc>
        <w:tc>
          <w:tcPr>
            <w:tcW w:w="454" w:type="pct"/>
            <w:vAlign w:val="center"/>
          </w:tcPr>
          <w:p w14:paraId="3C6625E5">
            <w:pPr>
              <w:jc w:val="right"/>
              <w:rPr>
                <w:sz w:val="15"/>
                <w:szCs w:val="15"/>
              </w:rPr>
            </w:pPr>
          </w:p>
        </w:tc>
        <w:tc>
          <w:tcPr>
            <w:tcW w:w="123" w:type="pct"/>
            <w:vAlign w:val="center"/>
          </w:tcPr>
          <w:p w14:paraId="7FF02A4A">
            <w:pPr>
              <w:jc w:val="right"/>
              <w:rPr>
                <w:sz w:val="15"/>
                <w:szCs w:val="15"/>
              </w:rPr>
            </w:pPr>
          </w:p>
        </w:tc>
        <w:tc>
          <w:tcPr>
            <w:tcW w:w="388" w:type="pct"/>
            <w:vAlign w:val="center"/>
          </w:tcPr>
          <w:p w14:paraId="3F40BE7D">
            <w:pPr>
              <w:jc w:val="right"/>
              <w:rPr>
                <w:sz w:val="15"/>
                <w:szCs w:val="15"/>
              </w:rPr>
            </w:pPr>
          </w:p>
        </w:tc>
        <w:tc>
          <w:tcPr>
            <w:tcW w:w="123" w:type="pct"/>
            <w:vAlign w:val="center"/>
          </w:tcPr>
          <w:p w14:paraId="09B7F6B7">
            <w:pPr>
              <w:jc w:val="right"/>
              <w:rPr>
                <w:sz w:val="15"/>
                <w:szCs w:val="15"/>
              </w:rPr>
            </w:pPr>
          </w:p>
        </w:tc>
        <w:tc>
          <w:tcPr>
            <w:tcW w:w="461" w:type="pct"/>
            <w:vAlign w:val="center"/>
          </w:tcPr>
          <w:p w14:paraId="1BBFA2FC">
            <w:pPr>
              <w:jc w:val="right"/>
              <w:rPr>
                <w:sz w:val="15"/>
                <w:szCs w:val="15"/>
              </w:rPr>
            </w:pPr>
          </w:p>
        </w:tc>
        <w:tc>
          <w:tcPr>
            <w:tcW w:w="123" w:type="pct"/>
            <w:vAlign w:val="center"/>
          </w:tcPr>
          <w:p w14:paraId="1E3AC12F">
            <w:pPr>
              <w:jc w:val="right"/>
              <w:rPr>
                <w:sz w:val="15"/>
                <w:szCs w:val="15"/>
              </w:rPr>
            </w:pPr>
          </w:p>
        </w:tc>
        <w:tc>
          <w:tcPr>
            <w:tcW w:w="451" w:type="pct"/>
            <w:vAlign w:val="center"/>
          </w:tcPr>
          <w:p w14:paraId="5683D772">
            <w:pPr>
              <w:jc w:val="right"/>
              <w:rPr>
                <w:sz w:val="15"/>
                <w:szCs w:val="15"/>
              </w:rPr>
            </w:pPr>
          </w:p>
        </w:tc>
        <w:tc>
          <w:tcPr>
            <w:tcW w:w="426" w:type="pct"/>
            <w:gridSpan w:val="2"/>
            <w:vAlign w:val="center"/>
          </w:tcPr>
          <w:p w14:paraId="7FEAF01D">
            <w:pPr>
              <w:jc w:val="right"/>
              <w:rPr>
                <w:sz w:val="15"/>
                <w:szCs w:val="15"/>
              </w:rPr>
            </w:pPr>
          </w:p>
        </w:tc>
        <w:tc>
          <w:tcPr>
            <w:tcW w:w="459" w:type="pct"/>
            <w:gridSpan w:val="2"/>
            <w:vAlign w:val="center"/>
          </w:tcPr>
          <w:p w14:paraId="7B97BCAB">
            <w:pPr>
              <w:jc w:val="right"/>
              <w:rPr>
                <w:sz w:val="15"/>
                <w:szCs w:val="15"/>
              </w:rPr>
            </w:pPr>
          </w:p>
        </w:tc>
      </w:tr>
      <w:tr w14:paraId="7789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254428ff3bee49c2acd11ef634901543"/>
            <w:id w:val="-381859746"/>
          </w:sdtPr>
          <w:sdtEndPr>
            <w:rPr>
              <w:sz w:val="15"/>
              <w:szCs w:val="15"/>
            </w:rPr>
          </w:sdtEndPr>
          <w:sdtContent>
            <w:tc>
              <w:tcPr>
                <w:tcW w:w="382" w:type="pct"/>
                <w:vAlign w:val="center"/>
              </w:tcPr>
              <w:p w14:paraId="4B206080">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3．对所有者（或股东）的分配</w:t>
                </w:r>
              </w:p>
            </w:tc>
          </w:sdtContent>
        </w:sdt>
        <w:tc>
          <w:tcPr>
            <w:tcW w:w="426" w:type="pct"/>
            <w:vAlign w:val="center"/>
          </w:tcPr>
          <w:p w14:paraId="442BA693">
            <w:pPr>
              <w:jc w:val="right"/>
              <w:rPr>
                <w:sz w:val="15"/>
                <w:szCs w:val="15"/>
              </w:rPr>
            </w:pPr>
          </w:p>
        </w:tc>
        <w:tc>
          <w:tcPr>
            <w:tcW w:w="123" w:type="pct"/>
            <w:vAlign w:val="center"/>
          </w:tcPr>
          <w:p w14:paraId="2CD66C47">
            <w:pPr>
              <w:jc w:val="right"/>
              <w:rPr>
                <w:sz w:val="15"/>
                <w:szCs w:val="15"/>
              </w:rPr>
            </w:pPr>
          </w:p>
        </w:tc>
        <w:tc>
          <w:tcPr>
            <w:tcW w:w="123" w:type="pct"/>
            <w:vAlign w:val="center"/>
          </w:tcPr>
          <w:p w14:paraId="12AA51B5">
            <w:pPr>
              <w:jc w:val="right"/>
              <w:rPr>
                <w:sz w:val="15"/>
                <w:szCs w:val="15"/>
              </w:rPr>
            </w:pPr>
          </w:p>
        </w:tc>
        <w:tc>
          <w:tcPr>
            <w:tcW w:w="124" w:type="pct"/>
            <w:vAlign w:val="center"/>
          </w:tcPr>
          <w:p w14:paraId="59A006B5">
            <w:pPr>
              <w:jc w:val="right"/>
              <w:rPr>
                <w:sz w:val="15"/>
                <w:szCs w:val="15"/>
              </w:rPr>
            </w:pPr>
          </w:p>
        </w:tc>
        <w:tc>
          <w:tcPr>
            <w:tcW w:w="426" w:type="pct"/>
            <w:vAlign w:val="center"/>
          </w:tcPr>
          <w:p w14:paraId="7A61EB66">
            <w:pPr>
              <w:jc w:val="right"/>
              <w:rPr>
                <w:sz w:val="15"/>
                <w:szCs w:val="15"/>
              </w:rPr>
            </w:pPr>
          </w:p>
        </w:tc>
        <w:tc>
          <w:tcPr>
            <w:tcW w:w="388" w:type="pct"/>
            <w:vAlign w:val="center"/>
          </w:tcPr>
          <w:p w14:paraId="23146F03">
            <w:pPr>
              <w:jc w:val="right"/>
              <w:rPr>
                <w:sz w:val="15"/>
                <w:szCs w:val="15"/>
              </w:rPr>
            </w:pPr>
          </w:p>
        </w:tc>
        <w:tc>
          <w:tcPr>
            <w:tcW w:w="454" w:type="pct"/>
            <w:vAlign w:val="center"/>
          </w:tcPr>
          <w:p w14:paraId="726B1348">
            <w:pPr>
              <w:jc w:val="right"/>
              <w:rPr>
                <w:sz w:val="15"/>
                <w:szCs w:val="15"/>
              </w:rPr>
            </w:pPr>
          </w:p>
        </w:tc>
        <w:tc>
          <w:tcPr>
            <w:tcW w:w="123" w:type="pct"/>
            <w:vAlign w:val="center"/>
          </w:tcPr>
          <w:p w14:paraId="742653D6">
            <w:pPr>
              <w:jc w:val="right"/>
              <w:rPr>
                <w:sz w:val="15"/>
                <w:szCs w:val="15"/>
              </w:rPr>
            </w:pPr>
          </w:p>
        </w:tc>
        <w:tc>
          <w:tcPr>
            <w:tcW w:w="388" w:type="pct"/>
            <w:vAlign w:val="center"/>
          </w:tcPr>
          <w:p w14:paraId="43C4523A">
            <w:pPr>
              <w:jc w:val="right"/>
              <w:rPr>
                <w:sz w:val="15"/>
                <w:szCs w:val="15"/>
              </w:rPr>
            </w:pPr>
          </w:p>
        </w:tc>
        <w:tc>
          <w:tcPr>
            <w:tcW w:w="123" w:type="pct"/>
            <w:vAlign w:val="center"/>
          </w:tcPr>
          <w:p w14:paraId="6C5A22CA">
            <w:pPr>
              <w:jc w:val="right"/>
              <w:rPr>
                <w:sz w:val="15"/>
                <w:szCs w:val="15"/>
              </w:rPr>
            </w:pPr>
          </w:p>
        </w:tc>
        <w:tc>
          <w:tcPr>
            <w:tcW w:w="461" w:type="pct"/>
            <w:vAlign w:val="center"/>
          </w:tcPr>
          <w:p w14:paraId="31C482CF">
            <w:pPr>
              <w:jc w:val="right"/>
              <w:rPr>
                <w:sz w:val="15"/>
                <w:szCs w:val="15"/>
              </w:rPr>
            </w:pPr>
          </w:p>
        </w:tc>
        <w:tc>
          <w:tcPr>
            <w:tcW w:w="123" w:type="pct"/>
            <w:vAlign w:val="center"/>
          </w:tcPr>
          <w:p w14:paraId="1E40EAB3">
            <w:pPr>
              <w:jc w:val="right"/>
              <w:rPr>
                <w:sz w:val="15"/>
                <w:szCs w:val="15"/>
              </w:rPr>
            </w:pPr>
          </w:p>
        </w:tc>
        <w:tc>
          <w:tcPr>
            <w:tcW w:w="451" w:type="pct"/>
            <w:vAlign w:val="center"/>
          </w:tcPr>
          <w:p w14:paraId="0BAF77B9">
            <w:pPr>
              <w:jc w:val="right"/>
              <w:rPr>
                <w:sz w:val="15"/>
                <w:szCs w:val="15"/>
              </w:rPr>
            </w:pPr>
          </w:p>
        </w:tc>
        <w:tc>
          <w:tcPr>
            <w:tcW w:w="426" w:type="pct"/>
            <w:gridSpan w:val="2"/>
            <w:vAlign w:val="center"/>
          </w:tcPr>
          <w:p w14:paraId="391BC00C">
            <w:pPr>
              <w:jc w:val="right"/>
              <w:rPr>
                <w:sz w:val="15"/>
                <w:szCs w:val="15"/>
              </w:rPr>
            </w:pPr>
          </w:p>
        </w:tc>
        <w:tc>
          <w:tcPr>
            <w:tcW w:w="459" w:type="pct"/>
            <w:gridSpan w:val="2"/>
            <w:vAlign w:val="center"/>
          </w:tcPr>
          <w:p w14:paraId="72C33554">
            <w:pPr>
              <w:jc w:val="right"/>
              <w:rPr>
                <w:sz w:val="15"/>
                <w:szCs w:val="15"/>
              </w:rPr>
            </w:pPr>
          </w:p>
        </w:tc>
      </w:tr>
      <w:tr w14:paraId="2736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b3d350728a6c49ccaa6dbb4adf16c691"/>
            <w:id w:val="-1606257816"/>
          </w:sdtPr>
          <w:sdtEndPr>
            <w:rPr>
              <w:sz w:val="15"/>
              <w:szCs w:val="15"/>
            </w:rPr>
          </w:sdtEndPr>
          <w:sdtContent>
            <w:tc>
              <w:tcPr>
                <w:tcW w:w="382" w:type="pct"/>
                <w:vAlign w:val="center"/>
              </w:tcPr>
              <w:p w14:paraId="7F0BA96B">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4．其他</w:t>
                </w:r>
              </w:p>
            </w:tc>
          </w:sdtContent>
        </w:sdt>
        <w:tc>
          <w:tcPr>
            <w:tcW w:w="426" w:type="pct"/>
            <w:vAlign w:val="center"/>
          </w:tcPr>
          <w:p w14:paraId="3236A800">
            <w:pPr>
              <w:jc w:val="right"/>
              <w:rPr>
                <w:sz w:val="15"/>
                <w:szCs w:val="15"/>
              </w:rPr>
            </w:pPr>
          </w:p>
        </w:tc>
        <w:tc>
          <w:tcPr>
            <w:tcW w:w="123" w:type="pct"/>
            <w:vAlign w:val="center"/>
          </w:tcPr>
          <w:p w14:paraId="33A75D95">
            <w:pPr>
              <w:jc w:val="right"/>
              <w:rPr>
                <w:sz w:val="15"/>
                <w:szCs w:val="15"/>
              </w:rPr>
            </w:pPr>
          </w:p>
        </w:tc>
        <w:tc>
          <w:tcPr>
            <w:tcW w:w="123" w:type="pct"/>
            <w:vAlign w:val="center"/>
          </w:tcPr>
          <w:p w14:paraId="00D44846">
            <w:pPr>
              <w:jc w:val="right"/>
              <w:rPr>
                <w:sz w:val="15"/>
                <w:szCs w:val="15"/>
              </w:rPr>
            </w:pPr>
          </w:p>
        </w:tc>
        <w:tc>
          <w:tcPr>
            <w:tcW w:w="124" w:type="pct"/>
            <w:vAlign w:val="center"/>
          </w:tcPr>
          <w:p w14:paraId="542C51D2">
            <w:pPr>
              <w:jc w:val="right"/>
              <w:rPr>
                <w:sz w:val="15"/>
                <w:szCs w:val="15"/>
              </w:rPr>
            </w:pPr>
          </w:p>
        </w:tc>
        <w:tc>
          <w:tcPr>
            <w:tcW w:w="426" w:type="pct"/>
            <w:vAlign w:val="center"/>
          </w:tcPr>
          <w:p w14:paraId="4BBB7574">
            <w:pPr>
              <w:jc w:val="right"/>
              <w:rPr>
                <w:sz w:val="15"/>
                <w:szCs w:val="15"/>
              </w:rPr>
            </w:pPr>
          </w:p>
        </w:tc>
        <w:tc>
          <w:tcPr>
            <w:tcW w:w="388" w:type="pct"/>
            <w:vAlign w:val="center"/>
          </w:tcPr>
          <w:p w14:paraId="1127FC31">
            <w:pPr>
              <w:jc w:val="right"/>
              <w:rPr>
                <w:sz w:val="15"/>
                <w:szCs w:val="15"/>
              </w:rPr>
            </w:pPr>
          </w:p>
        </w:tc>
        <w:tc>
          <w:tcPr>
            <w:tcW w:w="454" w:type="pct"/>
            <w:vAlign w:val="center"/>
          </w:tcPr>
          <w:p w14:paraId="37976F52">
            <w:pPr>
              <w:jc w:val="right"/>
              <w:rPr>
                <w:sz w:val="15"/>
                <w:szCs w:val="15"/>
              </w:rPr>
            </w:pPr>
          </w:p>
        </w:tc>
        <w:tc>
          <w:tcPr>
            <w:tcW w:w="123" w:type="pct"/>
            <w:vAlign w:val="center"/>
          </w:tcPr>
          <w:p w14:paraId="7254CE80">
            <w:pPr>
              <w:jc w:val="right"/>
              <w:rPr>
                <w:sz w:val="15"/>
                <w:szCs w:val="15"/>
              </w:rPr>
            </w:pPr>
          </w:p>
        </w:tc>
        <w:tc>
          <w:tcPr>
            <w:tcW w:w="388" w:type="pct"/>
            <w:vAlign w:val="center"/>
          </w:tcPr>
          <w:p w14:paraId="65F8CA40">
            <w:pPr>
              <w:jc w:val="right"/>
              <w:rPr>
                <w:sz w:val="15"/>
                <w:szCs w:val="15"/>
              </w:rPr>
            </w:pPr>
          </w:p>
        </w:tc>
        <w:tc>
          <w:tcPr>
            <w:tcW w:w="123" w:type="pct"/>
            <w:vAlign w:val="center"/>
          </w:tcPr>
          <w:p w14:paraId="573FB89B">
            <w:pPr>
              <w:jc w:val="right"/>
              <w:rPr>
                <w:sz w:val="15"/>
                <w:szCs w:val="15"/>
              </w:rPr>
            </w:pPr>
          </w:p>
        </w:tc>
        <w:tc>
          <w:tcPr>
            <w:tcW w:w="461" w:type="pct"/>
            <w:vAlign w:val="center"/>
          </w:tcPr>
          <w:p w14:paraId="6A74D494">
            <w:pPr>
              <w:jc w:val="right"/>
              <w:rPr>
                <w:sz w:val="15"/>
                <w:szCs w:val="15"/>
              </w:rPr>
            </w:pPr>
          </w:p>
        </w:tc>
        <w:tc>
          <w:tcPr>
            <w:tcW w:w="123" w:type="pct"/>
            <w:vAlign w:val="center"/>
          </w:tcPr>
          <w:p w14:paraId="270E97D3">
            <w:pPr>
              <w:jc w:val="right"/>
              <w:rPr>
                <w:sz w:val="15"/>
                <w:szCs w:val="15"/>
              </w:rPr>
            </w:pPr>
          </w:p>
        </w:tc>
        <w:tc>
          <w:tcPr>
            <w:tcW w:w="451" w:type="pct"/>
            <w:vAlign w:val="center"/>
          </w:tcPr>
          <w:p w14:paraId="2A1AB535">
            <w:pPr>
              <w:jc w:val="right"/>
              <w:rPr>
                <w:sz w:val="15"/>
                <w:szCs w:val="15"/>
              </w:rPr>
            </w:pPr>
          </w:p>
        </w:tc>
        <w:tc>
          <w:tcPr>
            <w:tcW w:w="426" w:type="pct"/>
            <w:gridSpan w:val="2"/>
            <w:vAlign w:val="center"/>
          </w:tcPr>
          <w:p w14:paraId="0DAB966F">
            <w:pPr>
              <w:jc w:val="right"/>
              <w:rPr>
                <w:sz w:val="15"/>
                <w:szCs w:val="15"/>
              </w:rPr>
            </w:pPr>
          </w:p>
        </w:tc>
        <w:tc>
          <w:tcPr>
            <w:tcW w:w="459" w:type="pct"/>
            <w:gridSpan w:val="2"/>
            <w:vAlign w:val="center"/>
          </w:tcPr>
          <w:p w14:paraId="3CAD49BD">
            <w:pPr>
              <w:jc w:val="right"/>
              <w:rPr>
                <w:sz w:val="15"/>
                <w:szCs w:val="15"/>
              </w:rPr>
            </w:pPr>
          </w:p>
        </w:tc>
      </w:tr>
      <w:tr w14:paraId="7C7B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03ab84b7536c4ddcaaad4c99a2dd5fd3"/>
            <w:id w:val="-1455327759"/>
          </w:sdtPr>
          <w:sdtEndPr>
            <w:rPr>
              <w:sz w:val="15"/>
              <w:szCs w:val="15"/>
            </w:rPr>
          </w:sdtEndPr>
          <w:sdtContent>
            <w:tc>
              <w:tcPr>
                <w:tcW w:w="382" w:type="pct"/>
                <w:vAlign w:val="center"/>
              </w:tcPr>
              <w:p w14:paraId="4C6BE67F">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四</w:t>
                </w:r>
                <w:r>
                  <w:rPr>
                    <w:color w:val="000000" w:themeColor="text1"/>
                    <w:sz w:val="15"/>
                    <w:szCs w:val="15"/>
                    <w14:textFill>
                      <w14:solidFill>
                        <w14:schemeClr w14:val="tx1"/>
                      </w14:solidFill>
                    </w14:textFill>
                  </w:rPr>
                  <w:t>）所有者权益内部结转</w:t>
                </w:r>
              </w:p>
            </w:tc>
          </w:sdtContent>
        </w:sdt>
        <w:tc>
          <w:tcPr>
            <w:tcW w:w="426" w:type="pct"/>
            <w:vAlign w:val="center"/>
          </w:tcPr>
          <w:p w14:paraId="6B70A5B0">
            <w:pPr>
              <w:jc w:val="right"/>
              <w:rPr>
                <w:sz w:val="15"/>
                <w:szCs w:val="15"/>
              </w:rPr>
            </w:pPr>
          </w:p>
        </w:tc>
        <w:tc>
          <w:tcPr>
            <w:tcW w:w="123" w:type="pct"/>
            <w:vAlign w:val="center"/>
          </w:tcPr>
          <w:p w14:paraId="4A8171F2">
            <w:pPr>
              <w:jc w:val="right"/>
              <w:rPr>
                <w:sz w:val="15"/>
                <w:szCs w:val="15"/>
              </w:rPr>
            </w:pPr>
          </w:p>
        </w:tc>
        <w:tc>
          <w:tcPr>
            <w:tcW w:w="123" w:type="pct"/>
            <w:vAlign w:val="center"/>
          </w:tcPr>
          <w:p w14:paraId="0ED3E917">
            <w:pPr>
              <w:jc w:val="right"/>
              <w:rPr>
                <w:sz w:val="15"/>
                <w:szCs w:val="15"/>
              </w:rPr>
            </w:pPr>
          </w:p>
        </w:tc>
        <w:tc>
          <w:tcPr>
            <w:tcW w:w="124" w:type="pct"/>
            <w:vAlign w:val="center"/>
          </w:tcPr>
          <w:p w14:paraId="7302B378">
            <w:pPr>
              <w:jc w:val="right"/>
              <w:rPr>
                <w:sz w:val="15"/>
                <w:szCs w:val="15"/>
              </w:rPr>
            </w:pPr>
          </w:p>
        </w:tc>
        <w:tc>
          <w:tcPr>
            <w:tcW w:w="426" w:type="pct"/>
            <w:vAlign w:val="center"/>
          </w:tcPr>
          <w:p w14:paraId="5145C22E">
            <w:pPr>
              <w:jc w:val="right"/>
              <w:rPr>
                <w:sz w:val="15"/>
                <w:szCs w:val="15"/>
              </w:rPr>
            </w:pPr>
          </w:p>
        </w:tc>
        <w:tc>
          <w:tcPr>
            <w:tcW w:w="388" w:type="pct"/>
            <w:vAlign w:val="center"/>
          </w:tcPr>
          <w:p w14:paraId="192E3B83">
            <w:pPr>
              <w:jc w:val="right"/>
              <w:rPr>
                <w:sz w:val="15"/>
                <w:szCs w:val="15"/>
              </w:rPr>
            </w:pPr>
          </w:p>
        </w:tc>
        <w:tc>
          <w:tcPr>
            <w:tcW w:w="454" w:type="pct"/>
            <w:vAlign w:val="center"/>
          </w:tcPr>
          <w:p w14:paraId="3F36281E">
            <w:pPr>
              <w:jc w:val="right"/>
              <w:rPr>
                <w:sz w:val="15"/>
                <w:szCs w:val="15"/>
              </w:rPr>
            </w:pPr>
          </w:p>
        </w:tc>
        <w:tc>
          <w:tcPr>
            <w:tcW w:w="123" w:type="pct"/>
            <w:vAlign w:val="center"/>
          </w:tcPr>
          <w:p w14:paraId="2CAE2261">
            <w:pPr>
              <w:jc w:val="right"/>
              <w:rPr>
                <w:sz w:val="15"/>
                <w:szCs w:val="15"/>
              </w:rPr>
            </w:pPr>
          </w:p>
        </w:tc>
        <w:tc>
          <w:tcPr>
            <w:tcW w:w="388" w:type="pct"/>
            <w:vAlign w:val="center"/>
          </w:tcPr>
          <w:p w14:paraId="0DCA5711">
            <w:pPr>
              <w:jc w:val="right"/>
              <w:rPr>
                <w:sz w:val="15"/>
                <w:szCs w:val="15"/>
              </w:rPr>
            </w:pPr>
          </w:p>
        </w:tc>
        <w:tc>
          <w:tcPr>
            <w:tcW w:w="123" w:type="pct"/>
            <w:vAlign w:val="center"/>
          </w:tcPr>
          <w:p w14:paraId="09ADDFE2">
            <w:pPr>
              <w:jc w:val="right"/>
              <w:rPr>
                <w:sz w:val="15"/>
                <w:szCs w:val="15"/>
              </w:rPr>
            </w:pPr>
          </w:p>
        </w:tc>
        <w:tc>
          <w:tcPr>
            <w:tcW w:w="461" w:type="pct"/>
            <w:vAlign w:val="center"/>
          </w:tcPr>
          <w:p w14:paraId="321304ED">
            <w:pPr>
              <w:jc w:val="right"/>
              <w:rPr>
                <w:sz w:val="15"/>
                <w:szCs w:val="15"/>
              </w:rPr>
            </w:pPr>
          </w:p>
        </w:tc>
        <w:tc>
          <w:tcPr>
            <w:tcW w:w="123" w:type="pct"/>
            <w:vAlign w:val="center"/>
          </w:tcPr>
          <w:p w14:paraId="2383AD48">
            <w:pPr>
              <w:jc w:val="right"/>
              <w:rPr>
                <w:sz w:val="15"/>
                <w:szCs w:val="15"/>
              </w:rPr>
            </w:pPr>
          </w:p>
        </w:tc>
        <w:tc>
          <w:tcPr>
            <w:tcW w:w="451" w:type="pct"/>
            <w:vAlign w:val="center"/>
          </w:tcPr>
          <w:p w14:paraId="26AA2231">
            <w:pPr>
              <w:jc w:val="right"/>
              <w:rPr>
                <w:sz w:val="15"/>
                <w:szCs w:val="15"/>
              </w:rPr>
            </w:pPr>
          </w:p>
        </w:tc>
        <w:tc>
          <w:tcPr>
            <w:tcW w:w="426" w:type="pct"/>
            <w:gridSpan w:val="2"/>
            <w:vAlign w:val="center"/>
          </w:tcPr>
          <w:p w14:paraId="67F630D3">
            <w:pPr>
              <w:jc w:val="right"/>
              <w:rPr>
                <w:sz w:val="15"/>
                <w:szCs w:val="15"/>
              </w:rPr>
            </w:pPr>
          </w:p>
        </w:tc>
        <w:tc>
          <w:tcPr>
            <w:tcW w:w="459" w:type="pct"/>
            <w:gridSpan w:val="2"/>
            <w:vAlign w:val="center"/>
          </w:tcPr>
          <w:p w14:paraId="4AE65379">
            <w:pPr>
              <w:jc w:val="right"/>
              <w:rPr>
                <w:sz w:val="15"/>
                <w:szCs w:val="15"/>
              </w:rPr>
            </w:pPr>
          </w:p>
        </w:tc>
      </w:tr>
      <w:tr w14:paraId="4934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88233f88b9ea4ceb82a1cc6cd7a5030d"/>
            <w:id w:val="-318199893"/>
          </w:sdtPr>
          <w:sdtEndPr>
            <w:rPr>
              <w:sz w:val="15"/>
              <w:szCs w:val="15"/>
            </w:rPr>
          </w:sdtEndPr>
          <w:sdtContent>
            <w:tc>
              <w:tcPr>
                <w:tcW w:w="382" w:type="pct"/>
                <w:vAlign w:val="center"/>
              </w:tcPr>
              <w:p w14:paraId="297DB08D">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1．资本公积转增资本（或股本）</w:t>
                </w:r>
              </w:p>
            </w:tc>
          </w:sdtContent>
        </w:sdt>
        <w:tc>
          <w:tcPr>
            <w:tcW w:w="426" w:type="pct"/>
            <w:vAlign w:val="center"/>
          </w:tcPr>
          <w:p w14:paraId="27A61FF4">
            <w:pPr>
              <w:jc w:val="right"/>
              <w:rPr>
                <w:sz w:val="15"/>
                <w:szCs w:val="15"/>
              </w:rPr>
            </w:pPr>
          </w:p>
        </w:tc>
        <w:tc>
          <w:tcPr>
            <w:tcW w:w="123" w:type="pct"/>
            <w:vAlign w:val="center"/>
          </w:tcPr>
          <w:p w14:paraId="3613C560">
            <w:pPr>
              <w:jc w:val="right"/>
              <w:rPr>
                <w:sz w:val="15"/>
                <w:szCs w:val="15"/>
              </w:rPr>
            </w:pPr>
          </w:p>
        </w:tc>
        <w:tc>
          <w:tcPr>
            <w:tcW w:w="123" w:type="pct"/>
            <w:vAlign w:val="center"/>
          </w:tcPr>
          <w:p w14:paraId="7ABEC21C">
            <w:pPr>
              <w:jc w:val="right"/>
              <w:rPr>
                <w:sz w:val="15"/>
                <w:szCs w:val="15"/>
              </w:rPr>
            </w:pPr>
          </w:p>
        </w:tc>
        <w:tc>
          <w:tcPr>
            <w:tcW w:w="124" w:type="pct"/>
            <w:vAlign w:val="center"/>
          </w:tcPr>
          <w:p w14:paraId="5551A15A">
            <w:pPr>
              <w:jc w:val="right"/>
              <w:rPr>
                <w:sz w:val="15"/>
                <w:szCs w:val="15"/>
              </w:rPr>
            </w:pPr>
          </w:p>
        </w:tc>
        <w:tc>
          <w:tcPr>
            <w:tcW w:w="426" w:type="pct"/>
            <w:vAlign w:val="center"/>
          </w:tcPr>
          <w:p w14:paraId="3715D945">
            <w:pPr>
              <w:jc w:val="right"/>
              <w:rPr>
                <w:sz w:val="15"/>
                <w:szCs w:val="15"/>
              </w:rPr>
            </w:pPr>
          </w:p>
        </w:tc>
        <w:tc>
          <w:tcPr>
            <w:tcW w:w="388" w:type="pct"/>
            <w:vAlign w:val="center"/>
          </w:tcPr>
          <w:p w14:paraId="4835FD4A">
            <w:pPr>
              <w:jc w:val="right"/>
              <w:rPr>
                <w:sz w:val="15"/>
                <w:szCs w:val="15"/>
              </w:rPr>
            </w:pPr>
          </w:p>
        </w:tc>
        <w:tc>
          <w:tcPr>
            <w:tcW w:w="454" w:type="pct"/>
            <w:vAlign w:val="center"/>
          </w:tcPr>
          <w:p w14:paraId="7C133F72">
            <w:pPr>
              <w:jc w:val="right"/>
              <w:rPr>
                <w:sz w:val="15"/>
                <w:szCs w:val="15"/>
              </w:rPr>
            </w:pPr>
          </w:p>
        </w:tc>
        <w:tc>
          <w:tcPr>
            <w:tcW w:w="123" w:type="pct"/>
            <w:vAlign w:val="center"/>
          </w:tcPr>
          <w:p w14:paraId="4976EC99">
            <w:pPr>
              <w:jc w:val="right"/>
              <w:rPr>
                <w:sz w:val="15"/>
                <w:szCs w:val="15"/>
              </w:rPr>
            </w:pPr>
          </w:p>
        </w:tc>
        <w:tc>
          <w:tcPr>
            <w:tcW w:w="388" w:type="pct"/>
            <w:vAlign w:val="center"/>
          </w:tcPr>
          <w:p w14:paraId="370318F2">
            <w:pPr>
              <w:jc w:val="right"/>
              <w:rPr>
                <w:sz w:val="15"/>
                <w:szCs w:val="15"/>
              </w:rPr>
            </w:pPr>
          </w:p>
        </w:tc>
        <w:tc>
          <w:tcPr>
            <w:tcW w:w="123" w:type="pct"/>
            <w:vAlign w:val="center"/>
          </w:tcPr>
          <w:p w14:paraId="15CEBC54">
            <w:pPr>
              <w:jc w:val="right"/>
              <w:rPr>
                <w:sz w:val="15"/>
                <w:szCs w:val="15"/>
              </w:rPr>
            </w:pPr>
          </w:p>
        </w:tc>
        <w:tc>
          <w:tcPr>
            <w:tcW w:w="461" w:type="pct"/>
            <w:vAlign w:val="center"/>
          </w:tcPr>
          <w:p w14:paraId="7A6A8961">
            <w:pPr>
              <w:jc w:val="right"/>
              <w:rPr>
                <w:sz w:val="15"/>
                <w:szCs w:val="15"/>
              </w:rPr>
            </w:pPr>
          </w:p>
        </w:tc>
        <w:tc>
          <w:tcPr>
            <w:tcW w:w="123" w:type="pct"/>
            <w:vAlign w:val="center"/>
          </w:tcPr>
          <w:p w14:paraId="70E830B2">
            <w:pPr>
              <w:jc w:val="right"/>
              <w:rPr>
                <w:sz w:val="15"/>
                <w:szCs w:val="15"/>
              </w:rPr>
            </w:pPr>
          </w:p>
        </w:tc>
        <w:tc>
          <w:tcPr>
            <w:tcW w:w="451" w:type="pct"/>
            <w:vAlign w:val="center"/>
          </w:tcPr>
          <w:p w14:paraId="62D15A0B">
            <w:pPr>
              <w:jc w:val="right"/>
              <w:rPr>
                <w:sz w:val="15"/>
                <w:szCs w:val="15"/>
              </w:rPr>
            </w:pPr>
          </w:p>
        </w:tc>
        <w:tc>
          <w:tcPr>
            <w:tcW w:w="426" w:type="pct"/>
            <w:gridSpan w:val="2"/>
            <w:vAlign w:val="center"/>
          </w:tcPr>
          <w:p w14:paraId="5F29600D">
            <w:pPr>
              <w:jc w:val="right"/>
              <w:rPr>
                <w:sz w:val="15"/>
                <w:szCs w:val="15"/>
              </w:rPr>
            </w:pPr>
          </w:p>
        </w:tc>
        <w:tc>
          <w:tcPr>
            <w:tcW w:w="459" w:type="pct"/>
            <w:gridSpan w:val="2"/>
            <w:vAlign w:val="center"/>
          </w:tcPr>
          <w:p w14:paraId="5788563A">
            <w:pPr>
              <w:jc w:val="right"/>
              <w:rPr>
                <w:sz w:val="15"/>
                <w:szCs w:val="15"/>
              </w:rPr>
            </w:pPr>
          </w:p>
        </w:tc>
      </w:tr>
      <w:tr w14:paraId="601F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4a9492c5a232434296cfdef5eeded778"/>
            <w:id w:val="-1100865134"/>
          </w:sdtPr>
          <w:sdtEndPr>
            <w:rPr>
              <w:sz w:val="15"/>
              <w:szCs w:val="15"/>
            </w:rPr>
          </w:sdtEndPr>
          <w:sdtContent>
            <w:tc>
              <w:tcPr>
                <w:tcW w:w="382" w:type="pct"/>
                <w:vAlign w:val="center"/>
              </w:tcPr>
              <w:p w14:paraId="11F43697">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2．盈余公积转增资本（或股本）</w:t>
                </w:r>
              </w:p>
            </w:tc>
          </w:sdtContent>
        </w:sdt>
        <w:tc>
          <w:tcPr>
            <w:tcW w:w="426" w:type="pct"/>
            <w:vAlign w:val="center"/>
          </w:tcPr>
          <w:p w14:paraId="4507716F">
            <w:pPr>
              <w:jc w:val="right"/>
              <w:rPr>
                <w:sz w:val="15"/>
                <w:szCs w:val="15"/>
              </w:rPr>
            </w:pPr>
          </w:p>
        </w:tc>
        <w:tc>
          <w:tcPr>
            <w:tcW w:w="123" w:type="pct"/>
            <w:vAlign w:val="center"/>
          </w:tcPr>
          <w:p w14:paraId="0DB7DB93">
            <w:pPr>
              <w:jc w:val="right"/>
              <w:rPr>
                <w:sz w:val="15"/>
                <w:szCs w:val="15"/>
              </w:rPr>
            </w:pPr>
          </w:p>
        </w:tc>
        <w:tc>
          <w:tcPr>
            <w:tcW w:w="123" w:type="pct"/>
            <w:vAlign w:val="center"/>
          </w:tcPr>
          <w:p w14:paraId="14C440D0">
            <w:pPr>
              <w:jc w:val="right"/>
              <w:rPr>
                <w:sz w:val="15"/>
                <w:szCs w:val="15"/>
              </w:rPr>
            </w:pPr>
          </w:p>
        </w:tc>
        <w:tc>
          <w:tcPr>
            <w:tcW w:w="124" w:type="pct"/>
            <w:vAlign w:val="center"/>
          </w:tcPr>
          <w:p w14:paraId="088F8B6E">
            <w:pPr>
              <w:jc w:val="right"/>
              <w:rPr>
                <w:sz w:val="15"/>
                <w:szCs w:val="15"/>
              </w:rPr>
            </w:pPr>
          </w:p>
        </w:tc>
        <w:tc>
          <w:tcPr>
            <w:tcW w:w="426" w:type="pct"/>
            <w:vAlign w:val="center"/>
          </w:tcPr>
          <w:p w14:paraId="187692BD">
            <w:pPr>
              <w:jc w:val="right"/>
              <w:rPr>
                <w:sz w:val="15"/>
                <w:szCs w:val="15"/>
              </w:rPr>
            </w:pPr>
          </w:p>
        </w:tc>
        <w:tc>
          <w:tcPr>
            <w:tcW w:w="388" w:type="pct"/>
            <w:vAlign w:val="center"/>
          </w:tcPr>
          <w:p w14:paraId="13A027B4">
            <w:pPr>
              <w:jc w:val="right"/>
              <w:rPr>
                <w:sz w:val="15"/>
                <w:szCs w:val="15"/>
              </w:rPr>
            </w:pPr>
          </w:p>
        </w:tc>
        <w:tc>
          <w:tcPr>
            <w:tcW w:w="454" w:type="pct"/>
            <w:vAlign w:val="center"/>
          </w:tcPr>
          <w:p w14:paraId="3B31685E">
            <w:pPr>
              <w:jc w:val="right"/>
              <w:rPr>
                <w:sz w:val="15"/>
                <w:szCs w:val="15"/>
              </w:rPr>
            </w:pPr>
          </w:p>
        </w:tc>
        <w:tc>
          <w:tcPr>
            <w:tcW w:w="123" w:type="pct"/>
            <w:vAlign w:val="center"/>
          </w:tcPr>
          <w:p w14:paraId="495B0771">
            <w:pPr>
              <w:jc w:val="right"/>
              <w:rPr>
                <w:sz w:val="15"/>
                <w:szCs w:val="15"/>
              </w:rPr>
            </w:pPr>
          </w:p>
        </w:tc>
        <w:tc>
          <w:tcPr>
            <w:tcW w:w="388" w:type="pct"/>
            <w:vAlign w:val="center"/>
          </w:tcPr>
          <w:p w14:paraId="522B8575">
            <w:pPr>
              <w:jc w:val="right"/>
              <w:rPr>
                <w:sz w:val="15"/>
                <w:szCs w:val="15"/>
              </w:rPr>
            </w:pPr>
          </w:p>
        </w:tc>
        <w:tc>
          <w:tcPr>
            <w:tcW w:w="123" w:type="pct"/>
            <w:vAlign w:val="center"/>
          </w:tcPr>
          <w:p w14:paraId="0B2D36F3">
            <w:pPr>
              <w:jc w:val="right"/>
              <w:rPr>
                <w:sz w:val="15"/>
                <w:szCs w:val="15"/>
              </w:rPr>
            </w:pPr>
          </w:p>
        </w:tc>
        <w:tc>
          <w:tcPr>
            <w:tcW w:w="461" w:type="pct"/>
            <w:vAlign w:val="center"/>
          </w:tcPr>
          <w:p w14:paraId="56B33E45">
            <w:pPr>
              <w:jc w:val="right"/>
              <w:rPr>
                <w:sz w:val="15"/>
                <w:szCs w:val="15"/>
              </w:rPr>
            </w:pPr>
          </w:p>
        </w:tc>
        <w:tc>
          <w:tcPr>
            <w:tcW w:w="123" w:type="pct"/>
            <w:vAlign w:val="center"/>
          </w:tcPr>
          <w:p w14:paraId="06ACC65A">
            <w:pPr>
              <w:jc w:val="right"/>
              <w:rPr>
                <w:sz w:val="15"/>
                <w:szCs w:val="15"/>
              </w:rPr>
            </w:pPr>
          </w:p>
        </w:tc>
        <w:tc>
          <w:tcPr>
            <w:tcW w:w="451" w:type="pct"/>
            <w:vAlign w:val="center"/>
          </w:tcPr>
          <w:p w14:paraId="471B5A44">
            <w:pPr>
              <w:jc w:val="right"/>
              <w:rPr>
                <w:sz w:val="15"/>
                <w:szCs w:val="15"/>
              </w:rPr>
            </w:pPr>
          </w:p>
        </w:tc>
        <w:tc>
          <w:tcPr>
            <w:tcW w:w="426" w:type="pct"/>
            <w:gridSpan w:val="2"/>
            <w:vAlign w:val="center"/>
          </w:tcPr>
          <w:p w14:paraId="01FFB81F">
            <w:pPr>
              <w:jc w:val="right"/>
              <w:rPr>
                <w:sz w:val="15"/>
                <w:szCs w:val="15"/>
              </w:rPr>
            </w:pPr>
          </w:p>
        </w:tc>
        <w:tc>
          <w:tcPr>
            <w:tcW w:w="459" w:type="pct"/>
            <w:gridSpan w:val="2"/>
            <w:vAlign w:val="center"/>
          </w:tcPr>
          <w:p w14:paraId="069EF798">
            <w:pPr>
              <w:jc w:val="right"/>
              <w:rPr>
                <w:sz w:val="15"/>
                <w:szCs w:val="15"/>
              </w:rPr>
            </w:pPr>
          </w:p>
        </w:tc>
      </w:tr>
      <w:tr w14:paraId="55E2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25911664beff496799fc3193be7c3182"/>
            <w:id w:val="912967728"/>
          </w:sdtPr>
          <w:sdtEndPr>
            <w:rPr>
              <w:sz w:val="15"/>
              <w:szCs w:val="15"/>
            </w:rPr>
          </w:sdtEndPr>
          <w:sdtContent>
            <w:tc>
              <w:tcPr>
                <w:tcW w:w="382" w:type="pct"/>
                <w:vAlign w:val="center"/>
              </w:tcPr>
              <w:p w14:paraId="18FDEACC">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3．盈余公积弥补亏损</w:t>
                </w:r>
              </w:p>
            </w:tc>
          </w:sdtContent>
        </w:sdt>
        <w:tc>
          <w:tcPr>
            <w:tcW w:w="426" w:type="pct"/>
            <w:vAlign w:val="center"/>
          </w:tcPr>
          <w:p w14:paraId="1A5B8E08">
            <w:pPr>
              <w:jc w:val="right"/>
              <w:rPr>
                <w:sz w:val="15"/>
                <w:szCs w:val="15"/>
              </w:rPr>
            </w:pPr>
          </w:p>
        </w:tc>
        <w:tc>
          <w:tcPr>
            <w:tcW w:w="123" w:type="pct"/>
            <w:vAlign w:val="center"/>
          </w:tcPr>
          <w:p w14:paraId="34926961">
            <w:pPr>
              <w:jc w:val="right"/>
              <w:rPr>
                <w:sz w:val="15"/>
                <w:szCs w:val="15"/>
              </w:rPr>
            </w:pPr>
          </w:p>
        </w:tc>
        <w:tc>
          <w:tcPr>
            <w:tcW w:w="123" w:type="pct"/>
            <w:vAlign w:val="center"/>
          </w:tcPr>
          <w:p w14:paraId="2E7A85C3">
            <w:pPr>
              <w:jc w:val="right"/>
              <w:rPr>
                <w:sz w:val="15"/>
                <w:szCs w:val="15"/>
              </w:rPr>
            </w:pPr>
          </w:p>
        </w:tc>
        <w:tc>
          <w:tcPr>
            <w:tcW w:w="124" w:type="pct"/>
            <w:vAlign w:val="center"/>
          </w:tcPr>
          <w:p w14:paraId="76911FFB">
            <w:pPr>
              <w:jc w:val="right"/>
              <w:rPr>
                <w:sz w:val="15"/>
                <w:szCs w:val="15"/>
              </w:rPr>
            </w:pPr>
          </w:p>
        </w:tc>
        <w:tc>
          <w:tcPr>
            <w:tcW w:w="426" w:type="pct"/>
            <w:vAlign w:val="center"/>
          </w:tcPr>
          <w:p w14:paraId="77A2A602">
            <w:pPr>
              <w:jc w:val="right"/>
              <w:rPr>
                <w:sz w:val="15"/>
                <w:szCs w:val="15"/>
              </w:rPr>
            </w:pPr>
          </w:p>
        </w:tc>
        <w:tc>
          <w:tcPr>
            <w:tcW w:w="388" w:type="pct"/>
            <w:vAlign w:val="center"/>
          </w:tcPr>
          <w:p w14:paraId="5C94789A">
            <w:pPr>
              <w:jc w:val="right"/>
              <w:rPr>
                <w:sz w:val="15"/>
                <w:szCs w:val="15"/>
              </w:rPr>
            </w:pPr>
          </w:p>
        </w:tc>
        <w:tc>
          <w:tcPr>
            <w:tcW w:w="454" w:type="pct"/>
            <w:vAlign w:val="center"/>
          </w:tcPr>
          <w:p w14:paraId="3C20C521">
            <w:pPr>
              <w:jc w:val="right"/>
              <w:rPr>
                <w:sz w:val="15"/>
                <w:szCs w:val="15"/>
              </w:rPr>
            </w:pPr>
          </w:p>
        </w:tc>
        <w:tc>
          <w:tcPr>
            <w:tcW w:w="123" w:type="pct"/>
            <w:vAlign w:val="center"/>
          </w:tcPr>
          <w:p w14:paraId="7CA7AE60">
            <w:pPr>
              <w:jc w:val="right"/>
              <w:rPr>
                <w:sz w:val="15"/>
                <w:szCs w:val="15"/>
              </w:rPr>
            </w:pPr>
          </w:p>
        </w:tc>
        <w:tc>
          <w:tcPr>
            <w:tcW w:w="388" w:type="pct"/>
            <w:vAlign w:val="center"/>
          </w:tcPr>
          <w:p w14:paraId="5D84A85B">
            <w:pPr>
              <w:jc w:val="right"/>
              <w:rPr>
                <w:sz w:val="15"/>
                <w:szCs w:val="15"/>
              </w:rPr>
            </w:pPr>
          </w:p>
        </w:tc>
        <w:tc>
          <w:tcPr>
            <w:tcW w:w="123" w:type="pct"/>
            <w:vAlign w:val="center"/>
          </w:tcPr>
          <w:p w14:paraId="44C22773">
            <w:pPr>
              <w:jc w:val="right"/>
              <w:rPr>
                <w:sz w:val="15"/>
                <w:szCs w:val="15"/>
              </w:rPr>
            </w:pPr>
          </w:p>
        </w:tc>
        <w:tc>
          <w:tcPr>
            <w:tcW w:w="461" w:type="pct"/>
            <w:vAlign w:val="center"/>
          </w:tcPr>
          <w:p w14:paraId="1181E684">
            <w:pPr>
              <w:jc w:val="right"/>
              <w:rPr>
                <w:sz w:val="15"/>
                <w:szCs w:val="15"/>
              </w:rPr>
            </w:pPr>
          </w:p>
        </w:tc>
        <w:tc>
          <w:tcPr>
            <w:tcW w:w="123" w:type="pct"/>
            <w:vAlign w:val="center"/>
          </w:tcPr>
          <w:p w14:paraId="07BA3148">
            <w:pPr>
              <w:jc w:val="right"/>
              <w:rPr>
                <w:sz w:val="15"/>
                <w:szCs w:val="15"/>
              </w:rPr>
            </w:pPr>
          </w:p>
        </w:tc>
        <w:tc>
          <w:tcPr>
            <w:tcW w:w="451" w:type="pct"/>
            <w:vAlign w:val="center"/>
          </w:tcPr>
          <w:p w14:paraId="124A9534">
            <w:pPr>
              <w:jc w:val="right"/>
              <w:rPr>
                <w:sz w:val="15"/>
                <w:szCs w:val="15"/>
              </w:rPr>
            </w:pPr>
          </w:p>
        </w:tc>
        <w:tc>
          <w:tcPr>
            <w:tcW w:w="426" w:type="pct"/>
            <w:gridSpan w:val="2"/>
            <w:vAlign w:val="center"/>
          </w:tcPr>
          <w:p w14:paraId="74F1CE1B">
            <w:pPr>
              <w:jc w:val="right"/>
              <w:rPr>
                <w:sz w:val="15"/>
                <w:szCs w:val="15"/>
              </w:rPr>
            </w:pPr>
          </w:p>
        </w:tc>
        <w:tc>
          <w:tcPr>
            <w:tcW w:w="459" w:type="pct"/>
            <w:gridSpan w:val="2"/>
            <w:vAlign w:val="center"/>
          </w:tcPr>
          <w:p w14:paraId="6CB1CC36">
            <w:pPr>
              <w:jc w:val="right"/>
              <w:rPr>
                <w:sz w:val="15"/>
                <w:szCs w:val="15"/>
              </w:rPr>
            </w:pPr>
          </w:p>
        </w:tc>
      </w:tr>
      <w:tr w14:paraId="1365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sdt>
            <w:sdtPr>
              <w:rPr>
                <w:sz w:val="15"/>
                <w:szCs w:val="15"/>
              </w:rPr>
              <w:tag w:val="_PLD_c2918ada9b53437193e4f9cfffa064e3"/>
              <w:id w:val="937648866"/>
            </w:sdtPr>
            <w:sdtEndPr>
              <w:rPr>
                <w:sz w:val="15"/>
                <w:szCs w:val="15"/>
              </w:rPr>
            </w:sdtEndPr>
            <w:sdtContent>
              <w:p w14:paraId="7B25731B">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4．设定受益计划变动额结转留存收益</w:t>
                </w:r>
              </w:p>
            </w:sdtContent>
          </w:sdt>
        </w:tc>
        <w:tc>
          <w:tcPr>
            <w:tcW w:w="426" w:type="pct"/>
            <w:vAlign w:val="center"/>
          </w:tcPr>
          <w:p w14:paraId="1C9E848E">
            <w:pPr>
              <w:jc w:val="right"/>
              <w:rPr>
                <w:sz w:val="15"/>
                <w:szCs w:val="15"/>
              </w:rPr>
            </w:pPr>
          </w:p>
        </w:tc>
        <w:tc>
          <w:tcPr>
            <w:tcW w:w="123" w:type="pct"/>
            <w:vAlign w:val="center"/>
          </w:tcPr>
          <w:p w14:paraId="1CD2EF33">
            <w:pPr>
              <w:jc w:val="right"/>
              <w:rPr>
                <w:sz w:val="15"/>
                <w:szCs w:val="15"/>
              </w:rPr>
            </w:pPr>
          </w:p>
        </w:tc>
        <w:tc>
          <w:tcPr>
            <w:tcW w:w="123" w:type="pct"/>
            <w:vAlign w:val="center"/>
          </w:tcPr>
          <w:p w14:paraId="03811B2F">
            <w:pPr>
              <w:jc w:val="right"/>
              <w:rPr>
                <w:sz w:val="15"/>
                <w:szCs w:val="15"/>
              </w:rPr>
            </w:pPr>
          </w:p>
        </w:tc>
        <w:tc>
          <w:tcPr>
            <w:tcW w:w="124" w:type="pct"/>
            <w:vAlign w:val="center"/>
          </w:tcPr>
          <w:p w14:paraId="594F98F3">
            <w:pPr>
              <w:jc w:val="right"/>
              <w:rPr>
                <w:sz w:val="15"/>
                <w:szCs w:val="15"/>
              </w:rPr>
            </w:pPr>
          </w:p>
        </w:tc>
        <w:tc>
          <w:tcPr>
            <w:tcW w:w="426" w:type="pct"/>
            <w:vAlign w:val="center"/>
          </w:tcPr>
          <w:p w14:paraId="7063393E">
            <w:pPr>
              <w:jc w:val="right"/>
              <w:rPr>
                <w:sz w:val="15"/>
                <w:szCs w:val="15"/>
              </w:rPr>
            </w:pPr>
          </w:p>
        </w:tc>
        <w:tc>
          <w:tcPr>
            <w:tcW w:w="388" w:type="pct"/>
            <w:vAlign w:val="center"/>
          </w:tcPr>
          <w:p w14:paraId="298327D2">
            <w:pPr>
              <w:jc w:val="right"/>
              <w:rPr>
                <w:sz w:val="15"/>
                <w:szCs w:val="15"/>
              </w:rPr>
            </w:pPr>
          </w:p>
        </w:tc>
        <w:tc>
          <w:tcPr>
            <w:tcW w:w="454" w:type="pct"/>
            <w:vAlign w:val="center"/>
          </w:tcPr>
          <w:p w14:paraId="78C9DF6D">
            <w:pPr>
              <w:jc w:val="right"/>
              <w:rPr>
                <w:sz w:val="15"/>
                <w:szCs w:val="15"/>
              </w:rPr>
            </w:pPr>
          </w:p>
        </w:tc>
        <w:tc>
          <w:tcPr>
            <w:tcW w:w="123" w:type="pct"/>
            <w:vAlign w:val="center"/>
          </w:tcPr>
          <w:p w14:paraId="70DC10B4">
            <w:pPr>
              <w:jc w:val="right"/>
              <w:rPr>
                <w:sz w:val="15"/>
                <w:szCs w:val="15"/>
              </w:rPr>
            </w:pPr>
          </w:p>
        </w:tc>
        <w:tc>
          <w:tcPr>
            <w:tcW w:w="388" w:type="pct"/>
            <w:vAlign w:val="center"/>
          </w:tcPr>
          <w:p w14:paraId="298AB08B">
            <w:pPr>
              <w:jc w:val="right"/>
              <w:rPr>
                <w:sz w:val="15"/>
                <w:szCs w:val="15"/>
              </w:rPr>
            </w:pPr>
          </w:p>
        </w:tc>
        <w:tc>
          <w:tcPr>
            <w:tcW w:w="123" w:type="pct"/>
            <w:vAlign w:val="center"/>
          </w:tcPr>
          <w:p w14:paraId="689975A4">
            <w:pPr>
              <w:jc w:val="right"/>
              <w:rPr>
                <w:sz w:val="15"/>
                <w:szCs w:val="15"/>
              </w:rPr>
            </w:pPr>
          </w:p>
        </w:tc>
        <w:tc>
          <w:tcPr>
            <w:tcW w:w="461" w:type="pct"/>
            <w:vAlign w:val="center"/>
          </w:tcPr>
          <w:p w14:paraId="69D61B3F">
            <w:pPr>
              <w:jc w:val="right"/>
              <w:rPr>
                <w:sz w:val="15"/>
                <w:szCs w:val="15"/>
              </w:rPr>
            </w:pPr>
          </w:p>
        </w:tc>
        <w:tc>
          <w:tcPr>
            <w:tcW w:w="123" w:type="pct"/>
            <w:vAlign w:val="center"/>
          </w:tcPr>
          <w:p w14:paraId="19CE96E8">
            <w:pPr>
              <w:jc w:val="right"/>
              <w:rPr>
                <w:sz w:val="15"/>
                <w:szCs w:val="15"/>
              </w:rPr>
            </w:pPr>
          </w:p>
        </w:tc>
        <w:tc>
          <w:tcPr>
            <w:tcW w:w="451" w:type="pct"/>
            <w:vAlign w:val="center"/>
          </w:tcPr>
          <w:p w14:paraId="50F97108">
            <w:pPr>
              <w:jc w:val="right"/>
              <w:rPr>
                <w:sz w:val="15"/>
                <w:szCs w:val="15"/>
              </w:rPr>
            </w:pPr>
          </w:p>
        </w:tc>
        <w:tc>
          <w:tcPr>
            <w:tcW w:w="426" w:type="pct"/>
            <w:gridSpan w:val="2"/>
            <w:vAlign w:val="center"/>
          </w:tcPr>
          <w:p w14:paraId="3FF95175">
            <w:pPr>
              <w:jc w:val="right"/>
              <w:rPr>
                <w:sz w:val="15"/>
                <w:szCs w:val="15"/>
              </w:rPr>
            </w:pPr>
          </w:p>
        </w:tc>
        <w:tc>
          <w:tcPr>
            <w:tcW w:w="459" w:type="pct"/>
            <w:gridSpan w:val="2"/>
            <w:vAlign w:val="center"/>
          </w:tcPr>
          <w:p w14:paraId="2DF5B44B">
            <w:pPr>
              <w:jc w:val="right"/>
              <w:rPr>
                <w:sz w:val="15"/>
                <w:szCs w:val="15"/>
              </w:rPr>
            </w:pPr>
          </w:p>
        </w:tc>
      </w:tr>
      <w:tr w14:paraId="2B4D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sdt>
            <w:sdtPr>
              <w:rPr>
                <w:sz w:val="15"/>
                <w:szCs w:val="15"/>
              </w:rPr>
              <w:tag w:val="_PLD_ea153cdd99f74bf1b50bc1743d25f429"/>
              <w:id w:val="-483469404"/>
            </w:sdtPr>
            <w:sdtEndPr>
              <w:rPr>
                <w:sz w:val="15"/>
                <w:szCs w:val="15"/>
              </w:rPr>
            </w:sdtEndPr>
            <w:sdtContent>
              <w:p w14:paraId="3DA7C83E">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5．其他综合收益结转留存收益</w:t>
                </w:r>
              </w:p>
            </w:sdtContent>
          </w:sdt>
        </w:tc>
        <w:tc>
          <w:tcPr>
            <w:tcW w:w="426" w:type="pct"/>
            <w:vAlign w:val="center"/>
          </w:tcPr>
          <w:p w14:paraId="7A1392E0">
            <w:pPr>
              <w:jc w:val="right"/>
              <w:rPr>
                <w:sz w:val="15"/>
                <w:szCs w:val="15"/>
              </w:rPr>
            </w:pPr>
          </w:p>
        </w:tc>
        <w:tc>
          <w:tcPr>
            <w:tcW w:w="123" w:type="pct"/>
            <w:vAlign w:val="center"/>
          </w:tcPr>
          <w:p w14:paraId="60D78328">
            <w:pPr>
              <w:jc w:val="right"/>
              <w:rPr>
                <w:sz w:val="15"/>
                <w:szCs w:val="15"/>
              </w:rPr>
            </w:pPr>
          </w:p>
        </w:tc>
        <w:tc>
          <w:tcPr>
            <w:tcW w:w="123" w:type="pct"/>
            <w:vAlign w:val="center"/>
          </w:tcPr>
          <w:p w14:paraId="05632706">
            <w:pPr>
              <w:jc w:val="right"/>
              <w:rPr>
                <w:sz w:val="15"/>
                <w:szCs w:val="15"/>
              </w:rPr>
            </w:pPr>
          </w:p>
        </w:tc>
        <w:tc>
          <w:tcPr>
            <w:tcW w:w="124" w:type="pct"/>
            <w:vAlign w:val="center"/>
          </w:tcPr>
          <w:p w14:paraId="4BE72AC9">
            <w:pPr>
              <w:jc w:val="right"/>
              <w:rPr>
                <w:sz w:val="15"/>
                <w:szCs w:val="15"/>
              </w:rPr>
            </w:pPr>
          </w:p>
        </w:tc>
        <w:tc>
          <w:tcPr>
            <w:tcW w:w="426" w:type="pct"/>
            <w:vAlign w:val="center"/>
          </w:tcPr>
          <w:p w14:paraId="222B10EF">
            <w:pPr>
              <w:jc w:val="right"/>
              <w:rPr>
                <w:sz w:val="15"/>
                <w:szCs w:val="15"/>
              </w:rPr>
            </w:pPr>
          </w:p>
        </w:tc>
        <w:tc>
          <w:tcPr>
            <w:tcW w:w="388" w:type="pct"/>
            <w:vAlign w:val="center"/>
          </w:tcPr>
          <w:p w14:paraId="76347B6D">
            <w:pPr>
              <w:jc w:val="right"/>
              <w:rPr>
                <w:sz w:val="15"/>
                <w:szCs w:val="15"/>
              </w:rPr>
            </w:pPr>
          </w:p>
        </w:tc>
        <w:tc>
          <w:tcPr>
            <w:tcW w:w="454" w:type="pct"/>
            <w:vAlign w:val="center"/>
          </w:tcPr>
          <w:p w14:paraId="252F257B">
            <w:pPr>
              <w:jc w:val="right"/>
              <w:rPr>
                <w:sz w:val="15"/>
                <w:szCs w:val="15"/>
              </w:rPr>
            </w:pPr>
          </w:p>
        </w:tc>
        <w:tc>
          <w:tcPr>
            <w:tcW w:w="123" w:type="pct"/>
            <w:vAlign w:val="center"/>
          </w:tcPr>
          <w:p w14:paraId="5DC2C05B">
            <w:pPr>
              <w:jc w:val="right"/>
              <w:rPr>
                <w:sz w:val="15"/>
                <w:szCs w:val="15"/>
              </w:rPr>
            </w:pPr>
          </w:p>
        </w:tc>
        <w:tc>
          <w:tcPr>
            <w:tcW w:w="388" w:type="pct"/>
            <w:vAlign w:val="center"/>
          </w:tcPr>
          <w:p w14:paraId="733F594D">
            <w:pPr>
              <w:jc w:val="right"/>
              <w:rPr>
                <w:sz w:val="15"/>
                <w:szCs w:val="15"/>
              </w:rPr>
            </w:pPr>
          </w:p>
        </w:tc>
        <w:tc>
          <w:tcPr>
            <w:tcW w:w="123" w:type="pct"/>
            <w:vAlign w:val="center"/>
          </w:tcPr>
          <w:p w14:paraId="32815398">
            <w:pPr>
              <w:jc w:val="right"/>
              <w:rPr>
                <w:sz w:val="15"/>
                <w:szCs w:val="15"/>
              </w:rPr>
            </w:pPr>
          </w:p>
        </w:tc>
        <w:tc>
          <w:tcPr>
            <w:tcW w:w="461" w:type="pct"/>
            <w:vAlign w:val="center"/>
          </w:tcPr>
          <w:p w14:paraId="461B9FE6">
            <w:pPr>
              <w:jc w:val="right"/>
              <w:rPr>
                <w:sz w:val="15"/>
                <w:szCs w:val="15"/>
              </w:rPr>
            </w:pPr>
          </w:p>
        </w:tc>
        <w:tc>
          <w:tcPr>
            <w:tcW w:w="123" w:type="pct"/>
            <w:vAlign w:val="center"/>
          </w:tcPr>
          <w:p w14:paraId="57A9E389">
            <w:pPr>
              <w:jc w:val="right"/>
              <w:rPr>
                <w:sz w:val="15"/>
                <w:szCs w:val="15"/>
              </w:rPr>
            </w:pPr>
          </w:p>
        </w:tc>
        <w:tc>
          <w:tcPr>
            <w:tcW w:w="451" w:type="pct"/>
            <w:vAlign w:val="center"/>
          </w:tcPr>
          <w:p w14:paraId="6E61C79D">
            <w:pPr>
              <w:jc w:val="right"/>
              <w:rPr>
                <w:sz w:val="15"/>
                <w:szCs w:val="15"/>
              </w:rPr>
            </w:pPr>
          </w:p>
        </w:tc>
        <w:tc>
          <w:tcPr>
            <w:tcW w:w="426" w:type="pct"/>
            <w:gridSpan w:val="2"/>
            <w:vAlign w:val="center"/>
          </w:tcPr>
          <w:p w14:paraId="4EC34DC2">
            <w:pPr>
              <w:jc w:val="right"/>
              <w:rPr>
                <w:sz w:val="15"/>
                <w:szCs w:val="15"/>
              </w:rPr>
            </w:pPr>
          </w:p>
        </w:tc>
        <w:tc>
          <w:tcPr>
            <w:tcW w:w="459" w:type="pct"/>
            <w:gridSpan w:val="2"/>
            <w:vAlign w:val="center"/>
          </w:tcPr>
          <w:p w14:paraId="45EDC8B7">
            <w:pPr>
              <w:jc w:val="right"/>
              <w:rPr>
                <w:sz w:val="15"/>
                <w:szCs w:val="15"/>
              </w:rPr>
            </w:pPr>
          </w:p>
        </w:tc>
      </w:tr>
      <w:tr w14:paraId="67C9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Align w:val="center"/>
          </w:tcPr>
          <w:sdt>
            <w:sdtPr>
              <w:rPr>
                <w:sz w:val="15"/>
                <w:szCs w:val="15"/>
              </w:rPr>
              <w:tag w:val="_PLD_de42fced9d0547ecb946b8443ac4ea20"/>
              <w:id w:val="594280441"/>
            </w:sdtPr>
            <w:sdtEndPr>
              <w:rPr>
                <w:sz w:val="15"/>
                <w:szCs w:val="15"/>
              </w:rPr>
            </w:sdtEndPr>
            <w:sdtContent>
              <w:p w14:paraId="7BC4BA59">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6．其他</w:t>
                </w:r>
              </w:p>
            </w:sdtContent>
          </w:sdt>
        </w:tc>
        <w:tc>
          <w:tcPr>
            <w:tcW w:w="426" w:type="pct"/>
            <w:vAlign w:val="center"/>
          </w:tcPr>
          <w:p w14:paraId="4B4B1A1C">
            <w:pPr>
              <w:jc w:val="right"/>
              <w:rPr>
                <w:sz w:val="15"/>
                <w:szCs w:val="15"/>
              </w:rPr>
            </w:pPr>
          </w:p>
        </w:tc>
        <w:tc>
          <w:tcPr>
            <w:tcW w:w="123" w:type="pct"/>
            <w:vAlign w:val="center"/>
          </w:tcPr>
          <w:p w14:paraId="49DC176C">
            <w:pPr>
              <w:jc w:val="right"/>
              <w:rPr>
                <w:sz w:val="15"/>
                <w:szCs w:val="15"/>
              </w:rPr>
            </w:pPr>
          </w:p>
        </w:tc>
        <w:tc>
          <w:tcPr>
            <w:tcW w:w="123" w:type="pct"/>
            <w:vAlign w:val="center"/>
          </w:tcPr>
          <w:p w14:paraId="167F50AA">
            <w:pPr>
              <w:jc w:val="right"/>
              <w:rPr>
                <w:sz w:val="15"/>
                <w:szCs w:val="15"/>
              </w:rPr>
            </w:pPr>
          </w:p>
        </w:tc>
        <w:tc>
          <w:tcPr>
            <w:tcW w:w="124" w:type="pct"/>
            <w:vAlign w:val="center"/>
          </w:tcPr>
          <w:p w14:paraId="4FDDF240">
            <w:pPr>
              <w:jc w:val="right"/>
              <w:rPr>
                <w:sz w:val="15"/>
                <w:szCs w:val="15"/>
              </w:rPr>
            </w:pPr>
          </w:p>
        </w:tc>
        <w:tc>
          <w:tcPr>
            <w:tcW w:w="426" w:type="pct"/>
            <w:vAlign w:val="center"/>
          </w:tcPr>
          <w:p w14:paraId="5E974C6E">
            <w:pPr>
              <w:jc w:val="right"/>
              <w:rPr>
                <w:sz w:val="15"/>
                <w:szCs w:val="15"/>
              </w:rPr>
            </w:pPr>
          </w:p>
        </w:tc>
        <w:tc>
          <w:tcPr>
            <w:tcW w:w="388" w:type="pct"/>
            <w:vAlign w:val="center"/>
          </w:tcPr>
          <w:p w14:paraId="2FE1CD56">
            <w:pPr>
              <w:jc w:val="right"/>
              <w:rPr>
                <w:sz w:val="15"/>
                <w:szCs w:val="15"/>
              </w:rPr>
            </w:pPr>
          </w:p>
        </w:tc>
        <w:tc>
          <w:tcPr>
            <w:tcW w:w="454" w:type="pct"/>
            <w:vAlign w:val="center"/>
          </w:tcPr>
          <w:p w14:paraId="4305B82A">
            <w:pPr>
              <w:jc w:val="right"/>
              <w:rPr>
                <w:sz w:val="15"/>
                <w:szCs w:val="15"/>
              </w:rPr>
            </w:pPr>
          </w:p>
        </w:tc>
        <w:tc>
          <w:tcPr>
            <w:tcW w:w="123" w:type="pct"/>
            <w:vAlign w:val="center"/>
          </w:tcPr>
          <w:p w14:paraId="06399B76">
            <w:pPr>
              <w:jc w:val="right"/>
              <w:rPr>
                <w:sz w:val="15"/>
                <w:szCs w:val="15"/>
              </w:rPr>
            </w:pPr>
          </w:p>
        </w:tc>
        <w:tc>
          <w:tcPr>
            <w:tcW w:w="388" w:type="pct"/>
            <w:vAlign w:val="center"/>
          </w:tcPr>
          <w:p w14:paraId="26AAB8CE">
            <w:pPr>
              <w:jc w:val="right"/>
              <w:rPr>
                <w:sz w:val="15"/>
                <w:szCs w:val="15"/>
              </w:rPr>
            </w:pPr>
          </w:p>
        </w:tc>
        <w:tc>
          <w:tcPr>
            <w:tcW w:w="123" w:type="pct"/>
            <w:vAlign w:val="center"/>
          </w:tcPr>
          <w:p w14:paraId="23E15598">
            <w:pPr>
              <w:jc w:val="right"/>
              <w:rPr>
                <w:sz w:val="15"/>
                <w:szCs w:val="15"/>
              </w:rPr>
            </w:pPr>
          </w:p>
        </w:tc>
        <w:tc>
          <w:tcPr>
            <w:tcW w:w="461" w:type="pct"/>
            <w:vAlign w:val="center"/>
          </w:tcPr>
          <w:p w14:paraId="6C34D453">
            <w:pPr>
              <w:jc w:val="right"/>
              <w:rPr>
                <w:sz w:val="15"/>
                <w:szCs w:val="15"/>
              </w:rPr>
            </w:pPr>
          </w:p>
        </w:tc>
        <w:tc>
          <w:tcPr>
            <w:tcW w:w="123" w:type="pct"/>
            <w:vAlign w:val="center"/>
          </w:tcPr>
          <w:p w14:paraId="5C9D6102">
            <w:pPr>
              <w:jc w:val="right"/>
              <w:rPr>
                <w:sz w:val="15"/>
                <w:szCs w:val="15"/>
              </w:rPr>
            </w:pPr>
          </w:p>
        </w:tc>
        <w:tc>
          <w:tcPr>
            <w:tcW w:w="451" w:type="pct"/>
            <w:vAlign w:val="center"/>
          </w:tcPr>
          <w:p w14:paraId="22D78A42">
            <w:pPr>
              <w:jc w:val="right"/>
              <w:rPr>
                <w:sz w:val="15"/>
                <w:szCs w:val="15"/>
              </w:rPr>
            </w:pPr>
          </w:p>
        </w:tc>
        <w:tc>
          <w:tcPr>
            <w:tcW w:w="426" w:type="pct"/>
            <w:gridSpan w:val="2"/>
            <w:vAlign w:val="center"/>
          </w:tcPr>
          <w:p w14:paraId="63B6D76D">
            <w:pPr>
              <w:jc w:val="right"/>
              <w:rPr>
                <w:sz w:val="15"/>
                <w:szCs w:val="15"/>
              </w:rPr>
            </w:pPr>
          </w:p>
        </w:tc>
        <w:tc>
          <w:tcPr>
            <w:tcW w:w="459" w:type="pct"/>
            <w:gridSpan w:val="2"/>
            <w:vAlign w:val="center"/>
          </w:tcPr>
          <w:p w14:paraId="20222D77">
            <w:pPr>
              <w:jc w:val="right"/>
              <w:rPr>
                <w:sz w:val="15"/>
                <w:szCs w:val="15"/>
              </w:rPr>
            </w:pPr>
          </w:p>
        </w:tc>
      </w:tr>
      <w:tr w14:paraId="40A4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14d25c6e75074c52a0f884581cc84dba"/>
            <w:id w:val="1704750389"/>
          </w:sdtPr>
          <w:sdtEndPr>
            <w:rPr>
              <w:sz w:val="15"/>
              <w:szCs w:val="15"/>
            </w:rPr>
          </w:sdtEndPr>
          <w:sdtContent>
            <w:tc>
              <w:tcPr>
                <w:tcW w:w="382" w:type="pct"/>
                <w:vAlign w:val="center"/>
              </w:tcPr>
              <w:p w14:paraId="53A7F52C">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（五）专项储备</w:t>
                </w:r>
              </w:p>
            </w:tc>
          </w:sdtContent>
        </w:sdt>
        <w:tc>
          <w:tcPr>
            <w:tcW w:w="426" w:type="pct"/>
            <w:vAlign w:val="center"/>
          </w:tcPr>
          <w:p w14:paraId="109DE116">
            <w:pPr>
              <w:jc w:val="right"/>
              <w:rPr>
                <w:sz w:val="15"/>
                <w:szCs w:val="15"/>
              </w:rPr>
            </w:pPr>
          </w:p>
        </w:tc>
        <w:tc>
          <w:tcPr>
            <w:tcW w:w="123" w:type="pct"/>
            <w:vAlign w:val="center"/>
          </w:tcPr>
          <w:p w14:paraId="344085B8">
            <w:pPr>
              <w:jc w:val="right"/>
              <w:rPr>
                <w:sz w:val="15"/>
                <w:szCs w:val="15"/>
              </w:rPr>
            </w:pPr>
          </w:p>
        </w:tc>
        <w:tc>
          <w:tcPr>
            <w:tcW w:w="123" w:type="pct"/>
            <w:vAlign w:val="center"/>
          </w:tcPr>
          <w:p w14:paraId="082222AD">
            <w:pPr>
              <w:jc w:val="right"/>
              <w:rPr>
                <w:sz w:val="15"/>
                <w:szCs w:val="15"/>
              </w:rPr>
            </w:pPr>
          </w:p>
        </w:tc>
        <w:tc>
          <w:tcPr>
            <w:tcW w:w="124" w:type="pct"/>
            <w:vAlign w:val="center"/>
          </w:tcPr>
          <w:p w14:paraId="3055205C">
            <w:pPr>
              <w:jc w:val="right"/>
              <w:rPr>
                <w:sz w:val="15"/>
                <w:szCs w:val="15"/>
              </w:rPr>
            </w:pPr>
          </w:p>
        </w:tc>
        <w:tc>
          <w:tcPr>
            <w:tcW w:w="426" w:type="pct"/>
            <w:vAlign w:val="center"/>
          </w:tcPr>
          <w:p w14:paraId="5DC71BA9">
            <w:pPr>
              <w:jc w:val="right"/>
              <w:rPr>
                <w:sz w:val="15"/>
                <w:szCs w:val="15"/>
              </w:rPr>
            </w:pPr>
          </w:p>
        </w:tc>
        <w:tc>
          <w:tcPr>
            <w:tcW w:w="388" w:type="pct"/>
            <w:vAlign w:val="center"/>
          </w:tcPr>
          <w:p w14:paraId="7E7E7A77">
            <w:pPr>
              <w:jc w:val="right"/>
              <w:rPr>
                <w:sz w:val="15"/>
                <w:szCs w:val="15"/>
              </w:rPr>
            </w:pPr>
          </w:p>
        </w:tc>
        <w:tc>
          <w:tcPr>
            <w:tcW w:w="454" w:type="pct"/>
            <w:vAlign w:val="center"/>
          </w:tcPr>
          <w:p w14:paraId="2B932A0E">
            <w:pPr>
              <w:jc w:val="right"/>
              <w:rPr>
                <w:sz w:val="15"/>
                <w:szCs w:val="15"/>
              </w:rPr>
            </w:pPr>
          </w:p>
        </w:tc>
        <w:tc>
          <w:tcPr>
            <w:tcW w:w="123" w:type="pct"/>
            <w:vAlign w:val="center"/>
          </w:tcPr>
          <w:p w14:paraId="1D15E2AE">
            <w:pPr>
              <w:jc w:val="right"/>
              <w:rPr>
                <w:sz w:val="15"/>
                <w:szCs w:val="15"/>
              </w:rPr>
            </w:pPr>
          </w:p>
        </w:tc>
        <w:tc>
          <w:tcPr>
            <w:tcW w:w="388" w:type="pct"/>
            <w:vAlign w:val="center"/>
          </w:tcPr>
          <w:p w14:paraId="6DA99451">
            <w:pPr>
              <w:jc w:val="right"/>
              <w:rPr>
                <w:sz w:val="15"/>
                <w:szCs w:val="15"/>
              </w:rPr>
            </w:pPr>
          </w:p>
        </w:tc>
        <w:tc>
          <w:tcPr>
            <w:tcW w:w="123" w:type="pct"/>
            <w:vAlign w:val="center"/>
          </w:tcPr>
          <w:p w14:paraId="47FB16FA">
            <w:pPr>
              <w:jc w:val="right"/>
              <w:rPr>
                <w:sz w:val="15"/>
                <w:szCs w:val="15"/>
              </w:rPr>
            </w:pPr>
          </w:p>
        </w:tc>
        <w:tc>
          <w:tcPr>
            <w:tcW w:w="461" w:type="pct"/>
            <w:vAlign w:val="center"/>
          </w:tcPr>
          <w:p w14:paraId="21A34BBD">
            <w:pPr>
              <w:jc w:val="right"/>
              <w:rPr>
                <w:sz w:val="15"/>
                <w:szCs w:val="15"/>
              </w:rPr>
            </w:pPr>
          </w:p>
        </w:tc>
        <w:tc>
          <w:tcPr>
            <w:tcW w:w="123" w:type="pct"/>
            <w:vAlign w:val="center"/>
          </w:tcPr>
          <w:p w14:paraId="76C60606">
            <w:pPr>
              <w:jc w:val="right"/>
              <w:rPr>
                <w:sz w:val="15"/>
                <w:szCs w:val="15"/>
              </w:rPr>
            </w:pPr>
          </w:p>
        </w:tc>
        <w:tc>
          <w:tcPr>
            <w:tcW w:w="451" w:type="pct"/>
            <w:vAlign w:val="center"/>
          </w:tcPr>
          <w:p w14:paraId="56CE8A61">
            <w:pPr>
              <w:jc w:val="right"/>
              <w:rPr>
                <w:sz w:val="15"/>
                <w:szCs w:val="15"/>
              </w:rPr>
            </w:pPr>
          </w:p>
        </w:tc>
        <w:tc>
          <w:tcPr>
            <w:tcW w:w="426" w:type="pct"/>
            <w:gridSpan w:val="2"/>
            <w:vAlign w:val="center"/>
          </w:tcPr>
          <w:p w14:paraId="2402D72F">
            <w:pPr>
              <w:jc w:val="right"/>
              <w:rPr>
                <w:sz w:val="15"/>
                <w:szCs w:val="15"/>
              </w:rPr>
            </w:pPr>
          </w:p>
        </w:tc>
        <w:tc>
          <w:tcPr>
            <w:tcW w:w="459" w:type="pct"/>
            <w:gridSpan w:val="2"/>
            <w:vAlign w:val="center"/>
          </w:tcPr>
          <w:p w14:paraId="2D7B92AF">
            <w:pPr>
              <w:jc w:val="right"/>
              <w:rPr>
                <w:sz w:val="15"/>
                <w:szCs w:val="15"/>
              </w:rPr>
            </w:pPr>
          </w:p>
        </w:tc>
      </w:tr>
      <w:tr w14:paraId="5F32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672c666008dd4adfa2ab5933e9cd1671"/>
            <w:id w:val="-381329634"/>
          </w:sdtPr>
          <w:sdtEndPr>
            <w:rPr>
              <w:sz w:val="15"/>
              <w:szCs w:val="15"/>
            </w:rPr>
          </w:sdtEndPr>
          <w:sdtContent>
            <w:tc>
              <w:tcPr>
                <w:tcW w:w="382" w:type="pct"/>
                <w:vAlign w:val="center"/>
              </w:tcPr>
              <w:p w14:paraId="62F7B6C9">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1．本期提取</w:t>
                </w:r>
              </w:p>
            </w:tc>
          </w:sdtContent>
        </w:sdt>
        <w:tc>
          <w:tcPr>
            <w:tcW w:w="426" w:type="pct"/>
            <w:vAlign w:val="center"/>
          </w:tcPr>
          <w:p w14:paraId="53ACE6FE">
            <w:pPr>
              <w:jc w:val="right"/>
              <w:rPr>
                <w:sz w:val="15"/>
                <w:szCs w:val="15"/>
              </w:rPr>
            </w:pPr>
          </w:p>
        </w:tc>
        <w:tc>
          <w:tcPr>
            <w:tcW w:w="123" w:type="pct"/>
            <w:vAlign w:val="center"/>
          </w:tcPr>
          <w:p w14:paraId="0B7EB8B2">
            <w:pPr>
              <w:jc w:val="right"/>
              <w:rPr>
                <w:sz w:val="15"/>
                <w:szCs w:val="15"/>
              </w:rPr>
            </w:pPr>
          </w:p>
        </w:tc>
        <w:tc>
          <w:tcPr>
            <w:tcW w:w="123" w:type="pct"/>
            <w:vAlign w:val="center"/>
          </w:tcPr>
          <w:p w14:paraId="6FB2BFAF">
            <w:pPr>
              <w:jc w:val="right"/>
              <w:rPr>
                <w:sz w:val="15"/>
                <w:szCs w:val="15"/>
              </w:rPr>
            </w:pPr>
          </w:p>
        </w:tc>
        <w:tc>
          <w:tcPr>
            <w:tcW w:w="124" w:type="pct"/>
            <w:vAlign w:val="center"/>
          </w:tcPr>
          <w:p w14:paraId="2D0749ED">
            <w:pPr>
              <w:jc w:val="right"/>
              <w:rPr>
                <w:sz w:val="15"/>
                <w:szCs w:val="15"/>
              </w:rPr>
            </w:pPr>
          </w:p>
        </w:tc>
        <w:tc>
          <w:tcPr>
            <w:tcW w:w="426" w:type="pct"/>
            <w:vAlign w:val="center"/>
          </w:tcPr>
          <w:p w14:paraId="1F1117C4">
            <w:pPr>
              <w:jc w:val="right"/>
              <w:rPr>
                <w:sz w:val="15"/>
                <w:szCs w:val="15"/>
              </w:rPr>
            </w:pPr>
          </w:p>
        </w:tc>
        <w:tc>
          <w:tcPr>
            <w:tcW w:w="388" w:type="pct"/>
            <w:vAlign w:val="center"/>
          </w:tcPr>
          <w:p w14:paraId="508CBE2A">
            <w:pPr>
              <w:jc w:val="right"/>
              <w:rPr>
                <w:sz w:val="15"/>
                <w:szCs w:val="15"/>
              </w:rPr>
            </w:pPr>
          </w:p>
        </w:tc>
        <w:tc>
          <w:tcPr>
            <w:tcW w:w="454" w:type="pct"/>
            <w:vAlign w:val="center"/>
          </w:tcPr>
          <w:p w14:paraId="4F655471">
            <w:pPr>
              <w:jc w:val="right"/>
              <w:rPr>
                <w:sz w:val="15"/>
                <w:szCs w:val="15"/>
              </w:rPr>
            </w:pPr>
          </w:p>
        </w:tc>
        <w:tc>
          <w:tcPr>
            <w:tcW w:w="123" w:type="pct"/>
            <w:vAlign w:val="center"/>
          </w:tcPr>
          <w:p w14:paraId="64B6C7F8">
            <w:pPr>
              <w:jc w:val="right"/>
              <w:rPr>
                <w:sz w:val="15"/>
                <w:szCs w:val="15"/>
              </w:rPr>
            </w:pPr>
          </w:p>
        </w:tc>
        <w:tc>
          <w:tcPr>
            <w:tcW w:w="388" w:type="pct"/>
            <w:vAlign w:val="center"/>
          </w:tcPr>
          <w:p w14:paraId="5F6E0065">
            <w:pPr>
              <w:jc w:val="right"/>
              <w:rPr>
                <w:sz w:val="15"/>
                <w:szCs w:val="15"/>
              </w:rPr>
            </w:pPr>
          </w:p>
        </w:tc>
        <w:tc>
          <w:tcPr>
            <w:tcW w:w="123" w:type="pct"/>
            <w:vAlign w:val="center"/>
          </w:tcPr>
          <w:p w14:paraId="1D9BA9A9">
            <w:pPr>
              <w:jc w:val="right"/>
              <w:rPr>
                <w:sz w:val="15"/>
                <w:szCs w:val="15"/>
              </w:rPr>
            </w:pPr>
          </w:p>
        </w:tc>
        <w:tc>
          <w:tcPr>
            <w:tcW w:w="461" w:type="pct"/>
            <w:vAlign w:val="center"/>
          </w:tcPr>
          <w:p w14:paraId="400E30B6">
            <w:pPr>
              <w:jc w:val="right"/>
              <w:rPr>
                <w:sz w:val="15"/>
                <w:szCs w:val="15"/>
              </w:rPr>
            </w:pPr>
          </w:p>
        </w:tc>
        <w:tc>
          <w:tcPr>
            <w:tcW w:w="123" w:type="pct"/>
            <w:vAlign w:val="center"/>
          </w:tcPr>
          <w:p w14:paraId="41065F0C">
            <w:pPr>
              <w:jc w:val="right"/>
              <w:rPr>
                <w:sz w:val="15"/>
                <w:szCs w:val="15"/>
              </w:rPr>
            </w:pPr>
          </w:p>
        </w:tc>
        <w:tc>
          <w:tcPr>
            <w:tcW w:w="451" w:type="pct"/>
            <w:vAlign w:val="center"/>
          </w:tcPr>
          <w:p w14:paraId="7C0A40C6">
            <w:pPr>
              <w:jc w:val="right"/>
              <w:rPr>
                <w:sz w:val="15"/>
                <w:szCs w:val="15"/>
              </w:rPr>
            </w:pPr>
          </w:p>
        </w:tc>
        <w:tc>
          <w:tcPr>
            <w:tcW w:w="426" w:type="pct"/>
            <w:gridSpan w:val="2"/>
            <w:vAlign w:val="center"/>
          </w:tcPr>
          <w:p w14:paraId="30A2AD33">
            <w:pPr>
              <w:jc w:val="right"/>
              <w:rPr>
                <w:sz w:val="15"/>
                <w:szCs w:val="15"/>
              </w:rPr>
            </w:pPr>
          </w:p>
        </w:tc>
        <w:tc>
          <w:tcPr>
            <w:tcW w:w="459" w:type="pct"/>
            <w:gridSpan w:val="2"/>
            <w:vAlign w:val="center"/>
          </w:tcPr>
          <w:p w14:paraId="3FF8DECB">
            <w:pPr>
              <w:jc w:val="right"/>
              <w:rPr>
                <w:sz w:val="15"/>
                <w:szCs w:val="15"/>
              </w:rPr>
            </w:pPr>
          </w:p>
        </w:tc>
      </w:tr>
      <w:tr w14:paraId="0978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810ec2533aac40f59079e8e8d20e52c3"/>
            <w:id w:val="1183093796"/>
          </w:sdtPr>
          <w:sdtEndPr>
            <w:rPr>
              <w:sz w:val="15"/>
              <w:szCs w:val="15"/>
            </w:rPr>
          </w:sdtEndPr>
          <w:sdtContent>
            <w:tc>
              <w:tcPr>
                <w:tcW w:w="382" w:type="pct"/>
                <w:vAlign w:val="center"/>
              </w:tcPr>
              <w:p w14:paraId="5EDB1765">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2．本期使用</w:t>
                </w:r>
              </w:p>
            </w:tc>
          </w:sdtContent>
        </w:sdt>
        <w:tc>
          <w:tcPr>
            <w:tcW w:w="426" w:type="pct"/>
            <w:vAlign w:val="center"/>
          </w:tcPr>
          <w:p w14:paraId="671D153E">
            <w:pPr>
              <w:jc w:val="right"/>
              <w:rPr>
                <w:sz w:val="15"/>
                <w:szCs w:val="15"/>
              </w:rPr>
            </w:pPr>
          </w:p>
        </w:tc>
        <w:tc>
          <w:tcPr>
            <w:tcW w:w="123" w:type="pct"/>
            <w:vAlign w:val="center"/>
          </w:tcPr>
          <w:p w14:paraId="019B069C">
            <w:pPr>
              <w:jc w:val="right"/>
              <w:rPr>
                <w:sz w:val="15"/>
                <w:szCs w:val="15"/>
              </w:rPr>
            </w:pPr>
          </w:p>
        </w:tc>
        <w:tc>
          <w:tcPr>
            <w:tcW w:w="123" w:type="pct"/>
            <w:vAlign w:val="center"/>
          </w:tcPr>
          <w:p w14:paraId="507233AF">
            <w:pPr>
              <w:jc w:val="right"/>
              <w:rPr>
                <w:sz w:val="15"/>
                <w:szCs w:val="15"/>
              </w:rPr>
            </w:pPr>
          </w:p>
        </w:tc>
        <w:tc>
          <w:tcPr>
            <w:tcW w:w="124" w:type="pct"/>
            <w:vAlign w:val="center"/>
          </w:tcPr>
          <w:p w14:paraId="593BA1C8">
            <w:pPr>
              <w:jc w:val="right"/>
              <w:rPr>
                <w:sz w:val="15"/>
                <w:szCs w:val="15"/>
              </w:rPr>
            </w:pPr>
          </w:p>
        </w:tc>
        <w:tc>
          <w:tcPr>
            <w:tcW w:w="426" w:type="pct"/>
            <w:vAlign w:val="center"/>
          </w:tcPr>
          <w:p w14:paraId="03CC6B4A">
            <w:pPr>
              <w:jc w:val="right"/>
              <w:rPr>
                <w:sz w:val="15"/>
                <w:szCs w:val="15"/>
              </w:rPr>
            </w:pPr>
          </w:p>
        </w:tc>
        <w:tc>
          <w:tcPr>
            <w:tcW w:w="388" w:type="pct"/>
            <w:vAlign w:val="center"/>
          </w:tcPr>
          <w:p w14:paraId="573A7C21">
            <w:pPr>
              <w:jc w:val="right"/>
              <w:rPr>
                <w:sz w:val="15"/>
                <w:szCs w:val="15"/>
              </w:rPr>
            </w:pPr>
          </w:p>
        </w:tc>
        <w:tc>
          <w:tcPr>
            <w:tcW w:w="454" w:type="pct"/>
            <w:vAlign w:val="center"/>
          </w:tcPr>
          <w:p w14:paraId="7AD18C35">
            <w:pPr>
              <w:jc w:val="right"/>
              <w:rPr>
                <w:sz w:val="15"/>
                <w:szCs w:val="15"/>
              </w:rPr>
            </w:pPr>
          </w:p>
        </w:tc>
        <w:tc>
          <w:tcPr>
            <w:tcW w:w="123" w:type="pct"/>
            <w:vAlign w:val="center"/>
          </w:tcPr>
          <w:p w14:paraId="5D899A49">
            <w:pPr>
              <w:jc w:val="right"/>
              <w:rPr>
                <w:sz w:val="15"/>
                <w:szCs w:val="15"/>
              </w:rPr>
            </w:pPr>
          </w:p>
        </w:tc>
        <w:tc>
          <w:tcPr>
            <w:tcW w:w="388" w:type="pct"/>
            <w:vAlign w:val="center"/>
          </w:tcPr>
          <w:p w14:paraId="785EE987">
            <w:pPr>
              <w:jc w:val="right"/>
              <w:rPr>
                <w:sz w:val="15"/>
                <w:szCs w:val="15"/>
              </w:rPr>
            </w:pPr>
          </w:p>
        </w:tc>
        <w:tc>
          <w:tcPr>
            <w:tcW w:w="123" w:type="pct"/>
            <w:vAlign w:val="center"/>
          </w:tcPr>
          <w:p w14:paraId="21E358CF">
            <w:pPr>
              <w:jc w:val="right"/>
              <w:rPr>
                <w:sz w:val="15"/>
                <w:szCs w:val="15"/>
              </w:rPr>
            </w:pPr>
          </w:p>
        </w:tc>
        <w:tc>
          <w:tcPr>
            <w:tcW w:w="461" w:type="pct"/>
            <w:vAlign w:val="center"/>
          </w:tcPr>
          <w:p w14:paraId="17DFD332">
            <w:pPr>
              <w:jc w:val="right"/>
              <w:rPr>
                <w:sz w:val="15"/>
                <w:szCs w:val="15"/>
              </w:rPr>
            </w:pPr>
          </w:p>
        </w:tc>
        <w:tc>
          <w:tcPr>
            <w:tcW w:w="123" w:type="pct"/>
            <w:vAlign w:val="center"/>
          </w:tcPr>
          <w:p w14:paraId="30F02A79">
            <w:pPr>
              <w:jc w:val="right"/>
              <w:rPr>
                <w:sz w:val="15"/>
                <w:szCs w:val="15"/>
              </w:rPr>
            </w:pPr>
          </w:p>
        </w:tc>
        <w:tc>
          <w:tcPr>
            <w:tcW w:w="451" w:type="pct"/>
            <w:vAlign w:val="center"/>
          </w:tcPr>
          <w:p w14:paraId="0BD8E994">
            <w:pPr>
              <w:jc w:val="right"/>
              <w:rPr>
                <w:sz w:val="15"/>
                <w:szCs w:val="15"/>
              </w:rPr>
            </w:pPr>
          </w:p>
        </w:tc>
        <w:tc>
          <w:tcPr>
            <w:tcW w:w="426" w:type="pct"/>
            <w:gridSpan w:val="2"/>
            <w:vAlign w:val="center"/>
          </w:tcPr>
          <w:p w14:paraId="72CE95E9">
            <w:pPr>
              <w:jc w:val="right"/>
              <w:rPr>
                <w:sz w:val="15"/>
                <w:szCs w:val="15"/>
              </w:rPr>
            </w:pPr>
          </w:p>
        </w:tc>
        <w:tc>
          <w:tcPr>
            <w:tcW w:w="459" w:type="pct"/>
            <w:gridSpan w:val="2"/>
            <w:vAlign w:val="center"/>
          </w:tcPr>
          <w:p w14:paraId="734FA4CF">
            <w:pPr>
              <w:jc w:val="right"/>
              <w:rPr>
                <w:sz w:val="15"/>
                <w:szCs w:val="15"/>
              </w:rPr>
            </w:pPr>
          </w:p>
        </w:tc>
      </w:tr>
      <w:tr w14:paraId="3EB8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f4bc69f9c7d34151a4b7a0d89088f0ee"/>
            <w:id w:val="-1975050913"/>
          </w:sdtPr>
          <w:sdtEndPr>
            <w:rPr>
              <w:sz w:val="15"/>
              <w:szCs w:val="15"/>
            </w:rPr>
          </w:sdtEndPr>
          <w:sdtContent>
            <w:tc>
              <w:tcPr>
                <w:tcW w:w="382" w:type="pct"/>
                <w:vAlign w:val="center"/>
              </w:tcPr>
              <w:p w14:paraId="25AC9FDE">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（六）其他</w:t>
                </w:r>
              </w:p>
            </w:tc>
          </w:sdtContent>
        </w:sdt>
        <w:tc>
          <w:tcPr>
            <w:tcW w:w="426" w:type="pct"/>
            <w:vAlign w:val="center"/>
          </w:tcPr>
          <w:p w14:paraId="0322211F">
            <w:pPr>
              <w:jc w:val="right"/>
              <w:rPr>
                <w:sz w:val="15"/>
                <w:szCs w:val="15"/>
              </w:rPr>
            </w:pPr>
          </w:p>
        </w:tc>
        <w:tc>
          <w:tcPr>
            <w:tcW w:w="123" w:type="pct"/>
            <w:vAlign w:val="center"/>
          </w:tcPr>
          <w:p w14:paraId="0AC68D0A">
            <w:pPr>
              <w:jc w:val="right"/>
              <w:rPr>
                <w:sz w:val="15"/>
                <w:szCs w:val="15"/>
              </w:rPr>
            </w:pPr>
          </w:p>
        </w:tc>
        <w:tc>
          <w:tcPr>
            <w:tcW w:w="123" w:type="pct"/>
            <w:vAlign w:val="center"/>
          </w:tcPr>
          <w:p w14:paraId="65FC7A73">
            <w:pPr>
              <w:jc w:val="right"/>
              <w:rPr>
                <w:sz w:val="15"/>
                <w:szCs w:val="15"/>
              </w:rPr>
            </w:pPr>
          </w:p>
        </w:tc>
        <w:tc>
          <w:tcPr>
            <w:tcW w:w="124" w:type="pct"/>
            <w:vAlign w:val="center"/>
          </w:tcPr>
          <w:p w14:paraId="4001DE2A">
            <w:pPr>
              <w:jc w:val="right"/>
              <w:rPr>
                <w:sz w:val="15"/>
                <w:szCs w:val="15"/>
              </w:rPr>
            </w:pPr>
          </w:p>
        </w:tc>
        <w:tc>
          <w:tcPr>
            <w:tcW w:w="426" w:type="pct"/>
            <w:vAlign w:val="center"/>
          </w:tcPr>
          <w:p w14:paraId="39F9DF6C">
            <w:pPr>
              <w:jc w:val="right"/>
              <w:rPr>
                <w:sz w:val="15"/>
                <w:szCs w:val="15"/>
              </w:rPr>
            </w:pPr>
          </w:p>
        </w:tc>
        <w:tc>
          <w:tcPr>
            <w:tcW w:w="388" w:type="pct"/>
            <w:vAlign w:val="center"/>
          </w:tcPr>
          <w:p w14:paraId="1C663B29">
            <w:pPr>
              <w:jc w:val="right"/>
              <w:rPr>
                <w:sz w:val="15"/>
                <w:szCs w:val="15"/>
              </w:rPr>
            </w:pPr>
          </w:p>
        </w:tc>
        <w:tc>
          <w:tcPr>
            <w:tcW w:w="454" w:type="pct"/>
            <w:vAlign w:val="center"/>
          </w:tcPr>
          <w:p w14:paraId="6C36740D">
            <w:pPr>
              <w:jc w:val="right"/>
              <w:rPr>
                <w:sz w:val="15"/>
                <w:szCs w:val="15"/>
              </w:rPr>
            </w:pPr>
          </w:p>
        </w:tc>
        <w:tc>
          <w:tcPr>
            <w:tcW w:w="123" w:type="pct"/>
            <w:vAlign w:val="center"/>
          </w:tcPr>
          <w:p w14:paraId="549E6F0D">
            <w:pPr>
              <w:jc w:val="right"/>
              <w:rPr>
                <w:sz w:val="15"/>
                <w:szCs w:val="15"/>
              </w:rPr>
            </w:pPr>
          </w:p>
        </w:tc>
        <w:tc>
          <w:tcPr>
            <w:tcW w:w="388" w:type="pct"/>
            <w:vAlign w:val="center"/>
          </w:tcPr>
          <w:p w14:paraId="7A661ED7">
            <w:pPr>
              <w:jc w:val="right"/>
              <w:rPr>
                <w:sz w:val="15"/>
                <w:szCs w:val="15"/>
              </w:rPr>
            </w:pPr>
          </w:p>
        </w:tc>
        <w:tc>
          <w:tcPr>
            <w:tcW w:w="123" w:type="pct"/>
            <w:vAlign w:val="center"/>
          </w:tcPr>
          <w:p w14:paraId="21A36FCE">
            <w:pPr>
              <w:jc w:val="right"/>
              <w:rPr>
                <w:sz w:val="15"/>
                <w:szCs w:val="15"/>
              </w:rPr>
            </w:pPr>
          </w:p>
        </w:tc>
        <w:tc>
          <w:tcPr>
            <w:tcW w:w="461" w:type="pct"/>
            <w:vAlign w:val="center"/>
          </w:tcPr>
          <w:p w14:paraId="50DE5667">
            <w:pPr>
              <w:jc w:val="right"/>
              <w:rPr>
                <w:sz w:val="15"/>
                <w:szCs w:val="15"/>
              </w:rPr>
            </w:pPr>
          </w:p>
        </w:tc>
        <w:tc>
          <w:tcPr>
            <w:tcW w:w="123" w:type="pct"/>
            <w:vAlign w:val="center"/>
          </w:tcPr>
          <w:p w14:paraId="0F4D9C11">
            <w:pPr>
              <w:jc w:val="right"/>
              <w:rPr>
                <w:sz w:val="15"/>
                <w:szCs w:val="15"/>
              </w:rPr>
            </w:pPr>
          </w:p>
        </w:tc>
        <w:tc>
          <w:tcPr>
            <w:tcW w:w="451" w:type="pct"/>
            <w:vAlign w:val="center"/>
          </w:tcPr>
          <w:p w14:paraId="25717F63">
            <w:pPr>
              <w:jc w:val="right"/>
              <w:rPr>
                <w:sz w:val="15"/>
                <w:szCs w:val="15"/>
              </w:rPr>
            </w:pPr>
          </w:p>
        </w:tc>
        <w:tc>
          <w:tcPr>
            <w:tcW w:w="426" w:type="pct"/>
            <w:gridSpan w:val="2"/>
            <w:vAlign w:val="center"/>
          </w:tcPr>
          <w:p w14:paraId="0A0A44D6">
            <w:pPr>
              <w:jc w:val="right"/>
              <w:rPr>
                <w:sz w:val="15"/>
                <w:szCs w:val="15"/>
              </w:rPr>
            </w:pPr>
          </w:p>
        </w:tc>
        <w:tc>
          <w:tcPr>
            <w:tcW w:w="459" w:type="pct"/>
            <w:gridSpan w:val="2"/>
            <w:vAlign w:val="center"/>
          </w:tcPr>
          <w:p w14:paraId="6E468BE0">
            <w:pPr>
              <w:jc w:val="right"/>
              <w:rPr>
                <w:sz w:val="15"/>
                <w:szCs w:val="15"/>
              </w:rPr>
            </w:pPr>
          </w:p>
        </w:tc>
      </w:tr>
      <w:tr w14:paraId="01D5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033ca7ec3c1d4c1b905d0af57ca8a614"/>
            <w:id w:val="449820803"/>
          </w:sdtPr>
          <w:sdtEndPr>
            <w:rPr>
              <w:sz w:val="15"/>
              <w:szCs w:val="15"/>
            </w:rPr>
          </w:sdtEndPr>
          <w:sdtContent>
            <w:tc>
              <w:tcPr>
                <w:tcW w:w="382" w:type="pct"/>
                <w:vAlign w:val="center"/>
              </w:tcPr>
              <w:p w14:paraId="5DA6076F">
                <w:pPr>
                  <w:jc w:val="right"/>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四、本期期末余额</w:t>
                </w:r>
              </w:p>
            </w:tc>
          </w:sdtContent>
        </w:sdt>
        <w:tc>
          <w:tcPr>
            <w:tcW w:w="426" w:type="pct"/>
            <w:vAlign w:val="center"/>
          </w:tcPr>
          <w:p w14:paraId="1352CFF1">
            <w:pPr>
              <w:jc w:val="right"/>
              <w:rPr>
                <w:sz w:val="15"/>
                <w:szCs w:val="15"/>
              </w:rPr>
            </w:pPr>
            <w:r>
              <w:rPr>
                <w:sz w:val="15"/>
                <w:szCs w:val="15"/>
              </w:rPr>
              <w:t>4,521,100,071.00</w:t>
            </w:r>
          </w:p>
        </w:tc>
        <w:tc>
          <w:tcPr>
            <w:tcW w:w="123" w:type="pct"/>
            <w:vAlign w:val="center"/>
          </w:tcPr>
          <w:p w14:paraId="035C29DF">
            <w:pPr>
              <w:jc w:val="right"/>
              <w:rPr>
                <w:sz w:val="15"/>
                <w:szCs w:val="15"/>
              </w:rPr>
            </w:pPr>
            <w:r>
              <w:rPr>
                <w:sz w:val="15"/>
                <w:szCs w:val="15"/>
              </w:rPr>
              <w:t>-</w:t>
            </w:r>
          </w:p>
        </w:tc>
        <w:tc>
          <w:tcPr>
            <w:tcW w:w="123" w:type="pct"/>
            <w:vAlign w:val="center"/>
          </w:tcPr>
          <w:p w14:paraId="2B3B81E1">
            <w:pPr>
              <w:jc w:val="right"/>
              <w:rPr>
                <w:rFonts w:eastAsia="Times New Roman" w:cs="Times New Roman"/>
                <w:sz w:val="15"/>
                <w:szCs w:val="15"/>
              </w:rPr>
            </w:pPr>
            <w:r>
              <w:rPr>
                <w:sz w:val="15"/>
                <w:szCs w:val="15"/>
              </w:rPr>
              <w:t>-</w:t>
            </w:r>
          </w:p>
        </w:tc>
        <w:tc>
          <w:tcPr>
            <w:tcW w:w="124" w:type="pct"/>
            <w:vAlign w:val="center"/>
          </w:tcPr>
          <w:p w14:paraId="063C6CFA">
            <w:pPr>
              <w:jc w:val="right"/>
              <w:rPr>
                <w:rFonts w:eastAsia="Times New Roman" w:cs="Times New Roman"/>
                <w:sz w:val="15"/>
                <w:szCs w:val="15"/>
              </w:rPr>
            </w:pPr>
            <w:r>
              <w:rPr>
                <w:sz w:val="15"/>
                <w:szCs w:val="15"/>
              </w:rPr>
              <w:t>-</w:t>
            </w:r>
          </w:p>
        </w:tc>
        <w:tc>
          <w:tcPr>
            <w:tcW w:w="426" w:type="pct"/>
            <w:vAlign w:val="center"/>
          </w:tcPr>
          <w:p w14:paraId="52F0338A">
            <w:pPr>
              <w:jc w:val="right"/>
              <w:rPr>
                <w:rFonts w:ascii="宋体" w:hAnsi="宋体"/>
                <w:sz w:val="15"/>
                <w:szCs w:val="15"/>
              </w:rPr>
            </w:pPr>
            <w:r>
              <w:rPr>
                <w:sz w:val="15"/>
                <w:szCs w:val="15"/>
              </w:rPr>
              <w:t>8,643,001,174.57</w:t>
            </w:r>
          </w:p>
        </w:tc>
        <w:tc>
          <w:tcPr>
            <w:tcW w:w="388" w:type="pct"/>
            <w:vAlign w:val="center"/>
          </w:tcPr>
          <w:p w14:paraId="73574785">
            <w:pPr>
              <w:jc w:val="right"/>
              <w:rPr>
                <w:sz w:val="15"/>
                <w:szCs w:val="15"/>
              </w:rPr>
            </w:pPr>
            <w:r>
              <w:rPr>
                <w:sz w:val="15"/>
                <w:szCs w:val="15"/>
              </w:rPr>
              <w:t>133,881,025.00</w:t>
            </w:r>
          </w:p>
        </w:tc>
        <w:tc>
          <w:tcPr>
            <w:tcW w:w="454" w:type="pct"/>
            <w:vAlign w:val="center"/>
          </w:tcPr>
          <w:p w14:paraId="206CBE19">
            <w:pPr>
              <w:jc w:val="right"/>
              <w:rPr>
                <w:sz w:val="15"/>
                <w:szCs w:val="15"/>
              </w:rPr>
            </w:pPr>
            <w:r>
              <w:rPr>
                <w:sz w:val="15"/>
                <w:szCs w:val="15"/>
              </w:rPr>
              <w:t>-147,376,035.36</w:t>
            </w:r>
          </w:p>
        </w:tc>
        <w:tc>
          <w:tcPr>
            <w:tcW w:w="123" w:type="pct"/>
            <w:vAlign w:val="center"/>
          </w:tcPr>
          <w:p w14:paraId="5C764A93">
            <w:pPr>
              <w:jc w:val="right"/>
              <w:rPr>
                <w:sz w:val="15"/>
                <w:szCs w:val="15"/>
              </w:rPr>
            </w:pPr>
            <w:r>
              <w:rPr>
                <w:sz w:val="15"/>
                <w:szCs w:val="15"/>
              </w:rPr>
              <w:t>-</w:t>
            </w:r>
          </w:p>
        </w:tc>
        <w:tc>
          <w:tcPr>
            <w:tcW w:w="388" w:type="pct"/>
            <w:vAlign w:val="center"/>
          </w:tcPr>
          <w:p w14:paraId="2BE8E1B5">
            <w:pPr>
              <w:jc w:val="right"/>
              <w:rPr>
                <w:rFonts w:ascii="宋体" w:hAnsi="宋体"/>
                <w:sz w:val="15"/>
                <w:szCs w:val="15"/>
              </w:rPr>
            </w:pPr>
            <w:r>
              <w:rPr>
                <w:sz w:val="15"/>
                <w:szCs w:val="15"/>
              </w:rPr>
              <w:t>426,993,753.64</w:t>
            </w:r>
          </w:p>
        </w:tc>
        <w:tc>
          <w:tcPr>
            <w:tcW w:w="123" w:type="pct"/>
            <w:vAlign w:val="center"/>
          </w:tcPr>
          <w:p w14:paraId="17E6F994">
            <w:pPr>
              <w:jc w:val="right"/>
              <w:rPr>
                <w:sz w:val="15"/>
                <w:szCs w:val="15"/>
              </w:rPr>
            </w:pPr>
            <w:r>
              <w:rPr>
                <w:sz w:val="15"/>
                <w:szCs w:val="15"/>
              </w:rPr>
              <w:t>-</w:t>
            </w:r>
          </w:p>
        </w:tc>
        <w:tc>
          <w:tcPr>
            <w:tcW w:w="461" w:type="pct"/>
            <w:vAlign w:val="center"/>
          </w:tcPr>
          <w:p w14:paraId="496336A4">
            <w:pPr>
              <w:jc w:val="right"/>
              <w:rPr>
                <w:rFonts w:ascii="宋体" w:hAnsi="宋体"/>
                <w:sz w:val="15"/>
                <w:szCs w:val="15"/>
              </w:rPr>
            </w:pPr>
            <w:r>
              <w:rPr>
                <w:sz w:val="15"/>
                <w:szCs w:val="15"/>
              </w:rPr>
              <w:t>-2,755,900,481.79</w:t>
            </w:r>
          </w:p>
        </w:tc>
        <w:tc>
          <w:tcPr>
            <w:tcW w:w="123" w:type="pct"/>
            <w:vAlign w:val="center"/>
          </w:tcPr>
          <w:p w14:paraId="6D398BB5">
            <w:pPr>
              <w:jc w:val="right"/>
              <w:rPr>
                <w:sz w:val="15"/>
                <w:szCs w:val="15"/>
              </w:rPr>
            </w:pPr>
          </w:p>
        </w:tc>
        <w:tc>
          <w:tcPr>
            <w:tcW w:w="451" w:type="pct"/>
            <w:vAlign w:val="center"/>
          </w:tcPr>
          <w:p w14:paraId="5D6037C5">
            <w:pPr>
              <w:jc w:val="right"/>
              <w:rPr>
                <w:rFonts w:ascii="宋体" w:hAnsi="宋体"/>
                <w:sz w:val="15"/>
                <w:szCs w:val="15"/>
              </w:rPr>
            </w:pPr>
            <w:r>
              <w:rPr>
                <w:sz w:val="15"/>
                <w:szCs w:val="15"/>
              </w:rPr>
              <w:t>10,553,937,457.06</w:t>
            </w:r>
          </w:p>
        </w:tc>
        <w:tc>
          <w:tcPr>
            <w:tcW w:w="426" w:type="pct"/>
            <w:gridSpan w:val="2"/>
            <w:vAlign w:val="center"/>
          </w:tcPr>
          <w:p w14:paraId="64515B20">
            <w:pPr>
              <w:jc w:val="right"/>
              <w:rPr>
                <w:sz w:val="15"/>
                <w:szCs w:val="15"/>
              </w:rPr>
            </w:pPr>
            <w:r>
              <w:rPr>
                <w:sz w:val="15"/>
                <w:szCs w:val="15"/>
              </w:rPr>
              <w:t>1,008,124,603.93</w:t>
            </w:r>
          </w:p>
        </w:tc>
        <w:tc>
          <w:tcPr>
            <w:tcW w:w="459" w:type="pct"/>
            <w:gridSpan w:val="2"/>
            <w:vAlign w:val="center"/>
          </w:tcPr>
          <w:p w14:paraId="47A536E0">
            <w:pPr>
              <w:jc w:val="right"/>
              <w:rPr>
                <w:sz w:val="15"/>
                <w:szCs w:val="15"/>
              </w:rPr>
            </w:pPr>
            <w:r>
              <w:rPr>
                <w:sz w:val="15"/>
                <w:szCs w:val="15"/>
              </w:rPr>
              <w:t>11,562,062,060.99</w:t>
            </w:r>
          </w:p>
        </w:tc>
      </w:tr>
    </w:tbl>
    <w:p w14:paraId="299D38BF">
      <w:pPr>
        <w:snapToGrid w:val="0"/>
        <w:spacing w:line="240" w:lineRule="atLeast"/>
        <w:ind w:right="-1594" w:rightChars="-759"/>
        <w:jc w:val="right"/>
        <w:rPr>
          <w:color w:val="000000" w:themeColor="text1"/>
          <w14:textFill>
            <w14:solidFill>
              <w14:schemeClr w14:val="tx1"/>
            </w14:solidFill>
          </w14:textFill>
        </w:rPr>
      </w:pPr>
    </w:p>
    <w:tbl>
      <w:tblPr>
        <w:tblStyle w:val="37"/>
        <w:tblW w:w="5368" w:type="pct"/>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286"/>
        <w:gridCol w:w="372"/>
        <w:gridCol w:w="372"/>
        <w:gridCol w:w="372"/>
        <w:gridCol w:w="1286"/>
        <w:gridCol w:w="1395"/>
        <w:gridCol w:w="1373"/>
        <w:gridCol w:w="372"/>
        <w:gridCol w:w="1174"/>
        <w:gridCol w:w="372"/>
        <w:gridCol w:w="1398"/>
        <w:gridCol w:w="372"/>
        <w:gridCol w:w="1364"/>
        <w:gridCol w:w="24"/>
        <w:gridCol w:w="1265"/>
        <w:gridCol w:w="24"/>
        <w:gridCol w:w="1628"/>
      </w:tblGrid>
      <w:tr w14:paraId="6BED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Merge w:val="restart"/>
            <w:vAlign w:val="center"/>
          </w:tcPr>
          <w:sdt>
            <w:sdtPr>
              <w:rPr>
                <w:sz w:val="15"/>
                <w:szCs w:val="15"/>
              </w:rPr>
              <w:tag w:val="_PLD_20eb9c9dd1e14fb0a0790f87b63a489d"/>
              <w:id w:val="-431754881"/>
            </w:sdtPr>
            <w:sdtEndPr>
              <w:rPr>
                <w:sz w:val="15"/>
                <w:szCs w:val="15"/>
              </w:rPr>
            </w:sdtEndPr>
            <w:sdtContent>
              <w:p w14:paraId="273ADCBA">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项目</w:t>
                </w:r>
              </w:p>
            </w:sdtContent>
          </w:sdt>
        </w:tc>
        <w:tc>
          <w:tcPr>
            <w:tcW w:w="4776" w:type="pct"/>
            <w:gridSpan w:val="17"/>
            <w:vAlign w:val="center"/>
          </w:tcPr>
          <w:p w14:paraId="4C018283">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w:t>
            </w:r>
            <w:sdt>
              <w:sdtPr>
                <w:rPr>
                  <w:sz w:val="15"/>
                  <w:szCs w:val="15"/>
                </w:rPr>
                <w:tag w:val="_PLD_95c0e6e5f75a49daa1b601f67b7dd704"/>
                <w:id w:val="76258796"/>
              </w:sdtPr>
              <w:sdtEndPr>
                <w:rPr>
                  <w:sz w:val="15"/>
                  <w:szCs w:val="15"/>
                </w:rPr>
              </w:sdtEndPr>
              <w:sdtContent>
                <w:r>
                  <w:rPr>
                    <w:rFonts w:hint="eastAsia"/>
                    <w:color w:val="000000" w:themeColor="text1"/>
                    <w:sz w:val="15"/>
                    <w:szCs w:val="15"/>
                    <w14:textFill>
                      <w14:solidFill>
                        <w14:schemeClr w14:val="tx1"/>
                      </w14:solidFill>
                    </w14:textFill>
                  </w:rPr>
                  <w:t>2024年半年度</w:t>
                </w:r>
              </w:sdtContent>
            </w:sdt>
          </w:p>
        </w:tc>
      </w:tr>
      <w:tr w14:paraId="7432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4" w:type="pct"/>
            <w:vMerge w:val="continue"/>
            <w:vAlign w:val="center"/>
          </w:tcPr>
          <w:p w14:paraId="6C085299">
            <w:pPr>
              <w:snapToGrid w:val="0"/>
              <w:spacing w:line="240" w:lineRule="atLeast"/>
              <w:ind w:right="-1594" w:rightChars="-759"/>
              <w:rPr>
                <w:color w:val="000000" w:themeColor="text1"/>
                <w:sz w:val="15"/>
                <w:szCs w:val="15"/>
                <w14:textFill>
                  <w14:solidFill>
                    <w14:schemeClr w14:val="tx1"/>
                  </w14:solidFill>
                </w14:textFill>
              </w:rPr>
            </w:pPr>
          </w:p>
        </w:tc>
        <w:sdt>
          <w:sdtPr>
            <w:rPr>
              <w:sz w:val="15"/>
              <w:szCs w:val="15"/>
            </w:rPr>
            <w:tag w:val="_PLD_3c5d65171933469ea16eac46afc03a54"/>
            <w:id w:val="-720448451"/>
          </w:sdtPr>
          <w:sdtEndPr>
            <w:rPr>
              <w:sz w:val="15"/>
              <w:szCs w:val="15"/>
            </w:rPr>
          </w:sdtEndPr>
          <w:sdtContent>
            <w:tc>
              <w:tcPr>
                <w:tcW w:w="3812" w:type="pct"/>
                <w:gridSpan w:val="14"/>
                <w:vAlign w:val="center"/>
              </w:tcPr>
              <w:p w14:paraId="545615EF">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归属于母公司所有者权益</w:t>
                </w:r>
              </w:p>
            </w:tc>
          </w:sdtContent>
        </w:sdt>
        <w:sdt>
          <w:sdtPr>
            <w:rPr>
              <w:sz w:val="15"/>
              <w:szCs w:val="15"/>
            </w:rPr>
            <w:tag w:val="_PLD_ba7b1c99b1634f48939c500d6c46ce09"/>
            <w:id w:val="-1742481062"/>
          </w:sdtPr>
          <w:sdtEndPr>
            <w:rPr>
              <w:sz w:val="15"/>
              <w:szCs w:val="15"/>
            </w:rPr>
          </w:sdtEndPr>
          <w:sdtContent>
            <w:tc>
              <w:tcPr>
                <w:tcW w:w="426" w:type="pct"/>
                <w:gridSpan w:val="2"/>
                <w:vAlign w:val="center"/>
              </w:tcPr>
              <w:p w14:paraId="2294C0ED">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少数股东权益</w:t>
                </w:r>
              </w:p>
            </w:tc>
          </w:sdtContent>
        </w:sdt>
        <w:sdt>
          <w:sdtPr>
            <w:rPr>
              <w:sz w:val="15"/>
              <w:szCs w:val="15"/>
            </w:rPr>
            <w:tag w:val="_PLD_fb367567c5f141a5863649df07435b71"/>
            <w:id w:val="-1453318091"/>
          </w:sdtPr>
          <w:sdtEndPr>
            <w:rPr>
              <w:sz w:val="15"/>
              <w:szCs w:val="15"/>
            </w:rPr>
          </w:sdtEndPr>
          <w:sdtContent>
            <w:tc>
              <w:tcPr>
                <w:tcW w:w="538" w:type="pct"/>
                <w:vAlign w:val="center"/>
              </w:tcPr>
              <w:p w14:paraId="3A2267C0">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所有者权益合计</w:t>
                </w:r>
              </w:p>
            </w:tc>
          </w:sdtContent>
        </w:sdt>
      </w:tr>
      <w:tr w14:paraId="5183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24" w:type="pct"/>
            <w:vMerge w:val="continue"/>
            <w:vAlign w:val="center"/>
          </w:tcPr>
          <w:p w14:paraId="18D9414D">
            <w:pPr>
              <w:snapToGrid w:val="0"/>
              <w:spacing w:line="240" w:lineRule="atLeast"/>
              <w:ind w:right="-1594" w:rightChars="-759"/>
              <w:rPr>
                <w:color w:val="000000" w:themeColor="text1"/>
                <w:sz w:val="15"/>
                <w:szCs w:val="15"/>
                <w14:textFill>
                  <w14:solidFill>
                    <w14:schemeClr w14:val="tx1"/>
                  </w14:solidFill>
                </w14:textFill>
              </w:rPr>
            </w:pPr>
          </w:p>
        </w:tc>
        <w:sdt>
          <w:sdtPr>
            <w:rPr>
              <w:sz w:val="15"/>
              <w:szCs w:val="15"/>
            </w:rPr>
            <w:tag w:val="_PLD_36b3a5c009c04b53b0bd25afc2596e7e"/>
            <w:id w:val="-608902779"/>
          </w:sdtPr>
          <w:sdtEndPr>
            <w:rPr>
              <w:sz w:val="15"/>
              <w:szCs w:val="15"/>
            </w:rPr>
          </w:sdtEndPr>
          <w:sdtContent>
            <w:tc>
              <w:tcPr>
                <w:tcW w:w="425" w:type="pct"/>
                <w:vMerge w:val="restart"/>
                <w:vAlign w:val="center"/>
              </w:tcPr>
              <w:p w14:paraId="1C20EF6D">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实收资本</w:t>
                </w:r>
                <w:r>
                  <w:rPr>
                    <w:color w:val="000000" w:themeColor="text1"/>
                    <w:sz w:val="15"/>
                    <w:szCs w:val="15"/>
                    <w14:textFill>
                      <w14:solidFill>
                        <w14:schemeClr w14:val="tx1"/>
                      </w14:solidFill>
                    </w14:textFill>
                  </w:rPr>
                  <w:t>(或股本)</w:t>
                </w:r>
              </w:p>
            </w:tc>
          </w:sdtContent>
        </w:sdt>
        <w:sdt>
          <w:sdtPr>
            <w:rPr>
              <w:sz w:val="15"/>
              <w:szCs w:val="15"/>
            </w:rPr>
            <w:tag w:val="_PLD_c0579a9940424a129a85d26955bb30bc"/>
            <w:id w:val="574632761"/>
          </w:sdtPr>
          <w:sdtEndPr>
            <w:rPr>
              <w:sz w:val="15"/>
              <w:szCs w:val="15"/>
            </w:rPr>
          </w:sdtEndPr>
          <w:sdtContent>
            <w:tc>
              <w:tcPr>
                <w:tcW w:w="369" w:type="pct"/>
                <w:gridSpan w:val="3"/>
                <w:vAlign w:val="center"/>
              </w:tcPr>
              <w:p w14:paraId="1B24539E">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其他权益工具</w:t>
                </w:r>
              </w:p>
            </w:tc>
          </w:sdtContent>
        </w:sdt>
        <w:sdt>
          <w:sdtPr>
            <w:rPr>
              <w:sz w:val="15"/>
              <w:szCs w:val="15"/>
            </w:rPr>
            <w:tag w:val="_PLD_f728bf12d1d64c4fa04dfc828a7a0411"/>
            <w:id w:val="1428627998"/>
          </w:sdtPr>
          <w:sdtEndPr>
            <w:rPr>
              <w:sz w:val="15"/>
              <w:szCs w:val="15"/>
            </w:rPr>
          </w:sdtEndPr>
          <w:sdtContent>
            <w:tc>
              <w:tcPr>
                <w:tcW w:w="425" w:type="pct"/>
                <w:vMerge w:val="restart"/>
                <w:vAlign w:val="center"/>
              </w:tcPr>
              <w:p w14:paraId="1EF99363">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资本公积</w:t>
                </w:r>
              </w:p>
            </w:tc>
          </w:sdtContent>
        </w:sdt>
        <w:sdt>
          <w:sdtPr>
            <w:rPr>
              <w:sz w:val="15"/>
              <w:szCs w:val="15"/>
            </w:rPr>
            <w:tag w:val="_PLD_8c191e0685ac4367b113504c484a11e9"/>
            <w:id w:val="372733616"/>
          </w:sdtPr>
          <w:sdtEndPr>
            <w:rPr>
              <w:sz w:val="15"/>
              <w:szCs w:val="15"/>
            </w:rPr>
          </w:sdtEndPr>
          <w:sdtContent>
            <w:tc>
              <w:tcPr>
                <w:tcW w:w="461" w:type="pct"/>
                <w:vMerge w:val="restart"/>
                <w:vAlign w:val="center"/>
              </w:tcPr>
              <w:p w14:paraId="6E8626B6">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减：库存股</w:t>
                </w:r>
              </w:p>
            </w:tc>
          </w:sdtContent>
        </w:sdt>
        <w:sdt>
          <w:sdtPr>
            <w:rPr>
              <w:sz w:val="15"/>
              <w:szCs w:val="15"/>
            </w:rPr>
            <w:tag w:val="_PLD_68ae3206209542ea8491f40d49bafeb7"/>
            <w:id w:val="-1797828365"/>
          </w:sdtPr>
          <w:sdtEndPr>
            <w:rPr>
              <w:sz w:val="15"/>
              <w:szCs w:val="15"/>
            </w:rPr>
          </w:sdtEndPr>
          <w:sdtContent>
            <w:tc>
              <w:tcPr>
                <w:tcW w:w="454" w:type="pct"/>
                <w:vMerge w:val="restart"/>
                <w:vAlign w:val="center"/>
              </w:tcPr>
              <w:p w14:paraId="1EF931E4">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其他综合收益</w:t>
                </w:r>
              </w:p>
            </w:tc>
          </w:sdtContent>
        </w:sdt>
        <w:sdt>
          <w:sdtPr>
            <w:rPr>
              <w:sz w:val="15"/>
              <w:szCs w:val="15"/>
            </w:rPr>
            <w:tag w:val="_PLD_6402f064d7a041d58973d8b8205096d0"/>
            <w:id w:val="-750273227"/>
          </w:sdtPr>
          <w:sdtEndPr>
            <w:rPr>
              <w:sz w:val="15"/>
              <w:szCs w:val="15"/>
            </w:rPr>
          </w:sdtEndPr>
          <w:sdtContent>
            <w:tc>
              <w:tcPr>
                <w:tcW w:w="123" w:type="pct"/>
                <w:vMerge w:val="restart"/>
                <w:vAlign w:val="center"/>
              </w:tcPr>
              <w:p w14:paraId="677C9BCA">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专项储备</w:t>
                </w:r>
              </w:p>
            </w:tc>
          </w:sdtContent>
        </w:sdt>
        <w:sdt>
          <w:sdtPr>
            <w:rPr>
              <w:sz w:val="15"/>
              <w:szCs w:val="15"/>
            </w:rPr>
            <w:tag w:val="_PLD_b1d22d8686164205bfa14ef647cebfcd"/>
            <w:id w:val="-14234078"/>
          </w:sdtPr>
          <w:sdtEndPr>
            <w:rPr>
              <w:sz w:val="15"/>
              <w:szCs w:val="15"/>
            </w:rPr>
          </w:sdtEndPr>
          <w:sdtContent>
            <w:tc>
              <w:tcPr>
                <w:tcW w:w="388" w:type="pct"/>
                <w:vMerge w:val="restart"/>
                <w:vAlign w:val="center"/>
              </w:tcPr>
              <w:p w14:paraId="3940D8D8">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盈余公积</w:t>
                </w:r>
              </w:p>
            </w:tc>
          </w:sdtContent>
        </w:sdt>
        <w:sdt>
          <w:sdtPr>
            <w:rPr>
              <w:sz w:val="15"/>
              <w:szCs w:val="15"/>
            </w:rPr>
            <w:tag w:val="_PLD_c5c57d0195b14864b413898a9c76e89d"/>
            <w:id w:val="1739826896"/>
          </w:sdtPr>
          <w:sdtEndPr>
            <w:rPr>
              <w:sz w:val="15"/>
              <w:szCs w:val="15"/>
            </w:rPr>
          </w:sdtEndPr>
          <w:sdtContent>
            <w:tc>
              <w:tcPr>
                <w:tcW w:w="123" w:type="pct"/>
                <w:vMerge w:val="restart"/>
                <w:vAlign w:val="center"/>
              </w:tcPr>
              <w:p w14:paraId="0DD4FD6A">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一般风险准备</w:t>
                </w:r>
              </w:p>
            </w:tc>
          </w:sdtContent>
        </w:sdt>
        <w:sdt>
          <w:sdtPr>
            <w:rPr>
              <w:sz w:val="15"/>
              <w:szCs w:val="15"/>
            </w:rPr>
            <w:tag w:val="_PLD_c9bffd2027d24ca1955db036ad79f5ea"/>
            <w:id w:val="-423723352"/>
          </w:sdtPr>
          <w:sdtEndPr>
            <w:rPr>
              <w:sz w:val="15"/>
              <w:szCs w:val="15"/>
            </w:rPr>
          </w:sdtEndPr>
          <w:sdtContent>
            <w:tc>
              <w:tcPr>
                <w:tcW w:w="462" w:type="pct"/>
                <w:vMerge w:val="restart"/>
                <w:vAlign w:val="center"/>
              </w:tcPr>
              <w:p w14:paraId="59E97EE3">
                <w:pPr>
                  <w:snapToGrid w:val="0"/>
                  <w:spacing w:line="240" w:lineRule="atLeast"/>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未分配利润</w:t>
                </w:r>
              </w:p>
            </w:tc>
          </w:sdtContent>
        </w:sdt>
        <w:tc>
          <w:tcPr>
            <w:tcW w:w="123" w:type="pct"/>
            <w:vMerge w:val="restart"/>
            <w:vAlign w:val="center"/>
          </w:tcPr>
          <w:sdt>
            <w:sdtPr>
              <w:rPr>
                <w:sz w:val="15"/>
                <w:szCs w:val="15"/>
              </w:rPr>
              <w:tag w:val="_PLD_de6da1e2128f48e49564e44af75ff7ab"/>
              <w:id w:val="1239209981"/>
            </w:sdtPr>
            <w:sdtEndPr>
              <w:rPr>
                <w:sz w:val="15"/>
                <w:szCs w:val="15"/>
              </w:rPr>
            </w:sdtEndPr>
            <w:sdtContent>
              <w:sdt>
                <w:sdtPr>
                  <w:rPr>
                    <w:sz w:val="15"/>
                    <w:szCs w:val="15"/>
                  </w:rPr>
                  <w:tag w:val="_PLD_ff5e808cf3794086a9aee4c489a9f6eb"/>
                  <w:id w:val="1168525771"/>
                </w:sdtPr>
                <w:sdtEndPr>
                  <w:rPr>
                    <w:sz w:val="15"/>
                    <w:szCs w:val="15"/>
                  </w:rPr>
                </w:sdtEndPr>
                <w:sdtContent>
                  <w:p w14:paraId="32857CD0">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sdtContent>
              </w:sdt>
            </w:sdtContent>
          </w:sdt>
        </w:tc>
        <w:tc>
          <w:tcPr>
            <w:tcW w:w="451" w:type="pct"/>
            <w:vMerge w:val="restart"/>
            <w:vAlign w:val="center"/>
          </w:tcPr>
          <w:sdt>
            <w:sdtPr>
              <w:rPr>
                <w:sz w:val="15"/>
                <w:szCs w:val="15"/>
              </w:rPr>
              <w:tag w:val="_PLD_e6df9793a438430a8df9730b2cdd8a99"/>
              <w:id w:val="1612091561"/>
            </w:sdtPr>
            <w:sdtEndPr>
              <w:rPr>
                <w:sz w:val="15"/>
                <w:szCs w:val="15"/>
              </w:rPr>
            </w:sdtEndPr>
            <w:sdtContent>
              <w:p w14:paraId="766516EA">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小计</w:t>
                </w:r>
              </w:p>
            </w:sdtContent>
          </w:sdt>
        </w:tc>
        <w:tc>
          <w:tcPr>
            <w:tcW w:w="426" w:type="pct"/>
            <w:gridSpan w:val="2"/>
            <w:vMerge w:val="restart"/>
            <w:vAlign w:val="center"/>
          </w:tcPr>
          <w:p w14:paraId="5FCD822A">
            <w:pPr>
              <w:jc w:val="center"/>
              <w:rPr>
                <w:color w:val="000000" w:themeColor="text1"/>
                <w:sz w:val="15"/>
                <w:szCs w:val="15"/>
                <w14:textFill>
                  <w14:solidFill>
                    <w14:schemeClr w14:val="tx1"/>
                  </w14:solidFill>
                </w14:textFill>
              </w:rPr>
            </w:pPr>
          </w:p>
        </w:tc>
        <w:tc>
          <w:tcPr>
            <w:tcW w:w="547" w:type="pct"/>
            <w:gridSpan w:val="2"/>
            <w:vMerge w:val="restart"/>
            <w:vAlign w:val="center"/>
          </w:tcPr>
          <w:p w14:paraId="155D6161">
            <w:pPr>
              <w:jc w:val="center"/>
              <w:rPr>
                <w:color w:val="000000" w:themeColor="text1"/>
                <w:sz w:val="15"/>
                <w:szCs w:val="15"/>
                <w14:textFill>
                  <w14:solidFill>
                    <w14:schemeClr w14:val="tx1"/>
                  </w14:solidFill>
                </w14:textFill>
              </w:rPr>
            </w:pPr>
          </w:p>
        </w:tc>
      </w:tr>
      <w:tr w14:paraId="2556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24" w:type="pct"/>
            <w:vMerge w:val="continue"/>
            <w:vAlign w:val="center"/>
          </w:tcPr>
          <w:p w14:paraId="51EBA085">
            <w:pPr>
              <w:snapToGrid w:val="0"/>
              <w:spacing w:line="240" w:lineRule="atLeast"/>
              <w:ind w:right="-1594" w:rightChars="-759"/>
              <w:rPr>
                <w:color w:val="000000" w:themeColor="text1"/>
                <w:sz w:val="15"/>
                <w:szCs w:val="15"/>
                <w14:textFill>
                  <w14:solidFill>
                    <w14:schemeClr w14:val="tx1"/>
                  </w14:solidFill>
                </w14:textFill>
              </w:rPr>
            </w:pPr>
          </w:p>
        </w:tc>
        <w:tc>
          <w:tcPr>
            <w:tcW w:w="425" w:type="pct"/>
            <w:vMerge w:val="continue"/>
            <w:vAlign w:val="center"/>
          </w:tcPr>
          <w:p w14:paraId="71A493DD">
            <w:pPr>
              <w:snapToGrid w:val="0"/>
              <w:spacing w:line="240" w:lineRule="atLeast"/>
              <w:jc w:val="center"/>
              <w:rPr>
                <w:color w:val="000000" w:themeColor="text1"/>
                <w:sz w:val="15"/>
                <w:szCs w:val="15"/>
                <w14:textFill>
                  <w14:solidFill>
                    <w14:schemeClr w14:val="tx1"/>
                  </w14:solidFill>
                </w14:textFill>
              </w:rPr>
            </w:pPr>
          </w:p>
        </w:tc>
        <w:sdt>
          <w:sdtPr>
            <w:rPr>
              <w:sz w:val="15"/>
              <w:szCs w:val="15"/>
            </w:rPr>
            <w:tag w:val="_PLD_052ae87eff474159aaedec0c5ce4bb50"/>
            <w:id w:val="-189301581"/>
          </w:sdtPr>
          <w:sdtEndPr>
            <w:rPr>
              <w:sz w:val="15"/>
              <w:szCs w:val="15"/>
            </w:rPr>
          </w:sdtEndPr>
          <w:sdtContent>
            <w:tc>
              <w:tcPr>
                <w:tcW w:w="123" w:type="pct"/>
                <w:vAlign w:val="center"/>
              </w:tcPr>
              <w:p w14:paraId="0CEC13A2">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优先股</w:t>
                </w:r>
              </w:p>
            </w:tc>
          </w:sdtContent>
        </w:sdt>
        <w:sdt>
          <w:sdtPr>
            <w:rPr>
              <w:sz w:val="15"/>
              <w:szCs w:val="15"/>
            </w:rPr>
            <w:tag w:val="_PLD_f40d311f528a48d8a47457e11ad5ccd5"/>
            <w:id w:val="1194657496"/>
          </w:sdtPr>
          <w:sdtEndPr>
            <w:rPr>
              <w:sz w:val="15"/>
              <w:szCs w:val="15"/>
            </w:rPr>
          </w:sdtEndPr>
          <w:sdtContent>
            <w:tc>
              <w:tcPr>
                <w:tcW w:w="123" w:type="pct"/>
                <w:vAlign w:val="center"/>
              </w:tcPr>
              <w:p w14:paraId="3DE4FF80">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永续债</w:t>
                </w:r>
              </w:p>
            </w:tc>
          </w:sdtContent>
        </w:sdt>
        <w:sdt>
          <w:sdtPr>
            <w:rPr>
              <w:sz w:val="15"/>
              <w:szCs w:val="15"/>
            </w:rPr>
            <w:tag w:val="_PLD_90f98adf8eaf44078005d57f570c4291"/>
            <w:id w:val="-680582878"/>
          </w:sdtPr>
          <w:sdtEndPr>
            <w:rPr>
              <w:sz w:val="15"/>
              <w:szCs w:val="15"/>
            </w:rPr>
          </w:sdtEndPr>
          <w:sdtContent>
            <w:tc>
              <w:tcPr>
                <w:tcW w:w="123" w:type="pct"/>
                <w:vAlign w:val="center"/>
              </w:tcPr>
              <w:p w14:paraId="61555456">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tc>
          </w:sdtContent>
        </w:sdt>
        <w:tc>
          <w:tcPr>
            <w:tcW w:w="425" w:type="pct"/>
            <w:vMerge w:val="continue"/>
            <w:vAlign w:val="center"/>
          </w:tcPr>
          <w:p w14:paraId="490CA08E">
            <w:pPr>
              <w:snapToGrid w:val="0"/>
              <w:spacing w:line="240" w:lineRule="atLeast"/>
              <w:jc w:val="center"/>
              <w:rPr>
                <w:color w:val="000000" w:themeColor="text1"/>
                <w:sz w:val="15"/>
                <w:szCs w:val="15"/>
                <w14:textFill>
                  <w14:solidFill>
                    <w14:schemeClr w14:val="tx1"/>
                  </w14:solidFill>
                </w14:textFill>
              </w:rPr>
            </w:pPr>
          </w:p>
        </w:tc>
        <w:tc>
          <w:tcPr>
            <w:tcW w:w="461" w:type="pct"/>
            <w:vMerge w:val="continue"/>
            <w:vAlign w:val="center"/>
          </w:tcPr>
          <w:p w14:paraId="0296B10A">
            <w:pPr>
              <w:snapToGrid w:val="0"/>
              <w:spacing w:line="240" w:lineRule="atLeast"/>
              <w:jc w:val="center"/>
              <w:rPr>
                <w:color w:val="000000" w:themeColor="text1"/>
                <w:sz w:val="15"/>
                <w:szCs w:val="15"/>
                <w14:textFill>
                  <w14:solidFill>
                    <w14:schemeClr w14:val="tx1"/>
                  </w14:solidFill>
                </w14:textFill>
              </w:rPr>
            </w:pPr>
          </w:p>
        </w:tc>
        <w:tc>
          <w:tcPr>
            <w:tcW w:w="454" w:type="pct"/>
            <w:vMerge w:val="continue"/>
            <w:vAlign w:val="center"/>
          </w:tcPr>
          <w:p w14:paraId="492778E2">
            <w:pPr>
              <w:snapToGrid w:val="0"/>
              <w:spacing w:line="240" w:lineRule="atLeast"/>
              <w:jc w:val="center"/>
              <w:rPr>
                <w:color w:val="000000" w:themeColor="text1"/>
                <w:sz w:val="15"/>
                <w:szCs w:val="15"/>
                <w14:textFill>
                  <w14:solidFill>
                    <w14:schemeClr w14:val="tx1"/>
                  </w14:solidFill>
                </w14:textFill>
              </w:rPr>
            </w:pPr>
          </w:p>
        </w:tc>
        <w:tc>
          <w:tcPr>
            <w:tcW w:w="123" w:type="pct"/>
            <w:vMerge w:val="continue"/>
            <w:vAlign w:val="center"/>
          </w:tcPr>
          <w:p w14:paraId="20642465">
            <w:pPr>
              <w:snapToGrid w:val="0"/>
              <w:spacing w:line="240" w:lineRule="atLeast"/>
              <w:jc w:val="center"/>
              <w:rPr>
                <w:color w:val="000000" w:themeColor="text1"/>
                <w:sz w:val="15"/>
                <w:szCs w:val="15"/>
                <w14:textFill>
                  <w14:solidFill>
                    <w14:schemeClr w14:val="tx1"/>
                  </w14:solidFill>
                </w14:textFill>
              </w:rPr>
            </w:pPr>
          </w:p>
        </w:tc>
        <w:tc>
          <w:tcPr>
            <w:tcW w:w="388" w:type="pct"/>
            <w:vMerge w:val="continue"/>
            <w:vAlign w:val="center"/>
          </w:tcPr>
          <w:p w14:paraId="363B8837">
            <w:pPr>
              <w:snapToGrid w:val="0"/>
              <w:spacing w:line="240" w:lineRule="atLeast"/>
              <w:jc w:val="center"/>
              <w:rPr>
                <w:color w:val="000000" w:themeColor="text1"/>
                <w:sz w:val="15"/>
                <w:szCs w:val="15"/>
                <w14:textFill>
                  <w14:solidFill>
                    <w14:schemeClr w14:val="tx1"/>
                  </w14:solidFill>
                </w14:textFill>
              </w:rPr>
            </w:pPr>
          </w:p>
        </w:tc>
        <w:tc>
          <w:tcPr>
            <w:tcW w:w="123" w:type="pct"/>
            <w:vMerge w:val="continue"/>
            <w:vAlign w:val="center"/>
          </w:tcPr>
          <w:p w14:paraId="38CC2FB6">
            <w:pPr>
              <w:snapToGrid w:val="0"/>
              <w:spacing w:line="240" w:lineRule="atLeast"/>
              <w:jc w:val="center"/>
              <w:rPr>
                <w:color w:val="000000" w:themeColor="text1"/>
                <w:sz w:val="15"/>
                <w:szCs w:val="15"/>
                <w14:textFill>
                  <w14:solidFill>
                    <w14:schemeClr w14:val="tx1"/>
                  </w14:solidFill>
                </w14:textFill>
              </w:rPr>
            </w:pPr>
          </w:p>
        </w:tc>
        <w:tc>
          <w:tcPr>
            <w:tcW w:w="462" w:type="pct"/>
            <w:vMerge w:val="continue"/>
            <w:vAlign w:val="center"/>
          </w:tcPr>
          <w:p w14:paraId="1A0FC214">
            <w:pPr>
              <w:snapToGrid w:val="0"/>
              <w:spacing w:line="240" w:lineRule="atLeast"/>
              <w:jc w:val="center"/>
              <w:rPr>
                <w:color w:val="000000" w:themeColor="text1"/>
                <w:sz w:val="15"/>
                <w:szCs w:val="15"/>
                <w14:textFill>
                  <w14:solidFill>
                    <w14:schemeClr w14:val="tx1"/>
                  </w14:solidFill>
                </w14:textFill>
              </w:rPr>
            </w:pPr>
          </w:p>
        </w:tc>
        <w:tc>
          <w:tcPr>
            <w:tcW w:w="123" w:type="pct"/>
            <w:vMerge w:val="continue"/>
            <w:vAlign w:val="center"/>
          </w:tcPr>
          <w:p w14:paraId="62111343">
            <w:pPr>
              <w:jc w:val="center"/>
              <w:rPr>
                <w:color w:val="000000" w:themeColor="text1"/>
                <w:sz w:val="15"/>
                <w:szCs w:val="15"/>
                <w14:textFill>
                  <w14:solidFill>
                    <w14:schemeClr w14:val="tx1"/>
                  </w14:solidFill>
                </w14:textFill>
              </w:rPr>
            </w:pPr>
          </w:p>
        </w:tc>
        <w:tc>
          <w:tcPr>
            <w:tcW w:w="451" w:type="pct"/>
            <w:vMerge w:val="continue"/>
            <w:vAlign w:val="center"/>
          </w:tcPr>
          <w:p w14:paraId="5D443077">
            <w:pPr>
              <w:jc w:val="center"/>
              <w:rPr>
                <w:color w:val="000000" w:themeColor="text1"/>
                <w:sz w:val="15"/>
                <w:szCs w:val="15"/>
                <w14:textFill>
                  <w14:solidFill>
                    <w14:schemeClr w14:val="tx1"/>
                  </w14:solidFill>
                </w14:textFill>
              </w:rPr>
            </w:pPr>
          </w:p>
        </w:tc>
        <w:tc>
          <w:tcPr>
            <w:tcW w:w="426" w:type="pct"/>
            <w:gridSpan w:val="2"/>
            <w:vMerge w:val="continue"/>
            <w:vAlign w:val="center"/>
          </w:tcPr>
          <w:p w14:paraId="03D15DA6">
            <w:pPr>
              <w:jc w:val="center"/>
              <w:rPr>
                <w:color w:val="000000" w:themeColor="text1"/>
                <w:sz w:val="15"/>
                <w:szCs w:val="15"/>
                <w14:textFill>
                  <w14:solidFill>
                    <w14:schemeClr w14:val="tx1"/>
                  </w14:solidFill>
                </w14:textFill>
              </w:rPr>
            </w:pPr>
          </w:p>
        </w:tc>
        <w:tc>
          <w:tcPr>
            <w:tcW w:w="547" w:type="pct"/>
            <w:gridSpan w:val="2"/>
            <w:vMerge w:val="continue"/>
            <w:tcBorders>
              <w:bottom w:val="nil"/>
            </w:tcBorders>
            <w:vAlign w:val="center"/>
          </w:tcPr>
          <w:p w14:paraId="51E97644">
            <w:pPr>
              <w:jc w:val="center"/>
              <w:rPr>
                <w:color w:val="000000" w:themeColor="text1"/>
                <w:sz w:val="15"/>
                <w:szCs w:val="15"/>
                <w14:textFill>
                  <w14:solidFill>
                    <w14:schemeClr w14:val="tx1"/>
                  </w14:solidFill>
                </w14:textFill>
              </w:rPr>
            </w:pPr>
          </w:p>
        </w:tc>
      </w:tr>
      <w:tr w14:paraId="7440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7e9607e7cfb34d74bf0fce08e0866d34"/>
            <w:id w:val="1670285487"/>
          </w:sdtPr>
          <w:sdtEndPr>
            <w:rPr>
              <w:sz w:val="15"/>
              <w:szCs w:val="15"/>
            </w:rPr>
          </w:sdtEndPr>
          <w:sdtContent>
            <w:tc>
              <w:tcPr>
                <w:tcW w:w="224" w:type="pct"/>
                <w:vAlign w:val="center"/>
              </w:tcPr>
              <w:p w14:paraId="34872CD7">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一、上年</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末余额</w:t>
                </w:r>
              </w:p>
            </w:tc>
          </w:sdtContent>
        </w:sdt>
        <w:tc>
          <w:tcPr>
            <w:tcW w:w="425" w:type="pct"/>
            <w:vAlign w:val="center"/>
          </w:tcPr>
          <w:p w14:paraId="43EC5E60">
            <w:pPr>
              <w:jc w:val="right"/>
              <w:rPr>
                <w:sz w:val="15"/>
                <w:szCs w:val="15"/>
              </w:rPr>
            </w:pPr>
            <w:r>
              <w:rPr>
                <w:sz w:val="15"/>
                <w:szCs w:val="15"/>
              </w:rPr>
              <w:t>4,571,523,000.00</w:t>
            </w:r>
          </w:p>
        </w:tc>
        <w:tc>
          <w:tcPr>
            <w:tcW w:w="123" w:type="pct"/>
            <w:vAlign w:val="center"/>
          </w:tcPr>
          <w:p w14:paraId="1C2BE22C">
            <w:pPr>
              <w:jc w:val="right"/>
              <w:rPr>
                <w:sz w:val="15"/>
                <w:szCs w:val="15"/>
              </w:rPr>
            </w:pPr>
          </w:p>
        </w:tc>
        <w:tc>
          <w:tcPr>
            <w:tcW w:w="123" w:type="pct"/>
            <w:vAlign w:val="center"/>
          </w:tcPr>
          <w:p w14:paraId="190B5410">
            <w:pPr>
              <w:jc w:val="right"/>
              <w:rPr>
                <w:rFonts w:eastAsia="Times New Roman" w:cs="Times New Roman"/>
                <w:sz w:val="15"/>
                <w:szCs w:val="15"/>
              </w:rPr>
            </w:pPr>
          </w:p>
        </w:tc>
        <w:tc>
          <w:tcPr>
            <w:tcW w:w="123" w:type="pct"/>
            <w:vAlign w:val="center"/>
          </w:tcPr>
          <w:p w14:paraId="7AFD1FCF">
            <w:pPr>
              <w:jc w:val="right"/>
              <w:rPr>
                <w:rFonts w:eastAsia="Times New Roman" w:cs="Times New Roman"/>
                <w:sz w:val="15"/>
                <w:szCs w:val="15"/>
              </w:rPr>
            </w:pPr>
          </w:p>
        </w:tc>
        <w:tc>
          <w:tcPr>
            <w:tcW w:w="425" w:type="pct"/>
            <w:vAlign w:val="center"/>
          </w:tcPr>
          <w:p w14:paraId="59410545">
            <w:pPr>
              <w:jc w:val="right"/>
              <w:rPr>
                <w:rFonts w:ascii="宋体" w:hAnsi="宋体"/>
                <w:sz w:val="15"/>
                <w:szCs w:val="15"/>
              </w:rPr>
            </w:pPr>
            <w:r>
              <w:rPr>
                <w:sz w:val="15"/>
                <w:szCs w:val="15"/>
              </w:rPr>
              <w:t>8,737,041,357.65</w:t>
            </w:r>
          </w:p>
        </w:tc>
        <w:tc>
          <w:tcPr>
            <w:tcW w:w="461" w:type="pct"/>
            <w:vAlign w:val="center"/>
          </w:tcPr>
          <w:p w14:paraId="768DA6E3">
            <w:pPr>
              <w:jc w:val="right"/>
              <w:rPr>
                <w:sz w:val="15"/>
                <w:szCs w:val="15"/>
              </w:rPr>
            </w:pPr>
            <w:r>
              <w:rPr>
                <w:sz w:val="15"/>
                <w:szCs w:val="15"/>
              </w:rPr>
              <w:t>259,710,024.82</w:t>
            </w:r>
          </w:p>
        </w:tc>
        <w:tc>
          <w:tcPr>
            <w:tcW w:w="454" w:type="pct"/>
            <w:vAlign w:val="center"/>
          </w:tcPr>
          <w:p w14:paraId="25106B74">
            <w:pPr>
              <w:jc w:val="right"/>
              <w:rPr>
                <w:sz w:val="15"/>
                <w:szCs w:val="15"/>
              </w:rPr>
            </w:pPr>
            <w:r>
              <w:rPr>
                <w:sz w:val="15"/>
                <w:szCs w:val="15"/>
              </w:rPr>
              <w:t>-210,417,210.29</w:t>
            </w:r>
          </w:p>
        </w:tc>
        <w:tc>
          <w:tcPr>
            <w:tcW w:w="123" w:type="pct"/>
            <w:vAlign w:val="center"/>
          </w:tcPr>
          <w:p w14:paraId="2577DBEC">
            <w:pPr>
              <w:jc w:val="right"/>
              <w:rPr>
                <w:sz w:val="15"/>
                <w:szCs w:val="15"/>
              </w:rPr>
            </w:pPr>
          </w:p>
        </w:tc>
        <w:tc>
          <w:tcPr>
            <w:tcW w:w="388" w:type="pct"/>
            <w:vAlign w:val="center"/>
          </w:tcPr>
          <w:p w14:paraId="0977B662">
            <w:pPr>
              <w:jc w:val="right"/>
              <w:rPr>
                <w:rFonts w:ascii="宋体" w:hAnsi="宋体"/>
                <w:sz w:val="15"/>
                <w:szCs w:val="15"/>
              </w:rPr>
            </w:pPr>
            <w:r>
              <w:rPr>
                <w:sz w:val="15"/>
                <w:szCs w:val="15"/>
              </w:rPr>
              <w:t>426,993,753.64</w:t>
            </w:r>
          </w:p>
        </w:tc>
        <w:tc>
          <w:tcPr>
            <w:tcW w:w="123" w:type="pct"/>
            <w:vAlign w:val="center"/>
          </w:tcPr>
          <w:p w14:paraId="55D81041">
            <w:pPr>
              <w:jc w:val="right"/>
              <w:rPr>
                <w:sz w:val="15"/>
                <w:szCs w:val="15"/>
              </w:rPr>
            </w:pPr>
          </w:p>
        </w:tc>
        <w:tc>
          <w:tcPr>
            <w:tcW w:w="462" w:type="pct"/>
            <w:vAlign w:val="center"/>
          </w:tcPr>
          <w:p w14:paraId="6F3D46C6">
            <w:pPr>
              <w:jc w:val="right"/>
              <w:rPr>
                <w:rFonts w:ascii="宋体" w:hAnsi="宋体"/>
                <w:sz w:val="15"/>
                <w:szCs w:val="15"/>
              </w:rPr>
            </w:pPr>
            <w:r>
              <w:rPr>
                <w:sz w:val="15"/>
                <w:szCs w:val="15"/>
              </w:rPr>
              <w:t>-2,827,088,504.64</w:t>
            </w:r>
          </w:p>
        </w:tc>
        <w:tc>
          <w:tcPr>
            <w:tcW w:w="123" w:type="pct"/>
            <w:vAlign w:val="center"/>
          </w:tcPr>
          <w:p w14:paraId="0FB729B3">
            <w:pPr>
              <w:jc w:val="right"/>
              <w:rPr>
                <w:sz w:val="15"/>
                <w:szCs w:val="15"/>
              </w:rPr>
            </w:pPr>
          </w:p>
        </w:tc>
        <w:tc>
          <w:tcPr>
            <w:tcW w:w="451" w:type="pct"/>
            <w:vAlign w:val="center"/>
          </w:tcPr>
          <w:p w14:paraId="581ACD9A">
            <w:pPr>
              <w:jc w:val="right"/>
              <w:rPr>
                <w:rFonts w:ascii="宋体" w:hAnsi="宋体"/>
                <w:sz w:val="15"/>
                <w:szCs w:val="15"/>
              </w:rPr>
            </w:pPr>
            <w:r>
              <w:rPr>
                <w:sz w:val="15"/>
                <w:szCs w:val="15"/>
              </w:rPr>
              <w:t>10,438,342,371.54</w:t>
            </w:r>
          </w:p>
        </w:tc>
        <w:tc>
          <w:tcPr>
            <w:tcW w:w="426" w:type="pct"/>
            <w:gridSpan w:val="2"/>
            <w:vAlign w:val="center"/>
          </w:tcPr>
          <w:p w14:paraId="287FCE62">
            <w:pPr>
              <w:jc w:val="right"/>
              <w:rPr>
                <w:sz w:val="15"/>
                <w:szCs w:val="15"/>
              </w:rPr>
            </w:pPr>
            <w:r>
              <w:rPr>
                <w:sz w:val="15"/>
                <w:szCs w:val="15"/>
              </w:rPr>
              <w:t>1,522,827,486.92</w:t>
            </w:r>
          </w:p>
        </w:tc>
        <w:tc>
          <w:tcPr>
            <w:tcW w:w="547" w:type="pct"/>
            <w:gridSpan w:val="2"/>
            <w:vAlign w:val="center"/>
          </w:tcPr>
          <w:p w14:paraId="31592906">
            <w:pPr>
              <w:jc w:val="right"/>
              <w:rPr>
                <w:sz w:val="15"/>
                <w:szCs w:val="15"/>
              </w:rPr>
            </w:pPr>
            <w:r>
              <w:rPr>
                <w:sz w:val="15"/>
                <w:szCs w:val="15"/>
              </w:rPr>
              <w:t>11,961,169,858.46</w:t>
            </w:r>
          </w:p>
        </w:tc>
      </w:tr>
      <w:tr w14:paraId="0D36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fd33bb0caf614a75b319dc40c7515dcc"/>
            <w:id w:val="-74897891"/>
          </w:sdtPr>
          <w:sdtEndPr>
            <w:rPr>
              <w:sz w:val="15"/>
              <w:szCs w:val="15"/>
            </w:rPr>
          </w:sdtEndPr>
          <w:sdtContent>
            <w:tc>
              <w:tcPr>
                <w:tcW w:w="224" w:type="pct"/>
                <w:vAlign w:val="center"/>
              </w:tcPr>
              <w:p w14:paraId="234F572E">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加：</w:t>
                </w:r>
                <w:r>
                  <w:rPr>
                    <w:color w:val="000000" w:themeColor="text1"/>
                    <w:sz w:val="15"/>
                    <w:szCs w:val="15"/>
                    <w14:textFill>
                      <w14:solidFill>
                        <w14:schemeClr w14:val="tx1"/>
                      </w14:solidFill>
                    </w14:textFill>
                  </w:rPr>
                  <w:t>会计政策变更</w:t>
                </w:r>
              </w:p>
            </w:tc>
          </w:sdtContent>
        </w:sdt>
        <w:tc>
          <w:tcPr>
            <w:tcW w:w="425" w:type="pct"/>
            <w:vAlign w:val="center"/>
          </w:tcPr>
          <w:p w14:paraId="634A38CF">
            <w:pPr>
              <w:jc w:val="right"/>
              <w:rPr>
                <w:sz w:val="15"/>
                <w:szCs w:val="15"/>
              </w:rPr>
            </w:pPr>
          </w:p>
        </w:tc>
        <w:tc>
          <w:tcPr>
            <w:tcW w:w="123" w:type="pct"/>
            <w:vAlign w:val="center"/>
          </w:tcPr>
          <w:p w14:paraId="083BBCE2">
            <w:pPr>
              <w:jc w:val="right"/>
              <w:rPr>
                <w:sz w:val="15"/>
                <w:szCs w:val="15"/>
              </w:rPr>
            </w:pPr>
          </w:p>
        </w:tc>
        <w:tc>
          <w:tcPr>
            <w:tcW w:w="123" w:type="pct"/>
            <w:vAlign w:val="center"/>
          </w:tcPr>
          <w:p w14:paraId="7DCF05DF">
            <w:pPr>
              <w:jc w:val="right"/>
              <w:rPr>
                <w:sz w:val="15"/>
                <w:szCs w:val="15"/>
              </w:rPr>
            </w:pPr>
          </w:p>
        </w:tc>
        <w:tc>
          <w:tcPr>
            <w:tcW w:w="123" w:type="pct"/>
            <w:vAlign w:val="center"/>
          </w:tcPr>
          <w:p w14:paraId="156F5AFA">
            <w:pPr>
              <w:jc w:val="right"/>
              <w:rPr>
                <w:sz w:val="15"/>
                <w:szCs w:val="15"/>
              </w:rPr>
            </w:pPr>
          </w:p>
        </w:tc>
        <w:tc>
          <w:tcPr>
            <w:tcW w:w="425" w:type="pct"/>
            <w:vAlign w:val="center"/>
          </w:tcPr>
          <w:p w14:paraId="27F11403">
            <w:pPr>
              <w:jc w:val="right"/>
              <w:rPr>
                <w:sz w:val="15"/>
                <w:szCs w:val="15"/>
              </w:rPr>
            </w:pPr>
          </w:p>
        </w:tc>
        <w:tc>
          <w:tcPr>
            <w:tcW w:w="461" w:type="pct"/>
            <w:vAlign w:val="center"/>
          </w:tcPr>
          <w:p w14:paraId="3A15A490">
            <w:pPr>
              <w:jc w:val="right"/>
              <w:rPr>
                <w:sz w:val="15"/>
                <w:szCs w:val="15"/>
              </w:rPr>
            </w:pPr>
          </w:p>
        </w:tc>
        <w:tc>
          <w:tcPr>
            <w:tcW w:w="454" w:type="pct"/>
            <w:vAlign w:val="center"/>
          </w:tcPr>
          <w:p w14:paraId="4E9D430B">
            <w:pPr>
              <w:jc w:val="right"/>
              <w:rPr>
                <w:sz w:val="15"/>
                <w:szCs w:val="15"/>
              </w:rPr>
            </w:pPr>
          </w:p>
        </w:tc>
        <w:tc>
          <w:tcPr>
            <w:tcW w:w="123" w:type="pct"/>
            <w:vAlign w:val="center"/>
          </w:tcPr>
          <w:p w14:paraId="31DE235C">
            <w:pPr>
              <w:jc w:val="right"/>
              <w:rPr>
                <w:sz w:val="15"/>
                <w:szCs w:val="15"/>
              </w:rPr>
            </w:pPr>
          </w:p>
        </w:tc>
        <w:tc>
          <w:tcPr>
            <w:tcW w:w="388" w:type="pct"/>
            <w:vAlign w:val="center"/>
          </w:tcPr>
          <w:p w14:paraId="72D58E6F">
            <w:pPr>
              <w:jc w:val="right"/>
              <w:rPr>
                <w:sz w:val="15"/>
                <w:szCs w:val="15"/>
              </w:rPr>
            </w:pPr>
          </w:p>
        </w:tc>
        <w:tc>
          <w:tcPr>
            <w:tcW w:w="123" w:type="pct"/>
            <w:vAlign w:val="center"/>
          </w:tcPr>
          <w:p w14:paraId="70A0315B">
            <w:pPr>
              <w:jc w:val="right"/>
              <w:rPr>
                <w:sz w:val="15"/>
                <w:szCs w:val="15"/>
              </w:rPr>
            </w:pPr>
          </w:p>
        </w:tc>
        <w:tc>
          <w:tcPr>
            <w:tcW w:w="462" w:type="pct"/>
            <w:vAlign w:val="center"/>
          </w:tcPr>
          <w:p w14:paraId="330A047C">
            <w:pPr>
              <w:jc w:val="right"/>
              <w:rPr>
                <w:sz w:val="15"/>
                <w:szCs w:val="15"/>
              </w:rPr>
            </w:pPr>
          </w:p>
        </w:tc>
        <w:tc>
          <w:tcPr>
            <w:tcW w:w="123" w:type="pct"/>
            <w:vAlign w:val="center"/>
          </w:tcPr>
          <w:p w14:paraId="67BC318F">
            <w:pPr>
              <w:jc w:val="right"/>
              <w:rPr>
                <w:sz w:val="15"/>
                <w:szCs w:val="15"/>
              </w:rPr>
            </w:pPr>
          </w:p>
        </w:tc>
        <w:tc>
          <w:tcPr>
            <w:tcW w:w="451" w:type="pct"/>
            <w:vAlign w:val="center"/>
          </w:tcPr>
          <w:p w14:paraId="30DAB632">
            <w:pPr>
              <w:jc w:val="right"/>
              <w:rPr>
                <w:sz w:val="15"/>
                <w:szCs w:val="15"/>
              </w:rPr>
            </w:pPr>
          </w:p>
        </w:tc>
        <w:tc>
          <w:tcPr>
            <w:tcW w:w="426" w:type="pct"/>
            <w:gridSpan w:val="2"/>
            <w:vAlign w:val="center"/>
          </w:tcPr>
          <w:p w14:paraId="0EFA2F8A">
            <w:pPr>
              <w:jc w:val="right"/>
              <w:rPr>
                <w:sz w:val="15"/>
                <w:szCs w:val="15"/>
              </w:rPr>
            </w:pPr>
          </w:p>
        </w:tc>
        <w:tc>
          <w:tcPr>
            <w:tcW w:w="547" w:type="pct"/>
            <w:gridSpan w:val="2"/>
            <w:vAlign w:val="center"/>
          </w:tcPr>
          <w:p w14:paraId="098DD1FB">
            <w:pPr>
              <w:jc w:val="right"/>
              <w:rPr>
                <w:sz w:val="15"/>
                <w:szCs w:val="15"/>
              </w:rPr>
            </w:pPr>
          </w:p>
        </w:tc>
      </w:tr>
      <w:tr w14:paraId="36AD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15b4364437fa4ad39040010f7c204056"/>
            <w:id w:val="1884523062"/>
          </w:sdtPr>
          <w:sdtEndPr>
            <w:rPr>
              <w:sz w:val="15"/>
              <w:szCs w:val="15"/>
            </w:rPr>
          </w:sdtEndPr>
          <w:sdtContent>
            <w:tc>
              <w:tcPr>
                <w:tcW w:w="224" w:type="pct"/>
                <w:vAlign w:val="center"/>
              </w:tcPr>
              <w:p w14:paraId="78D48E58">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前期差错更正</w:t>
                </w:r>
              </w:p>
            </w:tc>
          </w:sdtContent>
        </w:sdt>
        <w:tc>
          <w:tcPr>
            <w:tcW w:w="425" w:type="pct"/>
            <w:vAlign w:val="center"/>
          </w:tcPr>
          <w:p w14:paraId="5EE914BB">
            <w:pPr>
              <w:jc w:val="right"/>
              <w:rPr>
                <w:sz w:val="15"/>
                <w:szCs w:val="15"/>
              </w:rPr>
            </w:pPr>
          </w:p>
        </w:tc>
        <w:tc>
          <w:tcPr>
            <w:tcW w:w="123" w:type="pct"/>
            <w:vAlign w:val="center"/>
          </w:tcPr>
          <w:p w14:paraId="3B3815C8">
            <w:pPr>
              <w:jc w:val="right"/>
              <w:rPr>
                <w:sz w:val="15"/>
                <w:szCs w:val="15"/>
              </w:rPr>
            </w:pPr>
          </w:p>
        </w:tc>
        <w:tc>
          <w:tcPr>
            <w:tcW w:w="123" w:type="pct"/>
            <w:vAlign w:val="center"/>
          </w:tcPr>
          <w:p w14:paraId="66775480">
            <w:pPr>
              <w:jc w:val="right"/>
              <w:rPr>
                <w:sz w:val="15"/>
                <w:szCs w:val="15"/>
              </w:rPr>
            </w:pPr>
          </w:p>
        </w:tc>
        <w:tc>
          <w:tcPr>
            <w:tcW w:w="123" w:type="pct"/>
            <w:vAlign w:val="center"/>
          </w:tcPr>
          <w:p w14:paraId="57893C70">
            <w:pPr>
              <w:jc w:val="right"/>
              <w:rPr>
                <w:sz w:val="15"/>
                <w:szCs w:val="15"/>
              </w:rPr>
            </w:pPr>
          </w:p>
        </w:tc>
        <w:tc>
          <w:tcPr>
            <w:tcW w:w="425" w:type="pct"/>
            <w:vAlign w:val="center"/>
          </w:tcPr>
          <w:p w14:paraId="662D1B22">
            <w:pPr>
              <w:jc w:val="right"/>
              <w:rPr>
                <w:sz w:val="15"/>
                <w:szCs w:val="15"/>
              </w:rPr>
            </w:pPr>
          </w:p>
        </w:tc>
        <w:tc>
          <w:tcPr>
            <w:tcW w:w="461" w:type="pct"/>
            <w:vAlign w:val="center"/>
          </w:tcPr>
          <w:p w14:paraId="1A6025AF">
            <w:pPr>
              <w:jc w:val="right"/>
              <w:rPr>
                <w:sz w:val="15"/>
                <w:szCs w:val="15"/>
              </w:rPr>
            </w:pPr>
          </w:p>
        </w:tc>
        <w:tc>
          <w:tcPr>
            <w:tcW w:w="454" w:type="pct"/>
            <w:vAlign w:val="center"/>
          </w:tcPr>
          <w:p w14:paraId="1D2591E8">
            <w:pPr>
              <w:jc w:val="right"/>
              <w:rPr>
                <w:sz w:val="15"/>
                <w:szCs w:val="15"/>
              </w:rPr>
            </w:pPr>
          </w:p>
        </w:tc>
        <w:tc>
          <w:tcPr>
            <w:tcW w:w="123" w:type="pct"/>
            <w:vAlign w:val="center"/>
          </w:tcPr>
          <w:p w14:paraId="0491E575">
            <w:pPr>
              <w:jc w:val="right"/>
              <w:rPr>
                <w:sz w:val="15"/>
                <w:szCs w:val="15"/>
              </w:rPr>
            </w:pPr>
          </w:p>
        </w:tc>
        <w:tc>
          <w:tcPr>
            <w:tcW w:w="388" w:type="pct"/>
            <w:vAlign w:val="center"/>
          </w:tcPr>
          <w:p w14:paraId="3A407ED8">
            <w:pPr>
              <w:jc w:val="right"/>
              <w:rPr>
                <w:sz w:val="15"/>
                <w:szCs w:val="15"/>
              </w:rPr>
            </w:pPr>
          </w:p>
        </w:tc>
        <w:tc>
          <w:tcPr>
            <w:tcW w:w="123" w:type="pct"/>
            <w:vAlign w:val="center"/>
          </w:tcPr>
          <w:p w14:paraId="74EBF51C">
            <w:pPr>
              <w:jc w:val="right"/>
              <w:rPr>
                <w:sz w:val="15"/>
                <w:szCs w:val="15"/>
              </w:rPr>
            </w:pPr>
          </w:p>
        </w:tc>
        <w:tc>
          <w:tcPr>
            <w:tcW w:w="462" w:type="pct"/>
            <w:vAlign w:val="center"/>
          </w:tcPr>
          <w:p w14:paraId="354CB9C5">
            <w:pPr>
              <w:jc w:val="right"/>
              <w:rPr>
                <w:sz w:val="15"/>
                <w:szCs w:val="15"/>
              </w:rPr>
            </w:pPr>
          </w:p>
        </w:tc>
        <w:tc>
          <w:tcPr>
            <w:tcW w:w="123" w:type="pct"/>
            <w:vAlign w:val="center"/>
          </w:tcPr>
          <w:p w14:paraId="748F0C40">
            <w:pPr>
              <w:jc w:val="right"/>
              <w:rPr>
                <w:sz w:val="15"/>
                <w:szCs w:val="15"/>
              </w:rPr>
            </w:pPr>
          </w:p>
        </w:tc>
        <w:tc>
          <w:tcPr>
            <w:tcW w:w="451" w:type="pct"/>
            <w:vAlign w:val="center"/>
          </w:tcPr>
          <w:p w14:paraId="6777D003">
            <w:pPr>
              <w:jc w:val="right"/>
              <w:rPr>
                <w:sz w:val="15"/>
                <w:szCs w:val="15"/>
              </w:rPr>
            </w:pPr>
          </w:p>
        </w:tc>
        <w:tc>
          <w:tcPr>
            <w:tcW w:w="426" w:type="pct"/>
            <w:gridSpan w:val="2"/>
            <w:vAlign w:val="center"/>
          </w:tcPr>
          <w:p w14:paraId="0D5CF040">
            <w:pPr>
              <w:jc w:val="right"/>
              <w:rPr>
                <w:sz w:val="15"/>
                <w:szCs w:val="15"/>
              </w:rPr>
            </w:pPr>
          </w:p>
        </w:tc>
        <w:tc>
          <w:tcPr>
            <w:tcW w:w="547" w:type="pct"/>
            <w:gridSpan w:val="2"/>
            <w:vAlign w:val="center"/>
          </w:tcPr>
          <w:p w14:paraId="091E0384">
            <w:pPr>
              <w:jc w:val="right"/>
              <w:rPr>
                <w:sz w:val="15"/>
                <w:szCs w:val="15"/>
              </w:rPr>
            </w:pPr>
          </w:p>
        </w:tc>
      </w:tr>
      <w:tr w14:paraId="1EF5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87118e97730e486dbbcc5e072b67665f"/>
            <w:id w:val="-1859652326"/>
          </w:sdtPr>
          <w:sdtEndPr>
            <w:rPr>
              <w:sz w:val="15"/>
              <w:szCs w:val="15"/>
            </w:rPr>
          </w:sdtEndPr>
          <w:sdtContent>
            <w:tc>
              <w:tcPr>
                <w:tcW w:w="224" w:type="pct"/>
                <w:vAlign w:val="center"/>
              </w:tcPr>
              <w:p w14:paraId="49DBBB8F">
                <w:pPr>
                  <w:ind w:firstLine="300" w:firstLineChars="200"/>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tc>
          </w:sdtContent>
        </w:sdt>
        <w:tc>
          <w:tcPr>
            <w:tcW w:w="425" w:type="pct"/>
            <w:vAlign w:val="center"/>
          </w:tcPr>
          <w:p w14:paraId="4995E78B">
            <w:pPr>
              <w:jc w:val="right"/>
              <w:rPr>
                <w:sz w:val="15"/>
                <w:szCs w:val="15"/>
              </w:rPr>
            </w:pPr>
          </w:p>
        </w:tc>
        <w:tc>
          <w:tcPr>
            <w:tcW w:w="123" w:type="pct"/>
            <w:vAlign w:val="center"/>
          </w:tcPr>
          <w:p w14:paraId="25BC3A3D">
            <w:pPr>
              <w:jc w:val="right"/>
              <w:rPr>
                <w:sz w:val="15"/>
                <w:szCs w:val="15"/>
              </w:rPr>
            </w:pPr>
          </w:p>
        </w:tc>
        <w:tc>
          <w:tcPr>
            <w:tcW w:w="123" w:type="pct"/>
            <w:vAlign w:val="center"/>
          </w:tcPr>
          <w:p w14:paraId="32E6EDF6">
            <w:pPr>
              <w:jc w:val="right"/>
              <w:rPr>
                <w:sz w:val="15"/>
                <w:szCs w:val="15"/>
              </w:rPr>
            </w:pPr>
          </w:p>
        </w:tc>
        <w:tc>
          <w:tcPr>
            <w:tcW w:w="123" w:type="pct"/>
            <w:vAlign w:val="center"/>
          </w:tcPr>
          <w:p w14:paraId="5E741BC8">
            <w:pPr>
              <w:jc w:val="right"/>
              <w:rPr>
                <w:sz w:val="15"/>
                <w:szCs w:val="15"/>
              </w:rPr>
            </w:pPr>
          </w:p>
        </w:tc>
        <w:tc>
          <w:tcPr>
            <w:tcW w:w="425" w:type="pct"/>
            <w:vAlign w:val="center"/>
          </w:tcPr>
          <w:p w14:paraId="6D106BE8">
            <w:pPr>
              <w:jc w:val="right"/>
              <w:rPr>
                <w:sz w:val="15"/>
                <w:szCs w:val="15"/>
              </w:rPr>
            </w:pPr>
          </w:p>
        </w:tc>
        <w:tc>
          <w:tcPr>
            <w:tcW w:w="461" w:type="pct"/>
            <w:vAlign w:val="center"/>
          </w:tcPr>
          <w:p w14:paraId="6857192E">
            <w:pPr>
              <w:jc w:val="right"/>
              <w:rPr>
                <w:sz w:val="15"/>
                <w:szCs w:val="15"/>
              </w:rPr>
            </w:pPr>
          </w:p>
        </w:tc>
        <w:tc>
          <w:tcPr>
            <w:tcW w:w="454" w:type="pct"/>
            <w:vAlign w:val="center"/>
          </w:tcPr>
          <w:p w14:paraId="245578A2">
            <w:pPr>
              <w:jc w:val="right"/>
              <w:rPr>
                <w:sz w:val="15"/>
                <w:szCs w:val="15"/>
              </w:rPr>
            </w:pPr>
          </w:p>
        </w:tc>
        <w:tc>
          <w:tcPr>
            <w:tcW w:w="123" w:type="pct"/>
            <w:vAlign w:val="center"/>
          </w:tcPr>
          <w:p w14:paraId="517AE7A9">
            <w:pPr>
              <w:jc w:val="right"/>
              <w:rPr>
                <w:sz w:val="15"/>
                <w:szCs w:val="15"/>
              </w:rPr>
            </w:pPr>
          </w:p>
        </w:tc>
        <w:tc>
          <w:tcPr>
            <w:tcW w:w="388" w:type="pct"/>
            <w:vAlign w:val="center"/>
          </w:tcPr>
          <w:p w14:paraId="79051621">
            <w:pPr>
              <w:jc w:val="right"/>
              <w:rPr>
                <w:sz w:val="15"/>
                <w:szCs w:val="15"/>
              </w:rPr>
            </w:pPr>
          </w:p>
        </w:tc>
        <w:tc>
          <w:tcPr>
            <w:tcW w:w="123" w:type="pct"/>
            <w:vAlign w:val="center"/>
          </w:tcPr>
          <w:p w14:paraId="52AA845E">
            <w:pPr>
              <w:jc w:val="right"/>
              <w:rPr>
                <w:sz w:val="15"/>
                <w:szCs w:val="15"/>
              </w:rPr>
            </w:pPr>
          </w:p>
        </w:tc>
        <w:tc>
          <w:tcPr>
            <w:tcW w:w="462" w:type="pct"/>
            <w:vAlign w:val="center"/>
          </w:tcPr>
          <w:p w14:paraId="0C6FA549">
            <w:pPr>
              <w:jc w:val="right"/>
              <w:rPr>
                <w:sz w:val="15"/>
                <w:szCs w:val="15"/>
              </w:rPr>
            </w:pPr>
          </w:p>
        </w:tc>
        <w:tc>
          <w:tcPr>
            <w:tcW w:w="123" w:type="pct"/>
            <w:vAlign w:val="center"/>
          </w:tcPr>
          <w:p w14:paraId="6B7F1428">
            <w:pPr>
              <w:jc w:val="right"/>
              <w:rPr>
                <w:sz w:val="15"/>
                <w:szCs w:val="15"/>
              </w:rPr>
            </w:pPr>
          </w:p>
        </w:tc>
        <w:tc>
          <w:tcPr>
            <w:tcW w:w="451" w:type="pct"/>
            <w:vAlign w:val="center"/>
          </w:tcPr>
          <w:p w14:paraId="00E60235">
            <w:pPr>
              <w:jc w:val="right"/>
              <w:rPr>
                <w:sz w:val="15"/>
                <w:szCs w:val="15"/>
              </w:rPr>
            </w:pPr>
          </w:p>
        </w:tc>
        <w:tc>
          <w:tcPr>
            <w:tcW w:w="426" w:type="pct"/>
            <w:gridSpan w:val="2"/>
            <w:vAlign w:val="center"/>
          </w:tcPr>
          <w:p w14:paraId="03B32276">
            <w:pPr>
              <w:jc w:val="right"/>
              <w:rPr>
                <w:sz w:val="15"/>
                <w:szCs w:val="15"/>
              </w:rPr>
            </w:pPr>
          </w:p>
        </w:tc>
        <w:tc>
          <w:tcPr>
            <w:tcW w:w="547" w:type="pct"/>
            <w:gridSpan w:val="2"/>
            <w:vAlign w:val="center"/>
          </w:tcPr>
          <w:p w14:paraId="2DE6558A">
            <w:pPr>
              <w:jc w:val="right"/>
              <w:rPr>
                <w:sz w:val="15"/>
                <w:szCs w:val="15"/>
              </w:rPr>
            </w:pPr>
          </w:p>
        </w:tc>
      </w:tr>
      <w:tr w14:paraId="6714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b579c38070f04b86951daea3037af89c"/>
            <w:id w:val="1334797139"/>
          </w:sdtPr>
          <w:sdtEndPr>
            <w:rPr>
              <w:sz w:val="15"/>
              <w:szCs w:val="15"/>
            </w:rPr>
          </w:sdtEndPr>
          <w:sdtContent>
            <w:tc>
              <w:tcPr>
                <w:tcW w:w="224" w:type="pct"/>
                <w:vAlign w:val="center"/>
              </w:tcPr>
              <w:p w14:paraId="0B54B241">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二、本年</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初余额</w:t>
                </w:r>
              </w:p>
            </w:tc>
          </w:sdtContent>
        </w:sdt>
        <w:tc>
          <w:tcPr>
            <w:tcW w:w="425" w:type="pct"/>
            <w:vAlign w:val="center"/>
          </w:tcPr>
          <w:p w14:paraId="6A5078A0">
            <w:pPr>
              <w:jc w:val="right"/>
              <w:rPr>
                <w:sz w:val="15"/>
                <w:szCs w:val="15"/>
              </w:rPr>
            </w:pPr>
            <w:r>
              <w:rPr>
                <w:sz w:val="15"/>
                <w:szCs w:val="15"/>
              </w:rPr>
              <w:t>4,571,523,000.00</w:t>
            </w:r>
          </w:p>
        </w:tc>
        <w:tc>
          <w:tcPr>
            <w:tcW w:w="123" w:type="pct"/>
            <w:vAlign w:val="center"/>
          </w:tcPr>
          <w:p w14:paraId="113A2645">
            <w:pPr>
              <w:jc w:val="right"/>
              <w:rPr>
                <w:sz w:val="15"/>
                <w:szCs w:val="15"/>
              </w:rPr>
            </w:pPr>
          </w:p>
        </w:tc>
        <w:tc>
          <w:tcPr>
            <w:tcW w:w="123" w:type="pct"/>
            <w:vAlign w:val="center"/>
          </w:tcPr>
          <w:p w14:paraId="6D592E2D">
            <w:pPr>
              <w:jc w:val="right"/>
              <w:rPr>
                <w:rFonts w:eastAsia="Times New Roman" w:cs="Times New Roman"/>
                <w:sz w:val="15"/>
                <w:szCs w:val="15"/>
              </w:rPr>
            </w:pPr>
          </w:p>
        </w:tc>
        <w:tc>
          <w:tcPr>
            <w:tcW w:w="123" w:type="pct"/>
            <w:vAlign w:val="center"/>
          </w:tcPr>
          <w:p w14:paraId="053A2B8A">
            <w:pPr>
              <w:jc w:val="right"/>
              <w:rPr>
                <w:rFonts w:eastAsia="Times New Roman" w:cs="Times New Roman"/>
                <w:sz w:val="15"/>
                <w:szCs w:val="15"/>
              </w:rPr>
            </w:pPr>
          </w:p>
        </w:tc>
        <w:tc>
          <w:tcPr>
            <w:tcW w:w="425" w:type="pct"/>
            <w:vAlign w:val="center"/>
          </w:tcPr>
          <w:p w14:paraId="160AD42F">
            <w:pPr>
              <w:jc w:val="right"/>
              <w:rPr>
                <w:rFonts w:ascii="宋体" w:hAnsi="宋体"/>
                <w:sz w:val="15"/>
                <w:szCs w:val="15"/>
              </w:rPr>
            </w:pPr>
            <w:r>
              <w:rPr>
                <w:sz w:val="15"/>
                <w:szCs w:val="15"/>
              </w:rPr>
              <w:t>8,737,041,357.65</w:t>
            </w:r>
          </w:p>
        </w:tc>
        <w:tc>
          <w:tcPr>
            <w:tcW w:w="461" w:type="pct"/>
            <w:vAlign w:val="center"/>
          </w:tcPr>
          <w:p w14:paraId="50833CC6">
            <w:pPr>
              <w:jc w:val="right"/>
              <w:rPr>
                <w:sz w:val="15"/>
                <w:szCs w:val="15"/>
              </w:rPr>
            </w:pPr>
            <w:r>
              <w:rPr>
                <w:sz w:val="15"/>
                <w:szCs w:val="15"/>
              </w:rPr>
              <w:t>259,710,024.82</w:t>
            </w:r>
          </w:p>
        </w:tc>
        <w:tc>
          <w:tcPr>
            <w:tcW w:w="454" w:type="pct"/>
            <w:vAlign w:val="center"/>
          </w:tcPr>
          <w:p w14:paraId="60CE722E">
            <w:pPr>
              <w:jc w:val="right"/>
              <w:rPr>
                <w:sz w:val="15"/>
                <w:szCs w:val="15"/>
              </w:rPr>
            </w:pPr>
            <w:r>
              <w:rPr>
                <w:sz w:val="15"/>
                <w:szCs w:val="15"/>
              </w:rPr>
              <w:t>-210,417,210.29</w:t>
            </w:r>
          </w:p>
        </w:tc>
        <w:tc>
          <w:tcPr>
            <w:tcW w:w="123" w:type="pct"/>
            <w:vAlign w:val="center"/>
          </w:tcPr>
          <w:p w14:paraId="3AA49FB6">
            <w:pPr>
              <w:jc w:val="right"/>
              <w:rPr>
                <w:sz w:val="15"/>
                <w:szCs w:val="15"/>
              </w:rPr>
            </w:pPr>
          </w:p>
        </w:tc>
        <w:tc>
          <w:tcPr>
            <w:tcW w:w="388" w:type="pct"/>
            <w:vAlign w:val="center"/>
          </w:tcPr>
          <w:p w14:paraId="36A34CBB">
            <w:pPr>
              <w:jc w:val="right"/>
              <w:rPr>
                <w:rFonts w:ascii="宋体" w:hAnsi="宋体"/>
                <w:sz w:val="15"/>
                <w:szCs w:val="15"/>
              </w:rPr>
            </w:pPr>
            <w:r>
              <w:rPr>
                <w:sz w:val="15"/>
                <w:szCs w:val="15"/>
              </w:rPr>
              <w:t>426,993,753.64</w:t>
            </w:r>
          </w:p>
        </w:tc>
        <w:tc>
          <w:tcPr>
            <w:tcW w:w="123" w:type="pct"/>
            <w:vAlign w:val="center"/>
          </w:tcPr>
          <w:p w14:paraId="027E44A1">
            <w:pPr>
              <w:jc w:val="right"/>
              <w:rPr>
                <w:sz w:val="15"/>
                <w:szCs w:val="15"/>
              </w:rPr>
            </w:pPr>
          </w:p>
        </w:tc>
        <w:tc>
          <w:tcPr>
            <w:tcW w:w="462" w:type="pct"/>
            <w:vAlign w:val="center"/>
          </w:tcPr>
          <w:p w14:paraId="65436241">
            <w:pPr>
              <w:jc w:val="right"/>
              <w:rPr>
                <w:rFonts w:ascii="宋体" w:hAnsi="宋体"/>
                <w:sz w:val="15"/>
                <w:szCs w:val="15"/>
              </w:rPr>
            </w:pPr>
            <w:r>
              <w:rPr>
                <w:sz w:val="15"/>
                <w:szCs w:val="15"/>
              </w:rPr>
              <w:t>-2,827,088,504.64</w:t>
            </w:r>
          </w:p>
        </w:tc>
        <w:tc>
          <w:tcPr>
            <w:tcW w:w="123" w:type="pct"/>
            <w:vAlign w:val="center"/>
          </w:tcPr>
          <w:p w14:paraId="1450B5FF">
            <w:pPr>
              <w:jc w:val="right"/>
              <w:rPr>
                <w:sz w:val="15"/>
                <w:szCs w:val="15"/>
              </w:rPr>
            </w:pPr>
          </w:p>
        </w:tc>
        <w:tc>
          <w:tcPr>
            <w:tcW w:w="451" w:type="pct"/>
            <w:vAlign w:val="center"/>
          </w:tcPr>
          <w:p w14:paraId="129DA031">
            <w:pPr>
              <w:jc w:val="right"/>
              <w:rPr>
                <w:rFonts w:ascii="宋体" w:hAnsi="宋体"/>
                <w:sz w:val="15"/>
                <w:szCs w:val="15"/>
              </w:rPr>
            </w:pPr>
            <w:r>
              <w:rPr>
                <w:sz w:val="15"/>
                <w:szCs w:val="15"/>
              </w:rPr>
              <w:t>10,438,342,371.54</w:t>
            </w:r>
          </w:p>
        </w:tc>
        <w:tc>
          <w:tcPr>
            <w:tcW w:w="426" w:type="pct"/>
            <w:gridSpan w:val="2"/>
            <w:vAlign w:val="center"/>
          </w:tcPr>
          <w:p w14:paraId="26846358">
            <w:pPr>
              <w:jc w:val="right"/>
              <w:rPr>
                <w:sz w:val="15"/>
                <w:szCs w:val="15"/>
              </w:rPr>
            </w:pPr>
            <w:r>
              <w:rPr>
                <w:sz w:val="15"/>
                <w:szCs w:val="15"/>
              </w:rPr>
              <w:t>1,522,827,486.92</w:t>
            </w:r>
          </w:p>
        </w:tc>
        <w:tc>
          <w:tcPr>
            <w:tcW w:w="547" w:type="pct"/>
            <w:gridSpan w:val="2"/>
            <w:vAlign w:val="center"/>
          </w:tcPr>
          <w:p w14:paraId="1E0FC760">
            <w:pPr>
              <w:jc w:val="right"/>
              <w:rPr>
                <w:sz w:val="15"/>
                <w:szCs w:val="15"/>
              </w:rPr>
            </w:pPr>
            <w:r>
              <w:rPr>
                <w:sz w:val="15"/>
                <w:szCs w:val="15"/>
              </w:rPr>
              <w:t>11,961,169,858.46</w:t>
            </w:r>
          </w:p>
        </w:tc>
      </w:tr>
      <w:tr w14:paraId="53F8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186aec2424a047ee9af21797aa0ee0d8"/>
            <w:id w:val="-1076736383"/>
          </w:sdtPr>
          <w:sdtEndPr>
            <w:rPr>
              <w:sz w:val="15"/>
              <w:szCs w:val="15"/>
            </w:rPr>
          </w:sdtEndPr>
          <w:sdtContent>
            <w:tc>
              <w:tcPr>
                <w:tcW w:w="224" w:type="pct"/>
                <w:vAlign w:val="center"/>
              </w:tcPr>
              <w:p w14:paraId="65FAE320">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三、本</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增减变动金额（减少以“－”号填列）</w:t>
                </w:r>
              </w:p>
            </w:tc>
          </w:sdtContent>
        </w:sdt>
        <w:tc>
          <w:tcPr>
            <w:tcW w:w="425" w:type="pct"/>
            <w:vAlign w:val="center"/>
          </w:tcPr>
          <w:p w14:paraId="4964C089">
            <w:pPr>
              <w:jc w:val="right"/>
              <w:rPr>
                <w:sz w:val="15"/>
                <w:szCs w:val="15"/>
              </w:rPr>
            </w:pPr>
            <w:r>
              <w:rPr>
                <w:sz w:val="15"/>
                <w:szCs w:val="15"/>
              </w:rPr>
              <w:t>-50,422,929.00</w:t>
            </w:r>
          </w:p>
        </w:tc>
        <w:tc>
          <w:tcPr>
            <w:tcW w:w="123" w:type="pct"/>
            <w:vAlign w:val="center"/>
          </w:tcPr>
          <w:p w14:paraId="4902AA82">
            <w:pPr>
              <w:jc w:val="right"/>
              <w:rPr>
                <w:sz w:val="15"/>
                <w:szCs w:val="15"/>
              </w:rPr>
            </w:pPr>
          </w:p>
        </w:tc>
        <w:tc>
          <w:tcPr>
            <w:tcW w:w="123" w:type="pct"/>
            <w:vAlign w:val="center"/>
          </w:tcPr>
          <w:p w14:paraId="2B3247B5">
            <w:pPr>
              <w:jc w:val="right"/>
              <w:rPr>
                <w:rFonts w:eastAsia="Times New Roman" w:cs="Times New Roman"/>
                <w:sz w:val="15"/>
                <w:szCs w:val="15"/>
              </w:rPr>
            </w:pPr>
          </w:p>
        </w:tc>
        <w:tc>
          <w:tcPr>
            <w:tcW w:w="123" w:type="pct"/>
            <w:vAlign w:val="center"/>
          </w:tcPr>
          <w:p w14:paraId="6585C645">
            <w:pPr>
              <w:jc w:val="right"/>
              <w:rPr>
                <w:rFonts w:eastAsia="Times New Roman" w:cs="Times New Roman"/>
                <w:sz w:val="15"/>
                <w:szCs w:val="15"/>
              </w:rPr>
            </w:pPr>
          </w:p>
        </w:tc>
        <w:tc>
          <w:tcPr>
            <w:tcW w:w="425" w:type="pct"/>
            <w:vAlign w:val="center"/>
          </w:tcPr>
          <w:p w14:paraId="62DBE160">
            <w:pPr>
              <w:jc w:val="right"/>
              <w:rPr>
                <w:rFonts w:ascii="宋体" w:hAnsi="宋体"/>
                <w:sz w:val="15"/>
                <w:szCs w:val="15"/>
              </w:rPr>
            </w:pPr>
            <w:r>
              <w:rPr>
                <w:sz w:val="15"/>
                <w:szCs w:val="15"/>
              </w:rPr>
              <w:t>-79,633,617.92</w:t>
            </w:r>
          </w:p>
        </w:tc>
        <w:tc>
          <w:tcPr>
            <w:tcW w:w="461" w:type="pct"/>
            <w:vAlign w:val="center"/>
          </w:tcPr>
          <w:p w14:paraId="340C1E2D">
            <w:pPr>
              <w:jc w:val="right"/>
              <w:rPr>
                <w:sz w:val="15"/>
                <w:szCs w:val="15"/>
              </w:rPr>
            </w:pPr>
            <w:r>
              <w:rPr>
                <w:sz w:val="15"/>
                <w:szCs w:val="15"/>
              </w:rPr>
              <w:t>-130,101,426.82</w:t>
            </w:r>
          </w:p>
        </w:tc>
        <w:tc>
          <w:tcPr>
            <w:tcW w:w="454" w:type="pct"/>
            <w:vAlign w:val="center"/>
          </w:tcPr>
          <w:p w14:paraId="7B94C9FB">
            <w:pPr>
              <w:jc w:val="right"/>
              <w:rPr>
                <w:sz w:val="15"/>
                <w:szCs w:val="15"/>
              </w:rPr>
            </w:pPr>
            <w:r>
              <w:rPr>
                <w:sz w:val="15"/>
                <w:szCs w:val="15"/>
              </w:rPr>
              <w:t>18,712,953.13</w:t>
            </w:r>
          </w:p>
        </w:tc>
        <w:tc>
          <w:tcPr>
            <w:tcW w:w="123" w:type="pct"/>
            <w:vAlign w:val="center"/>
          </w:tcPr>
          <w:p w14:paraId="6C065D66">
            <w:pPr>
              <w:jc w:val="right"/>
              <w:rPr>
                <w:sz w:val="15"/>
                <w:szCs w:val="15"/>
              </w:rPr>
            </w:pPr>
          </w:p>
        </w:tc>
        <w:tc>
          <w:tcPr>
            <w:tcW w:w="388" w:type="pct"/>
            <w:vAlign w:val="center"/>
          </w:tcPr>
          <w:p w14:paraId="64B239B0">
            <w:pPr>
              <w:jc w:val="right"/>
              <w:rPr>
                <w:rFonts w:eastAsia="Times New Roman" w:cs="Times New Roman"/>
                <w:sz w:val="15"/>
                <w:szCs w:val="15"/>
              </w:rPr>
            </w:pPr>
          </w:p>
        </w:tc>
        <w:tc>
          <w:tcPr>
            <w:tcW w:w="123" w:type="pct"/>
            <w:vAlign w:val="center"/>
          </w:tcPr>
          <w:p w14:paraId="1813ED37">
            <w:pPr>
              <w:jc w:val="right"/>
              <w:rPr>
                <w:rFonts w:eastAsia="Times New Roman" w:cs="Times New Roman"/>
                <w:sz w:val="15"/>
                <w:szCs w:val="15"/>
              </w:rPr>
            </w:pPr>
          </w:p>
        </w:tc>
        <w:tc>
          <w:tcPr>
            <w:tcW w:w="462" w:type="pct"/>
            <w:vAlign w:val="center"/>
          </w:tcPr>
          <w:p w14:paraId="6F110135">
            <w:pPr>
              <w:jc w:val="right"/>
              <w:rPr>
                <w:rFonts w:ascii="宋体" w:hAnsi="宋体"/>
                <w:sz w:val="15"/>
                <w:szCs w:val="15"/>
              </w:rPr>
            </w:pPr>
            <w:r>
              <w:rPr>
                <w:sz w:val="15"/>
                <w:szCs w:val="15"/>
              </w:rPr>
              <w:t>26,193,818.95</w:t>
            </w:r>
          </w:p>
        </w:tc>
        <w:tc>
          <w:tcPr>
            <w:tcW w:w="123" w:type="pct"/>
            <w:vAlign w:val="center"/>
          </w:tcPr>
          <w:p w14:paraId="2AB9C5F1">
            <w:pPr>
              <w:jc w:val="right"/>
              <w:rPr>
                <w:sz w:val="15"/>
                <w:szCs w:val="15"/>
              </w:rPr>
            </w:pPr>
          </w:p>
        </w:tc>
        <w:tc>
          <w:tcPr>
            <w:tcW w:w="451" w:type="pct"/>
            <w:vAlign w:val="center"/>
          </w:tcPr>
          <w:p w14:paraId="72ED697E">
            <w:pPr>
              <w:jc w:val="right"/>
              <w:rPr>
                <w:rFonts w:ascii="宋体" w:hAnsi="宋体"/>
                <w:sz w:val="15"/>
                <w:szCs w:val="15"/>
              </w:rPr>
            </w:pPr>
            <w:r>
              <w:rPr>
                <w:sz w:val="15"/>
                <w:szCs w:val="15"/>
              </w:rPr>
              <w:t>44,951,651.98</w:t>
            </w:r>
          </w:p>
        </w:tc>
        <w:tc>
          <w:tcPr>
            <w:tcW w:w="426" w:type="pct"/>
            <w:gridSpan w:val="2"/>
            <w:vAlign w:val="center"/>
          </w:tcPr>
          <w:p w14:paraId="0CCE09D7">
            <w:pPr>
              <w:jc w:val="right"/>
              <w:rPr>
                <w:sz w:val="15"/>
                <w:szCs w:val="15"/>
              </w:rPr>
            </w:pPr>
            <w:r>
              <w:rPr>
                <w:sz w:val="15"/>
                <w:szCs w:val="15"/>
              </w:rPr>
              <w:t>-134,674,999.06</w:t>
            </w:r>
          </w:p>
        </w:tc>
        <w:tc>
          <w:tcPr>
            <w:tcW w:w="547" w:type="pct"/>
            <w:gridSpan w:val="2"/>
            <w:vAlign w:val="center"/>
          </w:tcPr>
          <w:p w14:paraId="7068BB37">
            <w:pPr>
              <w:jc w:val="right"/>
              <w:rPr>
                <w:sz w:val="15"/>
                <w:szCs w:val="15"/>
              </w:rPr>
            </w:pPr>
            <w:r>
              <w:rPr>
                <w:sz w:val="15"/>
                <w:szCs w:val="15"/>
              </w:rPr>
              <w:t>-89,723,347.08</w:t>
            </w:r>
          </w:p>
        </w:tc>
      </w:tr>
      <w:tr w14:paraId="3444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17bf1a1d144b41e18dbd63758cccc7b5"/>
            <w:id w:val="-267391871"/>
          </w:sdtPr>
          <w:sdtEndPr>
            <w:rPr>
              <w:sz w:val="15"/>
              <w:szCs w:val="15"/>
            </w:rPr>
          </w:sdtEndPr>
          <w:sdtContent>
            <w:tc>
              <w:tcPr>
                <w:tcW w:w="224" w:type="pct"/>
                <w:vAlign w:val="center"/>
              </w:tcPr>
              <w:p w14:paraId="7284853D">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（一）综合收益总额</w:t>
                </w:r>
              </w:p>
            </w:tc>
          </w:sdtContent>
        </w:sdt>
        <w:tc>
          <w:tcPr>
            <w:tcW w:w="425" w:type="pct"/>
            <w:vAlign w:val="center"/>
          </w:tcPr>
          <w:p w14:paraId="178823BE">
            <w:pPr>
              <w:jc w:val="right"/>
              <w:rPr>
                <w:sz w:val="15"/>
                <w:szCs w:val="15"/>
              </w:rPr>
            </w:pPr>
          </w:p>
        </w:tc>
        <w:tc>
          <w:tcPr>
            <w:tcW w:w="123" w:type="pct"/>
            <w:vAlign w:val="center"/>
          </w:tcPr>
          <w:p w14:paraId="7983C29F">
            <w:pPr>
              <w:jc w:val="right"/>
              <w:rPr>
                <w:rFonts w:eastAsia="Times New Roman" w:cs="Times New Roman"/>
                <w:sz w:val="15"/>
                <w:szCs w:val="15"/>
              </w:rPr>
            </w:pPr>
          </w:p>
        </w:tc>
        <w:tc>
          <w:tcPr>
            <w:tcW w:w="123" w:type="pct"/>
            <w:vAlign w:val="center"/>
          </w:tcPr>
          <w:p w14:paraId="0DFDE997">
            <w:pPr>
              <w:jc w:val="right"/>
              <w:rPr>
                <w:rFonts w:eastAsia="Times New Roman" w:cs="Times New Roman"/>
                <w:sz w:val="15"/>
                <w:szCs w:val="15"/>
              </w:rPr>
            </w:pPr>
          </w:p>
        </w:tc>
        <w:tc>
          <w:tcPr>
            <w:tcW w:w="123" w:type="pct"/>
            <w:vAlign w:val="center"/>
          </w:tcPr>
          <w:p w14:paraId="76B17AFB">
            <w:pPr>
              <w:jc w:val="right"/>
              <w:rPr>
                <w:rFonts w:eastAsia="Times New Roman" w:cs="Times New Roman"/>
                <w:sz w:val="15"/>
                <w:szCs w:val="15"/>
              </w:rPr>
            </w:pPr>
          </w:p>
        </w:tc>
        <w:tc>
          <w:tcPr>
            <w:tcW w:w="425" w:type="pct"/>
            <w:vAlign w:val="center"/>
          </w:tcPr>
          <w:p w14:paraId="48BE38DF">
            <w:pPr>
              <w:jc w:val="right"/>
              <w:rPr>
                <w:rFonts w:eastAsia="Times New Roman" w:cs="Times New Roman"/>
                <w:sz w:val="15"/>
                <w:szCs w:val="15"/>
              </w:rPr>
            </w:pPr>
          </w:p>
        </w:tc>
        <w:tc>
          <w:tcPr>
            <w:tcW w:w="461" w:type="pct"/>
            <w:vAlign w:val="center"/>
          </w:tcPr>
          <w:p w14:paraId="133718F6">
            <w:pPr>
              <w:jc w:val="right"/>
              <w:rPr>
                <w:rFonts w:eastAsia="Times New Roman" w:cs="Times New Roman"/>
                <w:sz w:val="15"/>
                <w:szCs w:val="15"/>
              </w:rPr>
            </w:pPr>
          </w:p>
        </w:tc>
        <w:tc>
          <w:tcPr>
            <w:tcW w:w="454" w:type="pct"/>
            <w:vAlign w:val="center"/>
          </w:tcPr>
          <w:p w14:paraId="6A38F9DF">
            <w:pPr>
              <w:jc w:val="right"/>
              <w:rPr>
                <w:rFonts w:ascii="宋体" w:hAnsi="宋体"/>
                <w:sz w:val="15"/>
                <w:szCs w:val="15"/>
              </w:rPr>
            </w:pPr>
            <w:r>
              <w:rPr>
                <w:sz w:val="15"/>
                <w:szCs w:val="15"/>
              </w:rPr>
              <w:t>18,712,953.13</w:t>
            </w:r>
          </w:p>
        </w:tc>
        <w:tc>
          <w:tcPr>
            <w:tcW w:w="123" w:type="pct"/>
            <w:vAlign w:val="center"/>
          </w:tcPr>
          <w:p w14:paraId="630DDACB">
            <w:pPr>
              <w:jc w:val="right"/>
              <w:rPr>
                <w:sz w:val="15"/>
                <w:szCs w:val="15"/>
              </w:rPr>
            </w:pPr>
          </w:p>
        </w:tc>
        <w:tc>
          <w:tcPr>
            <w:tcW w:w="388" w:type="pct"/>
            <w:vAlign w:val="center"/>
          </w:tcPr>
          <w:p w14:paraId="599BA510">
            <w:pPr>
              <w:jc w:val="right"/>
              <w:rPr>
                <w:rFonts w:eastAsia="Times New Roman" w:cs="Times New Roman"/>
                <w:sz w:val="15"/>
                <w:szCs w:val="15"/>
              </w:rPr>
            </w:pPr>
          </w:p>
        </w:tc>
        <w:tc>
          <w:tcPr>
            <w:tcW w:w="123" w:type="pct"/>
            <w:vAlign w:val="center"/>
          </w:tcPr>
          <w:p w14:paraId="2D2AA5D3">
            <w:pPr>
              <w:jc w:val="right"/>
              <w:rPr>
                <w:rFonts w:eastAsia="Times New Roman" w:cs="Times New Roman"/>
                <w:sz w:val="15"/>
                <w:szCs w:val="15"/>
              </w:rPr>
            </w:pPr>
          </w:p>
        </w:tc>
        <w:tc>
          <w:tcPr>
            <w:tcW w:w="462" w:type="pct"/>
            <w:vAlign w:val="center"/>
          </w:tcPr>
          <w:p w14:paraId="3841A521">
            <w:pPr>
              <w:jc w:val="right"/>
              <w:rPr>
                <w:rFonts w:ascii="宋体" w:hAnsi="宋体"/>
                <w:sz w:val="15"/>
                <w:szCs w:val="15"/>
              </w:rPr>
            </w:pPr>
            <w:r>
              <w:rPr>
                <w:sz w:val="15"/>
                <w:szCs w:val="15"/>
              </w:rPr>
              <w:t>26,193,818.95</w:t>
            </w:r>
          </w:p>
        </w:tc>
        <w:tc>
          <w:tcPr>
            <w:tcW w:w="123" w:type="pct"/>
            <w:vAlign w:val="center"/>
          </w:tcPr>
          <w:p w14:paraId="05028BA2">
            <w:pPr>
              <w:jc w:val="right"/>
              <w:rPr>
                <w:sz w:val="15"/>
                <w:szCs w:val="15"/>
              </w:rPr>
            </w:pPr>
          </w:p>
        </w:tc>
        <w:tc>
          <w:tcPr>
            <w:tcW w:w="451" w:type="pct"/>
            <w:vAlign w:val="center"/>
          </w:tcPr>
          <w:p w14:paraId="35EA5D1C">
            <w:pPr>
              <w:jc w:val="right"/>
              <w:rPr>
                <w:rFonts w:ascii="宋体" w:hAnsi="宋体"/>
                <w:sz w:val="15"/>
                <w:szCs w:val="15"/>
              </w:rPr>
            </w:pPr>
            <w:r>
              <w:rPr>
                <w:sz w:val="15"/>
                <w:szCs w:val="15"/>
              </w:rPr>
              <w:t>44,906,772.08</w:t>
            </w:r>
          </w:p>
        </w:tc>
        <w:tc>
          <w:tcPr>
            <w:tcW w:w="426" w:type="pct"/>
            <w:gridSpan w:val="2"/>
            <w:vAlign w:val="center"/>
          </w:tcPr>
          <w:p w14:paraId="7E10DAFB">
            <w:pPr>
              <w:jc w:val="right"/>
              <w:rPr>
                <w:sz w:val="15"/>
                <w:szCs w:val="15"/>
              </w:rPr>
            </w:pPr>
            <w:r>
              <w:rPr>
                <w:sz w:val="15"/>
                <w:szCs w:val="15"/>
              </w:rPr>
              <w:t>-134,674,999.06</w:t>
            </w:r>
          </w:p>
        </w:tc>
        <w:tc>
          <w:tcPr>
            <w:tcW w:w="547" w:type="pct"/>
            <w:gridSpan w:val="2"/>
            <w:vAlign w:val="center"/>
          </w:tcPr>
          <w:p w14:paraId="003B0652">
            <w:pPr>
              <w:jc w:val="right"/>
              <w:rPr>
                <w:sz w:val="15"/>
                <w:szCs w:val="15"/>
              </w:rPr>
            </w:pPr>
            <w:r>
              <w:rPr>
                <w:sz w:val="15"/>
                <w:szCs w:val="15"/>
              </w:rPr>
              <w:t>-89,768,226.98</w:t>
            </w:r>
          </w:p>
        </w:tc>
      </w:tr>
      <w:tr w14:paraId="1EE3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d55056423dbf4ac187d64bd43c03aca3"/>
            <w:id w:val="-2114893969"/>
          </w:sdtPr>
          <w:sdtEndPr>
            <w:rPr>
              <w:sz w:val="15"/>
              <w:szCs w:val="15"/>
            </w:rPr>
          </w:sdtEndPr>
          <w:sdtContent>
            <w:tc>
              <w:tcPr>
                <w:tcW w:w="224" w:type="pct"/>
                <w:vAlign w:val="center"/>
              </w:tcPr>
              <w:p w14:paraId="7D06D316">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二</w:t>
                </w:r>
                <w:r>
                  <w:rPr>
                    <w:color w:val="000000" w:themeColor="text1"/>
                    <w:sz w:val="15"/>
                    <w:szCs w:val="15"/>
                    <w14:textFill>
                      <w14:solidFill>
                        <w14:schemeClr w14:val="tx1"/>
                      </w14:solidFill>
                    </w14:textFill>
                  </w:rPr>
                  <w:t>）所有者投入和减少资本</w:t>
                </w:r>
              </w:p>
            </w:tc>
          </w:sdtContent>
        </w:sdt>
        <w:tc>
          <w:tcPr>
            <w:tcW w:w="425" w:type="pct"/>
            <w:vAlign w:val="center"/>
          </w:tcPr>
          <w:p w14:paraId="23BFEF75">
            <w:pPr>
              <w:jc w:val="right"/>
              <w:rPr>
                <w:sz w:val="15"/>
                <w:szCs w:val="15"/>
              </w:rPr>
            </w:pPr>
            <w:r>
              <w:rPr>
                <w:sz w:val="15"/>
                <w:szCs w:val="15"/>
              </w:rPr>
              <w:t>-50,422,929.00</w:t>
            </w:r>
          </w:p>
        </w:tc>
        <w:tc>
          <w:tcPr>
            <w:tcW w:w="123" w:type="pct"/>
            <w:vAlign w:val="center"/>
          </w:tcPr>
          <w:p w14:paraId="40A58B60">
            <w:pPr>
              <w:jc w:val="right"/>
              <w:rPr>
                <w:sz w:val="15"/>
                <w:szCs w:val="15"/>
              </w:rPr>
            </w:pPr>
          </w:p>
        </w:tc>
        <w:tc>
          <w:tcPr>
            <w:tcW w:w="123" w:type="pct"/>
            <w:vAlign w:val="center"/>
          </w:tcPr>
          <w:p w14:paraId="08458FB8">
            <w:pPr>
              <w:jc w:val="right"/>
              <w:rPr>
                <w:rFonts w:eastAsia="Times New Roman" w:cs="Times New Roman"/>
                <w:sz w:val="15"/>
                <w:szCs w:val="15"/>
              </w:rPr>
            </w:pPr>
          </w:p>
        </w:tc>
        <w:tc>
          <w:tcPr>
            <w:tcW w:w="123" w:type="pct"/>
            <w:vAlign w:val="center"/>
          </w:tcPr>
          <w:p w14:paraId="6C5040DD">
            <w:pPr>
              <w:jc w:val="right"/>
              <w:rPr>
                <w:rFonts w:eastAsia="Times New Roman" w:cs="Times New Roman"/>
                <w:sz w:val="15"/>
                <w:szCs w:val="15"/>
              </w:rPr>
            </w:pPr>
          </w:p>
        </w:tc>
        <w:tc>
          <w:tcPr>
            <w:tcW w:w="425" w:type="pct"/>
            <w:vAlign w:val="center"/>
          </w:tcPr>
          <w:p w14:paraId="3D73E822">
            <w:pPr>
              <w:jc w:val="right"/>
              <w:rPr>
                <w:rFonts w:ascii="宋体" w:hAnsi="宋体"/>
                <w:sz w:val="15"/>
                <w:szCs w:val="15"/>
              </w:rPr>
            </w:pPr>
            <w:r>
              <w:rPr>
                <w:sz w:val="15"/>
                <w:szCs w:val="15"/>
              </w:rPr>
              <w:t>-79,633,617.92</w:t>
            </w:r>
          </w:p>
        </w:tc>
        <w:tc>
          <w:tcPr>
            <w:tcW w:w="461" w:type="pct"/>
            <w:vAlign w:val="center"/>
          </w:tcPr>
          <w:p w14:paraId="3035BD0C">
            <w:pPr>
              <w:jc w:val="right"/>
              <w:rPr>
                <w:sz w:val="15"/>
                <w:szCs w:val="15"/>
              </w:rPr>
            </w:pPr>
            <w:r>
              <w:rPr>
                <w:sz w:val="15"/>
                <w:szCs w:val="15"/>
              </w:rPr>
              <w:t>-130,101,426.82</w:t>
            </w:r>
          </w:p>
        </w:tc>
        <w:tc>
          <w:tcPr>
            <w:tcW w:w="454" w:type="pct"/>
            <w:vAlign w:val="center"/>
          </w:tcPr>
          <w:p w14:paraId="0020D9DE">
            <w:pPr>
              <w:jc w:val="right"/>
              <w:rPr>
                <w:sz w:val="15"/>
                <w:szCs w:val="15"/>
              </w:rPr>
            </w:pPr>
          </w:p>
        </w:tc>
        <w:tc>
          <w:tcPr>
            <w:tcW w:w="123" w:type="pct"/>
            <w:vAlign w:val="center"/>
          </w:tcPr>
          <w:p w14:paraId="1AB6983D">
            <w:pPr>
              <w:jc w:val="right"/>
              <w:rPr>
                <w:rFonts w:eastAsia="Times New Roman" w:cs="Times New Roman"/>
                <w:sz w:val="15"/>
                <w:szCs w:val="15"/>
              </w:rPr>
            </w:pPr>
          </w:p>
        </w:tc>
        <w:tc>
          <w:tcPr>
            <w:tcW w:w="388" w:type="pct"/>
            <w:vAlign w:val="center"/>
          </w:tcPr>
          <w:p w14:paraId="20CCDE59">
            <w:pPr>
              <w:jc w:val="right"/>
              <w:rPr>
                <w:rFonts w:eastAsia="Times New Roman" w:cs="Times New Roman"/>
                <w:sz w:val="15"/>
                <w:szCs w:val="15"/>
              </w:rPr>
            </w:pPr>
          </w:p>
        </w:tc>
        <w:tc>
          <w:tcPr>
            <w:tcW w:w="123" w:type="pct"/>
            <w:vAlign w:val="center"/>
          </w:tcPr>
          <w:p w14:paraId="733CB3B1">
            <w:pPr>
              <w:jc w:val="right"/>
              <w:rPr>
                <w:rFonts w:eastAsia="Times New Roman" w:cs="Times New Roman"/>
                <w:sz w:val="15"/>
                <w:szCs w:val="15"/>
              </w:rPr>
            </w:pPr>
          </w:p>
        </w:tc>
        <w:tc>
          <w:tcPr>
            <w:tcW w:w="462" w:type="pct"/>
            <w:vAlign w:val="center"/>
          </w:tcPr>
          <w:p w14:paraId="48400B9C">
            <w:pPr>
              <w:jc w:val="right"/>
              <w:rPr>
                <w:rFonts w:eastAsia="Times New Roman" w:cs="Times New Roman"/>
                <w:sz w:val="15"/>
                <w:szCs w:val="15"/>
              </w:rPr>
            </w:pPr>
          </w:p>
        </w:tc>
        <w:tc>
          <w:tcPr>
            <w:tcW w:w="123" w:type="pct"/>
            <w:vAlign w:val="center"/>
          </w:tcPr>
          <w:p w14:paraId="1F9FF108">
            <w:pPr>
              <w:jc w:val="right"/>
              <w:rPr>
                <w:rFonts w:eastAsia="Times New Roman" w:cs="Times New Roman"/>
                <w:sz w:val="15"/>
                <w:szCs w:val="15"/>
              </w:rPr>
            </w:pPr>
          </w:p>
        </w:tc>
        <w:tc>
          <w:tcPr>
            <w:tcW w:w="451" w:type="pct"/>
            <w:vAlign w:val="center"/>
          </w:tcPr>
          <w:p w14:paraId="2B59615D">
            <w:pPr>
              <w:jc w:val="right"/>
              <w:rPr>
                <w:rFonts w:ascii="宋体" w:hAnsi="宋体"/>
                <w:sz w:val="15"/>
                <w:szCs w:val="15"/>
              </w:rPr>
            </w:pPr>
            <w:r>
              <w:rPr>
                <w:sz w:val="15"/>
                <w:szCs w:val="15"/>
              </w:rPr>
              <w:t>44,879.90</w:t>
            </w:r>
          </w:p>
        </w:tc>
        <w:tc>
          <w:tcPr>
            <w:tcW w:w="426" w:type="pct"/>
            <w:gridSpan w:val="2"/>
            <w:vAlign w:val="center"/>
          </w:tcPr>
          <w:p w14:paraId="4E35F2B4">
            <w:pPr>
              <w:jc w:val="right"/>
              <w:rPr>
                <w:sz w:val="15"/>
                <w:szCs w:val="15"/>
              </w:rPr>
            </w:pPr>
          </w:p>
        </w:tc>
        <w:tc>
          <w:tcPr>
            <w:tcW w:w="547" w:type="pct"/>
            <w:gridSpan w:val="2"/>
            <w:vAlign w:val="center"/>
          </w:tcPr>
          <w:p w14:paraId="1B2DC718">
            <w:pPr>
              <w:jc w:val="right"/>
              <w:rPr>
                <w:rFonts w:ascii="宋体" w:hAnsi="宋体"/>
                <w:sz w:val="15"/>
                <w:szCs w:val="15"/>
              </w:rPr>
            </w:pPr>
            <w:r>
              <w:rPr>
                <w:sz w:val="15"/>
                <w:szCs w:val="15"/>
              </w:rPr>
              <w:t>44,879.90</w:t>
            </w:r>
          </w:p>
        </w:tc>
      </w:tr>
      <w:tr w14:paraId="1447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284541025868477ca26973c13dd9ff9e"/>
            <w:id w:val="-829756575"/>
          </w:sdtPr>
          <w:sdtEndPr>
            <w:rPr>
              <w:sz w:val="15"/>
              <w:szCs w:val="15"/>
            </w:rPr>
          </w:sdtEndPr>
          <w:sdtContent>
            <w:tc>
              <w:tcPr>
                <w:tcW w:w="224" w:type="pct"/>
                <w:vAlign w:val="center"/>
              </w:tcPr>
              <w:p w14:paraId="0CCAF0A7">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1．所有者投入的普通股</w:t>
                </w:r>
              </w:p>
            </w:tc>
          </w:sdtContent>
        </w:sdt>
        <w:tc>
          <w:tcPr>
            <w:tcW w:w="425" w:type="pct"/>
            <w:vAlign w:val="center"/>
          </w:tcPr>
          <w:p w14:paraId="27EB06D4">
            <w:pPr>
              <w:jc w:val="right"/>
              <w:rPr>
                <w:sz w:val="15"/>
                <w:szCs w:val="15"/>
              </w:rPr>
            </w:pPr>
          </w:p>
        </w:tc>
        <w:tc>
          <w:tcPr>
            <w:tcW w:w="123" w:type="pct"/>
            <w:vAlign w:val="center"/>
          </w:tcPr>
          <w:p w14:paraId="6646B0C3">
            <w:pPr>
              <w:jc w:val="right"/>
              <w:rPr>
                <w:sz w:val="15"/>
                <w:szCs w:val="15"/>
              </w:rPr>
            </w:pPr>
          </w:p>
        </w:tc>
        <w:tc>
          <w:tcPr>
            <w:tcW w:w="123" w:type="pct"/>
            <w:vAlign w:val="center"/>
          </w:tcPr>
          <w:p w14:paraId="596E2841">
            <w:pPr>
              <w:jc w:val="right"/>
              <w:rPr>
                <w:sz w:val="15"/>
                <w:szCs w:val="15"/>
              </w:rPr>
            </w:pPr>
          </w:p>
        </w:tc>
        <w:tc>
          <w:tcPr>
            <w:tcW w:w="123" w:type="pct"/>
            <w:vAlign w:val="center"/>
          </w:tcPr>
          <w:p w14:paraId="6F244449">
            <w:pPr>
              <w:jc w:val="right"/>
              <w:rPr>
                <w:sz w:val="15"/>
                <w:szCs w:val="15"/>
              </w:rPr>
            </w:pPr>
          </w:p>
        </w:tc>
        <w:tc>
          <w:tcPr>
            <w:tcW w:w="425" w:type="pct"/>
            <w:vAlign w:val="center"/>
          </w:tcPr>
          <w:p w14:paraId="411C72DC">
            <w:pPr>
              <w:jc w:val="right"/>
              <w:rPr>
                <w:sz w:val="15"/>
                <w:szCs w:val="15"/>
              </w:rPr>
            </w:pPr>
          </w:p>
        </w:tc>
        <w:tc>
          <w:tcPr>
            <w:tcW w:w="461" w:type="pct"/>
            <w:vAlign w:val="center"/>
          </w:tcPr>
          <w:p w14:paraId="5D33F13F">
            <w:pPr>
              <w:jc w:val="right"/>
              <w:rPr>
                <w:sz w:val="15"/>
                <w:szCs w:val="15"/>
              </w:rPr>
            </w:pPr>
          </w:p>
        </w:tc>
        <w:tc>
          <w:tcPr>
            <w:tcW w:w="454" w:type="pct"/>
            <w:vAlign w:val="center"/>
          </w:tcPr>
          <w:p w14:paraId="5BC8CE8E">
            <w:pPr>
              <w:jc w:val="right"/>
              <w:rPr>
                <w:sz w:val="15"/>
                <w:szCs w:val="15"/>
              </w:rPr>
            </w:pPr>
          </w:p>
        </w:tc>
        <w:tc>
          <w:tcPr>
            <w:tcW w:w="123" w:type="pct"/>
            <w:vAlign w:val="center"/>
          </w:tcPr>
          <w:p w14:paraId="477C4FD4">
            <w:pPr>
              <w:jc w:val="right"/>
              <w:rPr>
                <w:sz w:val="15"/>
                <w:szCs w:val="15"/>
              </w:rPr>
            </w:pPr>
          </w:p>
        </w:tc>
        <w:tc>
          <w:tcPr>
            <w:tcW w:w="388" w:type="pct"/>
            <w:vAlign w:val="center"/>
          </w:tcPr>
          <w:p w14:paraId="03AB45A7">
            <w:pPr>
              <w:jc w:val="right"/>
              <w:rPr>
                <w:sz w:val="15"/>
                <w:szCs w:val="15"/>
              </w:rPr>
            </w:pPr>
          </w:p>
        </w:tc>
        <w:tc>
          <w:tcPr>
            <w:tcW w:w="123" w:type="pct"/>
            <w:vAlign w:val="center"/>
          </w:tcPr>
          <w:p w14:paraId="0C6AA5A2">
            <w:pPr>
              <w:jc w:val="right"/>
              <w:rPr>
                <w:sz w:val="15"/>
                <w:szCs w:val="15"/>
              </w:rPr>
            </w:pPr>
          </w:p>
        </w:tc>
        <w:tc>
          <w:tcPr>
            <w:tcW w:w="462" w:type="pct"/>
            <w:vAlign w:val="center"/>
          </w:tcPr>
          <w:p w14:paraId="7BBCBC18">
            <w:pPr>
              <w:jc w:val="right"/>
              <w:rPr>
                <w:sz w:val="15"/>
                <w:szCs w:val="15"/>
              </w:rPr>
            </w:pPr>
          </w:p>
        </w:tc>
        <w:tc>
          <w:tcPr>
            <w:tcW w:w="123" w:type="pct"/>
            <w:vAlign w:val="center"/>
          </w:tcPr>
          <w:p w14:paraId="2A7D942C">
            <w:pPr>
              <w:jc w:val="right"/>
              <w:rPr>
                <w:sz w:val="15"/>
                <w:szCs w:val="15"/>
              </w:rPr>
            </w:pPr>
          </w:p>
        </w:tc>
        <w:tc>
          <w:tcPr>
            <w:tcW w:w="451" w:type="pct"/>
            <w:vAlign w:val="center"/>
          </w:tcPr>
          <w:p w14:paraId="5F92D045">
            <w:pPr>
              <w:jc w:val="right"/>
              <w:rPr>
                <w:sz w:val="15"/>
                <w:szCs w:val="15"/>
              </w:rPr>
            </w:pPr>
          </w:p>
        </w:tc>
        <w:tc>
          <w:tcPr>
            <w:tcW w:w="426" w:type="pct"/>
            <w:gridSpan w:val="2"/>
            <w:vAlign w:val="center"/>
          </w:tcPr>
          <w:p w14:paraId="5D1A7BF3">
            <w:pPr>
              <w:jc w:val="right"/>
              <w:rPr>
                <w:sz w:val="15"/>
                <w:szCs w:val="15"/>
              </w:rPr>
            </w:pPr>
          </w:p>
        </w:tc>
        <w:tc>
          <w:tcPr>
            <w:tcW w:w="547" w:type="pct"/>
            <w:gridSpan w:val="2"/>
            <w:vAlign w:val="center"/>
          </w:tcPr>
          <w:p w14:paraId="07B3ABEE">
            <w:pPr>
              <w:jc w:val="right"/>
              <w:rPr>
                <w:sz w:val="15"/>
                <w:szCs w:val="15"/>
              </w:rPr>
            </w:pPr>
          </w:p>
        </w:tc>
      </w:tr>
      <w:tr w14:paraId="7C18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13b4ec8d0fe34f9797d68eab8f95768d"/>
            <w:id w:val="1444958645"/>
          </w:sdtPr>
          <w:sdtEndPr>
            <w:rPr>
              <w:sz w:val="15"/>
              <w:szCs w:val="15"/>
            </w:rPr>
          </w:sdtEndPr>
          <w:sdtContent>
            <w:tc>
              <w:tcPr>
                <w:tcW w:w="224" w:type="pct"/>
                <w:vAlign w:val="center"/>
              </w:tcPr>
              <w:p w14:paraId="6FDCA1A4">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2．其他权益工具持有者投入资本</w:t>
                </w:r>
              </w:p>
            </w:tc>
          </w:sdtContent>
        </w:sdt>
        <w:tc>
          <w:tcPr>
            <w:tcW w:w="425" w:type="pct"/>
            <w:vAlign w:val="center"/>
          </w:tcPr>
          <w:p w14:paraId="2CE361AA">
            <w:pPr>
              <w:jc w:val="right"/>
              <w:rPr>
                <w:sz w:val="15"/>
                <w:szCs w:val="15"/>
              </w:rPr>
            </w:pPr>
          </w:p>
        </w:tc>
        <w:tc>
          <w:tcPr>
            <w:tcW w:w="123" w:type="pct"/>
            <w:vAlign w:val="center"/>
          </w:tcPr>
          <w:p w14:paraId="0BBE9C2F">
            <w:pPr>
              <w:jc w:val="right"/>
              <w:rPr>
                <w:sz w:val="15"/>
                <w:szCs w:val="15"/>
              </w:rPr>
            </w:pPr>
          </w:p>
        </w:tc>
        <w:tc>
          <w:tcPr>
            <w:tcW w:w="123" w:type="pct"/>
            <w:vAlign w:val="center"/>
          </w:tcPr>
          <w:p w14:paraId="4C27D42F">
            <w:pPr>
              <w:jc w:val="right"/>
              <w:rPr>
                <w:sz w:val="15"/>
                <w:szCs w:val="15"/>
              </w:rPr>
            </w:pPr>
          </w:p>
        </w:tc>
        <w:tc>
          <w:tcPr>
            <w:tcW w:w="123" w:type="pct"/>
            <w:vAlign w:val="center"/>
          </w:tcPr>
          <w:p w14:paraId="30FCCD21">
            <w:pPr>
              <w:jc w:val="right"/>
              <w:rPr>
                <w:sz w:val="15"/>
                <w:szCs w:val="15"/>
              </w:rPr>
            </w:pPr>
          </w:p>
        </w:tc>
        <w:tc>
          <w:tcPr>
            <w:tcW w:w="425" w:type="pct"/>
            <w:vAlign w:val="center"/>
          </w:tcPr>
          <w:p w14:paraId="51BF0BCA">
            <w:pPr>
              <w:jc w:val="right"/>
              <w:rPr>
                <w:sz w:val="15"/>
                <w:szCs w:val="15"/>
              </w:rPr>
            </w:pPr>
          </w:p>
        </w:tc>
        <w:tc>
          <w:tcPr>
            <w:tcW w:w="461" w:type="pct"/>
            <w:vAlign w:val="center"/>
          </w:tcPr>
          <w:p w14:paraId="05CB0DFE">
            <w:pPr>
              <w:jc w:val="right"/>
              <w:rPr>
                <w:sz w:val="15"/>
                <w:szCs w:val="15"/>
              </w:rPr>
            </w:pPr>
          </w:p>
        </w:tc>
        <w:tc>
          <w:tcPr>
            <w:tcW w:w="454" w:type="pct"/>
            <w:vAlign w:val="center"/>
          </w:tcPr>
          <w:p w14:paraId="301AD079">
            <w:pPr>
              <w:jc w:val="right"/>
              <w:rPr>
                <w:sz w:val="15"/>
                <w:szCs w:val="15"/>
              </w:rPr>
            </w:pPr>
          </w:p>
        </w:tc>
        <w:tc>
          <w:tcPr>
            <w:tcW w:w="123" w:type="pct"/>
            <w:vAlign w:val="center"/>
          </w:tcPr>
          <w:p w14:paraId="1100ABC5">
            <w:pPr>
              <w:jc w:val="right"/>
              <w:rPr>
                <w:sz w:val="15"/>
                <w:szCs w:val="15"/>
              </w:rPr>
            </w:pPr>
          </w:p>
        </w:tc>
        <w:tc>
          <w:tcPr>
            <w:tcW w:w="388" w:type="pct"/>
            <w:vAlign w:val="center"/>
          </w:tcPr>
          <w:p w14:paraId="78300C96">
            <w:pPr>
              <w:jc w:val="right"/>
              <w:rPr>
                <w:sz w:val="15"/>
                <w:szCs w:val="15"/>
              </w:rPr>
            </w:pPr>
          </w:p>
        </w:tc>
        <w:tc>
          <w:tcPr>
            <w:tcW w:w="123" w:type="pct"/>
            <w:vAlign w:val="center"/>
          </w:tcPr>
          <w:p w14:paraId="4051504E">
            <w:pPr>
              <w:jc w:val="right"/>
              <w:rPr>
                <w:sz w:val="15"/>
                <w:szCs w:val="15"/>
              </w:rPr>
            </w:pPr>
          </w:p>
        </w:tc>
        <w:tc>
          <w:tcPr>
            <w:tcW w:w="462" w:type="pct"/>
            <w:vAlign w:val="center"/>
          </w:tcPr>
          <w:p w14:paraId="1D318A64">
            <w:pPr>
              <w:jc w:val="right"/>
              <w:rPr>
                <w:sz w:val="15"/>
                <w:szCs w:val="15"/>
              </w:rPr>
            </w:pPr>
          </w:p>
        </w:tc>
        <w:tc>
          <w:tcPr>
            <w:tcW w:w="123" w:type="pct"/>
            <w:vAlign w:val="center"/>
          </w:tcPr>
          <w:p w14:paraId="6DAA22FA">
            <w:pPr>
              <w:jc w:val="right"/>
              <w:rPr>
                <w:sz w:val="15"/>
                <w:szCs w:val="15"/>
              </w:rPr>
            </w:pPr>
          </w:p>
        </w:tc>
        <w:tc>
          <w:tcPr>
            <w:tcW w:w="451" w:type="pct"/>
            <w:vAlign w:val="center"/>
          </w:tcPr>
          <w:p w14:paraId="71EC1151">
            <w:pPr>
              <w:jc w:val="right"/>
              <w:rPr>
                <w:sz w:val="15"/>
                <w:szCs w:val="15"/>
              </w:rPr>
            </w:pPr>
          </w:p>
        </w:tc>
        <w:tc>
          <w:tcPr>
            <w:tcW w:w="426" w:type="pct"/>
            <w:gridSpan w:val="2"/>
            <w:vAlign w:val="center"/>
          </w:tcPr>
          <w:p w14:paraId="62FBED75">
            <w:pPr>
              <w:jc w:val="right"/>
              <w:rPr>
                <w:sz w:val="15"/>
                <w:szCs w:val="15"/>
              </w:rPr>
            </w:pPr>
          </w:p>
        </w:tc>
        <w:tc>
          <w:tcPr>
            <w:tcW w:w="547" w:type="pct"/>
            <w:gridSpan w:val="2"/>
            <w:vAlign w:val="center"/>
          </w:tcPr>
          <w:p w14:paraId="2E487FC3">
            <w:pPr>
              <w:jc w:val="right"/>
              <w:rPr>
                <w:sz w:val="15"/>
                <w:szCs w:val="15"/>
              </w:rPr>
            </w:pPr>
          </w:p>
        </w:tc>
      </w:tr>
      <w:tr w14:paraId="67DE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f1f3be9263a748c28f276e78f447b133"/>
            <w:id w:val="-235858825"/>
          </w:sdtPr>
          <w:sdtEndPr>
            <w:rPr>
              <w:sz w:val="15"/>
              <w:szCs w:val="15"/>
            </w:rPr>
          </w:sdtEndPr>
          <w:sdtContent>
            <w:tc>
              <w:tcPr>
                <w:tcW w:w="224" w:type="pct"/>
                <w:vAlign w:val="center"/>
              </w:tcPr>
              <w:p w14:paraId="58ADF6FC">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w:t>
                </w:r>
                <w:r>
                  <w:rPr>
                    <w:color w:val="000000" w:themeColor="text1"/>
                    <w:sz w:val="15"/>
                    <w:szCs w:val="15"/>
                    <w14:textFill>
                      <w14:solidFill>
                        <w14:schemeClr w14:val="tx1"/>
                      </w14:solidFill>
                    </w14:textFill>
                  </w:rPr>
                  <w:t>．股份支付计入所有者权益的金额</w:t>
                </w:r>
              </w:p>
            </w:tc>
          </w:sdtContent>
        </w:sdt>
        <w:tc>
          <w:tcPr>
            <w:tcW w:w="425" w:type="pct"/>
            <w:vAlign w:val="center"/>
          </w:tcPr>
          <w:p w14:paraId="65F87C0B">
            <w:pPr>
              <w:jc w:val="right"/>
              <w:rPr>
                <w:sz w:val="15"/>
                <w:szCs w:val="15"/>
              </w:rPr>
            </w:pPr>
          </w:p>
        </w:tc>
        <w:tc>
          <w:tcPr>
            <w:tcW w:w="123" w:type="pct"/>
            <w:vAlign w:val="center"/>
          </w:tcPr>
          <w:p w14:paraId="00CE07A9">
            <w:pPr>
              <w:jc w:val="right"/>
              <w:rPr>
                <w:sz w:val="15"/>
                <w:szCs w:val="15"/>
              </w:rPr>
            </w:pPr>
          </w:p>
        </w:tc>
        <w:tc>
          <w:tcPr>
            <w:tcW w:w="123" w:type="pct"/>
            <w:vAlign w:val="center"/>
          </w:tcPr>
          <w:p w14:paraId="365DF668">
            <w:pPr>
              <w:jc w:val="right"/>
              <w:rPr>
                <w:sz w:val="15"/>
                <w:szCs w:val="15"/>
              </w:rPr>
            </w:pPr>
          </w:p>
        </w:tc>
        <w:tc>
          <w:tcPr>
            <w:tcW w:w="123" w:type="pct"/>
            <w:vAlign w:val="center"/>
          </w:tcPr>
          <w:p w14:paraId="44887B46">
            <w:pPr>
              <w:jc w:val="right"/>
              <w:rPr>
                <w:sz w:val="15"/>
                <w:szCs w:val="15"/>
              </w:rPr>
            </w:pPr>
          </w:p>
        </w:tc>
        <w:tc>
          <w:tcPr>
            <w:tcW w:w="425" w:type="pct"/>
            <w:vAlign w:val="center"/>
          </w:tcPr>
          <w:p w14:paraId="3608A7D4">
            <w:pPr>
              <w:jc w:val="right"/>
              <w:rPr>
                <w:sz w:val="15"/>
                <w:szCs w:val="15"/>
              </w:rPr>
            </w:pPr>
          </w:p>
        </w:tc>
        <w:tc>
          <w:tcPr>
            <w:tcW w:w="461" w:type="pct"/>
            <w:vAlign w:val="center"/>
          </w:tcPr>
          <w:p w14:paraId="2F7CABAC">
            <w:pPr>
              <w:jc w:val="right"/>
              <w:rPr>
                <w:sz w:val="15"/>
                <w:szCs w:val="15"/>
              </w:rPr>
            </w:pPr>
          </w:p>
        </w:tc>
        <w:tc>
          <w:tcPr>
            <w:tcW w:w="454" w:type="pct"/>
            <w:vAlign w:val="center"/>
          </w:tcPr>
          <w:p w14:paraId="08EEF352">
            <w:pPr>
              <w:jc w:val="right"/>
              <w:rPr>
                <w:sz w:val="15"/>
                <w:szCs w:val="15"/>
              </w:rPr>
            </w:pPr>
          </w:p>
        </w:tc>
        <w:tc>
          <w:tcPr>
            <w:tcW w:w="123" w:type="pct"/>
            <w:vAlign w:val="center"/>
          </w:tcPr>
          <w:p w14:paraId="1463FF90">
            <w:pPr>
              <w:jc w:val="right"/>
              <w:rPr>
                <w:sz w:val="15"/>
                <w:szCs w:val="15"/>
              </w:rPr>
            </w:pPr>
          </w:p>
        </w:tc>
        <w:tc>
          <w:tcPr>
            <w:tcW w:w="388" w:type="pct"/>
            <w:vAlign w:val="center"/>
          </w:tcPr>
          <w:p w14:paraId="1225AED8">
            <w:pPr>
              <w:jc w:val="right"/>
              <w:rPr>
                <w:sz w:val="15"/>
                <w:szCs w:val="15"/>
              </w:rPr>
            </w:pPr>
          </w:p>
        </w:tc>
        <w:tc>
          <w:tcPr>
            <w:tcW w:w="123" w:type="pct"/>
            <w:vAlign w:val="center"/>
          </w:tcPr>
          <w:p w14:paraId="545666B7">
            <w:pPr>
              <w:jc w:val="right"/>
              <w:rPr>
                <w:sz w:val="15"/>
                <w:szCs w:val="15"/>
              </w:rPr>
            </w:pPr>
          </w:p>
        </w:tc>
        <w:tc>
          <w:tcPr>
            <w:tcW w:w="462" w:type="pct"/>
            <w:vAlign w:val="center"/>
          </w:tcPr>
          <w:p w14:paraId="53DC9BE5">
            <w:pPr>
              <w:jc w:val="right"/>
              <w:rPr>
                <w:sz w:val="15"/>
                <w:szCs w:val="15"/>
              </w:rPr>
            </w:pPr>
          </w:p>
        </w:tc>
        <w:tc>
          <w:tcPr>
            <w:tcW w:w="123" w:type="pct"/>
            <w:vAlign w:val="center"/>
          </w:tcPr>
          <w:p w14:paraId="1640C0F7">
            <w:pPr>
              <w:jc w:val="right"/>
              <w:rPr>
                <w:sz w:val="15"/>
                <w:szCs w:val="15"/>
              </w:rPr>
            </w:pPr>
          </w:p>
        </w:tc>
        <w:tc>
          <w:tcPr>
            <w:tcW w:w="451" w:type="pct"/>
            <w:vAlign w:val="center"/>
          </w:tcPr>
          <w:p w14:paraId="0D0E3672">
            <w:pPr>
              <w:jc w:val="right"/>
              <w:rPr>
                <w:sz w:val="15"/>
                <w:szCs w:val="15"/>
              </w:rPr>
            </w:pPr>
          </w:p>
        </w:tc>
        <w:tc>
          <w:tcPr>
            <w:tcW w:w="426" w:type="pct"/>
            <w:gridSpan w:val="2"/>
            <w:vAlign w:val="center"/>
          </w:tcPr>
          <w:p w14:paraId="31FB36B4">
            <w:pPr>
              <w:jc w:val="right"/>
              <w:rPr>
                <w:sz w:val="15"/>
                <w:szCs w:val="15"/>
              </w:rPr>
            </w:pPr>
          </w:p>
        </w:tc>
        <w:tc>
          <w:tcPr>
            <w:tcW w:w="547" w:type="pct"/>
            <w:gridSpan w:val="2"/>
            <w:vAlign w:val="center"/>
          </w:tcPr>
          <w:p w14:paraId="5EF75ECA">
            <w:pPr>
              <w:jc w:val="right"/>
              <w:rPr>
                <w:sz w:val="15"/>
                <w:szCs w:val="15"/>
              </w:rPr>
            </w:pPr>
          </w:p>
        </w:tc>
      </w:tr>
      <w:tr w14:paraId="7F3B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b361f3a237774bcd8ac416b2b21655eb"/>
            <w:id w:val="1972630617"/>
          </w:sdtPr>
          <w:sdtEndPr>
            <w:rPr>
              <w:sz w:val="15"/>
              <w:szCs w:val="15"/>
            </w:rPr>
          </w:sdtEndPr>
          <w:sdtContent>
            <w:tc>
              <w:tcPr>
                <w:tcW w:w="224" w:type="pct"/>
                <w:vAlign w:val="center"/>
              </w:tcPr>
              <w:p w14:paraId="6A0DC898">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w:t>
                </w:r>
                <w:r>
                  <w:rPr>
                    <w:color w:val="000000" w:themeColor="text1"/>
                    <w:sz w:val="15"/>
                    <w:szCs w:val="15"/>
                    <w14:textFill>
                      <w14:solidFill>
                        <w14:schemeClr w14:val="tx1"/>
                      </w14:solidFill>
                    </w14:textFill>
                  </w:rPr>
                  <w:t>．其他</w:t>
                </w:r>
              </w:p>
            </w:tc>
          </w:sdtContent>
        </w:sdt>
        <w:tc>
          <w:tcPr>
            <w:tcW w:w="425" w:type="pct"/>
            <w:vAlign w:val="center"/>
          </w:tcPr>
          <w:p w14:paraId="18C84C0E">
            <w:pPr>
              <w:jc w:val="right"/>
              <w:rPr>
                <w:sz w:val="15"/>
                <w:szCs w:val="15"/>
              </w:rPr>
            </w:pPr>
            <w:r>
              <w:rPr>
                <w:sz w:val="15"/>
                <w:szCs w:val="15"/>
              </w:rPr>
              <w:t>-50,422,929.00</w:t>
            </w:r>
          </w:p>
        </w:tc>
        <w:tc>
          <w:tcPr>
            <w:tcW w:w="123" w:type="pct"/>
            <w:vAlign w:val="center"/>
          </w:tcPr>
          <w:p w14:paraId="7C46AAFA">
            <w:pPr>
              <w:jc w:val="right"/>
              <w:rPr>
                <w:sz w:val="15"/>
                <w:szCs w:val="15"/>
              </w:rPr>
            </w:pPr>
          </w:p>
        </w:tc>
        <w:tc>
          <w:tcPr>
            <w:tcW w:w="123" w:type="pct"/>
            <w:vAlign w:val="center"/>
          </w:tcPr>
          <w:p w14:paraId="06420D35">
            <w:pPr>
              <w:jc w:val="right"/>
              <w:rPr>
                <w:rFonts w:eastAsia="Times New Roman" w:cs="Times New Roman"/>
                <w:sz w:val="15"/>
                <w:szCs w:val="15"/>
              </w:rPr>
            </w:pPr>
          </w:p>
        </w:tc>
        <w:tc>
          <w:tcPr>
            <w:tcW w:w="123" w:type="pct"/>
            <w:vAlign w:val="center"/>
          </w:tcPr>
          <w:p w14:paraId="2E717DEE">
            <w:pPr>
              <w:jc w:val="right"/>
              <w:rPr>
                <w:rFonts w:eastAsia="Times New Roman" w:cs="Times New Roman"/>
                <w:sz w:val="15"/>
                <w:szCs w:val="15"/>
              </w:rPr>
            </w:pPr>
          </w:p>
        </w:tc>
        <w:tc>
          <w:tcPr>
            <w:tcW w:w="425" w:type="pct"/>
            <w:vAlign w:val="center"/>
          </w:tcPr>
          <w:p w14:paraId="06F3D705">
            <w:pPr>
              <w:jc w:val="right"/>
              <w:rPr>
                <w:rFonts w:ascii="宋体" w:hAnsi="宋体"/>
                <w:sz w:val="15"/>
                <w:szCs w:val="15"/>
              </w:rPr>
            </w:pPr>
            <w:r>
              <w:rPr>
                <w:sz w:val="15"/>
                <w:szCs w:val="15"/>
              </w:rPr>
              <w:t>-79,633,617.92</w:t>
            </w:r>
          </w:p>
        </w:tc>
        <w:tc>
          <w:tcPr>
            <w:tcW w:w="461" w:type="pct"/>
            <w:vAlign w:val="center"/>
          </w:tcPr>
          <w:p w14:paraId="7904565A">
            <w:pPr>
              <w:jc w:val="right"/>
              <w:rPr>
                <w:sz w:val="15"/>
                <w:szCs w:val="15"/>
              </w:rPr>
            </w:pPr>
            <w:r>
              <w:rPr>
                <w:sz w:val="15"/>
                <w:szCs w:val="15"/>
              </w:rPr>
              <w:t>-130,101,426.82</w:t>
            </w:r>
          </w:p>
        </w:tc>
        <w:tc>
          <w:tcPr>
            <w:tcW w:w="454" w:type="pct"/>
            <w:vAlign w:val="center"/>
          </w:tcPr>
          <w:p w14:paraId="16BD7941">
            <w:pPr>
              <w:jc w:val="right"/>
              <w:rPr>
                <w:sz w:val="15"/>
                <w:szCs w:val="15"/>
              </w:rPr>
            </w:pPr>
          </w:p>
        </w:tc>
        <w:tc>
          <w:tcPr>
            <w:tcW w:w="123" w:type="pct"/>
            <w:vAlign w:val="center"/>
          </w:tcPr>
          <w:p w14:paraId="37D8260E">
            <w:pPr>
              <w:jc w:val="right"/>
              <w:rPr>
                <w:rFonts w:eastAsia="Times New Roman" w:cs="Times New Roman"/>
                <w:sz w:val="15"/>
                <w:szCs w:val="15"/>
              </w:rPr>
            </w:pPr>
          </w:p>
        </w:tc>
        <w:tc>
          <w:tcPr>
            <w:tcW w:w="388" w:type="pct"/>
            <w:vAlign w:val="center"/>
          </w:tcPr>
          <w:p w14:paraId="375D6FA1">
            <w:pPr>
              <w:jc w:val="right"/>
              <w:rPr>
                <w:rFonts w:eastAsia="Times New Roman" w:cs="Times New Roman"/>
                <w:sz w:val="15"/>
                <w:szCs w:val="15"/>
              </w:rPr>
            </w:pPr>
          </w:p>
        </w:tc>
        <w:tc>
          <w:tcPr>
            <w:tcW w:w="123" w:type="pct"/>
            <w:vAlign w:val="center"/>
          </w:tcPr>
          <w:p w14:paraId="02CE712D">
            <w:pPr>
              <w:jc w:val="right"/>
              <w:rPr>
                <w:rFonts w:eastAsia="Times New Roman" w:cs="Times New Roman"/>
                <w:sz w:val="15"/>
                <w:szCs w:val="15"/>
              </w:rPr>
            </w:pPr>
          </w:p>
        </w:tc>
        <w:tc>
          <w:tcPr>
            <w:tcW w:w="462" w:type="pct"/>
            <w:vAlign w:val="center"/>
          </w:tcPr>
          <w:p w14:paraId="0135C1E2">
            <w:pPr>
              <w:jc w:val="right"/>
              <w:rPr>
                <w:rFonts w:eastAsia="Times New Roman" w:cs="Times New Roman"/>
                <w:sz w:val="15"/>
                <w:szCs w:val="15"/>
              </w:rPr>
            </w:pPr>
          </w:p>
        </w:tc>
        <w:tc>
          <w:tcPr>
            <w:tcW w:w="123" w:type="pct"/>
            <w:vAlign w:val="center"/>
          </w:tcPr>
          <w:p w14:paraId="0F25E4C3">
            <w:pPr>
              <w:jc w:val="right"/>
              <w:rPr>
                <w:rFonts w:eastAsia="Times New Roman" w:cs="Times New Roman"/>
                <w:sz w:val="15"/>
                <w:szCs w:val="15"/>
              </w:rPr>
            </w:pPr>
          </w:p>
        </w:tc>
        <w:tc>
          <w:tcPr>
            <w:tcW w:w="451" w:type="pct"/>
            <w:vAlign w:val="center"/>
          </w:tcPr>
          <w:p w14:paraId="6A5E135C">
            <w:pPr>
              <w:jc w:val="right"/>
              <w:rPr>
                <w:rFonts w:ascii="宋体" w:hAnsi="宋体"/>
                <w:sz w:val="15"/>
                <w:szCs w:val="15"/>
              </w:rPr>
            </w:pPr>
            <w:r>
              <w:rPr>
                <w:sz w:val="15"/>
                <w:szCs w:val="15"/>
              </w:rPr>
              <w:t>44,879.90</w:t>
            </w:r>
          </w:p>
        </w:tc>
        <w:tc>
          <w:tcPr>
            <w:tcW w:w="426" w:type="pct"/>
            <w:gridSpan w:val="2"/>
            <w:vAlign w:val="center"/>
          </w:tcPr>
          <w:p w14:paraId="25BAA42E">
            <w:pPr>
              <w:jc w:val="right"/>
              <w:rPr>
                <w:sz w:val="15"/>
                <w:szCs w:val="15"/>
              </w:rPr>
            </w:pPr>
          </w:p>
        </w:tc>
        <w:tc>
          <w:tcPr>
            <w:tcW w:w="547" w:type="pct"/>
            <w:gridSpan w:val="2"/>
            <w:vAlign w:val="center"/>
          </w:tcPr>
          <w:p w14:paraId="32206C62">
            <w:pPr>
              <w:jc w:val="right"/>
              <w:rPr>
                <w:rFonts w:ascii="宋体" w:hAnsi="宋体"/>
                <w:sz w:val="15"/>
                <w:szCs w:val="15"/>
              </w:rPr>
            </w:pPr>
            <w:r>
              <w:rPr>
                <w:sz w:val="15"/>
                <w:szCs w:val="15"/>
              </w:rPr>
              <w:t>44,879.90</w:t>
            </w:r>
          </w:p>
        </w:tc>
      </w:tr>
      <w:tr w14:paraId="7550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a7e75a2d1ed049d9bbdb0ef093ac9478"/>
            <w:id w:val="1976791531"/>
          </w:sdtPr>
          <w:sdtEndPr>
            <w:rPr>
              <w:sz w:val="15"/>
              <w:szCs w:val="15"/>
            </w:rPr>
          </w:sdtEndPr>
          <w:sdtContent>
            <w:tc>
              <w:tcPr>
                <w:tcW w:w="224" w:type="pct"/>
                <w:vAlign w:val="center"/>
              </w:tcPr>
              <w:p w14:paraId="0DA3FBE6">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三</w:t>
                </w:r>
                <w:r>
                  <w:rPr>
                    <w:color w:val="000000" w:themeColor="text1"/>
                    <w:sz w:val="15"/>
                    <w:szCs w:val="15"/>
                    <w14:textFill>
                      <w14:solidFill>
                        <w14:schemeClr w14:val="tx1"/>
                      </w14:solidFill>
                    </w14:textFill>
                  </w:rPr>
                  <w:t>）利润分配</w:t>
                </w:r>
              </w:p>
            </w:tc>
          </w:sdtContent>
        </w:sdt>
        <w:tc>
          <w:tcPr>
            <w:tcW w:w="425" w:type="pct"/>
            <w:vAlign w:val="center"/>
          </w:tcPr>
          <w:p w14:paraId="1759097D">
            <w:pPr>
              <w:jc w:val="right"/>
              <w:rPr>
                <w:sz w:val="15"/>
                <w:szCs w:val="15"/>
              </w:rPr>
            </w:pPr>
          </w:p>
        </w:tc>
        <w:tc>
          <w:tcPr>
            <w:tcW w:w="123" w:type="pct"/>
            <w:vAlign w:val="center"/>
          </w:tcPr>
          <w:p w14:paraId="6F6C517D">
            <w:pPr>
              <w:jc w:val="right"/>
              <w:rPr>
                <w:sz w:val="15"/>
                <w:szCs w:val="15"/>
              </w:rPr>
            </w:pPr>
          </w:p>
        </w:tc>
        <w:tc>
          <w:tcPr>
            <w:tcW w:w="123" w:type="pct"/>
            <w:vAlign w:val="center"/>
          </w:tcPr>
          <w:p w14:paraId="683A352C">
            <w:pPr>
              <w:jc w:val="right"/>
              <w:rPr>
                <w:sz w:val="15"/>
                <w:szCs w:val="15"/>
              </w:rPr>
            </w:pPr>
          </w:p>
        </w:tc>
        <w:tc>
          <w:tcPr>
            <w:tcW w:w="123" w:type="pct"/>
            <w:vAlign w:val="center"/>
          </w:tcPr>
          <w:p w14:paraId="293CB51E">
            <w:pPr>
              <w:jc w:val="right"/>
              <w:rPr>
                <w:sz w:val="15"/>
                <w:szCs w:val="15"/>
              </w:rPr>
            </w:pPr>
          </w:p>
        </w:tc>
        <w:tc>
          <w:tcPr>
            <w:tcW w:w="425" w:type="pct"/>
            <w:vAlign w:val="center"/>
          </w:tcPr>
          <w:p w14:paraId="6D8EBFEA">
            <w:pPr>
              <w:jc w:val="right"/>
              <w:rPr>
                <w:sz w:val="15"/>
                <w:szCs w:val="15"/>
              </w:rPr>
            </w:pPr>
          </w:p>
        </w:tc>
        <w:tc>
          <w:tcPr>
            <w:tcW w:w="461" w:type="pct"/>
            <w:vAlign w:val="center"/>
          </w:tcPr>
          <w:p w14:paraId="66B7B166">
            <w:pPr>
              <w:jc w:val="right"/>
              <w:rPr>
                <w:sz w:val="15"/>
                <w:szCs w:val="15"/>
              </w:rPr>
            </w:pPr>
          </w:p>
        </w:tc>
        <w:tc>
          <w:tcPr>
            <w:tcW w:w="454" w:type="pct"/>
            <w:vAlign w:val="center"/>
          </w:tcPr>
          <w:p w14:paraId="527D4C85">
            <w:pPr>
              <w:jc w:val="right"/>
              <w:rPr>
                <w:sz w:val="15"/>
                <w:szCs w:val="15"/>
              </w:rPr>
            </w:pPr>
          </w:p>
        </w:tc>
        <w:tc>
          <w:tcPr>
            <w:tcW w:w="123" w:type="pct"/>
            <w:vAlign w:val="center"/>
          </w:tcPr>
          <w:p w14:paraId="75F480DE">
            <w:pPr>
              <w:jc w:val="right"/>
              <w:rPr>
                <w:sz w:val="15"/>
                <w:szCs w:val="15"/>
              </w:rPr>
            </w:pPr>
          </w:p>
        </w:tc>
        <w:tc>
          <w:tcPr>
            <w:tcW w:w="388" w:type="pct"/>
            <w:vAlign w:val="center"/>
          </w:tcPr>
          <w:p w14:paraId="3AC872E2">
            <w:pPr>
              <w:jc w:val="right"/>
              <w:rPr>
                <w:sz w:val="15"/>
                <w:szCs w:val="15"/>
              </w:rPr>
            </w:pPr>
          </w:p>
        </w:tc>
        <w:tc>
          <w:tcPr>
            <w:tcW w:w="123" w:type="pct"/>
            <w:vAlign w:val="center"/>
          </w:tcPr>
          <w:p w14:paraId="7FBE23DB">
            <w:pPr>
              <w:jc w:val="right"/>
              <w:rPr>
                <w:sz w:val="15"/>
                <w:szCs w:val="15"/>
              </w:rPr>
            </w:pPr>
          </w:p>
        </w:tc>
        <w:tc>
          <w:tcPr>
            <w:tcW w:w="462" w:type="pct"/>
            <w:vAlign w:val="center"/>
          </w:tcPr>
          <w:p w14:paraId="7E5625C5">
            <w:pPr>
              <w:jc w:val="right"/>
              <w:rPr>
                <w:sz w:val="15"/>
                <w:szCs w:val="15"/>
              </w:rPr>
            </w:pPr>
          </w:p>
        </w:tc>
        <w:tc>
          <w:tcPr>
            <w:tcW w:w="123" w:type="pct"/>
            <w:vAlign w:val="center"/>
          </w:tcPr>
          <w:p w14:paraId="28FFD4FC">
            <w:pPr>
              <w:jc w:val="right"/>
              <w:rPr>
                <w:sz w:val="15"/>
                <w:szCs w:val="15"/>
              </w:rPr>
            </w:pPr>
          </w:p>
        </w:tc>
        <w:tc>
          <w:tcPr>
            <w:tcW w:w="451" w:type="pct"/>
            <w:vAlign w:val="center"/>
          </w:tcPr>
          <w:p w14:paraId="2F38C920">
            <w:pPr>
              <w:jc w:val="right"/>
              <w:rPr>
                <w:sz w:val="15"/>
                <w:szCs w:val="15"/>
              </w:rPr>
            </w:pPr>
          </w:p>
        </w:tc>
        <w:tc>
          <w:tcPr>
            <w:tcW w:w="426" w:type="pct"/>
            <w:gridSpan w:val="2"/>
            <w:vAlign w:val="center"/>
          </w:tcPr>
          <w:p w14:paraId="1539BDD7">
            <w:pPr>
              <w:jc w:val="right"/>
              <w:rPr>
                <w:sz w:val="15"/>
                <w:szCs w:val="15"/>
              </w:rPr>
            </w:pPr>
          </w:p>
        </w:tc>
        <w:tc>
          <w:tcPr>
            <w:tcW w:w="547" w:type="pct"/>
            <w:gridSpan w:val="2"/>
            <w:vAlign w:val="center"/>
          </w:tcPr>
          <w:p w14:paraId="296403E9">
            <w:pPr>
              <w:jc w:val="right"/>
              <w:rPr>
                <w:sz w:val="15"/>
                <w:szCs w:val="15"/>
              </w:rPr>
            </w:pPr>
          </w:p>
        </w:tc>
      </w:tr>
      <w:tr w14:paraId="556C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728c39864cdd4a7c93d6a2bae73ac47f"/>
            <w:id w:val="-1353250506"/>
          </w:sdtPr>
          <w:sdtEndPr>
            <w:rPr>
              <w:sz w:val="15"/>
              <w:szCs w:val="15"/>
            </w:rPr>
          </w:sdtEndPr>
          <w:sdtContent>
            <w:tc>
              <w:tcPr>
                <w:tcW w:w="224" w:type="pct"/>
                <w:vAlign w:val="center"/>
              </w:tcPr>
              <w:p w14:paraId="1C8F08E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1．提取盈余公积</w:t>
                </w:r>
              </w:p>
            </w:tc>
          </w:sdtContent>
        </w:sdt>
        <w:tc>
          <w:tcPr>
            <w:tcW w:w="425" w:type="pct"/>
            <w:vAlign w:val="center"/>
          </w:tcPr>
          <w:p w14:paraId="56F82673">
            <w:pPr>
              <w:jc w:val="right"/>
              <w:rPr>
                <w:sz w:val="15"/>
                <w:szCs w:val="15"/>
              </w:rPr>
            </w:pPr>
          </w:p>
        </w:tc>
        <w:tc>
          <w:tcPr>
            <w:tcW w:w="123" w:type="pct"/>
            <w:vAlign w:val="center"/>
          </w:tcPr>
          <w:p w14:paraId="16E29B1A">
            <w:pPr>
              <w:jc w:val="right"/>
              <w:rPr>
                <w:sz w:val="15"/>
                <w:szCs w:val="15"/>
              </w:rPr>
            </w:pPr>
          </w:p>
        </w:tc>
        <w:tc>
          <w:tcPr>
            <w:tcW w:w="123" w:type="pct"/>
            <w:vAlign w:val="center"/>
          </w:tcPr>
          <w:p w14:paraId="4C06473F">
            <w:pPr>
              <w:jc w:val="right"/>
              <w:rPr>
                <w:sz w:val="15"/>
                <w:szCs w:val="15"/>
              </w:rPr>
            </w:pPr>
          </w:p>
        </w:tc>
        <w:tc>
          <w:tcPr>
            <w:tcW w:w="123" w:type="pct"/>
            <w:vAlign w:val="center"/>
          </w:tcPr>
          <w:p w14:paraId="02878E18">
            <w:pPr>
              <w:jc w:val="right"/>
              <w:rPr>
                <w:sz w:val="15"/>
                <w:szCs w:val="15"/>
              </w:rPr>
            </w:pPr>
          </w:p>
        </w:tc>
        <w:tc>
          <w:tcPr>
            <w:tcW w:w="425" w:type="pct"/>
            <w:vAlign w:val="center"/>
          </w:tcPr>
          <w:p w14:paraId="42413B50">
            <w:pPr>
              <w:jc w:val="right"/>
              <w:rPr>
                <w:sz w:val="15"/>
                <w:szCs w:val="15"/>
              </w:rPr>
            </w:pPr>
          </w:p>
        </w:tc>
        <w:tc>
          <w:tcPr>
            <w:tcW w:w="461" w:type="pct"/>
            <w:vAlign w:val="center"/>
          </w:tcPr>
          <w:p w14:paraId="1BE86FEE">
            <w:pPr>
              <w:jc w:val="right"/>
              <w:rPr>
                <w:sz w:val="15"/>
                <w:szCs w:val="15"/>
              </w:rPr>
            </w:pPr>
          </w:p>
        </w:tc>
        <w:tc>
          <w:tcPr>
            <w:tcW w:w="454" w:type="pct"/>
            <w:vAlign w:val="center"/>
          </w:tcPr>
          <w:p w14:paraId="7FDED25F">
            <w:pPr>
              <w:jc w:val="right"/>
              <w:rPr>
                <w:sz w:val="15"/>
                <w:szCs w:val="15"/>
              </w:rPr>
            </w:pPr>
          </w:p>
        </w:tc>
        <w:tc>
          <w:tcPr>
            <w:tcW w:w="123" w:type="pct"/>
            <w:vAlign w:val="center"/>
          </w:tcPr>
          <w:p w14:paraId="0486F768">
            <w:pPr>
              <w:jc w:val="right"/>
              <w:rPr>
                <w:sz w:val="15"/>
                <w:szCs w:val="15"/>
              </w:rPr>
            </w:pPr>
          </w:p>
        </w:tc>
        <w:tc>
          <w:tcPr>
            <w:tcW w:w="388" w:type="pct"/>
            <w:vAlign w:val="center"/>
          </w:tcPr>
          <w:p w14:paraId="62A0DA11">
            <w:pPr>
              <w:jc w:val="right"/>
              <w:rPr>
                <w:sz w:val="15"/>
                <w:szCs w:val="15"/>
              </w:rPr>
            </w:pPr>
          </w:p>
        </w:tc>
        <w:tc>
          <w:tcPr>
            <w:tcW w:w="123" w:type="pct"/>
            <w:vAlign w:val="center"/>
          </w:tcPr>
          <w:p w14:paraId="402508F9">
            <w:pPr>
              <w:jc w:val="right"/>
              <w:rPr>
                <w:sz w:val="15"/>
                <w:szCs w:val="15"/>
              </w:rPr>
            </w:pPr>
          </w:p>
        </w:tc>
        <w:tc>
          <w:tcPr>
            <w:tcW w:w="462" w:type="pct"/>
            <w:vAlign w:val="center"/>
          </w:tcPr>
          <w:p w14:paraId="66CF5BBA">
            <w:pPr>
              <w:jc w:val="right"/>
              <w:rPr>
                <w:sz w:val="15"/>
                <w:szCs w:val="15"/>
              </w:rPr>
            </w:pPr>
          </w:p>
        </w:tc>
        <w:tc>
          <w:tcPr>
            <w:tcW w:w="123" w:type="pct"/>
            <w:vAlign w:val="center"/>
          </w:tcPr>
          <w:p w14:paraId="7F288B58">
            <w:pPr>
              <w:jc w:val="right"/>
              <w:rPr>
                <w:sz w:val="15"/>
                <w:szCs w:val="15"/>
              </w:rPr>
            </w:pPr>
          </w:p>
        </w:tc>
        <w:tc>
          <w:tcPr>
            <w:tcW w:w="451" w:type="pct"/>
            <w:vAlign w:val="center"/>
          </w:tcPr>
          <w:p w14:paraId="0CB3A5CF">
            <w:pPr>
              <w:jc w:val="right"/>
              <w:rPr>
                <w:sz w:val="15"/>
                <w:szCs w:val="15"/>
              </w:rPr>
            </w:pPr>
          </w:p>
        </w:tc>
        <w:tc>
          <w:tcPr>
            <w:tcW w:w="426" w:type="pct"/>
            <w:gridSpan w:val="2"/>
            <w:vAlign w:val="center"/>
          </w:tcPr>
          <w:p w14:paraId="7010619B">
            <w:pPr>
              <w:jc w:val="right"/>
              <w:rPr>
                <w:sz w:val="15"/>
                <w:szCs w:val="15"/>
              </w:rPr>
            </w:pPr>
          </w:p>
        </w:tc>
        <w:tc>
          <w:tcPr>
            <w:tcW w:w="547" w:type="pct"/>
            <w:gridSpan w:val="2"/>
            <w:vAlign w:val="center"/>
          </w:tcPr>
          <w:p w14:paraId="059D3B33">
            <w:pPr>
              <w:jc w:val="right"/>
              <w:rPr>
                <w:sz w:val="15"/>
                <w:szCs w:val="15"/>
              </w:rPr>
            </w:pPr>
          </w:p>
        </w:tc>
      </w:tr>
      <w:tr w14:paraId="1404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6d8c8a0de80b4f6a97fdb16b82b3a6ac"/>
            <w:id w:val="-1574119733"/>
          </w:sdtPr>
          <w:sdtEndPr>
            <w:rPr>
              <w:sz w:val="15"/>
              <w:szCs w:val="15"/>
            </w:rPr>
          </w:sdtEndPr>
          <w:sdtContent>
            <w:tc>
              <w:tcPr>
                <w:tcW w:w="224" w:type="pct"/>
                <w:vAlign w:val="center"/>
              </w:tcPr>
              <w:p w14:paraId="3BF62B3B">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2．提取一般风险准备</w:t>
                </w:r>
              </w:p>
            </w:tc>
          </w:sdtContent>
        </w:sdt>
        <w:tc>
          <w:tcPr>
            <w:tcW w:w="425" w:type="pct"/>
            <w:vAlign w:val="center"/>
          </w:tcPr>
          <w:p w14:paraId="2F8B2A2B">
            <w:pPr>
              <w:jc w:val="right"/>
              <w:rPr>
                <w:sz w:val="15"/>
                <w:szCs w:val="15"/>
              </w:rPr>
            </w:pPr>
          </w:p>
        </w:tc>
        <w:tc>
          <w:tcPr>
            <w:tcW w:w="123" w:type="pct"/>
            <w:vAlign w:val="center"/>
          </w:tcPr>
          <w:p w14:paraId="2DC2EDB7">
            <w:pPr>
              <w:jc w:val="right"/>
              <w:rPr>
                <w:sz w:val="15"/>
                <w:szCs w:val="15"/>
              </w:rPr>
            </w:pPr>
          </w:p>
        </w:tc>
        <w:tc>
          <w:tcPr>
            <w:tcW w:w="123" w:type="pct"/>
            <w:vAlign w:val="center"/>
          </w:tcPr>
          <w:p w14:paraId="6A7B8CE9">
            <w:pPr>
              <w:jc w:val="right"/>
              <w:rPr>
                <w:sz w:val="15"/>
                <w:szCs w:val="15"/>
              </w:rPr>
            </w:pPr>
          </w:p>
        </w:tc>
        <w:tc>
          <w:tcPr>
            <w:tcW w:w="123" w:type="pct"/>
            <w:vAlign w:val="center"/>
          </w:tcPr>
          <w:p w14:paraId="293A0BA0">
            <w:pPr>
              <w:jc w:val="right"/>
              <w:rPr>
                <w:sz w:val="15"/>
                <w:szCs w:val="15"/>
              </w:rPr>
            </w:pPr>
          </w:p>
        </w:tc>
        <w:tc>
          <w:tcPr>
            <w:tcW w:w="425" w:type="pct"/>
            <w:vAlign w:val="center"/>
          </w:tcPr>
          <w:p w14:paraId="66E53576">
            <w:pPr>
              <w:jc w:val="right"/>
              <w:rPr>
                <w:sz w:val="15"/>
                <w:szCs w:val="15"/>
              </w:rPr>
            </w:pPr>
          </w:p>
        </w:tc>
        <w:tc>
          <w:tcPr>
            <w:tcW w:w="461" w:type="pct"/>
            <w:vAlign w:val="center"/>
          </w:tcPr>
          <w:p w14:paraId="646D5326">
            <w:pPr>
              <w:jc w:val="right"/>
              <w:rPr>
                <w:sz w:val="15"/>
                <w:szCs w:val="15"/>
              </w:rPr>
            </w:pPr>
          </w:p>
        </w:tc>
        <w:tc>
          <w:tcPr>
            <w:tcW w:w="454" w:type="pct"/>
            <w:vAlign w:val="center"/>
          </w:tcPr>
          <w:p w14:paraId="6E7F3C22">
            <w:pPr>
              <w:jc w:val="right"/>
              <w:rPr>
                <w:sz w:val="15"/>
                <w:szCs w:val="15"/>
              </w:rPr>
            </w:pPr>
          </w:p>
        </w:tc>
        <w:tc>
          <w:tcPr>
            <w:tcW w:w="123" w:type="pct"/>
            <w:vAlign w:val="center"/>
          </w:tcPr>
          <w:p w14:paraId="170DE142">
            <w:pPr>
              <w:jc w:val="right"/>
              <w:rPr>
                <w:sz w:val="15"/>
                <w:szCs w:val="15"/>
              </w:rPr>
            </w:pPr>
          </w:p>
        </w:tc>
        <w:tc>
          <w:tcPr>
            <w:tcW w:w="388" w:type="pct"/>
            <w:vAlign w:val="center"/>
          </w:tcPr>
          <w:p w14:paraId="15418D34">
            <w:pPr>
              <w:jc w:val="right"/>
              <w:rPr>
                <w:sz w:val="15"/>
                <w:szCs w:val="15"/>
              </w:rPr>
            </w:pPr>
          </w:p>
        </w:tc>
        <w:tc>
          <w:tcPr>
            <w:tcW w:w="123" w:type="pct"/>
            <w:vAlign w:val="center"/>
          </w:tcPr>
          <w:p w14:paraId="00232612">
            <w:pPr>
              <w:jc w:val="right"/>
              <w:rPr>
                <w:sz w:val="15"/>
                <w:szCs w:val="15"/>
              </w:rPr>
            </w:pPr>
          </w:p>
        </w:tc>
        <w:tc>
          <w:tcPr>
            <w:tcW w:w="462" w:type="pct"/>
            <w:vAlign w:val="center"/>
          </w:tcPr>
          <w:p w14:paraId="79FF9CE5">
            <w:pPr>
              <w:jc w:val="right"/>
              <w:rPr>
                <w:sz w:val="15"/>
                <w:szCs w:val="15"/>
              </w:rPr>
            </w:pPr>
          </w:p>
        </w:tc>
        <w:tc>
          <w:tcPr>
            <w:tcW w:w="123" w:type="pct"/>
            <w:vAlign w:val="center"/>
          </w:tcPr>
          <w:p w14:paraId="29BE8906">
            <w:pPr>
              <w:jc w:val="right"/>
              <w:rPr>
                <w:sz w:val="15"/>
                <w:szCs w:val="15"/>
              </w:rPr>
            </w:pPr>
          </w:p>
        </w:tc>
        <w:tc>
          <w:tcPr>
            <w:tcW w:w="451" w:type="pct"/>
            <w:vAlign w:val="center"/>
          </w:tcPr>
          <w:p w14:paraId="232D5DE8">
            <w:pPr>
              <w:jc w:val="right"/>
              <w:rPr>
                <w:sz w:val="15"/>
                <w:szCs w:val="15"/>
              </w:rPr>
            </w:pPr>
          </w:p>
        </w:tc>
        <w:tc>
          <w:tcPr>
            <w:tcW w:w="426" w:type="pct"/>
            <w:gridSpan w:val="2"/>
            <w:vAlign w:val="center"/>
          </w:tcPr>
          <w:p w14:paraId="3E5858BC">
            <w:pPr>
              <w:jc w:val="right"/>
              <w:rPr>
                <w:sz w:val="15"/>
                <w:szCs w:val="15"/>
              </w:rPr>
            </w:pPr>
          </w:p>
        </w:tc>
        <w:tc>
          <w:tcPr>
            <w:tcW w:w="547" w:type="pct"/>
            <w:gridSpan w:val="2"/>
            <w:vAlign w:val="center"/>
          </w:tcPr>
          <w:p w14:paraId="3BC0989E">
            <w:pPr>
              <w:jc w:val="right"/>
              <w:rPr>
                <w:sz w:val="15"/>
                <w:szCs w:val="15"/>
              </w:rPr>
            </w:pPr>
          </w:p>
        </w:tc>
      </w:tr>
      <w:tr w14:paraId="4E2C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a5531db3e1d84f3897cb962fdc73ab3d"/>
            <w:id w:val="-1504886506"/>
          </w:sdtPr>
          <w:sdtEndPr>
            <w:rPr>
              <w:sz w:val="15"/>
              <w:szCs w:val="15"/>
            </w:rPr>
          </w:sdtEndPr>
          <w:sdtContent>
            <w:tc>
              <w:tcPr>
                <w:tcW w:w="224" w:type="pct"/>
                <w:vAlign w:val="center"/>
              </w:tcPr>
              <w:p w14:paraId="4AC44EDB">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3．对所有者（或股东）的分配</w:t>
                </w:r>
              </w:p>
            </w:tc>
          </w:sdtContent>
        </w:sdt>
        <w:tc>
          <w:tcPr>
            <w:tcW w:w="425" w:type="pct"/>
            <w:vAlign w:val="center"/>
          </w:tcPr>
          <w:p w14:paraId="6BD42613">
            <w:pPr>
              <w:jc w:val="right"/>
              <w:rPr>
                <w:sz w:val="15"/>
                <w:szCs w:val="15"/>
              </w:rPr>
            </w:pPr>
          </w:p>
        </w:tc>
        <w:tc>
          <w:tcPr>
            <w:tcW w:w="123" w:type="pct"/>
            <w:vAlign w:val="center"/>
          </w:tcPr>
          <w:p w14:paraId="7FC7C336">
            <w:pPr>
              <w:jc w:val="right"/>
              <w:rPr>
                <w:sz w:val="15"/>
                <w:szCs w:val="15"/>
              </w:rPr>
            </w:pPr>
          </w:p>
        </w:tc>
        <w:tc>
          <w:tcPr>
            <w:tcW w:w="123" w:type="pct"/>
            <w:vAlign w:val="center"/>
          </w:tcPr>
          <w:p w14:paraId="528E9C07">
            <w:pPr>
              <w:jc w:val="right"/>
              <w:rPr>
                <w:sz w:val="15"/>
                <w:szCs w:val="15"/>
              </w:rPr>
            </w:pPr>
          </w:p>
        </w:tc>
        <w:tc>
          <w:tcPr>
            <w:tcW w:w="123" w:type="pct"/>
            <w:vAlign w:val="center"/>
          </w:tcPr>
          <w:p w14:paraId="5D5370A0">
            <w:pPr>
              <w:jc w:val="right"/>
              <w:rPr>
                <w:sz w:val="15"/>
                <w:szCs w:val="15"/>
              </w:rPr>
            </w:pPr>
          </w:p>
        </w:tc>
        <w:tc>
          <w:tcPr>
            <w:tcW w:w="425" w:type="pct"/>
            <w:vAlign w:val="center"/>
          </w:tcPr>
          <w:p w14:paraId="53F95A64">
            <w:pPr>
              <w:jc w:val="right"/>
              <w:rPr>
                <w:sz w:val="15"/>
                <w:szCs w:val="15"/>
              </w:rPr>
            </w:pPr>
          </w:p>
        </w:tc>
        <w:tc>
          <w:tcPr>
            <w:tcW w:w="461" w:type="pct"/>
            <w:vAlign w:val="center"/>
          </w:tcPr>
          <w:p w14:paraId="157AF1EF">
            <w:pPr>
              <w:jc w:val="right"/>
              <w:rPr>
                <w:sz w:val="15"/>
                <w:szCs w:val="15"/>
              </w:rPr>
            </w:pPr>
          </w:p>
        </w:tc>
        <w:tc>
          <w:tcPr>
            <w:tcW w:w="454" w:type="pct"/>
            <w:vAlign w:val="center"/>
          </w:tcPr>
          <w:p w14:paraId="27B30636">
            <w:pPr>
              <w:jc w:val="right"/>
              <w:rPr>
                <w:sz w:val="15"/>
                <w:szCs w:val="15"/>
              </w:rPr>
            </w:pPr>
          </w:p>
        </w:tc>
        <w:tc>
          <w:tcPr>
            <w:tcW w:w="123" w:type="pct"/>
            <w:vAlign w:val="center"/>
          </w:tcPr>
          <w:p w14:paraId="59F5E94F">
            <w:pPr>
              <w:jc w:val="right"/>
              <w:rPr>
                <w:sz w:val="15"/>
                <w:szCs w:val="15"/>
              </w:rPr>
            </w:pPr>
          </w:p>
        </w:tc>
        <w:tc>
          <w:tcPr>
            <w:tcW w:w="388" w:type="pct"/>
            <w:vAlign w:val="center"/>
          </w:tcPr>
          <w:p w14:paraId="45DB4984">
            <w:pPr>
              <w:jc w:val="right"/>
              <w:rPr>
                <w:sz w:val="15"/>
                <w:szCs w:val="15"/>
              </w:rPr>
            </w:pPr>
          </w:p>
        </w:tc>
        <w:tc>
          <w:tcPr>
            <w:tcW w:w="123" w:type="pct"/>
            <w:vAlign w:val="center"/>
          </w:tcPr>
          <w:p w14:paraId="0DC0DD97">
            <w:pPr>
              <w:jc w:val="right"/>
              <w:rPr>
                <w:sz w:val="15"/>
                <w:szCs w:val="15"/>
              </w:rPr>
            </w:pPr>
          </w:p>
        </w:tc>
        <w:tc>
          <w:tcPr>
            <w:tcW w:w="462" w:type="pct"/>
            <w:vAlign w:val="center"/>
          </w:tcPr>
          <w:p w14:paraId="63364197">
            <w:pPr>
              <w:jc w:val="right"/>
              <w:rPr>
                <w:sz w:val="15"/>
                <w:szCs w:val="15"/>
              </w:rPr>
            </w:pPr>
          </w:p>
        </w:tc>
        <w:tc>
          <w:tcPr>
            <w:tcW w:w="123" w:type="pct"/>
            <w:vAlign w:val="center"/>
          </w:tcPr>
          <w:p w14:paraId="2B0FDC35">
            <w:pPr>
              <w:jc w:val="right"/>
              <w:rPr>
                <w:sz w:val="15"/>
                <w:szCs w:val="15"/>
              </w:rPr>
            </w:pPr>
          </w:p>
        </w:tc>
        <w:tc>
          <w:tcPr>
            <w:tcW w:w="451" w:type="pct"/>
            <w:vAlign w:val="center"/>
          </w:tcPr>
          <w:p w14:paraId="4FFDD52B">
            <w:pPr>
              <w:jc w:val="right"/>
              <w:rPr>
                <w:sz w:val="15"/>
                <w:szCs w:val="15"/>
              </w:rPr>
            </w:pPr>
          </w:p>
        </w:tc>
        <w:tc>
          <w:tcPr>
            <w:tcW w:w="426" w:type="pct"/>
            <w:gridSpan w:val="2"/>
            <w:vAlign w:val="center"/>
          </w:tcPr>
          <w:p w14:paraId="06D12FDB">
            <w:pPr>
              <w:jc w:val="right"/>
              <w:rPr>
                <w:sz w:val="15"/>
                <w:szCs w:val="15"/>
              </w:rPr>
            </w:pPr>
          </w:p>
        </w:tc>
        <w:tc>
          <w:tcPr>
            <w:tcW w:w="547" w:type="pct"/>
            <w:gridSpan w:val="2"/>
            <w:vAlign w:val="center"/>
          </w:tcPr>
          <w:p w14:paraId="5E869C24">
            <w:pPr>
              <w:jc w:val="right"/>
              <w:rPr>
                <w:sz w:val="15"/>
                <w:szCs w:val="15"/>
              </w:rPr>
            </w:pPr>
          </w:p>
        </w:tc>
      </w:tr>
      <w:tr w14:paraId="6943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f3206f8cddd54371b8a1b220dc836af8"/>
            <w:id w:val="1249077029"/>
          </w:sdtPr>
          <w:sdtEndPr>
            <w:rPr>
              <w:sz w:val="15"/>
              <w:szCs w:val="15"/>
            </w:rPr>
          </w:sdtEndPr>
          <w:sdtContent>
            <w:tc>
              <w:tcPr>
                <w:tcW w:w="224" w:type="pct"/>
                <w:vAlign w:val="center"/>
              </w:tcPr>
              <w:p w14:paraId="3A5A6BD6">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4．其他</w:t>
                </w:r>
              </w:p>
            </w:tc>
          </w:sdtContent>
        </w:sdt>
        <w:tc>
          <w:tcPr>
            <w:tcW w:w="425" w:type="pct"/>
            <w:vAlign w:val="center"/>
          </w:tcPr>
          <w:p w14:paraId="50CCFD8B">
            <w:pPr>
              <w:jc w:val="right"/>
              <w:rPr>
                <w:sz w:val="15"/>
                <w:szCs w:val="15"/>
              </w:rPr>
            </w:pPr>
          </w:p>
        </w:tc>
        <w:tc>
          <w:tcPr>
            <w:tcW w:w="123" w:type="pct"/>
            <w:vAlign w:val="center"/>
          </w:tcPr>
          <w:p w14:paraId="263D05EA">
            <w:pPr>
              <w:jc w:val="right"/>
              <w:rPr>
                <w:sz w:val="15"/>
                <w:szCs w:val="15"/>
              </w:rPr>
            </w:pPr>
          </w:p>
        </w:tc>
        <w:tc>
          <w:tcPr>
            <w:tcW w:w="123" w:type="pct"/>
            <w:vAlign w:val="center"/>
          </w:tcPr>
          <w:p w14:paraId="6D7515CB">
            <w:pPr>
              <w:jc w:val="right"/>
              <w:rPr>
                <w:sz w:val="15"/>
                <w:szCs w:val="15"/>
              </w:rPr>
            </w:pPr>
          </w:p>
        </w:tc>
        <w:tc>
          <w:tcPr>
            <w:tcW w:w="123" w:type="pct"/>
            <w:vAlign w:val="center"/>
          </w:tcPr>
          <w:p w14:paraId="3FED7A31">
            <w:pPr>
              <w:jc w:val="right"/>
              <w:rPr>
                <w:sz w:val="15"/>
                <w:szCs w:val="15"/>
              </w:rPr>
            </w:pPr>
          </w:p>
        </w:tc>
        <w:tc>
          <w:tcPr>
            <w:tcW w:w="425" w:type="pct"/>
            <w:vAlign w:val="center"/>
          </w:tcPr>
          <w:p w14:paraId="0FB003EF">
            <w:pPr>
              <w:jc w:val="right"/>
              <w:rPr>
                <w:sz w:val="15"/>
                <w:szCs w:val="15"/>
              </w:rPr>
            </w:pPr>
          </w:p>
        </w:tc>
        <w:tc>
          <w:tcPr>
            <w:tcW w:w="461" w:type="pct"/>
            <w:vAlign w:val="center"/>
          </w:tcPr>
          <w:p w14:paraId="6D2CE623">
            <w:pPr>
              <w:jc w:val="right"/>
              <w:rPr>
                <w:sz w:val="15"/>
                <w:szCs w:val="15"/>
              </w:rPr>
            </w:pPr>
          </w:p>
        </w:tc>
        <w:tc>
          <w:tcPr>
            <w:tcW w:w="454" w:type="pct"/>
            <w:vAlign w:val="center"/>
          </w:tcPr>
          <w:p w14:paraId="6AEA9802">
            <w:pPr>
              <w:jc w:val="right"/>
              <w:rPr>
                <w:sz w:val="15"/>
                <w:szCs w:val="15"/>
              </w:rPr>
            </w:pPr>
          </w:p>
        </w:tc>
        <w:tc>
          <w:tcPr>
            <w:tcW w:w="123" w:type="pct"/>
            <w:vAlign w:val="center"/>
          </w:tcPr>
          <w:p w14:paraId="0D18E855">
            <w:pPr>
              <w:jc w:val="right"/>
              <w:rPr>
                <w:sz w:val="15"/>
                <w:szCs w:val="15"/>
              </w:rPr>
            </w:pPr>
          </w:p>
        </w:tc>
        <w:tc>
          <w:tcPr>
            <w:tcW w:w="388" w:type="pct"/>
            <w:vAlign w:val="center"/>
          </w:tcPr>
          <w:p w14:paraId="0BC20172">
            <w:pPr>
              <w:jc w:val="right"/>
              <w:rPr>
                <w:sz w:val="15"/>
                <w:szCs w:val="15"/>
              </w:rPr>
            </w:pPr>
          </w:p>
        </w:tc>
        <w:tc>
          <w:tcPr>
            <w:tcW w:w="123" w:type="pct"/>
            <w:vAlign w:val="center"/>
          </w:tcPr>
          <w:p w14:paraId="5F6559AB">
            <w:pPr>
              <w:jc w:val="right"/>
              <w:rPr>
                <w:sz w:val="15"/>
                <w:szCs w:val="15"/>
              </w:rPr>
            </w:pPr>
          </w:p>
        </w:tc>
        <w:tc>
          <w:tcPr>
            <w:tcW w:w="462" w:type="pct"/>
            <w:vAlign w:val="center"/>
          </w:tcPr>
          <w:p w14:paraId="17D47AE7">
            <w:pPr>
              <w:jc w:val="right"/>
              <w:rPr>
                <w:sz w:val="15"/>
                <w:szCs w:val="15"/>
              </w:rPr>
            </w:pPr>
          </w:p>
        </w:tc>
        <w:tc>
          <w:tcPr>
            <w:tcW w:w="123" w:type="pct"/>
            <w:vAlign w:val="center"/>
          </w:tcPr>
          <w:p w14:paraId="3CD16705">
            <w:pPr>
              <w:jc w:val="right"/>
              <w:rPr>
                <w:sz w:val="15"/>
                <w:szCs w:val="15"/>
              </w:rPr>
            </w:pPr>
          </w:p>
        </w:tc>
        <w:tc>
          <w:tcPr>
            <w:tcW w:w="451" w:type="pct"/>
            <w:vAlign w:val="center"/>
          </w:tcPr>
          <w:p w14:paraId="769938E4">
            <w:pPr>
              <w:jc w:val="right"/>
              <w:rPr>
                <w:sz w:val="15"/>
                <w:szCs w:val="15"/>
              </w:rPr>
            </w:pPr>
          </w:p>
        </w:tc>
        <w:tc>
          <w:tcPr>
            <w:tcW w:w="426" w:type="pct"/>
            <w:gridSpan w:val="2"/>
            <w:vAlign w:val="center"/>
          </w:tcPr>
          <w:p w14:paraId="1A07A427">
            <w:pPr>
              <w:jc w:val="right"/>
              <w:rPr>
                <w:sz w:val="15"/>
                <w:szCs w:val="15"/>
              </w:rPr>
            </w:pPr>
          </w:p>
        </w:tc>
        <w:tc>
          <w:tcPr>
            <w:tcW w:w="547" w:type="pct"/>
            <w:gridSpan w:val="2"/>
            <w:vAlign w:val="center"/>
          </w:tcPr>
          <w:p w14:paraId="196673CF">
            <w:pPr>
              <w:jc w:val="right"/>
              <w:rPr>
                <w:sz w:val="15"/>
                <w:szCs w:val="15"/>
              </w:rPr>
            </w:pPr>
          </w:p>
        </w:tc>
      </w:tr>
      <w:tr w14:paraId="2A89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c0c9652bd3724ad8b729d3650a0840d4"/>
            <w:id w:val="1253708999"/>
          </w:sdtPr>
          <w:sdtEndPr>
            <w:rPr>
              <w:sz w:val="15"/>
              <w:szCs w:val="15"/>
            </w:rPr>
          </w:sdtEndPr>
          <w:sdtContent>
            <w:tc>
              <w:tcPr>
                <w:tcW w:w="224" w:type="pct"/>
                <w:vAlign w:val="center"/>
              </w:tcPr>
              <w:p w14:paraId="131B0E20">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四</w:t>
                </w:r>
                <w:r>
                  <w:rPr>
                    <w:color w:val="000000" w:themeColor="text1"/>
                    <w:sz w:val="15"/>
                    <w:szCs w:val="15"/>
                    <w14:textFill>
                      <w14:solidFill>
                        <w14:schemeClr w14:val="tx1"/>
                      </w14:solidFill>
                    </w14:textFill>
                  </w:rPr>
                  <w:t>）所有者权益内部结转</w:t>
                </w:r>
              </w:p>
            </w:tc>
          </w:sdtContent>
        </w:sdt>
        <w:tc>
          <w:tcPr>
            <w:tcW w:w="425" w:type="pct"/>
            <w:vAlign w:val="center"/>
          </w:tcPr>
          <w:p w14:paraId="44FEC441">
            <w:pPr>
              <w:jc w:val="right"/>
              <w:rPr>
                <w:sz w:val="15"/>
                <w:szCs w:val="15"/>
              </w:rPr>
            </w:pPr>
          </w:p>
        </w:tc>
        <w:tc>
          <w:tcPr>
            <w:tcW w:w="123" w:type="pct"/>
            <w:vAlign w:val="center"/>
          </w:tcPr>
          <w:p w14:paraId="6F7BA667">
            <w:pPr>
              <w:jc w:val="right"/>
              <w:rPr>
                <w:sz w:val="15"/>
                <w:szCs w:val="15"/>
              </w:rPr>
            </w:pPr>
          </w:p>
        </w:tc>
        <w:tc>
          <w:tcPr>
            <w:tcW w:w="123" w:type="pct"/>
            <w:vAlign w:val="center"/>
          </w:tcPr>
          <w:p w14:paraId="12E8866E">
            <w:pPr>
              <w:jc w:val="right"/>
              <w:rPr>
                <w:sz w:val="15"/>
                <w:szCs w:val="15"/>
              </w:rPr>
            </w:pPr>
          </w:p>
        </w:tc>
        <w:tc>
          <w:tcPr>
            <w:tcW w:w="123" w:type="pct"/>
            <w:vAlign w:val="center"/>
          </w:tcPr>
          <w:p w14:paraId="61F26E0F">
            <w:pPr>
              <w:jc w:val="right"/>
              <w:rPr>
                <w:sz w:val="15"/>
                <w:szCs w:val="15"/>
              </w:rPr>
            </w:pPr>
          </w:p>
        </w:tc>
        <w:tc>
          <w:tcPr>
            <w:tcW w:w="425" w:type="pct"/>
            <w:vAlign w:val="center"/>
          </w:tcPr>
          <w:p w14:paraId="6C183067">
            <w:pPr>
              <w:jc w:val="right"/>
              <w:rPr>
                <w:sz w:val="15"/>
                <w:szCs w:val="15"/>
              </w:rPr>
            </w:pPr>
          </w:p>
        </w:tc>
        <w:tc>
          <w:tcPr>
            <w:tcW w:w="461" w:type="pct"/>
            <w:vAlign w:val="center"/>
          </w:tcPr>
          <w:p w14:paraId="650CFBC3">
            <w:pPr>
              <w:jc w:val="right"/>
              <w:rPr>
                <w:sz w:val="15"/>
                <w:szCs w:val="15"/>
              </w:rPr>
            </w:pPr>
          </w:p>
        </w:tc>
        <w:tc>
          <w:tcPr>
            <w:tcW w:w="454" w:type="pct"/>
            <w:vAlign w:val="center"/>
          </w:tcPr>
          <w:p w14:paraId="22688C46">
            <w:pPr>
              <w:jc w:val="right"/>
              <w:rPr>
                <w:sz w:val="15"/>
                <w:szCs w:val="15"/>
              </w:rPr>
            </w:pPr>
          </w:p>
        </w:tc>
        <w:tc>
          <w:tcPr>
            <w:tcW w:w="123" w:type="pct"/>
            <w:vAlign w:val="center"/>
          </w:tcPr>
          <w:p w14:paraId="2556DEA0">
            <w:pPr>
              <w:jc w:val="right"/>
              <w:rPr>
                <w:sz w:val="15"/>
                <w:szCs w:val="15"/>
              </w:rPr>
            </w:pPr>
          </w:p>
        </w:tc>
        <w:tc>
          <w:tcPr>
            <w:tcW w:w="388" w:type="pct"/>
            <w:vAlign w:val="center"/>
          </w:tcPr>
          <w:p w14:paraId="7CEE8998">
            <w:pPr>
              <w:jc w:val="right"/>
              <w:rPr>
                <w:sz w:val="15"/>
                <w:szCs w:val="15"/>
              </w:rPr>
            </w:pPr>
          </w:p>
        </w:tc>
        <w:tc>
          <w:tcPr>
            <w:tcW w:w="123" w:type="pct"/>
            <w:vAlign w:val="center"/>
          </w:tcPr>
          <w:p w14:paraId="420E0B17">
            <w:pPr>
              <w:jc w:val="right"/>
              <w:rPr>
                <w:sz w:val="15"/>
                <w:szCs w:val="15"/>
              </w:rPr>
            </w:pPr>
          </w:p>
        </w:tc>
        <w:tc>
          <w:tcPr>
            <w:tcW w:w="462" w:type="pct"/>
            <w:vAlign w:val="center"/>
          </w:tcPr>
          <w:p w14:paraId="3CF32511">
            <w:pPr>
              <w:jc w:val="right"/>
              <w:rPr>
                <w:sz w:val="15"/>
                <w:szCs w:val="15"/>
              </w:rPr>
            </w:pPr>
          </w:p>
        </w:tc>
        <w:tc>
          <w:tcPr>
            <w:tcW w:w="123" w:type="pct"/>
            <w:vAlign w:val="center"/>
          </w:tcPr>
          <w:p w14:paraId="50D8CDAC">
            <w:pPr>
              <w:jc w:val="right"/>
              <w:rPr>
                <w:sz w:val="15"/>
                <w:szCs w:val="15"/>
              </w:rPr>
            </w:pPr>
          </w:p>
        </w:tc>
        <w:tc>
          <w:tcPr>
            <w:tcW w:w="451" w:type="pct"/>
            <w:vAlign w:val="center"/>
          </w:tcPr>
          <w:p w14:paraId="569CE042">
            <w:pPr>
              <w:jc w:val="right"/>
              <w:rPr>
                <w:sz w:val="15"/>
                <w:szCs w:val="15"/>
              </w:rPr>
            </w:pPr>
          </w:p>
        </w:tc>
        <w:tc>
          <w:tcPr>
            <w:tcW w:w="426" w:type="pct"/>
            <w:gridSpan w:val="2"/>
            <w:vAlign w:val="center"/>
          </w:tcPr>
          <w:p w14:paraId="2AD4C113">
            <w:pPr>
              <w:jc w:val="right"/>
              <w:rPr>
                <w:sz w:val="15"/>
                <w:szCs w:val="15"/>
              </w:rPr>
            </w:pPr>
          </w:p>
        </w:tc>
        <w:tc>
          <w:tcPr>
            <w:tcW w:w="547" w:type="pct"/>
            <w:gridSpan w:val="2"/>
            <w:vAlign w:val="center"/>
          </w:tcPr>
          <w:p w14:paraId="04C2DE4E">
            <w:pPr>
              <w:jc w:val="right"/>
              <w:rPr>
                <w:sz w:val="15"/>
                <w:szCs w:val="15"/>
              </w:rPr>
            </w:pPr>
          </w:p>
        </w:tc>
      </w:tr>
      <w:tr w14:paraId="14FD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469a000ac571436189f1cb682bbe4ce7"/>
            <w:id w:val="1861093297"/>
          </w:sdtPr>
          <w:sdtEndPr>
            <w:rPr>
              <w:sz w:val="15"/>
              <w:szCs w:val="15"/>
            </w:rPr>
          </w:sdtEndPr>
          <w:sdtContent>
            <w:tc>
              <w:tcPr>
                <w:tcW w:w="224" w:type="pct"/>
                <w:vAlign w:val="center"/>
              </w:tcPr>
              <w:p w14:paraId="2F10ACB9">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1．资本公积转增资本（或股本）</w:t>
                </w:r>
              </w:p>
            </w:tc>
          </w:sdtContent>
        </w:sdt>
        <w:tc>
          <w:tcPr>
            <w:tcW w:w="425" w:type="pct"/>
            <w:vAlign w:val="center"/>
          </w:tcPr>
          <w:p w14:paraId="07B830E0">
            <w:pPr>
              <w:jc w:val="right"/>
              <w:rPr>
                <w:sz w:val="15"/>
                <w:szCs w:val="15"/>
              </w:rPr>
            </w:pPr>
          </w:p>
        </w:tc>
        <w:tc>
          <w:tcPr>
            <w:tcW w:w="123" w:type="pct"/>
            <w:vAlign w:val="center"/>
          </w:tcPr>
          <w:p w14:paraId="53992D57">
            <w:pPr>
              <w:jc w:val="right"/>
              <w:rPr>
                <w:sz w:val="15"/>
                <w:szCs w:val="15"/>
              </w:rPr>
            </w:pPr>
          </w:p>
        </w:tc>
        <w:tc>
          <w:tcPr>
            <w:tcW w:w="123" w:type="pct"/>
            <w:vAlign w:val="center"/>
          </w:tcPr>
          <w:p w14:paraId="7FAE847D">
            <w:pPr>
              <w:jc w:val="right"/>
              <w:rPr>
                <w:sz w:val="15"/>
                <w:szCs w:val="15"/>
              </w:rPr>
            </w:pPr>
          </w:p>
        </w:tc>
        <w:tc>
          <w:tcPr>
            <w:tcW w:w="123" w:type="pct"/>
            <w:vAlign w:val="center"/>
          </w:tcPr>
          <w:p w14:paraId="1F2552BE">
            <w:pPr>
              <w:jc w:val="right"/>
              <w:rPr>
                <w:sz w:val="15"/>
                <w:szCs w:val="15"/>
              </w:rPr>
            </w:pPr>
          </w:p>
        </w:tc>
        <w:tc>
          <w:tcPr>
            <w:tcW w:w="425" w:type="pct"/>
            <w:vAlign w:val="center"/>
          </w:tcPr>
          <w:p w14:paraId="55CE420D">
            <w:pPr>
              <w:jc w:val="right"/>
              <w:rPr>
                <w:sz w:val="15"/>
                <w:szCs w:val="15"/>
              </w:rPr>
            </w:pPr>
          </w:p>
        </w:tc>
        <w:tc>
          <w:tcPr>
            <w:tcW w:w="461" w:type="pct"/>
            <w:vAlign w:val="center"/>
          </w:tcPr>
          <w:p w14:paraId="47AD919F">
            <w:pPr>
              <w:jc w:val="right"/>
              <w:rPr>
                <w:sz w:val="15"/>
                <w:szCs w:val="15"/>
              </w:rPr>
            </w:pPr>
          </w:p>
        </w:tc>
        <w:tc>
          <w:tcPr>
            <w:tcW w:w="454" w:type="pct"/>
            <w:vAlign w:val="center"/>
          </w:tcPr>
          <w:p w14:paraId="3411A0E8">
            <w:pPr>
              <w:jc w:val="right"/>
              <w:rPr>
                <w:sz w:val="15"/>
                <w:szCs w:val="15"/>
              </w:rPr>
            </w:pPr>
          </w:p>
        </w:tc>
        <w:tc>
          <w:tcPr>
            <w:tcW w:w="123" w:type="pct"/>
            <w:vAlign w:val="center"/>
          </w:tcPr>
          <w:p w14:paraId="29D180A8">
            <w:pPr>
              <w:jc w:val="right"/>
              <w:rPr>
                <w:sz w:val="15"/>
                <w:szCs w:val="15"/>
              </w:rPr>
            </w:pPr>
          </w:p>
        </w:tc>
        <w:tc>
          <w:tcPr>
            <w:tcW w:w="388" w:type="pct"/>
            <w:vAlign w:val="center"/>
          </w:tcPr>
          <w:p w14:paraId="07E23743">
            <w:pPr>
              <w:jc w:val="right"/>
              <w:rPr>
                <w:sz w:val="15"/>
                <w:szCs w:val="15"/>
              </w:rPr>
            </w:pPr>
          </w:p>
        </w:tc>
        <w:tc>
          <w:tcPr>
            <w:tcW w:w="123" w:type="pct"/>
            <w:vAlign w:val="center"/>
          </w:tcPr>
          <w:p w14:paraId="7258A581">
            <w:pPr>
              <w:jc w:val="right"/>
              <w:rPr>
                <w:sz w:val="15"/>
                <w:szCs w:val="15"/>
              </w:rPr>
            </w:pPr>
          </w:p>
        </w:tc>
        <w:tc>
          <w:tcPr>
            <w:tcW w:w="462" w:type="pct"/>
            <w:vAlign w:val="center"/>
          </w:tcPr>
          <w:p w14:paraId="707543F0">
            <w:pPr>
              <w:jc w:val="right"/>
              <w:rPr>
                <w:sz w:val="15"/>
                <w:szCs w:val="15"/>
              </w:rPr>
            </w:pPr>
          </w:p>
        </w:tc>
        <w:tc>
          <w:tcPr>
            <w:tcW w:w="123" w:type="pct"/>
            <w:vAlign w:val="center"/>
          </w:tcPr>
          <w:p w14:paraId="3941AB86">
            <w:pPr>
              <w:jc w:val="right"/>
              <w:rPr>
                <w:sz w:val="15"/>
                <w:szCs w:val="15"/>
              </w:rPr>
            </w:pPr>
          </w:p>
        </w:tc>
        <w:tc>
          <w:tcPr>
            <w:tcW w:w="451" w:type="pct"/>
            <w:vAlign w:val="center"/>
          </w:tcPr>
          <w:p w14:paraId="4D4642D2">
            <w:pPr>
              <w:jc w:val="right"/>
              <w:rPr>
                <w:sz w:val="15"/>
                <w:szCs w:val="15"/>
              </w:rPr>
            </w:pPr>
          </w:p>
        </w:tc>
        <w:tc>
          <w:tcPr>
            <w:tcW w:w="426" w:type="pct"/>
            <w:gridSpan w:val="2"/>
            <w:vAlign w:val="center"/>
          </w:tcPr>
          <w:p w14:paraId="3A1AB3FA">
            <w:pPr>
              <w:jc w:val="right"/>
              <w:rPr>
                <w:sz w:val="15"/>
                <w:szCs w:val="15"/>
              </w:rPr>
            </w:pPr>
          </w:p>
        </w:tc>
        <w:tc>
          <w:tcPr>
            <w:tcW w:w="547" w:type="pct"/>
            <w:gridSpan w:val="2"/>
            <w:vAlign w:val="center"/>
          </w:tcPr>
          <w:p w14:paraId="6ECAE96A">
            <w:pPr>
              <w:jc w:val="right"/>
              <w:rPr>
                <w:sz w:val="15"/>
                <w:szCs w:val="15"/>
              </w:rPr>
            </w:pPr>
          </w:p>
        </w:tc>
      </w:tr>
      <w:tr w14:paraId="3957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8874e17dc09c419baab53299f7967f44"/>
            <w:id w:val="1674679860"/>
          </w:sdtPr>
          <w:sdtEndPr>
            <w:rPr>
              <w:sz w:val="15"/>
              <w:szCs w:val="15"/>
            </w:rPr>
          </w:sdtEndPr>
          <w:sdtContent>
            <w:tc>
              <w:tcPr>
                <w:tcW w:w="224" w:type="pct"/>
                <w:vAlign w:val="center"/>
              </w:tcPr>
              <w:p w14:paraId="16FF7ACF">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2．盈余公积转增资本（或股本）</w:t>
                </w:r>
              </w:p>
            </w:tc>
          </w:sdtContent>
        </w:sdt>
        <w:tc>
          <w:tcPr>
            <w:tcW w:w="425" w:type="pct"/>
            <w:vAlign w:val="center"/>
          </w:tcPr>
          <w:p w14:paraId="4BE8F6AE">
            <w:pPr>
              <w:jc w:val="right"/>
              <w:rPr>
                <w:sz w:val="15"/>
                <w:szCs w:val="15"/>
              </w:rPr>
            </w:pPr>
          </w:p>
        </w:tc>
        <w:tc>
          <w:tcPr>
            <w:tcW w:w="123" w:type="pct"/>
            <w:vAlign w:val="center"/>
          </w:tcPr>
          <w:p w14:paraId="771E9D8C">
            <w:pPr>
              <w:jc w:val="right"/>
              <w:rPr>
                <w:sz w:val="15"/>
                <w:szCs w:val="15"/>
              </w:rPr>
            </w:pPr>
          </w:p>
        </w:tc>
        <w:tc>
          <w:tcPr>
            <w:tcW w:w="123" w:type="pct"/>
            <w:vAlign w:val="center"/>
          </w:tcPr>
          <w:p w14:paraId="39EDAAA4">
            <w:pPr>
              <w:jc w:val="right"/>
              <w:rPr>
                <w:sz w:val="15"/>
                <w:szCs w:val="15"/>
              </w:rPr>
            </w:pPr>
          </w:p>
        </w:tc>
        <w:tc>
          <w:tcPr>
            <w:tcW w:w="123" w:type="pct"/>
            <w:vAlign w:val="center"/>
          </w:tcPr>
          <w:p w14:paraId="441A7795">
            <w:pPr>
              <w:jc w:val="right"/>
              <w:rPr>
                <w:sz w:val="15"/>
                <w:szCs w:val="15"/>
              </w:rPr>
            </w:pPr>
          </w:p>
        </w:tc>
        <w:tc>
          <w:tcPr>
            <w:tcW w:w="425" w:type="pct"/>
            <w:vAlign w:val="center"/>
          </w:tcPr>
          <w:p w14:paraId="581EC091">
            <w:pPr>
              <w:jc w:val="right"/>
              <w:rPr>
                <w:sz w:val="15"/>
                <w:szCs w:val="15"/>
              </w:rPr>
            </w:pPr>
          </w:p>
        </w:tc>
        <w:tc>
          <w:tcPr>
            <w:tcW w:w="461" w:type="pct"/>
            <w:vAlign w:val="center"/>
          </w:tcPr>
          <w:p w14:paraId="038DA37A">
            <w:pPr>
              <w:jc w:val="right"/>
              <w:rPr>
                <w:sz w:val="15"/>
                <w:szCs w:val="15"/>
              </w:rPr>
            </w:pPr>
          </w:p>
        </w:tc>
        <w:tc>
          <w:tcPr>
            <w:tcW w:w="454" w:type="pct"/>
            <w:vAlign w:val="center"/>
          </w:tcPr>
          <w:p w14:paraId="6F168072">
            <w:pPr>
              <w:jc w:val="right"/>
              <w:rPr>
                <w:sz w:val="15"/>
                <w:szCs w:val="15"/>
              </w:rPr>
            </w:pPr>
          </w:p>
        </w:tc>
        <w:tc>
          <w:tcPr>
            <w:tcW w:w="123" w:type="pct"/>
            <w:vAlign w:val="center"/>
          </w:tcPr>
          <w:p w14:paraId="672E5E11">
            <w:pPr>
              <w:jc w:val="right"/>
              <w:rPr>
                <w:sz w:val="15"/>
                <w:szCs w:val="15"/>
              </w:rPr>
            </w:pPr>
          </w:p>
        </w:tc>
        <w:tc>
          <w:tcPr>
            <w:tcW w:w="388" w:type="pct"/>
            <w:vAlign w:val="center"/>
          </w:tcPr>
          <w:p w14:paraId="452763AA">
            <w:pPr>
              <w:jc w:val="right"/>
              <w:rPr>
                <w:sz w:val="15"/>
                <w:szCs w:val="15"/>
              </w:rPr>
            </w:pPr>
          </w:p>
        </w:tc>
        <w:tc>
          <w:tcPr>
            <w:tcW w:w="123" w:type="pct"/>
            <w:vAlign w:val="center"/>
          </w:tcPr>
          <w:p w14:paraId="4942F1E1">
            <w:pPr>
              <w:jc w:val="right"/>
              <w:rPr>
                <w:sz w:val="15"/>
                <w:szCs w:val="15"/>
              </w:rPr>
            </w:pPr>
          </w:p>
        </w:tc>
        <w:tc>
          <w:tcPr>
            <w:tcW w:w="462" w:type="pct"/>
            <w:vAlign w:val="center"/>
          </w:tcPr>
          <w:p w14:paraId="2589AF25">
            <w:pPr>
              <w:jc w:val="right"/>
              <w:rPr>
                <w:sz w:val="15"/>
                <w:szCs w:val="15"/>
              </w:rPr>
            </w:pPr>
          </w:p>
        </w:tc>
        <w:tc>
          <w:tcPr>
            <w:tcW w:w="123" w:type="pct"/>
            <w:vAlign w:val="center"/>
          </w:tcPr>
          <w:p w14:paraId="58E45FA7">
            <w:pPr>
              <w:jc w:val="right"/>
              <w:rPr>
                <w:sz w:val="15"/>
                <w:szCs w:val="15"/>
              </w:rPr>
            </w:pPr>
          </w:p>
        </w:tc>
        <w:tc>
          <w:tcPr>
            <w:tcW w:w="451" w:type="pct"/>
            <w:vAlign w:val="center"/>
          </w:tcPr>
          <w:p w14:paraId="6F17FFDE">
            <w:pPr>
              <w:jc w:val="right"/>
              <w:rPr>
                <w:sz w:val="15"/>
                <w:szCs w:val="15"/>
              </w:rPr>
            </w:pPr>
          </w:p>
        </w:tc>
        <w:tc>
          <w:tcPr>
            <w:tcW w:w="426" w:type="pct"/>
            <w:gridSpan w:val="2"/>
            <w:vAlign w:val="center"/>
          </w:tcPr>
          <w:p w14:paraId="1B530AB5">
            <w:pPr>
              <w:jc w:val="right"/>
              <w:rPr>
                <w:sz w:val="15"/>
                <w:szCs w:val="15"/>
              </w:rPr>
            </w:pPr>
          </w:p>
        </w:tc>
        <w:tc>
          <w:tcPr>
            <w:tcW w:w="547" w:type="pct"/>
            <w:gridSpan w:val="2"/>
            <w:vAlign w:val="center"/>
          </w:tcPr>
          <w:p w14:paraId="6D7D26A2">
            <w:pPr>
              <w:jc w:val="right"/>
              <w:rPr>
                <w:sz w:val="15"/>
                <w:szCs w:val="15"/>
              </w:rPr>
            </w:pPr>
          </w:p>
        </w:tc>
      </w:tr>
      <w:tr w14:paraId="7D0CF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e3c6e2e078f649258bfa4dadb9266249"/>
            <w:id w:val="-1493169377"/>
          </w:sdtPr>
          <w:sdtEndPr>
            <w:rPr>
              <w:sz w:val="15"/>
              <w:szCs w:val="15"/>
            </w:rPr>
          </w:sdtEndPr>
          <w:sdtContent>
            <w:tc>
              <w:tcPr>
                <w:tcW w:w="224" w:type="pct"/>
                <w:vAlign w:val="center"/>
              </w:tcPr>
              <w:p w14:paraId="1D31F54A">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3．盈余公积弥补亏损</w:t>
                </w:r>
              </w:p>
            </w:tc>
          </w:sdtContent>
        </w:sdt>
        <w:tc>
          <w:tcPr>
            <w:tcW w:w="425" w:type="pct"/>
            <w:vAlign w:val="center"/>
          </w:tcPr>
          <w:p w14:paraId="17B348CE">
            <w:pPr>
              <w:jc w:val="right"/>
              <w:rPr>
                <w:sz w:val="15"/>
                <w:szCs w:val="15"/>
              </w:rPr>
            </w:pPr>
          </w:p>
        </w:tc>
        <w:tc>
          <w:tcPr>
            <w:tcW w:w="123" w:type="pct"/>
            <w:vAlign w:val="center"/>
          </w:tcPr>
          <w:p w14:paraId="0A05ECD9">
            <w:pPr>
              <w:jc w:val="right"/>
              <w:rPr>
                <w:sz w:val="15"/>
                <w:szCs w:val="15"/>
              </w:rPr>
            </w:pPr>
          </w:p>
        </w:tc>
        <w:tc>
          <w:tcPr>
            <w:tcW w:w="123" w:type="pct"/>
            <w:vAlign w:val="center"/>
          </w:tcPr>
          <w:p w14:paraId="1747297D">
            <w:pPr>
              <w:jc w:val="right"/>
              <w:rPr>
                <w:sz w:val="15"/>
                <w:szCs w:val="15"/>
              </w:rPr>
            </w:pPr>
          </w:p>
        </w:tc>
        <w:tc>
          <w:tcPr>
            <w:tcW w:w="123" w:type="pct"/>
            <w:vAlign w:val="center"/>
          </w:tcPr>
          <w:p w14:paraId="04FD0B48">
            <w:pPr>
              <w:jc w:val="right"/>
              <w:rPr>
                <w:sz w:val="15"/>
                <w:szCs w:val="15"/>
              </w:rPr>
            </w:pPr>
          </w:p>
        </w:tc>
        <w:tc>
          <w:tcPr>
            <w:tcW w:w="425" w:type="pct"/>
            <w:vAlign w:val="center"/>
          </w:tcPr>
          <w:p w14:paraId="4B729927">
            <w:pPr>
              <w:jc w:val="right"/>
              <w:rPr>
                <w:sz w:val="15"/>
                <w:szCs w:val="15"/>
              </w:rPr>
            </w:pPr>
          </w:p>
        </w:tc>
        <w:tc>
          <w:tcPr>
            <w:tcW w:w="461" w:type="pct"/>
            <w:vAlign w:val="center"/>
          </w:tcPr>
          <w:p w14:paraId="41D67DC0">
            <w:pPr>
              <w:jc w:val="right"/>
              <w:rPr>
                <w:sz w:val="15"/>
                <w:szCs w:val="15"/>
              </w:rPr>
            </w:pPr>
          </w:p>
        </w:tc>
        <w:tc>
          <w:tcPr>
            <w:tcW w:w="454" w:type="pct"/>
            <w:vAlign w:val="center"/>
          </w:tcPr>
          <w:p w14:paraId="5BF0FA2B">
            <w:pPr>
              <w:jc w:val="right"/>
              <w:rPr>
                <w:sz w:val="15"/>
                <w:szCs w:val="15"/>
              </w:rPr>
            </w:pPr>
          </w:p>
        </w:tc>
        <w:tc>
          <w:tcPr>
            <w:tcW w:w="123" w:type="pct"/>
            <w:vAlign w:val="center"/>
          </w:tcPr>
          <w:p w14:paraId="54E93ADA">
            <w:pPr>
              <w:jc w:val="right"/>
              <w:rPr>
                <w:sz w:val="15"/>
                <w:szCs w:val="15"/>
              </w:rPr>
            </w:pPr>
          </w:p>
        </w:tc>
        <w:tc>
          <w:tcPr>
            <w:tcW w:w="388" w:type="pct"/>
            <w:vAlign w:val="center"/>
          </w:tcPr>
          <w:p w14:paraId="53D8C9B9">
            <w:pPr>
              <w:jc w:val="right"/>
              <w:rPr>
                <w:sz w:val="15"/>
                <w:szCs w:val="15"/>
              </w:rPr>
            </w:pPr>
          </w:p>
        </w:tc>
        <w:tc>
          <w:tcPr>
            <w:tcW w:w="123" w:type="pct"/>
            <w:vAlign w:val="center"/>
          </w:tcPr>
          <w:p w14:paraId="348AC38D">
            <w:pPr>
              <w:jc w:val="right"/>
              <w:rPr>
                <w:sz w:val="15"/>
                <w:szCs w:val="15"/>
              </w:rPr>
            </w:pPr>
          </w:p>
        </w:tc>
        <w:tc>
          <w:tcPr>
            <w:tcW w:w="462" w:type="pct"/>
            <w:vAlign w:val="center"/>
          </w:tcPr>
          <w:p w14:paraId="227CA1AB">
            <w:pPr>
              <w:jc w:val="right"/>
              <w:rPr>
                <w:sz w:val="15"/>
                <w:szCs w:val="15"/>
              </w:rPr>
            </w:pPr>
          </w:p>
        </w:tc>
        <w:tc>
          <w:tcPr>
            <w:tcW w:w="123" w:type="pct"/>
            <w:vAlign w:val="center"/>
          </w:tcPr>
          <w:p w14:paraId="11E3B8DC">
            <w:pPr>
              <w:jc w:val="right"/>
              <w:rPr>
                <w:sz w:val="15"/>
                <w:szCs w:val="15"/>
              </w:rPr>
            </w:pPr>
          </w:p>
        </w:tc>
        <w:tc>
          <w:tcPr>
            <w:tcW w:w="451" w:type="pct"/>
            <w:vAlign w:val="center"/>
          </w:tcPr>
          <w:p w14:paraId="08E8DC0D">
            <w:pPr>
              <w:jc w:val="right"/>
              <w:rPr>
                <w:sz w:val="15"/>
                <w:szCs w:val="15"/>
              </w:rPr>
            </w:pPr>
          </w:p>
        </w:tc>
        <w:tc>
          <w:tcPr>
            <w:tcW w:w="426" w:type="pct"/>
            <w:gridSpan w:val="2"/>
            <w:vAlign w:val="center"/>
          </w:tcPr>
          <w:p w14:paraId="351CEE34">
            <w:pPr>
              <w:jc w:val="right"/>
              <w:rPr>
                <w:sz w:val="15"/>
                <w:szCs w:val="15"/>
              </w:rPr>
            </w:pPr>
          </w:p>
        </w:tc>
        <w:tc>
          <w:tcPr>
            <w:tcW w:w="547" w:type="pct"/>
            <w:gridSpan w:val="2"/>
            <w:vAlign w:val="center"/>
          </w:tcPr>
          <w:p w14:paraId="52774154">
            <w:pPr>
              <w:jc w:val="right"/>
              <w:rPr>
                <w:sz w:val="15"/>
                <w:szCs w:val="15"/>
              </w:rPr>
            </w:pPr>
          </w:p>
        </w:tc>
      </w:tr>
      <w:tr w14:paraId="26D4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sdt>
            <w:sdtPr>
              <w:rPr>
                <w:sz w:val="15"/>
                <w:szCs w:val="15"/>
              </w:rPr>
              <w:tag w:val="_PLD_7a03b853b8c74c2fb2e89f59e327b578"/>
              <w:id w:val="-25794768"/>
            </w:sdtPr>
            <w:sdtEndPr>
              <w:rPr>
                <w:sz w:val="15"/>
                <w:szCs w:val="15"/>
              </w:rPr>
            </w:sdtEndPr>
            <w:sdtContent>
              <w:p w14:paraId="353EDF2A">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4．设定受益计划变动额结转留存收益</w:t>
                </w:r>
              </w:p>
            </w:sdtContent>
          </w:sdt>
        </w:tc>
        <w:tc>
          <w:tcPr>
            <w:tcW w:w="425" w:type="pct"/>
            <w:vAlign w:val="center"/>
          </w:tcPr>
          <w:p w14:paraId="4C96CFCD">
            <w:pPr>
              <w:jc w:val="right"/>
              <w:rPr>
                <w:sz w:val="15"/>
                <w:szCs w:val="15"/>
              </w:rPr>
            </w:pPr>
          </w:p>
        </w:tc>
        <w:tc>
          <w:tcPr>
            <w:tcW w:w="123" w:type="pct"/>
            <w:vAlign w:val="center"/>
          </w:tcPr>
          <w:p w14:paraId="74A72C10">
            <w:pPr>
              <w:jc w:val="right"/>
              <w:rPr>
                <w:sz w:val="15"/>
                <w:szCs w:val="15"/>
              </w:rPr>
            </w:pPr>
          </w:p>
        </w:tc>
        <w:tc>
          <w:tcPr>
            <w:tcW w:w="123" w:type="pct"/>
            <w:vAlign w:val="center"/>
          </w:tcPr>
          <w:p w14:paraId="10BA6819">
            <w:pPr>
              <w:jc w:val="right"/>
              <w:rPr>
                <w:sz w:val="15"/>
                <w:szCs w:val="15"/>
              </w:rPr>
            </w:pPr>
          </w:p>
        </w:tc>
        <w:tc>
          <w:tcPr>
            <w:tcW w:w="123" w:type="pct"/>
            <w:vAlign w:val="center"/>
          </w:tcPr>
          <w:p w14:paraId="216360D8">
            <w:pPr>
              <w:jc w:val="right"/>
              <w:rPr>
                <w:sz w:val="15"/>
                <w:szCs w:val="15"/>
              </w:rPr>
            </w:pPr>
          </w:p>
        </w:tc>
        <w:tc>
          <w:tcPr>
            <w:tcW w:w="425" w:type="pct"/>
            <w:vAlign w:val="center"/>
          </w:tcPr>
          <w:p w14:paraId="468EAE0F">
            <w:pPr>
              <w:jc w:val="right"/>
              <w:rPr>
                <w:sz w:val="15"/>
                <w:szCs w:val="15"/>
              </w:rPr>
            </w:pPr>
          </w:p>
        </w:tc>
        <w:tc>
          <w:tcPr>
            <w:tcW w:w="461" w:type="pct"/>
            <w:vAlign w:val="center"/>
          </w:tcPr>
          <w:p w14:paraId="24E6545C">
            <w:pPr>
              <w:jc w:val="right"/>
              <w:rPr>
                <w:sz w:val="15"/>
                <w:szCs w:val="15"/>
              </w:rPr>
            </w:pPr>
          </w:p>
        </w:tc>
        <w:tc>
          <w:tcPr>
            <w:tcW w:w="454" w:type="pct"/>
            <w:vAlign w:val="center"/>
          </w:tcPr>
          <w:p w14:paraId="255302B2">
            <w:pPr>
              <w:jc w:val="right"/>
              <w:rPr>
                <w:sz w:val="15"/>
                <w:szCs w:val="15"/>
              </w:rPr>
            </w:pPr>
          </w:p>
        </w:tc>
        <w:tc>
          <w:tcPr>
            <w:tcW w:w="123" w:type="pct"/>
            <w:vAlign w:val="center"/>
          </w:tcPr>
          <w:p w14:paraId="25D40D35">
            <w:pPr>
              <w:jc w:val="right"/>
              <w:rPr>
                <w:sz w:val="15"/>
                <w:szCs w:val="15"/>
              </w:rPr>
            </w:pPr>
          </w:p>
        </w:tc>
        <w:tc>
          <w:tcPr>
            <w:tcW w:w="388" w:type="pct"/>
            <w:vAlign w:val="center"/>
          </w:tcPr>
          <w:p w14:paraId="181BAC85">
            <w:pPr>
              <w:jc w:val="right"/>
              <w:rPr>
                <w:sz w:val="15"/>
                <w:szCs w:val="15"/>
              </w:rPr>
            </w:pPr>
          </w:p>
        </w:tc>
        <w:tc>
          <w:tcPr>
            <w:tcW w:w="123" w:type="pct"/>
            <w:vAlign w:val="center"/>
          </w:tcPr>
          <w:p w14:paraId="7D1E210D">
            <w:pPr>
              <w:jc w:val="right"/>
              <w:rPr>
                <w:sz w:val="15"/>
                <w:szCs w:val="15"/>
              </w:rPr>
            </w:pPr>
          </w:p>
        </w:tc>
        <w:tc>
          <w:tcPr>
            <w:tcW w:w="462" w:type="pct"/>
            <w:vAlign w:val="center"/>
          </w:tcPr>
          <w:p w14:paraId="0B140793">
            <w:pPr>
              <w:jc w:val="right"/>
              <w:rPr>
                <w:sz w:val="15"/>
                <w:szCs w:val="15"/>
              </w:rPr>
            </w:pPr>
          </w:p>
        </w:tc>
        <w:tc>
          <w:tcPr>
            <w:tcW w:w="123" w:type="pct"/>
            <w:vAlign w:val="center"/>
          </w:tcPr>
          <w:p w14:paraId="5B094702">
            <w:pPr>
              <w:jc w:val="right"/>
              <w:rPr>
                <w:sz w:val="15"/>
                <w:szCs w:val="15"/>
              </w:rPr>
            </w:pPr>
          </w:p>
        </w:tc>
        <w:tc>
          <w:tcPr>
            <w:tcW w:w="451" w:type="pct"/>
            <w:vAlign w:val="center"/>
          </w:tcPr>
          <w:p w14:paraId="6D7E5952">
            <w:pPr>
              <w:jc w:val="right"/>
              <w:rPr>
                <w:sz w:val="15"/>
                <w:szCs w:val="15"/>
              </w:rPr>
            </w:pPr>
          </w:p>
        </w:tc>
        <w:tc>
          <w:tcPr>
            <w:tcW w:w="426" w:type="pct"/>
            <w:gridSpan w:val="2"/>
            <w:vAlign w:val="center"/>
          </w:tcPr>
          <w:p w14:paraId="76F6B39B">
            <w:pPr>
              <w:jc w:val="right"/>
              <w:rPr>
                <w:sz w:val="15"/>
                <w:szCs w:val="15"/>
              </w:rPr>
            </w:pPr>
          </w:p>
        </w:tc>
        <w:tc>
          <w:tcPr>
            <w:tcW w:w="547" w:type="pct"/>
            <w:gridSpan w:val="2"/>
            <w:vAlign w:val="center"/>
          </w:tcPr>
          <w:p w14:paraId="2F1E2D2D">
            <w:pPr>
              <w:jc w:val="right"/>
              <w:rPr>
                <w:sz w:val="15"/>
                <w:szCs w:val="15"/>
              </w:rPr>
            </w:pPr>
          </w:p>
        </w:tc>
      </w:tr>
      <w:tr w14:paraId="478A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sdt>
            <w:sdtPr>
              <w:rPr>
                <w:sz w:val="15"/>
                <w:szCs w:val="15"/>
              </w:rPr>
              <w:tag w:val="_PLD_1db95d2c039e4fb6b41eae5a5c0aeb0a"/>
              <w:id w:val="102008917"/>
            </w:sdtPr>
            <w:sdtEndPr>
              <w:rPr>
                <w:sz w:val="15"/>
                <w:szCs w:val="15"/>
              </w:rPr>
            </w:sdtEndPr>
            <w:sdtContent>
              <w:p w14:paraId="43CE9B17">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5．其他综合收益结转留存收益</w:t>
                </w:r>
              </w:p>
            </w:sdtContent>
          </w:sdt>
        </w:tc>
        <w:tc>
          <w:tcPr>
            <w:tcW w:w="425" w:type="pct"/>
            <w:vAlign w:val="center"/>
          </w:tcPr>
          <w:p w14:paraId="6BD7355E">
            <w:pPr>
              <w:jc w:val="right"/>
              <w:rPr>
                <w:sz w:val="15"/>
                <w:szCs w:val="15"/>
              </w:rPr>
            </w:pPr>
          </w:p>
        </w:tc>
        <w:tc>
          <w:tcPr>
            <w:tcW w:w="123" w:type="pct"/>
            <w:vAlign w:val="center"/>
          </w:tcPr>
          <w:p w14:paraId="6ACA9C0C">
            <w:pPr>
              <w:jc w:val="right"/>
              <w:rPr>
                <w:sz w:val="15"/>
                <w:szCs w:val="15"/>
              </w:rPr>
            </w:pPr>
          </w:p>
        </w:tc>
        <w:tc>
          <w:tcPr>
            <w:tcW w:w="123" w:type="pct"/>
            <w:vAlign w:val="center"/>
          </w:tcPr>
          <w:p w14:paraId="49C9DAF0">
            <w:pPr>
              <w:jc w:val="right"/>
              <w:rPr>
                <w:sz w:val="15"/>
                <w:szCs w:val="15"/>
              </w:rPr>
            </w:pPr>
          </w:p>
        </w:tc>
        <w:tc>
          <w:tcPr>
            <w:tcW w:w="123" w:type="pct"/>
            <w:vAlign w:val="center"/>
          </w:tcPr>
          <w:p w14:paraId="14AD7F9B">
            <w:pPr>
              <w:jc w:val="right"/>
              <w:rPr>
                <w:sz w:val="15"/>
                <w:szCs w:val="15"/>
              </w:rPr>
            </w:pPr>
          </w:p>
        </w:tc>
        <w:tc>
          <w:tcPr>
            <w:tcW w:w="425" w:type="pct"/>
            <w:vAlign w:val="center"/>
          </w:tcPr>
          <w:p w14:paraId="62F0041E">
            <w:pPr>
              <w:jc w:val="right"/>
              <w:rPr>
                <w:sz w:val="15"/>
                <w:szCs w:val="15"/>
              </w:rPr>
            </w:pPr>
          </w:p>
        </w:tc>
        <w:tc>
          <w:tcPr>
            <w:tcW w:w="461" w:type="pct"/>
            <w:vAlign w:val="center"/>
          </w:tcPr>
          <w:p w14:paraId="34DDC4B9">
            <w:pPr>
              <w:jc w:val="right"/>
              <w:rPr>
                <w:sz w:val="15"/>
                <w:szCs w:val="15"/>
              </w:rPr>
            </w:pPr>
          </w:p>
        </w:tc>
        <w:tc>
          <w:tcPr>
            <w:tcW w:w="454" w:type="pct"/>
            <w:vAlign w:val="center"/>
          </w:tcPr>
          <w:p w14:paraId="72BA61FA">
            <w:pPr>
              <w:jc w:val="right"/>
              <w:rPr>
                <w:sz w:val="15"/>
                <w:szCs w:val="15"/>
              </w:rPr>
            </w:pPr>
          </w:p>
        </w:tc>
        <w:tc>
          <w:tcPr>
            <w:tcW w:w="123" w:type="pct"/>
            <w:vAlign w:val="center"/>
          </w:tcPr>
          <w:p w14:paraId="5ACC506D">
            <w:pPr>
              <w:jc w:val="right"/>
              <w:rPr>
                <w:sz w:val="15"/>
                <w:szCs w:val="15"/>
              </w:rPr>
            </w:pPr>
          </w:p>
        </w:tc>
        <w:tc>
          <w:tcPr>
            <w:tcW w:w="388" w:type="pct"/>
            <w:vAlign w:val="center"/>
          </w:tcPr>
          <w:p w14:paraId="7DE180C0">
            <w:pPr>
              <w:jc w:val="right"/>
              <w:rPr>
                <w:sz w:val="15"/>
                <w:szCs w:val="15"/>
              </w:rPr>
            </w:pPr>
          </w:p>
        </w:tc>
        <w:tc>
          <w:tcPr>
            <w:tcW w:w="123" w:type="pct"/>
            <w:vAlign w:val="center"/>
          </w:tcPr>
          <w:p w14:paraId="4688DF78">
            <w:pPr>
              <w:jc w:val="right"/>
              <w:rPr>
                <w:sz w:val="15"/>
                <w:szCs w:val="15"/>
              </w:rPr>
            </w:pPr>
          </w:p>
        </w:tc>
        <w:tc>
          <w:tcPr>
            <w:tcW w:w="462" w:type="pct"/>
            <w:vAlign w:val="center"/>
          </w:tcPr>
          <w:p w14:paraId="555E0315">
            <w:pPr>
              <w:jc w:val="right"/>
              <w:rPr>
                <w:sz w:val="15"/>
                <w:szCs w:val="15"/>
              </w:rPr>
            </w:pPr>
          </w:p>
        </w:tc>
        <w:tc>
          <w:tcPr>
            <w:tcW w:w="123" w:type="pct"/>
            <w:vAlign w:val="center"/>
          </w:tcPr>
          <w:p w14:paraId="59D8DEA2">
            <w:pPr>
              <w:jc w:val="right"/>
              <w:rPr>
                <w:sz w:val="15"/>
                <w:szCs w:val="15"/>
              </w:rPr>
            </w:pPr>
          </w:p>
        </w:tc>
        <w:tc>
          <w:tcPr>
            <w:tcW w:w="451" w:type="pct"/>
            <w:vAlign w:val="center"/>
          </w:tcPr>
          <w:p w14:paraId="11E8D825">
            <w:pPr>
              <w:jc w:val="right"/>
              <w:rPr>
                <w:sz w:val="15"/>
                <w:szCs w:val="15"/>
              </w:rPr>
            </w:pPr>
          </w:p>
        </w:tc>
        <w:tc>
          <w:tcPr>
            <w:tcW w:w="426" w:type="pct"/>
            <w:gridSpan w:val="2"/>
            <w:vAlign w:val="center"/>
          </w:tcPr>
          <w:p w14:paraId="75813E14">
            <w:pPr>
              <w:jc w:val="right"/>
              <w:rPr>
                <w:sz w:val="15"/>
                <w:szCs w:val="15"/>
              </w:rPr>
            </w:pPr>
          </w:p>
        </w:tc>
        <w:tc>
          <w:tcPr>
            <w:tcW w:w="547" w:type="pct"/>
            <w:gridSpan w:val="2"/>
            <w:vAlign w:val="center"/>
          </w:tcPr>
          <w:p w14:paraId="6E5A0F75">
            <w:pPr>
              <w:jc w:val="right"/>
              <w:rPr>
                <w:sz w:val="15"/>
                <w:szCs w:val="15"/>
              </w:rPr>
            </w:pPr>
          </w:p>
        </w:tc>
      </w:tr>
      <w:tr w14:paraId="1EF5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 w:type="pct"/>
            <w:vAlign w:val="center"/>
          </w:tcPr>
          <w:sdt>
            <w:sdtPr>
              <w:rPr>
                <w:sz w:val="15"/>
                <w:szCs w:val="15"/>
              </w:rPr>
              <w:tag w:val="_PLD_44b366cf670e4514b5f91bc8cef97e27"/>
              <w:id w:val="2028603090"/>
            </w:sdtPr>
            <w:sdtEndPr>
              <w:rPr>
                <w:sz w:val="15"/>
                <w:szCs w:val="15"/>
              </w:rPr>
            </w:sdtEndPr>
            <w:sdtContent>
              <w:p w14:paraId="421D98F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6．其他</w:t>
                </w:r>
              </w:p>
            </w:sdtContent>
          </w:sdt>
        </w:tc>
        <w:tc>
          <w:tcPr>
            <w:tcW w:w="425" w:type="pct"/>
            <w:vAlign w:val="center"/>
          </w:tcPr>
          <w:p w14:paraId="2F45DD0F">
            <w:pPr>
              <w:jc w:val="right"/>
              <w:rPr>
                <w:sz w:val="15"/>
                <w:szCs w:val="15"/>
              </w:rPr>
            </w:pPr>
          </w:p>
        </w:tc>
        <w:tc>
          <w:tcPr>
            <w:tcW w:w="123" w:type="pct"/>
            <w:vAlign w:val="center"/>
          </w:tcPr>
          <w:p w14:paraId="6EC60289">
            <w:pPr>
              <w:jc w:val="right"/>
              <w:rPr>
                <w:sz w:val="15"/>
                <w:szCs w:val="15"/>
              </w:rPr>
            </w:pPr>
          </w:p>
        </w:tc>
        <w:tc>
          <w:tcPr>
            <w:tcW w:w="123" w:type="pct"/>
            <w:vAlign w:val="center"/>
          </w:tcPr>
          <w:p w14:paraId="08306DF2">
            <w:pPr>
              <w:jc w:val="right"/>
              <w:rPr>
                <w:sz w:val="15"/>
                <w:szCs w:val="15"/>
              </w:rPr>
            </w:pPr>
          </w:p>
        </w:tc>
        <w:tc>
          <w:tcPr>
            <w:tcW w:w="123" w:type="pct"/>
            <w:vAlign w:val="center"/>
          </w:tcPr>
          <w:p w14:paraId="38E664C9">
            <w:pPr>
              <w:jc w:val="right"/>
              <w:rPr>
                <w:sz w:val="15"/>
                <w:szCs w:val="15"/>
              </w:rPr>
            </w:pPr>
          </w:p>
        </w:tc>
        <w:tc>
          <w:tcPr>
            <w:tcW w:w="425" w:type="pct"/>
            <w:vAlign w:val="center"/>
          </w:tcPr>
          <w:p w14:paraId="651852B1">
            <w:pPr>
              <w:jc w:val="right"/>
              <w:rPr>
                <w:sz w:val="15"/>
                <w:szCs w:val="15"/>
              </w:rPr>
            </w:pPr>
          </w:p>
        </w:tc>
        <w:tc>
          <w:tcPr>
            <w:tcW w:w="461" w:type="pct"/>
            <w:vAlign w:val="center"/>
          </w:tcPr>
          <w:p w14:paraId="64572061">
            <w:pPr>
              <w:jc w:val="right"/>
              <w:rPr>
                <w:sz w:val="15"/>
                <w:szCs w:val="15"/>
              </w:rPr>
            </w:pPr>
          </w:p>
        </w:tc>
        <w:tc>
          <w:tcPr>
            <w:tcW w:w="454" w:type="pct"/>
            <w:vAlign w:val="center"/>
          </w:tcPr>
          <w:p w14:paraId="2D296B50">
            <w:pPr>
              <w:jc w:val="right"/>
              <w:rPr>
                <w:sz w:val="15"/>
                <w:szCs w:val="15"/>
              </w:rPr>
            </w:pPr>
          </w:p>
        </w:tc>
        <w:tc>
          <w:tcPr>
            <w:tcW w:w="123" w:type="pct"/>
            <w:vAlign w:val="center"/>
          </w:tcPr>
          <w:p w14:paraId="4D58E92B">
            <w:pPr>
              <w:jc w:val="right"/>
              <w:rPr>
                <w:sz w:val="15"/>
                <w:szCs w:val="15"/>
              </w:rPr>
            </w:pPr>
          </w:p>
        </w:tc>
        <w:tc>
          <w:tcPr>
            <w:tcW w:w="388" w:type="pct"/>
            <w:vAlign w:val="center"/>
          </w:tcPr>
          <w:p w14:paraId="5066730F">
            <w:pPr>
              <w:jc w:val="right"/>
              <w:rPr>
                <w:sz w:val="15"/>
                <w:szCs w:val="15"/>
              </w:rPr>
            </w:pPr>
          </w:p>
        </w:tc>
        <w:tc>
          <w:tcPr>
            <w:tcW w:w="123" w:type="pct"/>
            <w:vAlign w:val="center"/>
          </w:tcPr>
          <w:p w14:paraId="7288E721">
            <w:pPr>
              <w:jc w:val="right"/>
              <w:rPr>
                <w:sz w:val="15"/>
                <w:szCs w:val="15"/>
              </w:rPr>
            </w:pPr>
          </w:p>
        </w:tc>
        <w:tc>
          <w:tcPr>
            <w:tcW w:w="462" w:type="pct"/>
            <w:vAlign w:val="center"/>
          </w:tcPr>
          <w:p w14:paraId="3D6D272A">
            <w:pPr>
              <w:jc w:val="right"/>
              <w:rPr>
                <w:sz w:val="15"/>
                <w:szCs w:val="15"/>
              </w:rPr>
            </w:pPr>
          </w:p>
        </w:tc>
        <w:tc>
          <w:tcPr>
            <w:tcW w:w="123" w:type="pct"/>
            <w:vAlign w:val="center"/>
          </w:tcPr>
          <w:p w14:paraId="48BFEB52">
            <w:pPr>
              <w:jc w:val="right"/>
              <w:rPr>
                <w:sz w:val="15"/>
                <w:szCs w:val="15"/>
              </w:rPr>
            </w:pPr>
          </w:p>
        </w:tc>
        <w:tc>
          <w:tcPr>
            <w:tcW w:w="451" w:type="pct"/>
            <w:vAlign w:val="center"/>
          </w:tcPr>
          <w:p w14:paraId="7FC520DB">
            <w:pPr>
              <w:jc w:val="right"/>
              <w:rPr>
                <w:sz w:val="15"/>
                <w:szCs w:val="15"/>
              </w:rPr>
            </w:pPr>
          </w:p>
        </w:tc>
        <w:tc>
          <w:tcPr>
            <w:tcW w:w="426" w:type="pct"/>
            <w:gridSpan w:val="2"/>
            <w:vAlign w:val="center"/>
          </w:tcPr>
          <w:p w14:paraId="0B06F0CA">
            <w:pPr>
              <w:jc w:val="right"/>
              <w:rPr>
                <w:sz w:val="15"/>
                <w:szCs w:val="15"/>
              </w:rPr>
            </w:pPr>
          </w:p>
        </w:tc>
        <w:tc>
          <w:tcPr>
            <w:tcW w:w="547" w:type="pct"/>
            <w:gridSpan w:val="2"/>
            <w:vAlign w:val="center"/>
          </w:tcPr>
          <w:p w14:paraId="2E8BF89D">
            <w:pPr>
              <w:jc w:val="right"/>
              <w:rPr>
                <w:sz w:val="15"/>
                <w:szCs w:val="15"/>
              </w:rPr>
            </w:pPr>
          </w:p>
        </w:tc>
      </w:tr>
      <w:tr w14:paraId="552F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4c2ffccd1b8247f8b48874b508665dc1"/>
            <w:id w:val="-71891638"/>
          </w:sdtPr>
          <w:sdtEndPr>
            <w:rPr>
              <w:sz w:val="15"/>
              <w:szCs w:val="15"/>
            </w:rPr>
          </w:sdtEndPr>
          <w:sdtContent>
            <w:tc>
              <w:tcPr>
                <w:tcW w:w="224" w:type="pct"/>
                <w:vAlign w:val="center"/>
              </w:tcPr>
              <w:p w14:paraId="594DBFE5">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（五）专项储备</w:t>
                </w:r>
              </w:p>
            </w:tc>
          </w:sdtContent>
        </w:sdt>
        <w:tc>
          <w:tcPr>
            <w:tcW w:w="425" w:type="pct"/>
            <w:vAlign w:val="center"/>
          </w:tcPr>
          <w:p w14:paraId="41DDCA46">
            <w:pPr>
              <w:jc w:val="right"/>
              <w:rPr>
                <w:sz w:val="15"/>
                <w:szCs w:val="15"/>
              </w:rPr>
            </w:pPr>
          </w:p>
        </w:tc>
        <w:tc>
          <w:tcPr>
            <w:tcW w:w="123" w:type="pct"/>
            <w:vAlign w:val="center"/>
          </w:tcPr>
          <w:p w14:paraId="484E4E34">
            <w:pPr>
              <w:jc w:val="right"/>
              <w:rPr>
                <w:sz w:val="15"/>
                <w:szCs w:val="15"/>
              </w:rPr>
            </w:pPr>
          </w:p>
        </w:tc>
        <w:tc>
          <w:tcPr>
            <w:tcW w:w="123" w:type="pct"/>
            <w:vAlign w:val="center"/>
          </w:tcPr>
          <w:p w14:paraId="54C4CDAA">
            <w:pPr>
              <w:jc w:val="right"/>
              <w:rPr>
                <w:sz w:val="15"/>
                <w:szCs w:val="15"/>
              </w:rPr>
            </w:pPr>
          </w:p>
        </w:tc>
        <w:tc>
          <w:tcPr>
            <w:tcW w:w="123" w:type="pct"/>
            <w:vAlign w:val="center"/>
          </w:tcPr>
          <w:p w14:paraId="528901FB">
            <w:pPr>
              <w:jc w:val="right"/>
              <w:rPr>
                <w:sz w:val="15"/>
                <w:szCs w:val="15"/>
              </w:rPr>
            </w:pPr>
          </w:p>
        </w:tc>
        <w:tc>
          <w:tcPr>
            <w:tcW w:w="425" w:type="pct"/>
            <w:vAlign w:val="center"/>
          </w:tcPr>
          <w:p w14:paraId="65301E6D">
            <w:pPr>
              <w:jc w:val="right"/>
              <w:rPr>
                <w:sz w:val="15"/>
                <w:szCs w:val="15"/>
              </w:rPr>
            </w:pPr>
          </w:p>
        </w:tc>
        <w:tc>
          <w:tcPr>
            <w:tcW w:w="461" w:type="pct"/>
            <w:vAlign w:val="center"/>
          </w:tcPr>
          <w:p w14:paraId="07AADA35">
            <w:pPr>
              <w:jc w:val="right"/>
              <w:rPr>
                <w:sz w:val="15"/>
                <w:szCs w:val="15"/>
              </w:rPr>
            </w:pPr>
          </w:p>
        </w:tc>
        <w:tc>
          <w:tcPr>
            <w:tcW w:w="454" w:type="pct"/>
            <w:vAlign w:val="center"/>
          </w:tcPr>
          <w:p w14:paraId="42464A25">
            <w:pPr>
              <w:jc w:val="right"/>
              <w:rPr>
                <w:sz w:val="15"/>
                <w:szCs w:val="15"/>
              </w:rPr>
            </w:pPr>
          </w:p>
        </w:tc>
        <w:tc>
          <w:tcPr>
            <w:tcW w:w="123" w:type="pct"/>
            <w:vAlign w:val="center"/>
          </w:tcPr>
          <w:p w14:paraId="782B689A">
            <w:pPr>
              <w:jc w:val="right"/>
              <w:rPr>
                <w:sz w:val="15"/>
                <w:szCs w:val="15"/>
              </w:rPr>
            </w:pPr>
          </w:p>
        </w:tc>
        <w:tc>
          <w:tcPr>
            <w:tcW w:w="388" w:type="pct"/>
            <w:vAlign w:val="center"/>
          </w:tcPr>
          <w:p w14:paraId="298AED41">
            <w:pPr>
              <w:jc w:val="right"/>
              <w:rPr>
                <w:sz w:val="15"/>
                <w:szCs w:val="15"/>
              </w:rPr>
            </w:pPr>
          </w:p>
        </w:tc>
        <w:tc>
          <w:tcPr>
            <w:tcW w:w="123" w:type="pct"/>
            <w:vAlign w:val="center"/>
          </w:tcPr>
          <w:p w14:paraId="3F7D05FB">
            <w:pPr>
              <w:jc w:val="right"/>
              <w:rPr>
                <w:sz w:val="15"/>
                <w:szCs w:val="15"/>
              </w:rPr>
            </w:pPr>
          </w:p>
        </w:tc>
        <w:tc>
          <w:tcPr>
            <w:tcW w:w="462" w:type="pct"/>
            <w:vAlign w:val="center"/>
          </w:tcPr>
          <w:p w14:paraId="13FA5373">
            <w:pPr>
              <w:jc w:val="right"/>
              <w:rPr>
                <w:sz w:val="15"/>
                <w:szCs w:val="15"/>
              </w:rPr>
            </w:pPr>
          </w:p>
        </w:tc>
        <w:tc>
          <w:tcPr>
            <w:tcW w:w="123" w:type="pct"/>
            <w:vAlign w:val="center"/>
          </w:tcPr>
          <w:p w14:paraId="50B57642">
            <w:pPr>
              <w:jc w:val="right"/>
              <w:rPr>
                <w:sz w:val="15"/>
                <w:szCs w:val="15"/>
              </w:rPr>
            </w:pPr>
          </w:p>
        </w:tc>
        <w:tc>
          <w:tcPr>
            <w:tcW w:w="451" w:type="pct"/>
            <w:vAlign w:val="center"/>
          </w:tcPr>
          <w:p w14:paraId="1E16F48D">
            <w:pPr>
              <w:jc w:val="right"/>
              <w:rPr>
                <w:sz w:val="15"/>
                <w:szCs w:val="15"/>
              </w:rPr>
            </w:pPr>
          </w:p>
        </w:tc>
        <w:tc>
          <w:tcPr>
            <w:tcW w:w="426" w:type="pct"/>
            <w:gridSpan w:val="2"/>
            <w:vAlign w:val="center"/>
          </w:tcPr>
          <w:p w14:paraId="32DFF661">
            <w:pPr>
              <w:jc w:val="right"/>
              <w:rPr>
                <w:sz w:val="15"/>
                <w:szCs w:val="15"/>
              </w:rPr>
            </w:pPr>
          </w:p>
        </w:tc>
        <w:tc>
          <w:tcPr>
            <w:tcW w:w="547" w:type="pct"/>
            <w:gridSpan w:val="2"/>
            <w:vAlign w:val="center"/>
          </w:tcPr>
          <w:p w14:paraId="4926A860">
            <w:pPr>
              <w:jc w:val="right"/>
              <w:rPr>
                <w:sz w:val="15"/>
                <w:szCs w:val="15"/>
              </w:rPr>
            </w:pPr>
          </w:p>
        </w:tc>
      </w:tr>
      <w:tr w14:paraId="5A24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d7da1c1428f3471c9d74c89a582725d7"/>
            <w:id w:val="755945573"/>
          </w:sdtPr>
          <w:sdtEndPr>
            <w:rPr>
              <w:sz w:val="15"/>
              <w:szCs w:val="15"/>
            </w:rPr>
          </w:sdtEndPr>
          <w:sdtContent>
            <w:tc>
              <w:tcPr>
                <w:tcW w:w="224" w:type="pct"/>
                <w:vAlign w:val="center"/>
              </w:tcPr>
              <w:p w14:paraId="12895F9C">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1．本期提取</w:t>
                </w:r>
              </w:p>
            </w:tc>
          </w:sdtContent>
        </w:sdt>
        <w:tc>
          <w:tcPr>
            <w:tcW w:w="425" w:type="pct"/>
            <w:vAlign w:val="center"/>
          </w:tcPr>
          <w:p w14:paraId="405B1279">
            <w:pPr>
              <w:jc w:val="right"/>
              <w:rPr>
                <w:sz w:val="15"/>
                <w:szCs w:val="15"/>
              </w:rPr>
            </w:pPr>
          </w:p>
        </w:tc>
        <w:tc>
          <w:tcPr>
            <w:tcW w:w="123" w:type="pct"/>
            <w:vAlign w:val="center"/>
          </w:tcPr>
          <w:p w14:paraId="3D50CA57">
            <w:pPr>
              <w:jc w:val="right"/>
              <w:rPr>
                <w:sz w:val="15"/>
                <w:szCs w:val="15"/>
              </w:rPr>
            </w:pPr>
          </w:p>
        </w:tc>
        <w:tc>
          <w:tcPr>
            <w:tcW w:w="123" w:type="pct"/>
            <w:vAlign w:val="center"/>
          </w:tcPr>
          <w:p w14:paraId="1C59C62A">
            <w:pPr>
              <w:jc w:val="right"/>
              <w:rPr>
                <w:sz w:val="15"/>
                <w:szCs w:val="15"/>
              </w:rPr>
            </w:pPr>
          </w:p>
        </w:tc>
        <w:tc>
          <w:tcPr>
            <w:tcW w:w="123" w:type="pct"/>
            <w:vAlign w:val="center"/>
          </w:tcPr>
          <w:p w14:paraId="70B8F1A8">
            <w:pPr>
              <w:jc w:val="right"/>
              <w:rPr>
                <w:sz w:val="15"/>
                <w:szCs w:val="15"/>
              </w:rPr>
            </w:pPr>
          </w:p>
        </w:tc>
        <w:tc>
          <w:tcPr>
            <w:tcW w:w="425" w:type="pct"/>
            <w:vAlign w:val="center"/>
          </w:tcPr>
          <w:p w14:paraId="1F9F89B8">
            <w:pPr>
              <w:jc w:val="right"/>
              <w:rPr>
                <w:sz w:val="15"/>
                <w:szCs w:val="15"/>
              </w:rPr>
            </w:pPr>
          </w:p>
        </w:tc>
        <w:tc>
          <w:tcPr>
            <w:tcW w:w="461" w:type="pct"/>
            <w:vAlign w:val="center"/>
          </w:tcPr>
          <w:p w14:paraId="51AB3031">
            <w:pPr>
              <w:jc w:val="right"/>
              <w:rPr>
                <w:sz w:val="15"/>
                <w:szCs w:val="15"/>
              </w:rPr>
            </w:pPr>
          </w:p>
        </w:tc>
        <w:tc>
          <w:tcPr>
            <w:tcW w:w="454" w:type="pct"/>
            <w:vAlign w:val="center"/>
          </w:tcPr>
          <w:p w14:paraId="34E11C1F">
            <w:pPr>
              <w:jc w:val="right"/>
              <w:rPr>
                <w:sz w:val="15"/>
                <w:szCs w:val="15"/>
              </w:rPr>
            </w:pPr>
          </w:p>
        </w:tc>
        <w:tc>
          <w:tcPr>
            <w:tcW w:w="123" w:type="pct"/>
            <w:vAlign w:val="center"/>
          </w:tcPr>
          <w:p w14:paraId="2F9B112A">
            <w:pPr>
              <w:jc w:val="right"/>
              <w:rPr>
                <w:sz w:val="15"/>
                <w:szCs w:val="15"/>
              </w:rPr>
            </w:pPr>
          </w:p>
        </w:tc>
        <w:tc>
          <w:tcPr>
            <w:tcW w:w="388" w:type="pct"/>
            <w:vAlign w:val="center"/>
          </w:tcPr>
          <w:p w14:paraId="6D70FDC8">
            <w:pPr>
              <w:jc w:val="right"/>
              <w:rPr>
                <w:sz w:val="15"/>
                <w:szCs w:val="15"/>
              </w:rPr>
            </w:pPr>
          </w:p>
        </w:tc>
        <w:tc>
          <w:tcPr>
            <w:tcW w:w="123" w:type="pct"/>
            <w:vAlign w:val="center"/>
          </w:tcPr>
          <w:p w14:paraId="360ACBB7">
            <w:pPr>
              <w:jc w:val="right"/>
              <w:rPr>
                <w:sz w:val="15"/>
                <w:szCs w:val="15"/>
              </w:rPr>
            </w:pPr>
          </w:p>
        </w:tc>
        <w:tc>
          <w:tcPr>
            <w:tcW w:w="462" w:type="pct"/>
            <w:vAlign w:val="center"/>
          </w:tcPr>
          <w:p w14:paraId="60C8619C">
            <w:pPr>
              <w:jc w:val="right"/>
              <w:rPr>
                <w:sz w:val="15"/>
                <w:szCs w:val="15"/>
              </w:rPr>
            </w:pPr>
          </w:p>
        </w:tc>
        <w:tc>
          <w:tcPr>
            <w:tcW w:w="123" w:type="pct"/>
            <w:vAlign w:val="center"/>
          </w:tcPr>
          <w:p w14:paraId="00DE227B">
            <w:pPr>
              <w:jc w:val="right"/>
              <w:rPr>
                <w:sz w:val="15"/>
                <w:szCs w:val="15"/>
              </w:rPr>
            </w:pPr>
          </w:p>
        </w:tc>
        <w:tc>
          <w:tcPr>
            <w:tcW w:w="451" w:type="pct"/>
            <w:vAlign w:val="center"/>
          </w:tcPr>
          <w:p w14:paraId="4DC9397A">
            <w:pPr>
              <w:jc w:val="right"/>
              <w:rPr>
                <w:sz w:val="15"/>
                <w:szCs w:val="15"/>
              </w:rPr>
            </w:pPr>
          </w:p>
        </w:tc>
        <w:tc>
          <w:tcPr>
            <w:tcW w:w="426" w:type="pct"/>
            <w:gridSpan w:val="2"/>
            <w:vAlign w:val="center"/>
          </w:tcPr>
          <w:p w14:paraId="6644966F">
            <w:pPr>
              <w:jc w:val="right"/>
              <w:rPr>
                <w:sz w:val="15"/>
                <w:szCs w:val="15"/>
              </w:rPr>
            </w:pPr>
          </w:p>
        </w:tc>
        <w:tc>
          <w:tcPr>
            <w:tcW w:w="547" w:type="pct"/>
            <w:gridSpan w:val="2"/>
            <w:vAlign w:val="center"/>
          </w:tcPr>
          <w:p w14:paraId="408DCF08">
            <w:pPr>
              <w:jc w:val="right"/>
              <w:rPr>
                <w:sz w:val="15"/>
                <w:szCs w:val="15"/>
              </w:rPr>
            </w:pPr>
          </w:p>
        </w:tc>
      </w:tr>
      <w:tr w14:paraId="038E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f11a5c1cf32e432cb3dba158baca32fc"/>
            <w:id w:val="271451696"/>
          </w:sdtPr>
          <w:sdtEndPr>
            <w:rPr>
              <w:sz w:val="15"/>
              <w:szCs w:val="15"/>
            </w:rPr>
          </w:sdtEndPr>
          <w:sdtContent>
            <w:tc>
              <w:tcPr>
                <w:tcW w:w="224" w:type="pct"/>
                <w:vAlign w:val="center"/>
              </w:tcPr>
              <w:p w14:paraId="31B81453">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2．本期使用</w:t>
                </w:r>
              </w:p>
            </w:tc>
          </w:sdtContent>
        </w:sdt>
        <w:tc>
          <w:tcPr>
            <w:tcW w:w="425" w:type="pct"/>
            <w:vAlign w:val="center"/>
          </w:tcPr>
          <w:p w14:paraId="1507D265">
            <w:pPr>
              <w:jc w:val="right"/>
              <w:rPr>
                <w:sz w:val="15"/>
                <w:szCs w:val="15"/>
              </w:rPr>
            </w:pPr>
          </w:p>
        </w:tc>
        <w:tc>
          <w:tcPr>
            <w:tcW w:w="123" w:type="pct"/>
            <w:vAlign w:val="center"/>
          </w:tcPr>
          <w:p w14:paraId="03686931">
            <w:pPr>
              <w:jc w:val="right"/>
              <w:rPr>
                <w:sz w:val="15"/>
                <w:szCs w:val="15"/>
              </w:rPr>
            </w:pPr>
          </w:p>
        </w:tc>
        <w:tc>
          <w:tcPr>
            <w:tcW w:w="123" w:type="pct"/>
            <w:vAlign w:val="center"/>
          </w:tcPr>
          <w:p w14:paraId="0A0227C3">
            <w:pPr>
              <w:jc w:val="right"/>
              <w:rPr>
                <w:sz w:val="15"/>
                <w:szCs w:val="15"/>
              </w:rPr>
            </w:pPr>
          </w:p>
        </w:tc>
        <w:tc>
          <w:tcPr>
            <w:tcW w:w="123" w:type="pct"/>
            <w:vAlign w:val="center"/>
          </w:tcPr>
          <w:p w14:paraId="4E8F0BCD">
            <w:pPr>
              <w:jc w:val="right"/>
              <w:rPr>
                <w:sz w:val="15"/>
                <w:szCs w:val="15"/>
              </w:rPr>
            </w:pPr>
          </w:p>
        </w:tc>
        <w:tc>
          <w:tcPr>
            <w:tcW w:w="425" w:type="pct"/>
            <w:vAlign w:val="center"/>
          </w:tcPr>
          <w:p w14:paraId="0D1BD7A1">
            <w:pPr>
              <w:jc w:val="right"/>
              <w:rPr>
                <w:sz w:val="15"/>
                <w:szCs w:val="15"/>
              </w:rPr>
            </w:pPr>
          </w:p>
        </w:tc>
        <w:tc>
          <w:tcPr>
            <w:tcW w:w="461" w:type="pct"/>
            <w:vAlign w:val="center"/>
          </w:tcPr>
          <w:p w14:paraId="583AAC87">
            <w:pPr>
              <w:jc w:val="right"/>
              <w:rPr>
                <w:sz w:val="15"/>
                <w:szCs w:val="15"/>
              </w:rPr>
            </w:pPr>
          </w:p>
        </w:tc>
        <w:tc>
          <w:tcPr>
            <w:tcW w:w="454" w:type="pct"/>
            <w:vAlign w:val="center"/>
          </w:tcPr>
          <w:p w14:paraId="1220F2EA">
            <w:pPr>
              <w:jc w:val="right"/>
              <w:rPr>
                <w:sz w:val="15"/>
                <w:szCs w:val="15"/>
              </w:rPr>
            </w:pPr>
          </w:p>
        </w:tc>
        <w:tc>
          <w:tcPr>
            <w:tcW w:w="123" w:type="pct"/>
            <w:vAlign w:val="center"/>
          </w:tcPr>
          <w:p w14:paraId="1FFADAC9">
            <w:pPr>
              <w:jc w:val="right"/>
              <w:rPr>
                <w:sz w:val="15"/>
                <w:szCs w:val="15"/>
              </w:rPr>
            </w:pPr>
          </w:p>
        </w:tc>
        <w:tc>
          <w:tcPr>
            <w:tcW w:w="388" w:type="pct"/>
            <w:vAlign w:val="center"/>
          </w:tcPr>
          <w:p w14:paraId="4A0D68E8">
            <w:pPr>
              <w:jc w:val="right"/>
              <w:rPr>
                <w:sz w:val="15"/>
                <w:szCs w:val="15"/>
              </w:rPr>
            </w:pPr>
          </w:p>
        </w:tc>
        <w:tc>
          <w:tcPr>
            <w:tcW w:w="123" w:type="pct"/>
            <w:vAlign w:val="center"/>
          </w:tcPr>
          <w:p w14:paraId="3DE4A4DB">
            <w:pPr>
              <w:jc w:val="right"/>
              <w:rPr>
                <w:sz w:val="15"/>
                <w:szCs w:val="15"/>
              </w:rPr>
            </w:pPr>
          </w:p>
        </w:tc>
        <w:tc>
          <w:tcPr>
            <w:tcW w:w="462" w:type="pct"/>
            <w:vAlign w:val="center"/>
          </w:tcPr>
          <w:p w14:paraId="202CE317">
            <w:pPr>
              <w:jc w:val="right"/>
              <w:rPr>
                <w:sz w:val="15"/>
                <w:szCs w:val="15"/>
              </w:rPr>
            </w:pPr>
          </w:p>
        </w:tc>
        <w:tc>
          <w:tcPr>
            <w:tcW w:w="123" w:type="pct"/>
            <w:vAlign w:val="center"/>
          </w:tcPr>
          <w:p w14:paraId="55F801C2">
            <w:pPr>
              <w:jc w:val="right"/>
              <w:rPr>
                <w:sz w:val="15"/>
                <w:szCs w:val="15"/>
              </w:rPr>
            </w:pPr>
          </w:p>
        </w:tc>
        <w:tc>
          <w:tcPr>
            <w:tcW w:w="451" w:type="pct"/>
            <w:vAlign w:val="center"/>
          </w:tcPr>
          <w:p w14:paraId="476CD40D">
            <w:pPr>
              <w:jc w:val="right"/>
              <w:rPr>
                <w:sz w:val="15"/>
                <w:szCs w:val="15"/>
              </w:rPr>
            </w:pPr>
          </w:p>
        </w:tc>
        <w:tc>
          <w:tcPr>
            <w:tcW w:w="426" w:type="pct"/>
            <w:gridSpan w:val="2"/>
            <w:vAlign w:val="center"/>
          </w:tcPr>
          <w:p w14:paraId="407A9AF9">
            <w:pPr>
              <w:jc w:val="right"/>
              <w:rPr>
                <w:sz w:val="15"/>
                <w:szCs w:val="15"/>
              </w:rPr>
            </w:pPr>
          </w:p>
        </w:tc>
        <w:tc>
          <w:tcPr>
            <w:tcW w:w="547" w:type="pct"/>
            <w:gridSpan w:val="2"/>
            <w:vAlign w:val="center"/>
          </w:tcPr>
          <w:p w14:paraId="1100B9A2">
            <w:pPr>
              <w:jc w:val="right"/>
              <w:rPr>
                <w:sz w:val="15"/>
                <w:szCs w:val="15"/>
              </w:rPr>
            </w:pPr>
          </w:p>
        </w:tc>
      </w:tr>
      <w:tr w14:paraId="5240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749e92980f334c9cae023bb1dba136fc"/>
            <w:id w:val="-1764677560"/>
          </w:sdtPr>
          <w:sdtEndPr>
            <w:rPr>
              <w:sz w:val="15"/>
              <w:szCs w:val="15"/>
            </w:rPr>
          </w:sdtEndPr>
          <w:sdtContent>
            <w:tc>
              <w:tcPr>
                <w:tcW w:w="224" w:type="pct"/>
                <w:vAlign w:val="center"/>
              </w:tcPr>
              <w:p w14:paraId="57203200">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（六）其他</w:t>
                </w:r>
              </w:p>
            </w:tc>
          </w:sdtContent>
        </w:sdt>
        <w:tc>
          <w:tcPr>
            <w:tcW w:w="425" w:type="pct"/>
            <w:vAlign w:val="center"/>
          </w:tcPr>
          <w:p w14:paraId="3381D997">
            <w:pPr>
              <w:jc w:val="right"/>
              <w:rPr>
                <w:sz w:val="15"/>
                <w:szCs w:val="15"/>
              </w:rPr>
            </w:pPr>
          </w:p>
        </w:tc>
        <w:tc>
          <w:tcPr>
            <w:tcW w:w="123" w:type="pct"/>
            <w:vAlign w:val="center"/>
          </w:tcPr>
          <w:p w14:paraId="4DC949B1">
            <w:pPr>
              <w:jc w:val="right"/>
              <w:rPr>
                <w:sz w:val="15"/>
                <w:szCs w:val="15"/>
              </w:rPr>
            </w:pPr>
          </w:p>
        </w:tc>
        <w:tc>
          <w:tcPr>
            <w:tcW w:w="123" w:type="pct"/>
            <w:vAlign w:val="center"/>
          </w:tcPr>
          <w:p w14:paraId="6DC7FC79">
            <w:pPr>
              <w:jc w:val="right"/>
              <w:rPr>
                <w:sz w:val="15"/>
                <w:szCs w:val="15"/>
              </w:rPr>
            </w:pPr>
          </w:p>
        </w:tc>
        <w:tc>
          <w:tcPr>
            <w:tcW w:w="123" w:type="pct"/>
            <w:vAlign w:val="center"/>
          </w:tcPr>
          <w:p w14:paraId="5667ECD7">
            <w:pPr>
              <w:jc w:val="right"/>
              <w:rPr>
                <w:sz w:val="15"/>
                <w:szCs w:val="15"/>
              </w:rPr>
            </w:pPr>
          </w:p>
        </w:tc>
        <w:tc>
          <w:tcPr>
            <w:tcW w:w="425" w:type="pct"/>
            <w:vAlign w:val="center"/>
          </w:tcPr>
          <w:p w14:paraId="380602E7">
            <w:pPr>
              <w:jc w:val="right"/>
              <w:rPr>
                <w:sz w:val="15"/>
                <w:szCs w:val="15"/>
              </w:rPr>
            </w:pPr>
          </w:p>
        </w:tc>
        <w:tc>
          <w:tcPr>
            <w:tcW w:w="461" w:type="pct"/>
            <w:vAlign w:val="center"/>
          </w:tcPr>
          <w:p w14:paraId="596C53DB">
            <w:pPr>
              <w:jc w:val="right"/>
              <w:rPr>
                <w:sz w:val="15"/>
                <w:szCs w:val="15"/>
              </w:rPr>
            </w:pPr>
          </w:p>
        </w:tc>
        <w:tc>
          <w:tcPr>
            <w:tcW w:w="454" w:type="pct"/>
            <w:vAlign w:val="center"/>
          </w:tcPr>
          <w:p w14:paraId="268FD598">
            <w:pPr>
              <w:jc w:val="right"/>
              <w:rPr>
                <w:sz w:val="15"/>
                <w:szCs w:val="15"/>
              </w:rPr>
            </w:pPr>
          </w:p>
        </w:tc>
        <w:tc>
          <w:tcPr>
            <w:tcW w:w="123" w:type="pct"/>
            <w:vAlign w:val="center"/>
          </w:tcPr>
          <w:p w14:paraId="3A2DE7BE">
            <w:pPr>
              <w:jc w:val="right"/>
              <w:rPr>
                <w:sz w:val="15"/>
                <w:szCs w:val="15"/>
              </w:rPr>
            </w:pPr>
          </w:p>
        </w:tc>
        <w:tc>
          <w:tcPr>
            <w:tcW w:w="388" w:type="pct"/>
            <w:vAlign w:val="center"/>
          </w:tcPr>
          <w:p w14:paraId="70B825AD">
            <w:pPr>
              <w:jc w:val="right"/>
              <w:rPr>
                <w:sz w:val="15"/>
                <w:szCs w:val="15"/>
              </w:rPr>
            </w:pPr>
          </w:p>
        </w:tc>
        <w:tc>
          <w:tcPr>
            <w:tcW w:w="123" w:type="pct"/>
            <w:vAlign w:val="center"/>
          </w:tcPr>
          <w:p w14:paraId="2BDC786F">
            <w:pPr>
              <w:jc w:val="right"/>
              <w:rPr>
                <w:sz w:val="15"/>
                <w:szCs w:val="15"/>
              </w:rPr>
            </w:pPr>
          </w:p>
        </w:tc>
        <w:tc>
          <w:tcPr>
            <w:tcW w:w="462" w:type="pct"/>
            <w:vAlign w:val="center"/>
          </w:tcPr>
          <w:p w14:paraId="46EF7485">
            <w:pPr>
              <w:jc w:val="right"/>
              <w:rPr>
                <w:sz w:val="15"/>
                <w:szCs w:val="15"/>
              </w:rPr>
            </w:pPr>
          </w:p>
        </w:tc>
        <w:tc>
          <w:tcPr>
            <w:tcW w:w="123" w:type="pct"/>
            <w:vAlign w:val="center"/>
          </w:tcPr>
          <w:p w14:paraId="28FD1911">
            <w:pPr>
              <w:jc w:val="right"/>
              <w:rPr>
                <w:sz w:val="15"/>
                <w:szCs w:val="15"/>
              </w:rPr>
            </w:pPr>
          </w:p>
        </w:tc>
        <w:tc>
          <w:tcPr>
            <w:tcW w:w="451" w:type="pct"/>
            <w:vAlign w:val="center"/>
          </w:tcPr>
          <w:p w14:paraId="4D667B61">
            <w:pPr>
              <w:jc w:val="right"/>
              <w:rPr>
                <w:sz w:val="15"/>
                <w:szCs w:val="15"/>
              </w:rPr>
            </w:pPr>
          </w:p>
        </w:tc>
        <w:tc>
          <w:tcPr>
            <w:tcW w:w="426" w:type="pct"/>
            <w:gridSpan w:val="2"/>
            <w:vAlign w:val="center"/>
          </w:tcPr>
          <w:p w14:paraId="670040B0">
            <w:pPr>
              <w:jc w:val="right"/>
              <w:rPr>
                <w:sz w:val="15"/>
                <w:szCs w:val="15"/>
              </w:rPr>
            </w:pPr>
          </w:p>
        </w:tc>
        <w:tc>
          <w:tcPr>
            <w:tcW w:w="547" w:type="pct"/>
            <w:gridSpan w:val="2"/>
            <w:vAlign w:val="center"/>
          </w:tcPr>
          <w:p w14:paraId="3E72D3FD">
            <w:pPr>
              <w:jc w:val="right"/>
              <w:rPr>
                <w:sz w:val="15"/>
                <w:szCs w:val="15"/>
              </w:rPr>
            </w:pPr>
          </w:p>
        </w:tc>
      </w:tr>
      <w:tr w14:paraId="0A7B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e9c8435b637745858c6ad855ad7bbea0"/>
            <w:id w:val="-1343464625"/>
          </w:sdtPr>
          <w:sdtEndPr>
            <w:rPr>
              <w:sz w:val="15"/>
              <w:szCs w:val="15"/>
            </w:rPr>
          </w:sdtEndPr>
          <w:sdtContent>
            <w:tc>
              <w:tcPr>
                <w:tcW w:w="224" w:type="pct"/>
                <w:vAlign w:val="center"/>
              </w:tcPr>
              <w:p w14:paraId="23355D29">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四、本期期末余额</w:t>
                </w:r>
              </w:p>
            </w:tc>
          </w:sdtContent>
        </w:sdt>
        <w:tc>
          <w:tcPr>
            <w:tcW w:w="425" w:type="pct"/>
            <w:vAlign w:val="center"/>
          </w:tcPr>
          <w:p w14:paraId="0C2DEE16">
            <w:pPr>
              <w:jc w:val="right"/>
              <w:rPr>
                <w:sz w:val="15"/>
                <w:szCs w:val="15"/>
              </w:rPr>
            </w:pPr>
            <w:r>
              <w:rPr>
                <w:sz w:val="15"/>
                <w:szCs w:val="15"/>
              </w:rPr>
              <w:t>4,521,100,071.00</w:t>
            </w:r>
          </w:p>
        </w:tc>
        <w:tc>
          <w:tcPr>
            <w:tcW w:w="123" w:type="pct"/>
            <w:vAlign w:val="center"/>
          </w:tcPr>
          <w:p w14:paraId="4D5A775B">
            <w:pPr>
              <w:jc w:val="right"/>
              <w:rPr>
                <w:sz w:val="15"/>
                <w:szCs w:val="15"/>
              </w:rPr>
            </w:pPr>
          </w:p>
        </w:tc>
        <w:tc>
          <w:tcPr>
            <w:tcW w:w="123" w:type="pct"/>
            <w:vAlign w:val="center"/>
          </w:tcPr>
          <w:p w14:paraId="6F664F39">
            <w:pPr>
              <w:jc w:val="right"/>
              <w:rPr>
                <w:rFonts w:eastAsia="Times New Roman" w:cs="Times New Roman"/>
                <w:sz w:val="15"/>
                <w:szCs w:val="15"/>
              </w:rPr>
            </w:pPr>
          </w:p>
        </w:tc>
        <w:tc>
          <w:tcPr>
            <w:tcW w:w="123" w:type="pct"/>
            <w:vAlign w:val="center"/>
          </w:tcPr>
          <w:p w14:paraId="17262FB8">
            <w:pPr>
              <w:jc w:val="right"/>
              <w:rPr>
                <w:rFonts w:eastAsia="Times New Roman" w:cs="Times New Roman"/>
                <w:sz w:val="15"/>
                <w:szCs w:val="15"/>
              </w:rPr>
            </w:pPr>
          </w:p>
        </w:tc>
        <w:tc>
          <w:tcPr>
            <w:tcW w:w="425" w:type="pct"/>
            <w:vAlign w:val="center"/>
          </w:tcPr>
          <w:p w14:paraId="28D20DC9">
            <w:pPr>
              <w:jc w:val="right"/>
              <w:rPr>
                <w:rFonts w:ascii="宋体" w:hAnsi="宋体"/>
                <w:sz w:val="15"/>
                <w:szCs w:val="15"/>
              </w:rPr>
            </w:pPr>
            <w:r>
              <w:rPr>
                <w:sz w:val="15"/>
                <w:szCs w:val="15"/>
              </w:rPr>
              <w:t>8,657,407,739.73</w:t>
            </w:r>
          </w:p>
        </w:tc>
        <w:tc>
          <w:tcPr>
            <w:tcW w:w="461" w:type="pct"/>
            <w:vAlign w:val="center"/>
          </w:tcPr>
          <w:p w14:paraId="342E0A2B">
            <w:pPr>
              <w:jc w:val="right"/>
              <w:rPr>
                <w:sz w:val="15"/>
                <w:szCs w:val="15"/>
              </w:rPr>
            </w:pPr>
            <w:r>
              <w:rPr>
                <w:sz w:val="15"/>
                <w:szCs w:val="15"/>
              </w:rPr>
              <w:t>129,608,598.00</w:t>
            </w:r>
          </w:p>
        </w:tc>
        <w:tc>
          <w:tcPr>
            <w:tcW w:w="454" w:type="pct"/>
            <w:vAlign w:val="center"/>
          </w:tcPr>
          <w:p w14:paraId="0536CC93">
            <w:pPr>
              <w:jc w:val="right"/>
              <w:rPr>
                <w:sz w:val="15"/>
                <w:szCs w:val="15"/>
              </w:rPr>
            </w:pPr>
            <w:r>
              <w:rPr>
                <w:sz w:val="15"/>
                <w:szCs w:val="15"/>
              </w:rPr>
              <w:t>-191,704,257.16</w:t>
            </w:r>
          </w:p>
        </w:tc>
        <w:tc>
          <w:tcPr>
            <w:tcW w:w="123" w:type="pct"/>
            <w:vAlign w:val="center"/>
          </w:tcPr>
          <w:p w14:paraId="491C31DA">
            <w:pPr>
              <w:jc w:val="right"/>
              <w:rPr>
                <w:sz w:val="15"/>
                <w:szCs w:val="15"/>
              </w:rPr>
            </w:pPr>
          </w:p>
        </w:tc>
        <w:tc>
          <w:tcPr>
            <w:tcW w:w="388" w:type="pct"/>
            <w:vAlign w:val="center"/>
          </w:tcPr>
          <w:p w14:paraId="1ED998B4">
            <w:pPr>
              <w:jc w:val="right"/>
              <w:rPr>
                <w:rFonts w:ascii="宋体" w:hAnsi="宋体"/>
                <w:sz w:val="15"/>
                <w:szCs w:val="15"/>
              </w:rPr>
            </w:pPr>
            <w:r>
              <w:rPr>
                <w:sz w:val="15"/>
                <w:szCs w:val="15"/>
              </w:rPr>
              <w:t>426,993,753.64</w:t>
            </w:r>
          </w:p>
        </w:tc>
        <w:tc>
          <w:tcPr>
            <w:tcW w:w="123" w:type="pct"/>
            <w:vAlign w:val="center"/>
          </w:tcPr>
          <w:p w14:paraId="512DD4E6">
            <w:pPr>
              <w:jc w:val="right"/>
              <w:rPr>
                <w:sz w:val="15"/>
                <w:szCs w:val="15"/>
              </w:rPr>
            </w:pPr>
          </w:p>
        </w:tc>
        <w:tc>
          <w:tcPr>
            <w:tcW w:w="462" w:type="pct"/>
            <w:vAlign w:val="center"/>
          </w:tcPr>
          <w:p w14:paraId="05D1BAB6">
            <w:pPr>
              <w:jc w:val="right"/>
              <w:rPr>
                <w:rFonts w:ascii="宋体" w:hAnsi="宋体"/>
                <w:sz w:val="15"/>
                <w:szCs w:val="15"/>
              </w:rPr>
            </w:pPr>
            <w:r>
              <w:rPr>
                <w:sz w:val="15"/>
                <w:szCs w:val="15"/>
              </w:rPr>
              <w:t>-2,800,894,685.69</w:t>
            </w:r>
          </w:p>
        </w:tc>
        <w:tc>
          <w:tcPr>
            <w:tcW w:w="123" w:type="pct"/>
            <w:vAlign w:val="center"/>
          </w:tcPr>
          <w:p w14:paraId="77C85EA4">
            <w:pPr>
              <w:jc w:val="right"/>
              <w:rPr>
                <w:sz w:val="15"/>
                <w:szCs w:val="15"/>
              </w:rPr>
            </w:pPr>
          </w:p>
        </w:tc>
        <w:tc>
          <w:tcPr>
            <w:tcW w:w="451" w:type="pct"/>
            <w:vAlign w:val="center"/>
          </w:tcPr>
          <w:p w14:paraId="15730AE4">
            <w:pPr>
              <w:jc w:val="right"/>
              <w:rPr>
                <w:rFonts w:ascii="宋体" w:hAnsi="宋体"/>
                <w:sz w:val="15"/>
                <w:szCs w:val="15"/>
              </w:rPr>
            </w:pPr>
            <w:r>
              <w:rPr>
                <w:sz w:val="15"/>
                <w:szCs w:val="15"/>
              </w:rPr>
              <w:t>10,483,294,023.52</w:t>
            </w:r>
          </w:p>
        </w:tc>
        <w:tc>
          <w:tcPr>
            <w:tcW w:w="426" w:type="pct"/>
            <w:gridSpan w:val="2"/>
            <w:vAlign w:val="center"/>
          </w:tcPr>
          <w:p w14:paraId="21250969">
            <w:pPr>
              <w:jc w:val="right"/>
              <w:rPr>
                <w:sz w:val="15"/>
                <w:szCs w:val="15"/>
              </w:rPr>
            </w:pPr>
            <w:r>
              <w:rPr>
                <w:sz w:val="15"/>
                <w:szCs w:val="15"/>
              </w:rPr>
              <w:t>1,388,152,487.86</w:t>
            </w:r>
          </w:p>
        </w:tc>
        <w:tc>
          <w:tcPr>
            <w:tcW w:w="547" w:type="pct"/>
            <w:gridSpan w:val="2"/>
            <w:vAlign w:val="center"/>
          </w:tcPr>
          <w:p w14:paraId="019CDA86">
            <w:pPr>
              <w:jc w:val="right"/>
              <w:rPr>
                <w:sz w:val="15"/>
                <w:szCs w:val="15"/>
              </w:rPr>
            </w:pPr>
            <w:r>
              <w:rPr>
                <w:sz w:val="15"/>
                <w:szCs w:val="15"/>
              </w:rPr>
              <w:t>11,871,446,511.38</w:t>
            </w:r>
          </w:p>
        </w:tc>
      </w:tr>
    </w:tbl>
    <w:p w14:paraId="3EDD9D31">
      <w:pPr>
        <w:rPr>
          <w:color w:val="000000" w:themeColor="text1"/>
          <w14:textFill>
            <w14:solidFill>
              <w14:schemeClr w14:val="tx1"/>
            </w14:solidFill>
          </w14:textFill>
        </w:rPr>
      </w:pPr>
    </w:p>
    <w:p w14:paraId="687E28F9">
      <w:pPr>
        <w:snapToGrid w:val="0"/>
        <w:spacing w:line="240" w:lineRule="atLeast"/>
        <w:rPr>
          <w:b/>
          <w:bCs/>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076a4a0998a840bab20f0ed83e5bab3d"/>
          <w:id w:val="858012254"/>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印奇</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5b21002df9e248fa81a6770579ce76cd"/>
          <w:id w:val="1784302232"/>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黄强</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6a446d6543174dc48c72d440eefb0b71"/>
          <w:id w:val="-154761311"/>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徐衬</w:t>
          </w:r>
        </w:sdtContent>
      </w:sdt>
    </w:p>
    <w:p w14:paraId="1ECC8025">
      <w:pPr>
        <w:rPr>
          <w:color w:val="000000" w:themeColor="text1"/>
          <w14:textFill>
            <w14:solidFill>
              <w14:schemeClr w14:val="tx1"/>
            </w14:solidFill>
          </w14:textFill>
        </w:rPr>
      </w:pPr>
    </w:p>
    <w:p w14:paraId="68930725">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0764B587">
      <w:pPr>
        <w:rPr>
          <w:color w:val="000000" w:themeColor="text1"/>
          <w14:textFill>
            <w14:solidFill>
              <w14:schemeClr w14:val="tx1"/>
            </w14:solidFill>
          </w14:textFill>
        </w:rPr>
      </w:pPr>
    </w:p>
    <w:p w14:paraId="5820C97C">
      <w:pPr>
        <w:pStyle w:val="4"/>
        <w:jc w:val="cente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母公司</w:t>
      </w:r>
      <w:r>
        <w:rPr>
          <w:rFonts w:hint="eastAsia" w:ascii="宋体" w:hAnsi="宋体"/>
          <w:color w:val="000000" w:themeColor="text1"/>
          <w14:textFill>
            <w14:solidFill>
              <w14:schemeClr w14:val="tx1"/>
            </w14:solidFill>
          </w14:textFill>
        </w:rPr>
        <w:t>所有者权益变动表</w:t>
      </w:r>
    </w:p>
    <w:p w14:paraId="0A59B453">
      <w:pPr>
        <w:tabs>
          <w:tab w:val="left" w:pos="10080"/>
        </w:tabs>
        <w:snapToGrid w:val="0"/>
        <w:spacing w:line="240" w:lineRule="atLeast"/>
        <w:ind w:right="25" w:rightChars="12"/>
        <w:jc w:val="center"/>
        <w:rPr>
          <w:b/>
          <w:bCs/>
          <w:color w:val="000000" w:themeColor="text1"/>
          <w14:textFill>
            <w14:solidFill>
              <w14:schemeClr w14:val="tx1"/>
            </w14:solidFill>
          </w14:textFill>
        </w:rPr>
      </w:pPr>
      <w:r>
        <w:rPr>
          <w:color w:val="000000" w:themeColor="text1"/>
          <w14:textFill>
            <w14:solidFill>
              <w14:schemeClr w14:val="tx1"/>
            </w14:solidFill>
          </w14:textFill>
        </w:rPr>
        <w:t>2025年</w:t>
      </w:r>
      <w:r>
        <w:rPr>
          <w:rFonts w:hint="eastAsia"/>
          <w:color w:val="000000" w:themeColor="text1"/>
          <w14:textFill>
            <w14:solidFill>
              <w14:schemeClr w14:val="tx1"/>
            </w14:solidFill>
          </w14:textFill>
        </w:rPr>
        <w:t>1—6</w:t>
      </w:r>
      <w:r>
        <w:rPr>
          <w:color w:val="000000" w:themeColor="text1"/>
          <w14:textFill>
            <w14:solidFill>
              <w14:schemeClr w14:val="tx1"/>
            </w14:solidFill>
          </w14:textFill>
        </w:rPr>
        <w:t>月</w:t>
      </w:r>
    </w:p>
    <w:p w14:paraId="55AFE4C8">
      <w:pPr>
        <w:snapToGrid w:val="0"/>
        <w:spacing w:line="240" w:lineRule="atLeast"/>
        <w:jc w:val="right"/>
        <w:rPr>
          <w:color w:val="000000" w:themeColor="text1"/>
          <w14:textFill>
            <w14:solidFill>
              <w14:schemeClr w14:val="tx1"/>
            </w14:solidFill>
          </w14:textFill>
        </w:rPr>
      </w:pPr>
      <w:r>
        <w:rPr>
          <w:color w:val="000000" w:themeColor="text1"/>
          <w14:textFill>
            <w14:solidFill>
              <w14:schemeClr w14:val="tx1"/>
            </w14:solidFill>
          </w14:textFill>
        </w:rPr>
        <w:t>单位：</w:t>
      </w:r>
      <w:sdt>
        <w:sdtPr>
          <w:rPr>
            <w:color w:val="000000" w:themeColor="text1"/>
            <w14:textFill>
              <w14:solidFill>
                <w14:schemeClr w14:val="tx1"/>
              </w14:solidFill>
            </w14:textFill>
          </w:rPr>
          <w:alias w:val="单位：母公司股东权益调节表"/>
          <w:tag w:val="_GBC_048773409e614c6bb753000b028316a5"/>
          <w:id w:val="-19313523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母公司股东权益调节表"/>
          <w:tag w:val="_GBC_5214b7a188334da286fc3038d017d072"/>
          <w:id w:val="-19638055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140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2"/>
        <w:gridCol w:w="1273"/>
        <w:gridCol w:w="424"/>
        <w:gridCol w:w="429"/>
        <w:gridCol w:w="426"/>
        <w:gridCol w:w="1317"/>
        <w:gridCol w:w="1417"/>
        <w:gridCol w:w="1134"/>
        <w:gridCol w:w="1036"/>
        <w:gridCol w:w="1232"/>
        <w:gridCol w:w="1276"/>
        <w:gridCol w:w="1491"/>
      </w:tblGrid>
      <w:tr w14:paraId="715BA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e16babcb874e4410be91226aac3d24db"/>
            <w:id w:val="-588544104"/>
          </w:sdtPr>
          <w:sdtEndPr>
            <w:rPr>
              <w:sz w:val="15"/>
              <w:szCs w:val="15"/>
            </w:rPr>
          </w:sdtEndPr>
          <w:sdtContent>
            <w:tc>
              <w:tcPr>
                <w:tcW w:w="2552" w:type="dxa"/>
                <w:vMerge w:val="restart"/>
                <w:vAlign w:val="center"/>
              </w:tcPr>
              <w:p w14:paraId="31D47165">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项目</w:t>
                </w:r>
              </w:p>
            </w:tc>
          </w:sdtContent>
        </w:sdt>
        <w:tc>
          <w:tcPr>
            <w:tcW w:w="11455" w:type="dxa"/>
            <w:gridSpan w:val="11"/>
            <w:vAlign w:val="center"/>
          </w:tcPr>
          <w:p w14:paraId="1DF4A5F5">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w:t>
            </w:r>
            <w:sdt>
              <w:sdtPr>
                <w:rPr>
                  <w:sz w:val="15"/>
                  <w:szCs w:val="15"/>
                </w:rPr>
                <w:tag w:val="_PLD_f6e21c3ce66d4e148eea3bf743a653b8"/>
                <w:id w:val="579100808"/>
              </w:sdtPr>
              <w:sdtEndPr>
                <w:rPr>
                  <w:sz w:val="15"/>
                  <w:szCs w:val="15"/>
                </w:rPr>
              </w:sdtEndPr>
              <w:sdtContent>
                <w:r>
                  <w:rPr>
                    <w:rFonts w:hint="eastAsia"/>
                    <w:color w:val="000000" w:themeColor="text1"/>
                    <w:sz w:val="15"/>
                    <w:szCs w:val="15"/>
                    <w14:textFill>
                      <w14:solidFill>
                        <w14:schemeClr w14:val="tx1"/>
                      </w14:solidFill>
                    </w14:textFill>
                  </w:rPr>
                  <w:t>2025年半年度</w:t>
                </w:r>
              </w:sdtContent>
            </w:sdt>
          </w:p>
        </w:tc>
      </w:tr>
      <w:tr w14:paraId="707D7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552" w:type="dxa"/>
            <w:vMerge w:val="continue"/>
            <w:vAlign w:val="center"/>
          </w:tcPr>
          <w:p w14:paraId="0F2BB25D">
            <w:pPr>
              <w:adjustRightInd w:val="0"/>
              <w:snapToGrid w:val="0"/>
              <w:rPr>
                <w:color w:val="000000" w:themeColor="text1"/>
                <w:sz w:val="15"/>
                <w:szCs w:val="15"/>
                <w14:textFill>
                  <w14:solidFill>
                    <w14:schemeClr w14:val="tx1"/>
                  </w14:solidFill>
                </w14:textFill>
              </w:rPr>
            </w:pPr>
          </w:p>
        </w:tc>
        <w:sdt>
          <w:sdtPr>
            <w:rPr>
              <w:sz w:val="15"/>
              <w:szCs w:val="15"/>
            </w:rPr>
            <w:tag w:val="_PLD_0b6e9703ed65458cb162afd47e6cc9f5"/>
            <w:id w:val="-1440675755"/>
          </w:sdtPr>
          <w:sdtEndPr>
            <w:rPr>
              <w:sz w:val="15"/>
              <w:szCs w:val="15"/>
            </w:rPr>
          </w:sdtEndPr>
          <w:sdtContent>
            <w:tc>
              <w:tcPr>
                <w:tcW w:w="1273" w:type="dxa"/>
                <w:vMerge w:val="restart"/>
                <w:tcBorders>
                  <w:right w:val="single" w:color="auto" w:sz="4" w:space="0"/>
                </w:tcBorders>
                <w:vAlign w:val="center"/>
              </w:tcPr>
              <w:p w14:paraId="640D006A">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实收资本</w:t>
                </w:r>
                <w:r>
                  <w:rPr>
                    <w:color w:val="000000" w:themeColor="text1"/>
                    <w:sz w:val="15"/>
                    <w:szCs w:val="15"/>
                    <w14:textFill>
                      <w14:solidFill>
                        <w14:schemeClr w14:val="tx1"/>
                      </w14:solidFill>
                    </w14:textFill>
                  </w:rPr>
                  <w:t xml:space="preserve"> (或股本)</w:t>
                </w:r>
              </w:p>
            </w:tc>
          </w:sdtContent>
        </w:sdt>
        <w:sdt>
          <w:sdtPr>
            <w:rPr>
              <w:sz w:val="15"/>
              <w:szCs w:val="15"/>
            </w:rPr>
            <w:tag w:val="_PLD_385a3413585444238bb59d181b958311"/>
            <w:id w:val="-497657528"/>
          </w:sdtPr>
          <w:sdtEndPr>
            <w:rPr>
              <w:sz w:val="15"/>
              <w:szCs w:val="15"/>
            </w:rPr>
          </w:sdtEndPr>
          <w:sdtContent>
            <w:tc>
              <w:tcPr>
                <w:tcW w:w="1279" w:type="dxa"/>
                <w:gridSpan w:val="3"/>
                <w:tcBorders>
                  <w:left w:val="single" w:color="auto" w:sz="4" w:space="0"/>
                  <w:bottom w:val="single" w:color="auto" w:sz="4" w:space="0"/>
                </w:tcBorders>
                <w:vAlign w:val="center"/>
              </w:tcPr>
              <w:p w14:paraId="767DBD44">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其他权益工具</w:t>
                </w:r>
              </w:p>
            </w:tc>
          </w:sdtContent>
        </w:sdt>
        <w:sdt>
          <w:sdtPr>
            <w:rPr>
              <w:sz w:val="15"/>
              <w:szCs w:val="15"/>
            </w:rPr>
            <w:tag w:val="_PLD_670488de432c4150880353e82f6ebb21"/>
            <w:id w:val="1732656438"/>
          </w:sdtPr>
          <w:sdtEndPr>
            <w:rPr>
              <w:sz w:val="15"/>
              <w:szCs w:val="15"/>
            </w:rPr>
          </w:sdtEndPr>
          <w:sdtContent>
            <w:tc>
              <w:tcPr>
                <w:tcW w:w="1317" w:type="dxa"/>
                <w:vAlign w:val="center"/>
              </w:tcPr>
              <w:p w14:paraId="271343C0">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资本公积</w:t>
                </w:r>
              </w:p>
            </w:tc>
          </w:sdtContent>
        </w:sdt>
        <w:sdt>
          <w:sdtPr>
            <w:rPr>
              <w:sz w:val="15"/>
              <w:szCs w:val="15"/>
            </w:rPr>
            <w:tag w:val="_PLD_c1c25c4e521b4e8aba5ccfef16a558c5"/>
            <w:id w:val="-1945996301"/>
          </w:sdtPr>
          <w:sdtEndPr>
            <w:rPr>
              <w:sz w:val="15"/>
              <w:szCs w:val="15"/>
            </w:rPr>
          </w:sdtEndPr>
          <w:sdtContent>
            <w:tc>
              <w:tcPr>
                <w:tcW w:w="1417" w:type="dxa"/>
                <w:vAlign w:val="center"/>
              </w:tcPr>
              <w:p w14:paraId="5AE9A985">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减：库存股</w:t>
                </w:r>
              </w:p>
            </w:tc>
          </w:sdtContent>
        </w:sdt>
        <w:sdt>
          <w:sdtPr>
            <w:rPr>
              <w:sz w:val="15"/>
              <w:szCs w:val="15"/>
            </w:rPr>
            <w:tag w:val="_PLD_4ef83c170ca54a08ac6fcebc6a487dcd"/>
            <w:id w:val="-1852023931"/>
          </w:sdtPr>
          <w:sdtEndPr>
            <w:rPr>
              <w:sz w:val="15"/>
              <w:szCs w:val="15"/>
            </w:rPr>
          </w:sdtEndPr>
          <w:sdtContent>
            <w:tc>
              <w:tcPr>
                <w:tcW w:w="1134" w:type="dxa"/>
                <w:vAlign w:val="center"/>
              </w:tcPr>
              <w:p w14:paraId="78471539">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其他综合收益</w:t>
                </w:r>
              </w:p>
            </w:tc>
          </w:sdtContent>
        </w:sdt>
        <w:sdt>
          <w:sdtPr>
            <w:rPr>
              <w:sz w:val="15"/>
              <w:szCs w:val="15"/>
            </w:rPr>
            <w:tag w:val="_PLD_5a42f2a835d44138928915520fc5e902"/>
            <w:id w:val="1134286743"/>
          </w:sdtPr>
          <w:sdtEndPr>
            <w:rPr>
              <w:sz w:val="15"/>
              <w:szCs w:val="15"/>
            </w:rPr>
          </w:sdtEndPr>
          <w:sdtContent>
            <w:tc>
              <w:tcPr>
                <w:tcW w:w="1036" w:type="dxa"/>
                <w:vAlign w:val="center"/>
              </w:tcPr>
              <w:p w14:paraId="4E2B67AA">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专项储备</w:t>
                </w:r>
              </w:p>
            </w:tc>
          </w:sdtContent>
        </w:sdt>
        <w:sdt>
          <w:sdtPr>
            <w:rPr>
              <w:sz w:val="15"/>
              <w:szCs w:val="15"/>
            </w:rPr>
            <w:tag w:val="_PLD_dbef0e1514f54b8ab8b43e975d3451b6"/>
            <w:id w:val="712465195"/>
          </w:sdtPr>
          <w:sdtEndPr>
            <w:rPr>
              <w:sz w:val="15"/>
              <w:szCs w:val="15"/>
            </w:rPr>
          </w:sdtEndPr>
          <w:sdtContent>
            <w:tc>
              <w:tcPr>
                <w:tcW w:w="1232" w:type="dxa"/>
                <w:vAlign w:val="center"/>
              </w:tcPr>
              <w:p w14:paraId="2550C884">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盈余公积</w:t>
                </w:r>
              </w:p>
            </w:tc>
          </w:sdtContent>
        </w:sdt>
        <w:sdt>
          <w:sdtPr>
            <w:rPr>
              <w:sz w:val="15"/>
              <w:szCs w:val="15"/>
            </w:rPr>
            <w:tag w:val="_PLD_63b6c2969ec64e7abb1802f027c1069a"/>
            <w:id w:val="-357049675"/>
          </w:sdtPr>
          <w:sdtEndPr>
            <w:rPr>
              <w:sz w:val="15"/>
              <w:szCs w:val="15"/>
            </w:rPr>
          </w:sdtEndPr>
          <w:sdtContent>
            <w:tc>
              <w:tcPr>
                <w:tcW w:w="1276" w:type="dxa"/>
                <w:vAlign w:val="center"/>
              </w:tcPr>
              <w:p w14:paraId="1D3D9C09">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未分配利润</w:t>
                </w:r>
              </w:p>
            </w:tc>
          </w:sdtContent>
        </w:sdt>
        <w:sdt>
          <w:sdtPr>
            <w:rPr>
              <w:sz w:val="15"/>
              <w:szCs w:val="15"/>
            </w:rPr>
            <w:tag w:val="_PLD_cdd38492b3a84e28b52c6700432babfd"/>
            <w:id w:val="-1344547441"/>
          </w:sdtPr>
          <w:sdtEndPr>
            <w:rPr>
              <w:sz w:val="15"/>
              <w:szCs w:val="15"/>
            </w:rPr>
          </w:sdtEndPr>
          <w:sdtContent>
            <w:tc>
              <w:tcPr>
                <w:tcW w:w="1491" w:type="dxa"/>
                <w:vAlign w:val="center"/>
              </w:tcPr>
              <w:p w14:paraId="5ED004FD">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所有者权益合计</w:t>
                </w:r>
              </w:p>
            </w:tc>
          </w:sdtContent>
        </w:sdt>
      </w:tr>
      <w:tr w14:paraId="78C2C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552" w:type="dxa"/>
            <w:vMerge w:val="continue"/>
            <w:vAlign w:val="center"/>
          </w:tcPr>
          <w:p w14:paraId="253144FD">
            <w:pPr>
              <w:adjustRightInd w:val="0"/>
              <w:snapToGrid w:val="0"/>
              <w:rPr>
                <w:color w:val="000000" w:themeColor="text1"/>
                <w:sz w:val="15"/>
                <w:szCs w:val="15"/>
                <w14:textFill>
                  <w14:solidFill>
                    <w14:schemeClr w14:val="tx1"/>
                  </w14:solidFill>
                </w14:textFill>
              </w:rPr>
            </w:pPr>
          </w:p>
        </w:tc>
        <w:tc>
          <w:tcPr>
            <w:tcW w:w="1273" w:type="dxa"/>
            <w:vMerge w:val="continue"/>
            <w:tcBorders>
              <w:right w:val="single" w:color="auto" w:sz="4" w:space="0"/>
            </w:tcBorders>
            <w:vAlign w:val="center"/>
          </w:tcPr>
          <w:p w14:paraId="09C8B782">
            <w:pPr>
              <w:adjustRightInd w:val="0"/>
              <w:snapToGrid w:val="0"/>
              <w:jc w:val="center"/>
              <w:rPr>
                <w:color w:val="000000" w:themeColor="text1"/>
                <w:sz w:val="15"/>
                <w:szCs w:val="15"/>
                <w14:textFill>
                  <w14:solidFill>
                    <w14:schemeClr w14:val="tx1"/>
                  </w14:solidFill>
                </w14:textFill>
              </w:rPr>
            </w:pPr>
          </w:p>
        </w:tc>
        <w:sdt>
          <w:sdtPr>
            <w:rPr>
              <w:sz w:val="15"/>
              <w:szCs w:val="15"/>
            </w:rPr>
            <w:tag w:val="_PLD_90c1cf3c29414463ba491093caed23a7"/>
            <w:id w:val="653880624"/>
          </w:sdtPr>
          <w:sdtEndPr>
            <w:rPr>
              <w:sz w:val="15"/>
              <w:szCs w:val="15"/>
            </w:rPr>
          </w:sdtEndPr>
          <w:sdtContent>
            <w:tc>
              <w:tcPr>
                <w:tcW w:w="424" w:type="dxa"/>
                <w:tcBorders>
                  <w:top w:val="single" w:color="auto" w:sz="4" w:space="0"/>
                  <w:left w:val="single" w:color="auto" w:sz="4" w:space="0"/>
                  <w:right w:val="single" w:color="auto" w:sz="4" w:space="0"/>
                </w:tcBorders>
                <w:vAlign w:val="center"/>
              </w:tcPr>
              <w:p w14:paraId="31B46280">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优先股</w:t>
                </w:r>
              </w:p>
            </w:tc>
          </w:sdtContent>
        </w:sdt>
        <w:sdt>
          <w:sdtPr>
            <w:rPr>
              <w:sz w:val="15"/>
              <w:szCs w:val="15"/>
            </w:rPr>
            <w:tag w:val="_PLD_7dac20c025664b94b7a2176be4c24d00"/>
            <w:id w:val="861320460"/>
          </w:sdtPr>
          <w:sdtEndPr>
            <w:rPr>
              <w:sz w:val="15"/>
              <w:szCs w:val="15"/>
            </w:rPr>
          </w:sdtEndPr>
          <w:sdtContent>
            <w:tc>
              <w:tcPr>
                <w:tcW w:w="429" w:type="dxa"/>
                <w:tcBorders>
                  <w:top w:val="single" w:color="auto" w:sz="4" w:space="0"/>
                  <w:left w:val="single" w:color="auto" w:sz="4" w:space="0"/>
                  <w:right w:val="single" w:color="auto" w:sz="4" w:space="0"/>
                </w:tcBorders>
                <w:vAlign w:val="center"/>
              </w:tcPr>
              <w:p w14:paraId="4C91E5E3">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永续债</w:t>
                </w:r>
              </w:p>
            </w:tc>
          </w:sdtContent>
        </w:sdt>
        <w:sdt>
          <w:sdtPr>
            <w:rPr>
              <w:sz w:val="15"/>
              <w:szCs w:val="15"/>
            </w:rPr>
            <w:tag w:val="_PLD_23829f284d5149ee92e64b94083b1ade"/>
            <w:id w:val="79042342"/>
          </w:sdtPr>
          <w:sdtEndPr>
            <w:rPr>
              <w:sz w:val="15"/>
              <w:szCs w:val="15"/>
            </w:rPr>
          </w:sdtEndPr>
          <w:sdtContent>
            <w:tc>
              <w:tcPr>
                <w:tcW w:w="426" w:type="dxa"/>
                <w:tcBorders>
                  <w:top w:val="single" w:color="auto" w:sz="4" w:space="0"/>
                  <w:left w:val="single" w:color="auto" w:sz="4" w:space="0"/>
                </w:tcBorders>
                <w:vAlign w:val="center"/>
              </w:tcPr>
              <w:p w14:paraId="22F7D540">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tc>
          </w:sdtContent>
        </w:sdt>
        <w:tc>
          <w:tcPr>
            <w:tcW w:w="1317" w:type="dxa"/>
            <w:vAlign w:val="center"/>
          </w:tcPr>
          <w:p w14:paraId="5DF23932">
            <w:pPr>
              <w:adjustRightInd w:val="0"/>
              <w:snapToGrid w:val="0"/>
              <w:jc w:val="center"/>
              <w:rPr>
                <w:color w:val="000000" w:themeColor="text1"/>
                <w:sz w:val="15"/>
                <w:szCs w:val="15"/>
                <w14:textFill>
                  <w14:solidFill>
                    <w14:schemeClr w14:val="tx1"/>
                  </w14:solidFill>
                </w14:textFill>
              </w:rPr>
            </w:pPr>
          </w:p>
        </w:tc>
        <w:tc>
          <w:tcPr>
            <w:tcW w:w="1417" w:type="dxa"/>
            <w:vAlign w:val="center"/>
          </w:tcPr>
          <w:p w14:paraId="6F80F6F7">
            <w:pPr>
              <w:adjustRightInd w:val="0"/>
              <w:snapToGrid w:val="0"/>
              <w:jc w:val="center"/>
              <w:rPr>
                <w:color w:val="000000" w:themeColor="text1"/>
                <w:sz w:val="15"/>
                <w:szCs w:val="15"/>
                <w14:textFill>
                  <w14:solidFill>
                    <w14:schemeClr w14:val="tx1"/>
                  </w14:solidFill>
                </w14:textFill>
              </w:rPr>
            </w:pPr>
          </w:p>
        </w:tc>
        <w:tc>
          <w:tcPr>
            <w:tcW w:w="1134" w:type="dxa"/>
            <w:vAlign w:val="center"/>
          </w:tcPr>
          <w:p w14:paraId="16B32774">
            <w:pPr>
              <w:jc w:val="center"/>
              <w:rPr>
                <w:color w:val="000000" w:themeColor="text1"/>
                <w:sz w:val="15"/>
                <w:szCs w:val="15"/>
                <w14:textFill>
                  <w14:solidFill>
                    <w14:schemeClr w14:val="tx1"/>
                  </w14:solidFill>
                </w14:textFill>
              </w:rPr>
            </w:pPr>
          </w:p>
        </w:tc>
        <w:tc>
          <w:tcPr>
            <w:tcW w:w="1036" w:type="dxa"/>
            <w:vAlign w:val="center"/>
          </w:tcPr>
          <w:p w14:paraId="53C10E63">
            <w:pPr>
              <w:adjustRightInd w:val="0"/>
              <w:snapToGrid w:val="0"/>
              <w:jc w:val="center"/>
              <w:rPr>
                <w:color w:val="000000" w:themeColor="text1"/>
                <w:sz w:val="15"/>
                <w:szCs w:val="15"/>
                <w14:textFill>
                  <w14:solidFill>
                    <w14:schemeClr w14:val="tx1"/>
                  </w14:solidFill>
                </w14:textFill>
              </w:rPr>
            </w:pPr>
          </w:p>
        </w:tc>
        <w:tc>
          <w:tcPr>
            <w:tcW w:w="1232" w:type="dxa"/>
            <w:vAlign w:val="center"/>
          </w:tcPr>
          <w:p w14:paraId="615C74D5">
            <w:pPr>
              <w:adjustRightInd w:val="0"/>
              <w:snapToGrid w:val="0"/>
              <w:jc w:val="center"/>
              <w:rPr>
                <w:color w:val="000000" w:themeColor="text1"/>
                <w:sz w:val="15"/>
                <w:szCs w:val="15"/>
                <w14:textFill>
                  <w14:solidFill>
                    <w14:schemeClr w14:val="tx1"/>
                  </w14:solidFill>
                </w14:textFill>
              </w:rPr>
            </w:pPr>
          </w:p>
        </w:tc>
        <w:tc>
          <w:tcPr>
            <w:tcW w:w="1276" w:type="dxa"/>
            <w:vAlign w:val="center"/>
          </w:tcPr>
          <w:p w14:paraId="6C03DA4E">
            <w:pPr>
              <w:adjustRightInd w:val="0"/>
              <w:snapToGrid w:val="0"/>
              <w:jc w:val="center"/>
              <w:rPr>
                <w:color w:val="000000" w:themeColor="text1"/>
                <w:sz w:val="15"/>
                <w:szCs w:val="15"/>
                <w14:textFill>
                  <w14:solidFill>
                    <w14:schemeClr w14:val="tx1"/>
                  </w14:solidFill>
                </w14:textFill>
              </w:rPr>
            </w:pPr>
          </w:p>
        </w:tc>
        <w:tc>
          <w:tcPr>
            <w:tcW w:w="1491" w:type="dxa"/>
            <w:vAlign w:val="center"/>
          </w:tcPr>
          <w:p w14:paraId="7AF2B84B">
            <w:pPr>
              <w:adjustRightInd w:val="0"/>
              <w:snapToGrid w:val="0"/>
              <w:jc w:val="center"/>
              <w:rPr>
                <w:color w:val="000000" w:themeColor="text1"/>
                <w:sz w:val="15"/>
                <w:szCs w:val="15"/>
                <w14:textFill>
                  <w14:solidFill>
                    <w14:schemeClr w14:val="tx1"/>
                  </w14:solidFill>
                </w14:textFill>
              </w:rPr>
            </w:pPr>
          </w:p>
        </w:tc>
      </w:tr>
      <w:tr w14:paraId="464A9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b5131b53bda244fcbd76916797d6b666"/>
            <w:id w:val="1250237943"/>
          </w:sdtPr>
          <w:sdtEndPr>
            <w:rPr>
              <w:sz w:val="15"/>
              <w:szCs w:val="15"/>
            </w:rPr>
          </w:sdtEndPr>
          <w:sdtContent>
            <w:tc>
              <w:tcPr>
                <w:tcW w:w="2552" w:type="dxa"/>
                <w:vAlign w:val="center"/>
              </w:tcPr>
              <w:p w14:paraId="5907CA9E">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一、上年</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末余额</w:t>
                </w:r>
              </w:p>
            </w:tc>
          </w:sdtContent>
        </w:sdt>
        <w:tc>
          <w:tcPr>
            <w:tcW w:w="1273" w:type="dxa"/>
            <w:tcBorders>
              <w:right w:val="single" w:color="auto" w:sz="4" w:space="0"/>
            </w:tcBorders>
            <w:vAlign w:val="center"/>
          </w:tcPr>
          <w:p w14:paraId="3A1B8E8C">
            <w:pPr>
              <w:jc w:val="right"/>
              <w:rPr>
                <w:sz w:val="15"/>
                <w:szCs w:val="15"/>
              </w:rPr>
            </w:pPr>
            <w:r>
              <w:rPr>
                <w:sz w:val="15"/>
                <w:szCs w:val="15"/>
              </w:rPr>
              <w:t>4,521,100,071.00</w:t>
            </w:r>
          </w:p>
        </w:tc>
        <w:tc>
          <w:tcPr>
            <w:tcW w:w="424" w:type="dxa"/>
            <w:tcBorders>
              <w:left w:val="single" w:color="auto" w:sz="4" w:space="0"/>
              <w:right w:val="single" w:color="auto" w:sz="4" w:space="0"/>
            </w:tcBorders>
            <w:vAlign w:val="center"/>
          </w:tcPr>
          <w:p w14:paraId="24946C09">
            <w:pPr>
              <w:jc w:val="right"/>
              <w:rPr>
                <w:sz w:val="15"/>
                <w:szCs w:val="15"/>
              </w:rPr>
            </w:pPr>
          </w:p>
        </w:tc>
        <w:tc>
          <w:tcPr>
            <w:tcW w:w="429" w:type="dxa"/>
            <w:tcBorders>
              <w:left w:val="single" w:color="auto" w:sz="4" w:space="0"/>
              <w:right w:val="single" w:color="auto" w:sz="4" w:space="0"/>
            </w:tcBorders>
            <w:vAlign w:val="center"/>
          </w:tcPr>
          <w:p w14:paraId="2EF82D1F">
            <w:pPr>
              <w:jc w:val="right"/>
              <w:rPr>
                <w:rFonts w:eastAsia="Times New Roman" w:cs="Times New Roman"/>
                <w:sz w:val="15"/>
                <w:szCs w:val="15"/>
              </w:rPr>
            </w:pPr>
          </w:p>
        </w:tc>
        <w:tc>
          <w:tcPr>
            <w:tcW w:w="426" w:type="dxa"/>
            <w:tcBorders>
              <w:left w:val="single" w:color="auto" w:sz="4" w:space="0"/>
              <w:right w:val="single" w:color="auto" w:sz="4" w:space="0"/>
            </w:tcBorders>
            <w:vAlign w:val="center"/>
          </w:tcPr>
          <w:p w14:paraId="6B88EE13">
            <w:pPr>
              <w:jc w:val="right"/>
              <w:rPr>
                <w:rFonts w:eastAsia="Times New Roman" w:cs="Times New Roman"/>
                <w:sz w:val="15"/>
                <w:szCs w:val="15"/>
              </w:rPr>
            </w:pPr>
          </w:p>
        </w:tc>
        <w:tc>
          <w:tcPr>
            <w:tcW w:w="1317" w:type="dxa"/>
            <w:tcBorders>
              <w:left w:val="single" w:color="auto" w:sz="4" w:space="0"/>
            </w:tcBorders>
            <w:vAlign w:val="center"/>
          </w:tcPr>
          <w:p w14:paraId="56E5F3D9">
            <w:pPr>
              <w:jc w:val="right"/>
              <w:rPr>
                <w:rFonts w:ascii="宋体" w:hAnsi="宋体"/>
                <w:sz w:val="15"/>
                <w:szCs w:val="15"/>
              </w:rPr>
            </w:pPr>
            <w:r>
              <w:rPr>
                <w:sz w:val="15"/>
                <w:szCs w:val="15"/>
              </w:rPr>
              <w:t>8,643,952,407.39</w:t>
            </w:r>
          </w:p>
        </w:tc>
        <w:tc>
          <w:tcPr>
            <w:tcW w:w="1417" w:type="dxa"/>
            <w:vAlign w:val="center"/>
          </w:tcPr>
          <w:p w14:paraId="1927DAE2">
            <w:pPr>
              <w:jc w:val="right"/>
              <w:rPr>
                <w:sz w:val="15"/>
                <w:szCs w:val="15"/>
              </w:rPr>
            </w:pPr>
            <w:r>
              <w:rPr>
                <w:sz w:val="15"/>
                <w:szCs w:val="15"/>
              </w:rPr>
              <w:t>133,881,025.00</w:t>
            </w:r>
          </w:p>
        </w:tc>
        <w:tc>
          <w:tcPr>
            <w:tcW w:w="1134" w:type="dxa"/>
            <w:vAlign w:val="center"/>
          </w:tcPr>
          <w:p w14:paraId="0D18F5E6">
            <w:pPr>
              <w:jc w:val="right"/>
              <w:rPr>
                <w:sz w:val="15"/>
                <w:szCs w:val="15"/>
              </w:rPr>
            </w:pPr>
            <w:r>
              <w:rPr>
                <w:sz w:val="15"/>
                <w:szCs w:val="15"/>
              </w:rPr>
              <w:t>98,524,370.59</w:t>
            </w:r>
          </w:p>
        </w:tc>
        <w:tc>
          <w:tcPr>
            <w:tcW w:w="1036" w:type="dxa"/>
            <w:vAlign w:val="center"/>
          </w:tcPr>
          <w:p w14:paraId="0C3BD900">
            <w:pPr>
              <w:jc w:val="right"/>
              <w:rPr>
                <w:sz w:val="15"/>
                <w:szCs w:val="15"/>
              </w:rPr>
            </w:pPr>
          </w:p>
        </w:tc>
        <w:tc>
          <w:tcPr>
            <w:tcW w:w="1232" w:type="dxa"/>
            <w:vAlign w:val="center"/>
          </w:tcPr>
          <w:p w14:paraId="6766C664">
            <w:pPr>
              <w:jc w:val="right"/>
              <w:rPr>
                <w:rFonts w:ascii="宋体" w:hAnsi="宋体"/>
                <w:sz w:val="15"/>
                <w:szCs w:val="15"/>
              </w:rPr>
            </w:pPr>
            <w:r>
              <w:rPr>
                <w:sz w:val="15"/>
                <w:szCs w:val="15"/>
              </w:rPr>
              <w:t>426,993,753.64</w:t>
            </w:r>
          </w:p>
        </w:tc>
        <w:tc>
          <w:tcPr>
            <w:tcW w:w="1276" w:type="dxa"/>
            <w:vAlign w:val="center"/>
          </w:tcPr>
          <w:p w14:paraId="3171254E">
            <w:pPr>
              <w:jc w:val="right"/>
              <w:rPr>
                <w:sz w:val="15"/>
                <w:szCs w:val="15"/>
              </w:rPr>
            </w:pPr>
            <w:r>
              <w:rPr>
                <w:sz w:val="15"/>
                <w:szCs w:val="15"/>
              </w:rPr>
              <w:t>-830,355,895.58</w:t>
            </w:r>
          </w:p>
        </w:tc>
        <w:tc>
          <w:tcPr>
            <w:tcW w:w="1491" w:type="dxa"/>
            <w:vAlign w:val="center"/>
          </w:tcPr>
          <w:p w14:paraId="30493CDD">
            <w:pPr>
              <w:jc w:val="right"/>
              <w:rPr>
                <w:sz w:val="15"/>
                <w:szCs w:val="15"/>
              </w:rPr>
            </w:pPr>
            <w:r>
              <w:rPr>
                <w:sz w:val="15"/>
                <w:szCs w:val="15"/>
              </w:rPr>
              <w:t>12,726,333,682.04</w:t>
            </w:r>
          </w:p>
        </w:tc>
      </w:tr>
      <w:tr w14:paraId="7690D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66de901175bd4e50a35a24f0fca7513d"/>
            <w:id w:val="-620075511"/>
          </w:sdtPr>
          <w:sdtEndPr>
            <w:rPr>
              <w:sz w:val="15"/>
              <w:szCs w:val="15"/>
            </w:rPr>
          </w:sdtEndPr>
          <w:sdtContent>
            <w:tc>
              <w:tcPr>
                <w:tcW w:w="2552" w:type="dxa"/>
                <w:vAlign w:val="center"/>
              </w:tcPr>
              <w:p w14:paraId="71B6E4FE">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加：会计政策变更</w:t>
                </w:r>
              </w:p>
            </w:tc>
          </w:sdtContent>
        </w:sdt>
        <w:tc>
          <w:tcPr>
            <w:tcW w:w="1273" w:type="dxa"/>
            <w:tcBorders>
              <w:right w:val="single" w:color="auto" w:sz="4" w:space="0"/>
            </w:tcBorders>
            <w:vAlign w:val="center"/>
          </w:tcPr>
          <w:p w14:paraId="4C58B511">
            <w:pPr>
              <w:jc w:val="right"/>
              <w:rPr>
                <w:sz w:val="15"/>
                <w:szCs w:val="15"/>
              </w:rPr>
            </w:pPr>
          </w:p>
        </w:tc>
        <w:tc>
          <w:tcPr>
            <w:tcW w:w="424" w:type="dxa"/>
            <w:tcBorders>
              <w:left w:val="single" w:color="auto" w:sz="4" w:space="0"/>
              <w:right w:val="single" w:color="auto" w:sz="4" w:space="0"/>
            </w:tcBorders>
            <w:vAlign w:val="center"/>
          </w:tcPr>
          <w:p w14:paraId="4D8FEF7E">
            <w:pPr>
              <w:jc w:val="right"/>
              <w:rPr>
                <w:sz w:val="15"/>
                <w:szCs w:val="15"/>
              </w:rPr>
            </w:pPr>
          </w:p>
        </w:tc>
        <w:tc>
          <w:tcPr>
            <w:tcW w:w="429" w:type="dxa"/>
            <w:tcBorders>
              <w:left w:val="single" w:color="auto" w:sz="4" w:space="0"/>
              <w:right w:val="single" w:color="auto" w:sz="4" w:space="0"/>
            </w:tcBorders>
            <w:vAlign w:val="center"/>
          </w:tcPr>
          <w:p w14:paraId="5CC05370">
            <w:pPr>
              <w:jc w:val="right"/>
              <w:rPr>
                <w:sz w:val="15"/>
                <w:szCs w:val="15"/>
              </w:rPr>
            </w:pPr>
          </w:p>
        </w:tc>
        <w:tc>
          <w:tcPr>
            <w:tcW w:w="426" w:type="dxa"/>
            <w:tcBorders>
              <w:left w:val="single" w:color="auto" w:sz="4" w:space="0"/>
              <w:right w:val="single" w:color="auto" w:sz="4" w:space="0"/>
            </w:tcBorders>
            <w:vAlign w:val="center"/>
          </w:tcPr>
          <w:p w14:paraId="6FFAD886">
            <w:pPr>
              <w:jc w:val="right"/>
              <w:rPr>
                <w:sz w:val="15"/>
                <w:szCs w:val="15"/>
              </w:rPr>
            </w:pPr>
          </w:p>
        </w:tc>
        <w:tc>
          <w:tcPr>
            <w:tcW w:w="1317" w:type="dxa"/>
            <w:tcBorders>
              <w:left w:val="single" w:color="auto" w:sz="4" w:space="0"/>
            </w:tcBorders>
            <w:vAlign w:val="center"/>
          </w:tcPr>
          <w:p w14:paraId="36F68273">
            <w:pPr>
              <w:jc w:val="right"/>
              <w:rPr>
                <w:sz w:val="15"/>
                <w:szCs w:val="15"/>
              </w:rPr>
            </w:pPr>
          </w:p>
        </w:tc>
        <w:tc>
          <w:tcPr>
            <w:tcW w:w="1417" w:type="dxa"/>
            <w:vAlign w:val="center"/>
          </w:tcPr>
          <w:p w14:paraId="7382D789">
            <w:pPr>
              <w:jc w:val="right"/>
              <w:rPr>
                <w:sz w:val="15"/>
                <w:szCs w:val="15"/>
              </w:rPr>
            </w:pPr>
          </w:p>
        </w:tc>
        <w:tc>
          <w:tcPr>
            <w:tcW w:w="1134" w:type="dxa"/>
            <w:vAlign w:val="center"/>
          </w:tcPr>
          <w:p w14:paraId="557CEE69">
            <w:pPr>
              <w:jc w:val="right"/>
              <w:rPr>
                <w:sz w:val="15"/>
                <w:szCs w:val="15"/>
              </w:rPr>
            </w:pPr>
          </w:p>
        </w:tc>
        <w:tc>
          <w:tcPr>
            <w:tcW w:w="1036" w:type="dxa"/>
            <w:vAlign w:val="center"/>
          </w:tcPr>
          <w:p w14:paraId="67B85385">
            <w:pPr>
              <w:jc w:val="right"/>
              <w:rPr>
                <w:sz w:val="15"/>
                <w:szCs w:val="15"/>
              </w:rPr>
            </w:pPr>
          </w:p>
        </w:tc>
        <w:tc>
          <w:tcPr>
            <w:tcW w:w="1232" w:type="dxa"/>
            <w:vAlign w:val="center"/>
          </w:tcPr>
          <w:p w14:paraId="1357BD34">
            <w:pPr>
              <w:jc w:val="right"/>
              <w:rPr>
                <w:sz w:val="15"/>
                <w:szCs w:val="15"/>
              </w:rPr>
            </w:pPr>
          </w:p>
        </w:tc>
        <w:tc>
          <w:tcPr>
            <w:tcW w:w="1276" w:type="dxa"/>
            <w:vAlign w:val="center"/>
          </w:tcPr>
          <w:p w14:paraId="27BA5D71">
            <w:pPr>
              <w:jc w:val="right"/>
              <w:rPr>
                <w:sz w:val="15"/>
                <w:szCs w:val="15"/>
              </w:rPr>
            </w:pPr>
          </w:p>
        </w:tc>
        <w:tc>
          <w:tcPr>
            <w:tcW w:w="1491" w:type="dxa"/>
            <w:vAlign w:val="center"/>
          </w:tcPr>
          <w:p w14:paraId="78B48656">
            <w:pPr>
              <w:jc w:val="right"/>
              <w:rPr>
                <w:sz w:val="15"/>
                <w:szCs w:val="15"/>
              </w:rPr>
            </w:pPr>
          </w:p>
        </w:tc>
      </w:tr>
      <w:tr w14:paraId="06130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3bfc3b7951f4488f95a7180f02c989cf"/>
            <w:id w:val="-1262519730"/>
          </w:sdtPr>
          <w:sdtEndPr>
            <w:rPr>
              <w:sz w:val="15"/>
              <w:szCs w:val="15"/>
            </w:rPr>
          </w:sdtEndPr>
          <w:sdtContent>
            <w:tc>
              <w:tcPr>
                <w:tcW w:w="2552" w:type="dxa"/>
                <w:vAlign w:val="center"/>
              </w:tcPr>
              <w:p w14:paraId="1974BB57">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前期差错更正</w:t>
                </w:r>
              </w:p>
            </w:tc>
          </w:sdtContent>
        </w:sdt>
        <w:tc>
          <w:tcPr>
            <w:tcW w:w="1273" w:type="dxa"/>
            <w:tcBorders>
              <w:right w:val="single" w:color="auto" w:sz="4" w:space="0"/>
            </w:tcBorders>
            <w:vAlign w:val="center"/>
          </w:tcPr>
          <w:p w14:paraId="5E275C2E">
            <w:pPr>
              <w:jc w:val="right"/>
              <w:rPr>
                <w:sz w:val="15"/>
                <w:szCs w:val="15"/>
              </w:rPr>
            </w:pPr>
          </w:p>
        </w:tc>
        <w:tc>
          <w:tcPr>
            <w:tcW w:w="424" w:type="dxa"/>
            <w:tcBorders>
              <w:left w:val="single" w:color="auto" w:sz="4" w:space="0"/>
              <w:right w:val="single" w:color="auto" w:sz="4" w:space="0"/>
            </w:tcBorders>
            <w:vAlign w:val="center"/>
          </w:tcPr>
          <w:p w14:paraId="725A90E7">
            <w:pPr>
              <w:jc w:val="right"/>
              <w:rPr>
                <w:sz w:val="15"/>
                <w:szCs w:val="15"/>
              </w:rPr>
            </w:pPr>
          </w:p>
        </w:tc>
        <w:tc>
          <w:tcPr>
            <w:tcW w:w="429" w:type="dxa"/>
            <w:tcBorders>
              <w:left w:val="single" w:color="auto" w:sz="4" w:space="0"/>
              <w:right w:val="single" w:color="auto" w:sz="4" w:space="0"/>
            </w:tcBorders>
            <w:vAlign w:val="center"/>
          </w:tcPr>
          <w:p w14:paraId="04D67DFC">
            <w:pPr>
              <w:jc w:val="right"/>
              <w:rPr>
                <w:sz w:val="15"/>
                <w:szCs w:val="15"/>
              </w:rPr>
            </w:pPr>
          </w:p>
        </w:tc>
        <w:tc>
          <w:tcPr>
            <w:tcW w:w="426" w:type="dxa"/>
            <w:tcBorders>
              <w:left w:val="single" w:color="auto" w:sz="4" w:space="0"/>
              <w:right w:val="single" w:color="auto" w:sz="4" w:space="0"/>
            </w:tcBorders>
            <w:vAlign w:val="center"/>
          </w:tcPr>
          <w:p w14:paraId="5E9509A4">
            <w:pPr>
              <w:jc w:val="right"/>
              <w:rPr>
                <w:sz w:val="15"/>
                <w:szCs w:val="15"/>
              </w:rPr>
            </w:pPr>
          </w:p>
        </w:tc>
        <w:tc>
          <w:tcPr>
            <w:tcW w:w="1317" w:type="dxa"/>
            <w:tcBorders>
              <w:left w:val="single" w:color="auto" w:sz="4" w:space="0"/>
            </w:tcBorders>
            <w:vAlign w:val="center"/>
          </w:tcPr>
          <w:p w14:paraId="790D23D4">
            <w:pPr>
              <w:jc w:val="right"/>
              <w:rPr>
                <w:sz w:val="15"/>
                <w:szCs w:val="15"/>
              </w:rPr>
            </w:pPr>
          </w:p>
        </w:tc>
        <w:tc>
          <w:tcPr>
            <w:tcW w:w="1417" w:type="dxa"/>
            <w:vAlign w:val="center"/>
          </w:tcPr>
          <w:p w14:paraId="540B4287">
            <w:pPr>
              <w:jc w:val="right"/>
              <w:rPr>
                <w:sz w:val="15"/>
                <w:szCs w:val="15"/>
              </w:rPr>
            </w:pPr>
          </w:p>
        </w:tc>
        <w:tc>
          <w:tcPr>
            <w:tcW w:w="1134" w:type="dxa"/>
            <w:vAlign w:val="center"/>
          </w:tcPr>
          <w:p w14:paraId="269E9C42">
            <w:pPr>
              <w:jc w:val="right"/>
              <w:rPr>
                <w:sz w:val="15"/>
                <w:szCs w:val="15"/>
              </w:rPr>
            </w:pPr>
          </w:p>
        </w:tc>
        <w:tc>
          <w:tcPr>
            <w:tcW w:w="1036" w:type="dxa"/>
            <w:vAlign w:val="center"/>
          </w:tcPr>
          <w:p w14:paraId="651CD729">
            <w:pPr>
              <w:jc w:val="right"/>
              <w:rPr>
                <w:sz w:val="15"/>
                <w:szCs w:val="15"/>
              </w:rPr>
            </w:pPr>
          </w:p>
        </w:tc>
        <w:tc>
          <w:tcPr>
            <w:tcW w:w="1232" w:type="dxa"/>
            <w:vAlign w:val="center"/>
          </w:tcPr>
          <w:p w14:paraId="6F2FAA22">
            <w:pPr>
              <w:jc w:val="right"/>
              <w:rPr>
                <w:sz w:val="15"/>
                <w:szCs w:val="15"/>
              </w:rPr>
            </w:pPr>
          </w:p>
        </w:tc>
        <w:tc>
          <w:tcPr>
            <w:tcW w:w="1276" w:type="dxa"/>
            <w:vAlign w:val="center"/>
          </w:tcPr>
          <w:p w14:paraId="4B278AA9">
            <w:pPr>
              <w:jc w:val="right"/>
              <w:rPr>
                <w:sz w:val="15"/>
                <w:szCs w:val="15"/>
              </w:rPr>
            </w:pPr>
          </w:p>
        </w:tc>
        <w:tc>
          <w:tcPr>
            <w:tcW w:w="1491" w:type="dxa"/>
            <w:vAlign w:val="center"/>
          </w:tcPr>
          <w:p w14:paraId="0CA647BB">
            <w:pPr>
              <w:jc w:val="right"/>
              <w:rPr>
                <w:sz w:val="15"/>
                <w:szCs w:val="15"/>
              </w:rPr>
            </w:pPr>
          </w:p>
        </w:tc>
      </w:tr>
      <w:tr w14:paraId="05B51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dc9b9aaf7e384b1eae7dcabb517c2b1e"/>
            <w:id w:val="1560586113"/>
          </w:sdtPr>
          <w:sdtEndPr>
            <w:rPr>
              <w:sz w:val="15"/>
              <w:szCs w:val="15"/>
            </w:rPr>
          </w:sdtEndPr>
          <w:sdtContent>
            <w:tc>
              <w:tcPr>
                <w:tcW w:w="2552" w:type="dxa"/>
                <w:vAlign w:val="center"/>
              </w:tcPr>
              <w:p w14:paraId="3E59ECC3">
                <w:pPr>
                  <w:ind w:firstLine="300" w:firstLineChars="200"/>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tc>
          </w:sdtContent>
        </w:sdt>
        <w:tc>
          <w:tcPr>
            <w:tcW w:w="1273" w:type="dxa"/>
            <w:tcBorders>
              <w:right w:val="single" w:color="auto" w:sz="4" w:space="0"/>
            </w:tcBorders>
            <w:vAlign w:val="center"/>
          </w:tcPr>
          <w:p w14:paraId="776B70E0">
            <w:pPr>
              <w:jc w:val="right"/>
              <w:rPr>
                <w:sz w:val="15"/>
                <w:szCs w:val="15"/>
              </w:rPr>
            </w:pPr>
          </w:p>
        </w:tc>
        <w:tc>
          <w:tcPr>
            <w:tcW w:w="424" w:type="dxa"/>
            <w:tcBorders>
              <w:left w:val="single" w:color="auto" w:sz="4" w:space="0"/>
              <w:right w:val="single" w:color="auto" w:sz="4" w:space="0"/>
            </w:tcBorders>
            <w:vAlign w:val="center"/>
          </w:tcPr>
          <w:p w14:paraId="571AF653">
            <w:pPr>
              <w:jc w:val="right"/>
              <w:rPr>
                <w:sz w:val="15"/>
                <w:szCs w:val="15"/>
              </w:rPr>
            </w:pPr>
          </w:p>
        </w:tc>
        <w:tc>
          <w:tcPr>
            <w:tcW w:w="429" w:type="dxa"/>
            <w:tcBorders>
              <w:left w:val="single" w:color="auto" w:sz="4" w:space="0"/>
              <w:right w:val="single" w:color="auto" w:sz="4" w:space="0"/>
            </w:tcBorders>
            <w:vAlign w:val="center"/>
          </w:tcPr>
          <w:p w14:paraId="32F410DE">
            <w:pPr>
              <w:jc w:val="right"/>
              <w:rPr>
                <w:sz w:val="15"/>
                <w:szCs w:val="15"/>
              </w:rPr>
            </w:pPr>
          </w:p>
        </w:tc>
        <w:tc>
          <w:tcPr>
            <w:tcW w:w="426" w:type="dxa"/>
            <w:tcBorders>
              <w:left w:val="single" w:color="auto" w:sz="4" w:space="0"/>
              <w:right w:val="single" w:color="auto" w:sz="4" w:space="0"/>
            </w:tcBorders>
            <w:vAlign w:val="center"/>
          </w:tcPr>
          <w:p w14:paraId="5A8B66A2">
            <w:pPr>
              <w:jc w:val="right"/>
              <w:rPr>
                <w:sz w:val="15"/>
                <w:szCs w:val="15"/>
              </w:rPr>
            </w:pPr>
          </w:p>
        </w:tc>
        <w:tc>
          <w:tcPr>
            <w:tcW w:w="1317" w:type="dxa"/>
            <w:tcBorders>
              <w:left w:val="single" w:color="auto" w:sz="4" w:space="0"/>
            </w:tcBorders>
            <w:vAlign w:val="center"/>
          </w:tcPr>
          <w:p w14:paraId="44CF3E60">
            <w:pPr>
              <w:jc w:val="right"/>
              <w:rPr>
                <w:sz w:val="15"/>
                <w:szCs w:val="15"/>
              </w:rPr>
            </w:pPr>
          </w:p>
        </w:tc>
        <w:tc>
          <w:tcPr>
            <w:tcW w:w="1417" w:type="dxa"/>
            <w:vAlign w:val="center"/>
          </w:tcPr>
          <w:p w14:paraId="3DDECA9F">
            <w:pPr>
              <w:jc w:val="right"/>
              <w:rPr>
                <w:sz w:val="15"/>
                <w:szCs w:val="15"/>
              </w:rPr>
            </w:pPr>
          </w:p>
        </w:tc>
        <w:tc>
          <w:tcPr>
            <w:tcW w:w="1134" w:type="dxa"/>
            <w:vAlign w:val="center"/>
          </w:tcPr>
          <w:p w14:paraId="66E83A8D">
            <w:pPr>
              <w:jc w:val="right"/>
              <w:rPr>
                <w:sz w:val="15"/>
                <w:szCs w:val="15"/>
              </w:rPr>
            </w:pPr>
          </w:p>
        </w:tc>
        <w:tc>
          <w:tcPr>
            <w:tcW w:w="1036" w:type="dxa"/>
            <w:vAlign w:val="center"/>
          </w:tcPr>
          <w:p w14:paraId="7AD654D7">
            <w:pPr>
              <w:jc w:val="right"/>
              <w:rPr>
                <w:sz w:val="15"/>
                <w:szCs w:val="15"/>
              </w:rPr>
            </w:pPr>
          </w:p>
        </w:tc>
        <w:tc>
          <w:tcPr>
            <w:tcW w:w="1232" w:type="dxa"/>
            <w:vAlign w:val="center"/>
          </w:tcPr>
          <w:p w14:paraId="1947CA94">
            <w:pPr>
              <w:jc w:val="right"/>
              <w:rPr>
                <w:sz w:val="15"/>
                <w:szCs w:val="15"/>
              </w:rPr>
            </w:pPr>
          </w:p>
        </w:tc>
        <w:tc>
          <w:tcPr>
            <w:tcW w:w="1276" w:type="dxa"/>
            <w:vAlign w:val="center"/>
          </w:tcPr>
          <w:p w14:paraId="2A202C33">
            <w:pPr>
              <w:jc w:val="right"/>
              <w:rPr>
                <w:sz w:val="15"/>
                <w:szCs w:val="15"/>
              </w:rPr>
            </w:pPr>
          </w:p>
        </w:tc>
        <w:tc>
          <w:tcPr>
            <w:tcW w:w="1491" w:type="dxa"/>
            <w:vAlign w:val="center"/>
          </w:tcPr>
          <w:p w14:paraId="21A10221">
            <w:pPr>
              <w:jc w:val="right"/>
              <w:rPr>
                <w:sz w:val="15"/>
                <w:szCs w:val="15"/>
              </w:rPr>
            </w:pPr>
          </w:p>
        </w:tc>
      </w:tr>
      <w:tr w14:paraId="1DC28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345919472b384d0eb13471ef5f2f5e92"/>
            <w:id w:val="1441420385"/>
          </w:sdtPr>
          <w:sdtEndPr>
            <w:rPr>
              <w:sz w:val="15"/>
              <w:szCs w:val="15"/>
            </w:rPr>
          </w:sdtEndPr>
          <w:sdtContent>
            <w:tc>
              <w:tcPr>
                <w:tcW w:w="2552" w:type="dxa"/>
                <w:vAlign w:val="center"/>
              </w:tcPr>
              <w:p w14:paraId="32CFE3A5">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二、本年</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初余额</w:t>
                </w:r>
              </w:p>
            </w:tc>
          </w:sdtContent>
        </w:sdt>
        <w:tc>
          <w:tcPr>
            <w:tcW w:w="1273" w:type="dxa"/>
            <w:tcBorders>
              <w:right w:val="single" w:color="auto" w:sz="4" w:space="0"/>
            </w:tcBorders>
            <w:vAlign w:val="center"/>
          </w:tcPr>
          <w:p w14:paraId="7329A8D1">
            <w:pPr>
              <w:jc w:val="right"/>
              <w:rPr>
                <w:sz w:val="15"/>
                <w:szCs w:val="15"/>
              </w:rPr>
            </w:pPr>
            <w:r>
              <w:rPr>
                <w:sz w:val="15"/>
                <w:szCs w:val="15"/>
              </w:rPr>
              <w:t>4,521,100,071.00</w:t>
            </w:r>
          </w:p>
        </w:tc>
        <w:tc>
          <w:tcPr>
            <w:tcW w:w="424" w:type="dxa"/>
            <w:tcBorders>
              <w:left w:val="single" w:color="auto" w:sz="4" w:space="0"/>
              <w:right w:val="single" w:color="auto" w:sz="4" w:space="0"/>
            </w:tcBorders>
            <w:vAlign w:val="center"/>
          </w:tcPr>
          <w:p w14:paraId="653D5904">
            <w:pPr>
              <w:jc w:val="right"/>
              <w:rPr>
                <w:sz w:val="15"/>
                <w:szCs w:val="15"/>
              </w:rPr>
            </w:pPr>
          </w:p>
        </w:tc>
        <w:tc>
          <w:tcPr>
            <w:tcW w:w="429" w:type="dxa"/>
            <w:tcBorders>
              <w:left w:val="single" w:color="auto" w:sz="4" w:space="0"/>
              <w:right w:val="single" w:color="auto" w:sz="4" w:space="0"/>
            </w:tcBorders>
            <w:vAlign w:val="center"/>
          </w:tcPr>
          <w:p w14:paraId="4E00C982">
            <w:pPr>
              <w:jc w:val="right"/>
              <w:rPr>
                <w:rFonts w:eastAsia="Times New Roman" w:cs="Times New Roman"/>
                <w:sz w:val="15"/>
                <w:szCs w:val="15"/>
              </w:rPr>
            </w:pPr>
          </w:p>
        </w:tc>
        <w:tc>
          <w:tcPr>
            <w:tcW w:w="426" w:type="dxa"/>
            <w:tcBorders>
              <w:left w:val="single" w:color="auto" w:sz="4" w:space="0"/>
              <w:right w:val="single" w:color="auto" w:sz="4" w:space="0"/>
            </w:tcBorders>
            <w:vAlign w:val="center"/>
          </w:tcPr>
          <w:p w14:paraId="76CB8DA9">
            <w:pPr>
              <w:jc w:val="right"/>
              <w:rPr>
                <w:rFonts w:eastAsia="Times New Roman" w:cs="Times New Roman"/>
                <w:sz w:val="15"/>
                <w:szCs w:val="15"/>
              </w:rPr>
            </w:pPr>
          </w:p>
        </w:tc>
        <w:tc>
          <w:tcPr>
            <w:tcW w:w="1317" w:type="dxa"/>
            <w:tcBorders>
              <w:left w:val="single" w:color="auto" w:sz="4" w:space="0"/>
            </w:tcBorders>
            <w:vAlign w:val="center"/>
          </w:tcPr>
          <w:p w14:paraId="1FE4A942">
            <w:pPr>
              <w:jc w:val="right"/>
              <w:rPr>
                <w:rFonts w:ascii="宋体" w:hAnsi="宋体"/>
                <w:sz w:val="15"/>
                <w:szCs w:val="15"/>
              </w:rPr>
            </w:pPr>
            <w:r>
              <w:rPr>
                <w:sz w:val="15"/>
                <w:szCs w:val="15"/>
              </w:rPr>
              <w:t>8,643,952,407.39</w:t>
            </w:r>
          </w:p>
        </w:tc>
        <w:tc>
          <w:tcPr>
            <w:tcW w:w="1417" w:type="dxa"/>
            <w:vAlign w:val="center"/>
          </w:tcPr>
          <w:p w14:paraId="4A0E6220">
            <w:pPr>
              <w:jc w:val="right"/>
              <w:rPr>
                <w:sz w:val="15"/>
                <w:szCs w:val="15"/>
              </w:rPr>
            </w:pPr>
            <w:r>
              <w:rPr>
                <w:sz w:val="15"/>
                <w:szCs w:val="15"/>
              </w:rPr>
              <w:t>133,881,025.00</w:t>
            </w:r>
          </w:p>
        </w:tc>
        <w:tc>
          <w:tcPr>
            <w:tcW w:w="1134" w:type="dxa"/>
            <w:vAlign w:val="center"/>
          </w:tcPr>
          <w:p w14:paraId="56F543B6">
            <w:pPr>
              <w:jc w:val="right"/>
              <w:rPr>
                <w:sz w:val="15"/>
                <w:szCs w:val="15"/>
              </w:rPr>
            </w:pPr>
            <w:r>
              <w:rPr>
                <w:sz w:val="15"/>
                <w:szCs w:val="15"/>
              </w:rPr>
              <w:t>98,524,370.59</w:t>
            </w:r>
          </w:p>
        </w:tc>
        <w:tc>
          <w:tcPr>
            <w:tcW w:w="1036" w:type="dxa"/>
            <w:vAlign w:val="center"/>
          </w:tcPr>
          <w:p w14:paraId="0D2E5A8B">
            <w:pPr>
              <w:jc w:val="right"/>
              <w:rPr>
                <w:sz w:val="15"/>
                <w:szCs w:val="15"/>
              </w:rPr>
            </w:pPr>
          </w:p>
        </w:tc>
        <w:tc>
          <w:tcPr>
            <w:tcW w:w="1232" w:type="dxa"/>
            <w:vAlign w:val="center"/>
          </w:tcPr>
          <w:p w14:paraId="3F27DF5E">
            <w:pPr>
              <w:jc w:val="right"/>
              <w:rPr>
                <w:rFonts w:ascii="宋体" w:hAnsi="宋体"/>
                <w:sz w:val="15"/>
                <w:szCs w:val="15"/>
              </w:rPr>
            </w:pPr>
            <w:r>
              <w:rPr>
                <w:sz w:val="15"/>
                <w:szCs w:val="15"/>
              </w:rPr>
              <w:t>426,993,753.64</w:t>
            </w:r>
          </w:p>
        </w:tc>
        <w:tc>
          <w:tcPr>
            <w:tcW w:w="1276" w:type="dxa"/>
            <w:vAlign w:val="center"/>
          </w:tcPr>
          <w:p w14:paraId="1E5A08FE">
            <w:pPr>
              <w:jc w:val="right"/>
              <w:rPr>
                <w:sz w:val="15"/>
                <w:szCs w:val="15"/>
              </w:rPr>
            </w:pPr>
            <w:r>
              <w:rPr>
                <w:sz w:val="15"/>
                <w:szCs w:val="15"/>
              </w:rPr>
              <w:t>-830,355,895.58</w:t>
            </w:r>
          </w:p>
        </w:tc>
        <w:tc>
          <w:tcPr>
            <w:tcW w:w="1491" w:type="dxa"/>
            <w:vAlign w:val="center"/>
          </w:tcPr>
          <w:p w14:paraId="719EC02F">
            <w:pPr>
              <w:jc w:val="right"/>
              <w:rPr>
                <w:sz w:val="15"/>
                <w:szCs w:val="15"/>
              </w:rPr>
            </w:pPr>
            <w:r>
              <w:rPr>
                <w:sz w:val="15"/>
                <w:szCs w:val="15"/>
              </w:rPr>
              <w:t>12,726,333,682.04</w:t>
            </w:r>
          </w:p>
        </w:tc>
      </w:tr>
      <w:tr w14:paraId="21501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4eea4cc259884a6ab5f2fe018aec3d4e"/>
            <w:id w:val="49731085"/>
          </w:sdtPr>
          <w:sdtEndPr>
            <w:rPr>
              <w:sz w:val="15"/>
              <w:szCs w:val="15"/>
            </w:rPr>
          </w:sdtEndPr>
          <w:sdtContent>
            <w:tc>
              <w:tcPr>
                <w:tcW w:w="2552" w:type="dxa"/>
                <w:vAlign w:val="center"/>
              </w:tcPr>
              <w:p w14:paraId="3EE3818B">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三、本</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增减变动金额（减少以“－”号填列）</w:t>
                </w:r>
              </w:p>
            </w:tc>
          </w:sdtContent>
        </w:sdt>
        <w:tc>
          <w:tcPr>
            <w:tcW w:w="1273" w:type="dxa"/>
            <w:tcBorders>
              <w:right w:val="single" w:color="auto" w:sz="4" w:space="0"/>
            </w:tcBorders>
            <w:vAlign w:val="center"/>
          </w:tcPr>
          <w:p w14:paraId="04FC3EBB">
            <w:pPr>
              <w:jc w:val="right"/>
              <w:rPr>
                <w:sz w:val="15"/>
                <w:szCs w:val="15"/>
              </w:rPr>
            </w:pPr>
          </w:p>
        </w:tc>
        <w:tc>
          <w:tcPr>
            <w:tcW w:w="424" w:type="dxa"/>
            <w:tcBorders>
              <w:left w:val="single" w:color="auto" w:sz="4" w:space="0"/>
              <w:right w:val="single" w:color="auto" w:sz="4" w:space="0"/>
            </w:tcBorders>
            <w:vAlign w:val="center"/>
          </w:tcPr>
          <w:p w14:paraId="304EE4A2">
            <w:pPr>
              <w:jc w:val="right"/>
              <w:rPr>
                <w:rFonts w:eastAsia="Times New Roman" w:cs="Times New Roman"/>
                <w:sz w:val="15"/>
                <w:szCs w:val="15"/>
              </w:rPr>
            </w:pPr>
          </w:p>
        </w:tc>
        <w:tc>
          <w:tcPr>
            <w:tcW w:w="429" w:type="dxa"/>
            <w:tcBorders>
              <w:left w:val="single" w:color="auto" w:sz="4" w:space="0"/>
              <w:right w:val="single" w:color="auto" w:sz="4" w:space="0"/>
            </w:tcBorders>
            <w:vAlign w:val="center"/>
          </w:tcPr>
          <w:p w14:paraId="501DF797">
            <w:pPr>
              <w:jc w:val="right"/>
              <w:rPr>
                <w:rFonts w:eastAsia="Times New Roman" w:cs="Times New Roman"/>
                <w:sz w:val="15"/>
                <w:szCs w:val="15"/>
              </w:rPr>
            </w:pPr>
          </w:p>
        </w:tc>
        <w:tc>
          <w:tcPr>
            <w:tcW w:w="426" w:type="dxa"/>
            <w:tcBorders>
              <w:left w:val="single" w:color="auto" w:sz="4" w:space="0"/>
            </w:tcBorders>
            <w:vAlign w:val="center"/>
          </w:tcPr>
          <w:p w14:paraId="1927DE8D">
            <w:pPr>
              <w:jc w:val="right"/>
              <w:rPr>
                <w:rFonts w:eastAsia="Times New Roman" w:cs="Times New Roman"/>
                <w:sz w:val="15"/>
                <w:szCs w:val="15"/>
              </w:rPr>
            </w:pPr>
          </w:p>
        </w:tc>
        <w:tc>
          <w:tcPr>
            <w:tcW w:w="1317" w:type="dxa"/>
            <w:vAlign w:val="center"/>
          </w:tcPr>
          <w:p w14:paraId="034EBDE9">
            <w:pPr>
              <w:jc w:val="right"/>
              <w:rPr>
                <w:rFonts w:eastAsia="Times New Roman" w:cs="Times New Roman"/>
                <w:sz w:val="15"/>
                <w:szCs w:val="15"/>
              </w:rPr>
            </w:pPr>
            <w:r>
              <w:rPr>
                <w:sz w:val="15"/>
                <w:szCs w:val="15"/>
              </w:rPr>
              <w:t>9,695.23</w:t>
            </w:r>
          </w:p>
        </w:tc>
        <w:tc>
          <w:tcPr>
            <w:tcW w:w="1417" w:type="dxa"/>
            <w:vAlign w:val="center"/>
          </w:tcPr>
          <w:p w14:paraId="3CE87CFE">
            <w:pPr>
              <w:jc w:val="right"/>
              <w:rPr>
                <w:rFonts w:eastAsia="Times New Roman" w:cs="Times New Roman"/>
                <w:sz w:val="15"/>
                <w:szCs w:val="15"/>
              </w:rPr>
            </w:pPr>
          </w:p>
        </w:tc>
        <w:tc>
          <w:tcPr>
            <w:tcW w:w="1134" w:type="dxa"/>
            <w:vAlign w:val="center"/>
          </w:tcPr>
          <w:p w14:paraId="20045107">
            <w:pPr>
              <w:jc w:val="right"/>
              <w:rPr>
                <w:rFonts w:eastAsia="Times New Roman" w:cs="Times New Roman"/>
                <w:sz w:val="15"/>
                <w:szCs w:val="15"/>
              </w:rPr>
            </w:pPr>
            <w:r>
              <w:rPr>
                <w:sz w:val="15"/>
                <w:szCs w:val="15"/>
              </w:rPr>
              <w:t>-25,474,626.09</w:t>
            </w:r>
          </w:p>
        </w:tc>
        <w:tc>
          <w:tcPr>
            <w:tcW w:w="1036" w:type="dxa"/>
            <w:vAlign w:val="center"/>
          </w:tcPr>
          <w:p w14:paraId="2CD9FEFC">
            <w:pPr>
              <w:jc w:val="right"/>
              <w:rPr>
                <w:rFonts w:eastAsia="Times New Roman" w:cs="Times New Roman"/>
                <w:sz w:val="15"/>
                <w:szCs w:val="15"/>
              </w:rPr>
            </w:pPr>
          </w:p>
        </w:tc>
        <w:tc>
          <w:tcPr>
            <w:tcW w:w="1232" w:type="dxa"/>
            <w:vAlign w:val="center"/>
          </w:tcPr>
          <w:p w14:paraId="58F9E388">
            <w:pPr>
              <w:jc w:val="right"/>
              <w:rPr>
                <w:rFonts w:eastAsia="Times New Roman" w:cs="Times New Roman"/>
                <w:sz w:val="15"/>
                <w:szCs w:val="15"/>
              </w:rPr>
            </w:pPr>
          </w:p>
        </w:tc>
        <w:tc>
          <w:tcPr>
            <w:tcW w:w="1276" w:type="dxa"/>
            <w:vAlign w:val="center"/>
          </w:tcPr>
          <w:p w14:paraId="15E0BD6B">
            <w:pPr>
              <w:jc w:val="right"/>
              <w:rPr>
                <w:rFonts w:ascii="宋体" w:hAnsi="宋体"/>
                <w:sz w:val="15"/>
                <w:szCs w:val="15"/>
              </w:rPr>
            </w:pPr>
            <w:r>
              <w:rPr>
                <w:sz w:val="15"/>
                <w:szCs w:val="15"/>
              </w:rPr>
              <w:t>154,681,456.80</w:t>
            </w:r>
          </w:p>
        </w:tc>
        <w:tc>
          <w:tcPr>
            <w:tcW w:w="1491" w:type="dxa"/>
            <w:vAlign w:val="center"/>
          </w:tcPr>
          <w:p w14:paraId="68E78AE8">
            <w:pPr>
              <w:jc w:val="right"/>
              <w:rPr>
                <w:sz w:val="15"/>
                <w:szCs w:val="15"/>
              </w:rPr>
            </w:pPr>
            <w:r>
              <w:rPr>
                <w:sz w:val="15"/>
                <w:szCs w:val="15"/>
              </w:rPr>
              <w:t>129,216,525.94</w:t>
            </w:r>
          </w:p>
        </w:tc>
      </w:tr>
      <w:tr w14:paraId="12A36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c2eb317db9474ea9b9513a40ba81d9f7"/>
            <w:id w:val="148103319"/>
          </w:sdtPr>
          <w:sdtEndPr>
            <w:rPr>
              <w:sz w:val="15"/>
              <w:szCs w:val="15"/>
            </w:rPr>
          </w:sdtEndPr>
          <w:sdtContent>
            <w:tc>
              <w:tcPr>
                <w:tcW w:w="2552" w:type="dxa"/>
                <w:vAlign w:val="center"/>
              </w:tcPr>
              <w:p w14:paraId="6BB5D83A">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（一）综合收益总额</w:t>
                </w:r>
              </w:p>
            </w:tc>
          </w:sdtContent>
        </w:sdt>
        <w:tc>
          <w:tcPr>
            <w:tcW w:w="1273" w:type="dxa"/>
            <w:tcBorders>
              <w:right w:val="single" w:color="auto" w:sz="4" w:space="0"/>
            </w:tcBorders>
            <w:vAlign w:val="center"/>
          </w:tcPr>
          <w:p w14:paraId="20EE3316">
            <w:pPr>
              <w:jc w:val="right"/>
              <w:rPr>
                <w:sz w:val="15"/>
                <w:szCs w:val="15"/>
              </w:rPr>
            </w:pPr>
          </w:p>
        </w:tc>
        <w:tc>
          <w:tcPr>
            <w:tcW w:w="424" w:type="dxa"/>
            <w:tcBorders>
              <w:left w:val="single" w:color="auto" w:sz="4" w:space="0"/>
              <w:right w:val="single" w:color="auto" w:sz="4" w:space="0"/>
            </w:tcBorders>
            <w:vAlign w:val="center"/>
          </w:tcPr>
          <w:p w14:paraId="4093BC93">
            <w:pPr>
              <w:jc w:val="right"/>
              <w:rPr>
                <w:rFonts w:eastAsia="Times New Roman" w:cs="Times New Roman"/>
                <w:sz w:val="15"/>
                <w:szCs w:val="15"/>
              </w:rPr>
            </w:pPr>
          </w:p>
        </w:tc>
        <w:tc>
          <w:tcPr>
            <w:tcW w:w="429" w:type="dxa"/>
            <w:tcBorders>
              <w:left w:val="single" w:color="auto" w:sz="4" w:space="0"/>
              <w:right w:val="single" w:color="auto" w:sz="4" w:space="0"/>
            </w:tcBorders>
            <w:vAlign w:val="center"/>
          </w:tcPr>
          <w:p w14:paraId="776B8D31">
            <w:pPr>
              <w:jc w:val="right"/>
              <w:rPr>
                <w:rFonts w:eastAsia="Times New Roman" w:cs="Times New Roman"/>
                <w:sz w:val="15"/>
                <w:szCs w:val="15"/>
              </w:rPr>
            </w:pPr>
          </w:p>
        </w:tc>
        <w:tc>
          <w:tcPr>
            <w:tcW w:w="426" w:type="dxa"/>
            <w:tcBorders>
              <w:left w:val="single" w:color="auto" w:sz="4" w:space="0"/>
            </w:tcBorders>
            <w:vAlign w:val="center"/>
          </w:tcPr>
          <w:p w14:paraId="5C38F2FD">
            <w:pPr>
              <w:jc w:val="right"/>
              <w:rPr>
                <w:rFonts w:eastAsia="Times New Roman" w:cs="Times New Roman"/>
                <w:sz w:val="15"/>
                <w:szCs w:val="15"/>
              </w:rPr>
            </w:pPr>
          </w:p>
        </w:tc>
        <w:tc>
          <w:tcPr>
            <w:tcW w:w="1317" w:type="dxa"/>
            <w:vAlign w:val="center"/>
          </w:tcPr>
          <w:p w14:paraId="6E68F1C6">
            <w:pPr>
              <w:jc w:val="right"/>
              <w:rPr>
                <w:rFonts w:eastAsia="Times New Roman" w:cs="Times New Roman"/>
                <w:sz w:val="15"/>
                <w:szCs w:val="15"/>
              </w:rPr>
            </w:pPr>
          </w:p>
        </w:tc>
        <w:tc>
          <w:tcPr>
            <w:tcW w:w="1417" w:type="dxa"/>
            <w:vAlign w:val="center"/>
          </w:tcPr>
          <w:p w14:paraId="2B9C2928">
            <w:pPr>
              <w:jc w:val="right"/>
              <w:rPr>
                <w:rFonts w:eastAsia="Times New Roman" w:cs="Times New Roman"/>
                <w:sz w:val="15"/>
                <w:szCs w:val="15"/>
              </w:rPr>
            </w:pPr>
          </w:p>
        </w:tc>
        <w:tc>
          <w:tcPr>
            <w:tcW w:w="1134" w:type="dxa"/>
            <w:vAlign w:val="center"/>
          </w:tcPr>
          <w:p w14:paraId="6FE33CE5">
            <w:pPr>
              <w:jc w:val="right"/>
              <w:rPr>
                <w:rFonts w:eastAsia="Times New Roman" w:cs="Times New Roman"/>
                <w:sz w:val="15"/>
                <w:szCs w:val="15"/>
              </w:rPr>
            </w:pPr>
            <w:r>
              <w:rPr>
                <w:sz w:val="15"/>
                <w:szCs w:val="15"/>
              </w:rPr>
              <w:t>-25,474,626.09</w:t>
            </w:r>
          </w:p>
        </w:tc>
        <w:tc>
          <w:tcPr>
            <w:tcW w:w="1036" w:type="dxa"/>
            <w:vAlign w:val="center"/>
          </w:tcPr>
          <w:p w14:paraId="176B58DC">
            <w:pPr>
              <w:jc w:val="right"/>
              <w:rPr>
                <w:rFonts w:eastAsia="Times New Roman" w:cs="Times New Roman"/>
                <w:sz w:val="15"/>
                <w:szCs w:val="15"/>
              </w:rPr>
            </w:pPr>
          </w:p>
        </w:tc>
        <w:tc>
          <w:tcPr>
            <w:tcW w:w="1232" w:type="dxa"/>
            <w:vAlign w:val="center"/>
          </w:tcPr>
          <w:p w14:paraId="2F668594">
            <w:pPr>
              <w:jc w:val="right"/>
              <w:rPr>
                <w:rFonts w:eastAsia="Times New Roman" w:cs="Times New Roman"/>
                <w:sz w:val="15"/>
                <w:szCs w:val="15"/>
              </w:rPr>
            </w:pPr>
          </w:p>
        </w:tc>
        <w:tc>
          <w:tcPr>
            <w:tcW w:w="1276" w:type="dxa"/>
            <w:vAlign w:val="center"/>
          </w:tcPr>
          <w:p w14:paraId="40440DC4">
            <w:pPr>
              <w:jc w:val="right"/>
              <w:rPr>
                <w:rFonts w:ascii="宋体" w:hAnsi="宋体"/>
                <w:sz w:val="15"/>
                <w:szCs w:val="15"/>
              </w:rPr>
            </w:pPr>
            <w:r>
              <w:rPr>
                <w:sz w:val="15"/>
                <w:szCs w:val="15"/>
              </w:rPr>
              <w:t>154,681,456.80</w:t>
            </w:r>
          </w:p>
        </w:tc>
        <w:tc>
          <w:tcPr>
            <w:tcW w:w="1491" w:type="dxa"/>
            <w:vAlign w:val="center"/>
          </w:tcPr>
          <w:p w14:paraId="383218A7">
            <w:pPr>
              <w:jc w:val="right"/>
              <w:rPr>
                <w:sz w:val="15"/>
                <w:szCs w:val="15"/>
              </w:rPr>
            </w:pPr>
            <w:r>
              <w:rPr>
                <w:sz w:val="15"/>
                <w:szCs w:val="15"/>
              </w:rPr>
              <w:t>129,206,830.71</w:t>
            </w:r>
          </w:p>
        </w:tc>
      </w:tr>
      <w:tr w14:paraId="63AE6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2c2c42255e12419d81111ac5d28c5859"/>
            <w:id w:val="1656260703"/>
          </w:sdtPr>
          <w:sdtEndPr>
            <w:rPr>
              <w:sz w:val="15"/>
              <w:szCs w:val="15"/>
            </w:rPr>
          </w:sdtEndPr>
          <w:sdtContent>
            <w:tc>
              <w:tcPr>
                <w:tcW w:w="2552" w:type="dxa"/>
                <w:vAlign w:val="center"/>
              </w:tcPr>
              <w:p w14:paraId="3123FFA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二</w:t>
                </w:r>
                <w:r>
                  <w:rPr>
                    <w:color w:val="000000" w:themeColor="text1"/>
                    <w:sz w:val="15"/>
                    <w:szCs w:val="15"/>
                    <w14:textFill>
                      <w14:solidFill>
                        <w14:schemeClr w14:val="tx1"/>
                      </w14:solidFill>
                    </w14:textFill>
                  </w:rPr>
                  <w:t>）所有者投入和减少资本</w:t>
                </w:r>
              </w:p>
            </w:tc>
          </w:sdtContent>
        </w:sdt>
        <w:tc>
          <w:tcPr>
            <w:tcW w:w="1273" w:type="dxa"/>
            <w:tcBorders>
              <w:right w:val="single" w:color="auto" w:sz="4" w:space="0"/>
            </w:tcBorders>
            <w:vAlign w:val="center"/>
          </w:tcPr>
          <w:p w14:paraId="49F758ED">
            <w:pPr>
              <w:jc w:val="right"/>
              <w:rPr>
                <w:sz w:val="15"/>
                <w:szCs w:val="15"/>
              </w:rPr>
            </w:pPr>
          </w:p>
        </w:tc>
        <w:tc>
          <w:tcPr>
            <w:tcW w:w="424" w:type="dxa"/>
            <w:tcBorders>
              <w:left w:val="single" w:color="auto" w:sz="4" w:space="0"/>
              <w:right w:val="single" w:color="auto" w:sz="4" w:space="0"/>
            </w:tcBorders>
            <w:vAlign w:val="center"/>
          </w:tcPr>
          <w:p w14:paraId="3A7ACC50">
            <w:pPr>
              <w:jc w:val="right"/>
              <w:rPr>
                <w:sz w:val="15"/>
                <w:szCs w:val="15"/>
              </w:rPr>
            </w:pPr>
          </w:p>
        </w:tc>
        <w:tc>
          <w:tcPr>
            <w:tcW w:w="429" w:type="dxa"/>
            <w:tcBorders>
              <w:left w:val="single" w:color="auto" w:sz="4" w:space="0"/>
              <w:right w:val="single" w:color="auto" w:sz="4" w:space="0"/>
            </w:tcBorders>
            <w:vAlign w:val="center"/>
          </w:tcPr>
          <w:p w14:paraId="505A98F2">
            <w:pPr>
              <w:jc w:val="right"/>
              <w:rPr>
                <w:sz w:val="15"/>
                <w:szCs w:val="15"/>
              </w:rPr>
            </w:pPr>
          </w:p>
        </w:tc>
        <w:tc>
          <w:tcPr>
            <w:tcW w:w="426" w:type="dxa"/>
            <w:tcBorders>
              <w:left w:val="single" w:color="auto" w:sz="4" w:space="0"/>
            </w:tcBorders>
            <w:vAlign w:val="center"/>
          </w:tcPr>
          <w:p w14:paraId="0FA1C18F">
            <w:pPr>
              <w:jc w:val="right"/>
              <w:rPr>
                <w:sz w:val="15"/>
                <w:szCs w:val="15"/>
              </w:rPr>
            </w:pPr>
          </w:p>
        </w:tc>
        <w:tc>
          <w:tcPr>
            <w:tcW w:w="1317" w:type="dxa"/>
            <w:vAlign w:val="center"/>
          </w:tcPr>
          <w:p w14:paraId="4D9825E3">
            <w:pPr>
              <w:jc w:val="right"/>
              <w:rPr>
                <w:sz w:val="15"/>
                <w:szCs w:val="15"/>
              </w:rPr>
            </w:pPr>
            <w:r>
              <w:rPr>
                <w:sz w:val="15"/>
                <w:szCs w:val="15"/>
              </w:rPr>
              <w:t>9,695.23</w:t>
            </w:r>
          </w:p>
        </w:tc>
        <w:tc>
          <w:tcPr>
            <w:tcW w:w="1417" w:type="dxa"/>
            <w:vAlign w:val="center"/>
          </w:tcPr>
          <w:p w14:paraId="30942C5C">
            <w:pPr>
              <w:jc w:val="right"/>
              <w:rPr>
                <w:sz w:val="15"/>
                <w:szCs w:val="15"/>
              </w:rPr>
            </w:pPr>
          </w:p>
        </w:tc>
        <w:tc>
          <w:tcPr>
            <w:tcW w:w="1134" w:type="dxa"/>
            <w:vAlign w:val="center"/>
          </w:tcPr>
          <w:p w14:paraId="2F728CC3">
            <w:pPr>
              <w:jc w:val="right"/>
              <w:rPr>
                <w:sz w:val="15"/>
                <w:szCs w:val="15"/>
              </w:rPr>
            </w:pPr>
          </w:p>
        </w:tc>
        <w:tc>
          <w:tcPr>
            <w:tcW w:w="1036" w:type="dxa"/>
            <w:vAlign w:val="center"/>
          </w:tcPr>
          <w:p w14:paraId="1B95940D">
            <w:pPr>
              <w:jc w:val="right"/>
              <w:rPr>
                <w:sz w:val="15"/>
                <w:szCs w:val="15"/>
              </w:rPr>
            </w:pPr>
          </w:p>
        </w:tc>
        <w:tc>
          <w:tcPr>
            <w:tcW w:w="1232" w:type="dxa"/>
            <w:vAlign w:val="center"/>
          </w:tcPr>
          <w:p w14:paraId="1412496D">
            <w:pPr>
              <w:jc w:val="right"/>
              <w:rPr>
                <w:sz w:val="15"/>
                <w:szCs w:val="15"/>
              </w:rPr>
            </w:pPr>
          </w:p>
        </w:tc>
        <w:tc>
          <w:tcPr>
            <w:tcW w:w="1276" w:type="dxa"/>
            <w:vAlign w:val="center"/>
          </w:tcPr>
          <w:p w14:paraId="3D4759EC">
            <w:pPr>
              <w:jc w:val="right"/>
              <w:rPr>
                <w:sz w:val="15"/>
                <w:szCs w:val="15"/>
              </w:rPr>
            </w:pPr>
          </w:p>
        </w:tc>
        <w:tc>
          <w:tcPr>
            <w:tcW w:w="1491" w:type="dxa"/>
            <w:vAlign w:val="center"/>
          </w:tcPr>
          <w:p w14:paraId="49AB3595">
            <w:pPr>
              <w:jc w:val="right"/>
              <w:rPr>
                <w:sz w:val="15"/>
                <w:szCs w:val="15"/>
              </w:rPr>
            </w:pPr>
            <w:r>
              <w:rPr>
                <w:sz w:val="15"/>
                <w:szCs w:val="15"/>
              </w:rPr>
              <w:t>9,695.23</w:t>
            </w:r>
          </w:p>
        </w:tc>
      </w:tr>
      <w:tr w14:paraId="3B3F5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ced9c335ab0c4ec8b683bd42730e309b"/>
            <w:id w:val="317161925"/>
          </w:sdtPr>
          <w:sdtEndPr>
            <w:rPr>
              <w:sz w:val="15"/>
              <w:szCs w:val="15"/>
            </w:rPr>
          </w:sdtEndPr>
          <w:sdtContent>
            <w:tc>
              <w:tcPr>
                <w:tcW w:w="2552" w:type="dxa"/>
                <w:vAlign w:val="center"/>
              </w:tcPr>
              <w:p w14:paraId="2704EC42">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1．所有者投入的普通股</w:t>
                </w:r>
              </w:p>
            </w:tc>
          </w:sdtContent>
        </w:sdt>
        <w:tc>
          <w:tcPr>
            <w:tcW w:w="1273" w:type="dxa"/>
            <w:tcBorders>
              <w:right w:val="single" w:color="auto" w:sz="4" w:space="0"/>
            </w:tcBorders>
            <w:vAlign w:val="center"/>
          </w:tcPr>
          <w:p w14:paraId="313719CA">
            <w:pPr>
              <w:jc w:val="right"/>
              <w:rPr>
                <w:sz w:val="15"/>
                <w:szCs w:val="15"/>
              </w:rPr>
            </w:pPr>
          </w:p>
        </w:tc>
        <w:tc>
          <w:tcPr>
            <w:tcW w:w="424" w:type="dxa"/>
            <w:tcBorders>
              <w:left w:val="single" w:color="auto" w:sz="4" w:space="0"/>
              <w:right w:val="single" w:color="auto" w:sz="4" w:space="0"/>
            </w:tcBorders>
            <w:vAlign w:val="center"/>
          </w:tcPr>
          <w:p w14:paraId="3C441678">
            <w:pPr>
              <w:jc w:val="right"/>
              <w:rPr>
                <w:sz w:val="15"/>
                <w:szCs w:val="15"/>
              </w:rPr>
            </w:pPr>
          </w:p>
        </w:tc>
        <w:tc>
          <w:tcPr>
            <w:tcW w:w="429" w:type="dxa"/>
            <w:tcBorders>
              <w:left w:val="single" w:color="auto" w:sz="4" w:space="0"/>
              <w:right w:val="single" w:color="auto" w:sz="4" w:space="0"/>
            </w:tcBorders>
            <w:vAlign w:val="center"/>
          </w:tcPr>
          <w:p w14:paraId="6A976393">
            <w:pPr>
              <w:jc w:val="right"/>
              <w:rPr>
                <w:sz w:val="15"/>
                <w:szCs w:val="15"/>
              </w:rPr>
            </w:pPr>
          </w:p>
        </w:tc>
        <w:tc>
          <w:tcPr>
            <w:tcW w:w="426" w:type="dxa"/>
            <w:tcBorders>
              <w:left w:val="single" w:color="auto" w:sz="4" w:space="0"/>
            </w:tcBorders>
            <w:vAlign w:val="center"/>
          </w:tcPr>
          <w:p w14:paraId="7312A26E">
            <w:pPr>
              <w:jc w:val="right"/>
              <w:rPr>
                <w:sz w:val="15"/>
                <w:szCs w:val="15"/>
              </w:rPr>
            </w:pPr>
          </w:p>
        </w:tc>
        <w:tc>
          <w:tcPr>
            <w:tcW w:w="1317" w:type="dxa"/>
            <w:vAlign w:val="center"/>
          </w:tcPr>
          <w:p w14:paraId="00B17854">
            <w:pPr>
              <w:jc w:val="right"/>
              <w:rPr>
                <w:sz w:val="15"/>
                <w:szCs w:val="15"/>
              </w:rPr>
            </w:pPr>
          </w:p>
        </w:tc>
        <w:tc>
          <w:tcPr>
            <w:tcW w:w="1417" w:type="dxa"/>
            <w:vAlign w:val="center"/>
          </w:tcPr>
          <w:p w14:paraId="23687189">
            <w:pPr>
              <w:jc w:val="right"/>
              <w:rPr>
                <w:sz w:val="15"/>
                <w:szCs w:val="15"/>
              </w:rPr>
            </w:pPr>
          </w:p>
        </w:tc>
        <w:tc>
          <w:tcPr>
            <w:tcW w:w="1134" w:type="dxa"/>
            <w:vAlign w:val="center"/>
          </w:tcPr>
          <w:p w14:paraId="38DEB1C3">
            <w:pPr>
              <w:jc w:val="right"/>
              <w:rPr>
                <w:sz w:val="15"/>
                <w:szCs w:val="15"/>
              </w:rPr>
            </w:pPr>
          </w:p>
        </w:tc>
        <w:tc>
          <w:tcPr>
            <w:tcW w:w="1036" w:type="dxa"/>
            <w:vAlign w:val="center"/>
          </w:tcPr>
          <w:p w14:paraId="57E3A781">
            <w:pPr>
              <w:jc w:val="right"/>
              <w:rPr>
                <w:sz w:val="15"/>
                <w:szCs w:val="15"/>
              </w:rPr>
            </w:pPr>
          </w:p>
        </w:tc>
        <w:tc>
          <w:tcPr>
            <w:tcW w:w="1232" w:type="dxa"/>
            <w:vAlign w:val="center"/>
          </w:tcPr>
          <w:p w14:paraId="70B993AC">
            <w:pPr>
              <w:jc w:val="right"/>
              <w:rPr>
                <w:sz w:val="15"/>
                <w:szCs w:val="15"/>
              </w:rPr>
            </w:pPr>
          </w:p>
        </w:tc>
        <w:tc>
          <w:tcPr>
            <w:tcW w:w="1276" w:type="dxa"/>
            <w:vAlign w:val="center"/>
          </w:tcPr>
          <w:p w14:paraId="175E3787">
            <w:pPr>
              <w:jc w:val="right"/>
              <w:rPr>
                <w:sz w:val="15"/>
                <w:szCs w:val="15"/>
              </w:rPr>
            </w:pPr>
          </w:p>
        </w:tc>
        <w:tc>
          <w:tcPr>
            <w:tcW w:w="1491" w:type="dxa"/>
            <w:vAlign w:val="center"/>
          </w:tcPr>
          <w:p w14:paraId="6BAB9FDA">
            <w:pPr>
              <w:jc w:val="right"/>
              <w:rPr>
                <w:sz w:val="15"/>
                <w:szCs w:val="15"/>
              </w:rPr>
            </w:pPr>
          </w:p>
        </w:tc>
      </w:tr>
      <w:tr w14:paraId="305C6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5db7714c048b45cb8fc2f783898126a2"/>
            <w:id w:val="-913244651"/>
          </w:sdtPr>
          <w:sdtEndPr>
            <w:rPr>
              <w:sz w:val="15"/>
              <w:szCs w:val="15"/>
            </w:rPr>
          </w:sdtEndPr>
          <w:sdtContent>
            <w:tc>
              <w:tcPr>
                <w:tcW w:w="2552" w:type="dxa"/>
                <w:vAlign w:val="center"/>
              </w:tcPr>
              <w:p w14:paraId="4C0A4243">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2．其他权益工具持有者投入资本</w:t>
                </w:r>
              </w:p>
            </w:tc>
          </w:sdtContent>
        </w:sdt>
        <w:tc>
          <w:tcPr>
            <w:tcW w:w="1273" w:type="dxa"/>
            <w:tcBorders>
              <w:right w:val="single" w:color="auto" w:sz="4" w:space="0"/>
            </w:tcBorders>
            <w:vAlign w:val="center"/>
          </w:tcPr>
          <w:p w14:paraId="169BACC1">
            <w:pPr>
              <w:jc w:val="right"/>
              <w:rPr>
                <w:sz w:val="15"/>
                <w:szCs w:val="15"/>
              </w:rPr>
            </w:pPr>
          </w:p>
        </w:tc>
        <w:tc>
          <w:tcPr>
            <w:tcW w:w="424" w:type="dxa"/>
            <w:tcBorders>
              <w:left w:val="single" w:color="auto" w:sz="4" w:space="0"/>
              <w:right w:val="single" w:color="auto" w:sz="4" w:space="0"/>
            </w:tcBorders>
            <w:vAlign w:val="center"/>
          </w:tcPr>
          <w:p w14:paraId="7D3537EE">
            <w:pPr>
              <w:jc w:val="right"/>
              <w:rPr>
                <w:sz w:val="15"/>
                <w:szCs w:val="15"/>
              </w:rPr>
            </w:pPr>
          </w:p>
        </w:tc>
        <w:tc>
          <w:tcPr>
            <w:tcW w:w="429" w:type="dxa"/>
            <w:tcBorders>
              <w:left w:val="single" w:color="auto" w:sz="4" w:space="0"/>
              <w:right w:val="single" w:color="auto" w:sz="4" w:space="0"/>
            </w:tcBorders>
            <w:vAlign w:val="center"/>
          </w:tcPr>
          <w:p w14:paraId="0534578C">
            <w:pPr>
              <w:jc w:val="right"/>
              <w:rPr>
                <w:sz w:val="15"/>
                <w:szCs w:val="15"/>
              </w:rPr>
            </w:pPr>
          </w:p>
        </w:tc>
        <w:tc>
          <w:tcPr>
            <w:tcW w:w="426" w:type="dxa"/>
            <w:tcBorders>
              <w:left w:val="single" w:color="auto" w:sz="4" w:space="0"/>
            </w:tcBorders>
            <w:vAlign w:val="center"/>
          </w:tcPr>
          <w:p w14:paraId="2623F831">
            <w:pPr>
              <w:jc w:val="right"/>
              <w:rPr>
                <w:sz w:val="15"/>
                <w:szCs w:val="15"/>
              </w:rPr>
            </w:pPr>
          </w:p>
        </w:tc>
        <w:tc>
          <w:tcPr>
            <w:tcW w:w="1317" w:type="dxa"/>
            <w:vAlign w:val="center"/>
          </w:tcPr>
          <w:p w14:paraId="5FFA2837">
            <w:pPr>
              <w:jc w:val="right"/>
              <w:rPr>
                <w:sz w:val="15"/>
                <w:szCs w:val="15"/>
              </w:rPr>
            </w:pPr>
          </w:p>
        </w:tc>
        <w:tc>
          <w:tcPr>
            <w:tcW w:w="1417" w:type="dxa"/>
            <w:vAlign w:val="center"/>
          </w:tcPr>
          <w:p w14:paraId="6169C212">
            <w:pPr>
              <w:jc w:val="right"/>
              <w:rPr>
                <w:sz w:val="15"/>
                <w:szCs w:val="15"/>
              </w:rPr>
            </w:pPr>
          </w:p>
        </w:tc>
        <w:tc>
          <w:tcPr>
            <w:tcW w:w="1134" w:type="dxa"/>
            <w:vAlign w:val="center"/>
          </w:tcPr>
          <w:p w14:paraId="7DB08E4B">
            <w:pPr>
              <w:jc w:val="right"/>
              <w:rPr>
                <w:sz w:val="15"/>
                <w:szCs w:val="15"/>
              </w:rPr>
            </w:pPr>
          </w:p>
        </w:tc>
        <w:tc>
          <w:tcPr>
            <w:tcW w:w="1036" w:type="dxa"/>
            <w:vAlign w:val="center"/>
          </w:tcPr>
          <w:p w14:paraId="6ADC1B30">
            <w:pPr>
              <w:jc w:val="right"/>
              <w:rPr>
                <w:sz w:val="15"/>
                <w:szCs w:val="15"/>
              </w:rPr>
            </w:pPr>
          </w:p>
        </w:tc>
        <w:tc>
          <w:tcPr>
            <w:tcW w:w="1232" w:type="dxa"/>
            <w:vAlign w:val="center"/>
          </w:tcPr>
          <w:p w14:paraId="5EF89B74">
            <w:pPr>
              <w:jc w:val="right"/>
              <w:rPr>
                <w:sz w:val="15"/>
                <w:szCs w:val="15"/>
              </w:rPr>
            </w:pPr>
          </w:p>
        </w:tc>
        <w:tc>
          <w:tcPr>
            <w:tcW w:w="1276" w:type="dxa"/>
            <w:vAlign w:val="center"/>
          </w:tcPr>
          <w:p w14:paraId="6D9C042B">
            <w:pPr>
              <w:jc w:val="right"/>
              <w:rPr>
                <w:sz w:val="15"/>
                <w:szCs w:val="15"/>
              </w:rPr>
            </w:pPr>
          </w:p>
        </w:tc>
        <w:tc>
          <w:tcPr>
            <w:tcW w:w="1491" w:type="dxa"/>
            <w:vAlign w:val="center"/>
          </w:tcPr>
          <w:p w14:paraId="540CCF06">
            <w:pPr>
              <w:jc w:val="right"/>
              <w:rPr>
                <w:sz w:val="15"/>
                <w:szCs w:val="15"/>
              </w:rPr>
            </w:pPr>
          </w:p>
        </w:tc>
      </w:tr>
      <w:tr w14:paraId="4AEC7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0c8627dcaed14beabce3c3a65384cf01"/>
            <w:id w:val="-556631251"/>
          </w:sdtPr>
          <w:sdtEndPr>
            <w:rPr>
              <w:sz w:val="15"/>
              <w:szCs w:val="15"/>
            </w:rPr>
          </w:sdtEndPr>
          <w:sdtContent>
            <w:tc>
              <w:tcPr>
                <w:tcW w:w="2552" w:type="dxa"/>
                <w:vAlign w:val="center"/>
              </w:tcPr>
              <w:p w14:paraId="3B4271E3">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w:t>
                </w:r>
                <w:r>
                  <w:rPr>
                    <w:color w:val="000000" w:themeColor="text1"/>
                    <w:sz w:val="15"/>
                    <w:szCs w:val="15"/>
                    <w14:textFill>
                      <w14:solidFill>
                        <w14:schemeClr w14:val="tx1"/>
                      </w14:solidFill>
                    </w14:textFill>
                  </w:rPr>
                  <w:t>．股份支付计入所有者权益的金额</w:t>
                </w:r>
              </w:p>
            </w:tc>
          </w:sdtContent>
        </w:sdt>
        <w:tc>
          <w:tcPr>
            <w:tcW w:w="1273" w:type="dxa"/>
            <w:tcBorders>
              <w:right w:val="single" w:color="auto" w:sz="4" w:space="0"/>
            </w:tcBorders>
            <w:vAlign w:val="center"/>
          </w:tcPr>
          <w:p w14:paraId="4698DF35">
            <w:pPr>
              <w:jc w:val="right"/>
              <w:rPr>
                <w:sz w:val="15"/>
                <w:szCs w:val="15"/>
              </w:rPr>
            </w:pPr>
          </w:p>
        </w:tc>
        <w:tc>
          <w:tcPr>
            <w:tcW w:w="424" w:type="dxa"/>
            <w:tcBorders>
              <w:left w:val="single" w:color="auto" w:sz="4" w:space="0"/>
              <w:right w:val="single" w:color="auto" w:sz="4" w:space="0"/>
            </w:tcBorders>
            <w:vAlign w:val="center"/>
          </w:tcPr>
          <w:p w14:paraId="7EB4B0CE">
            <w:pPr>
              <w:jc w:val="right"/>
              <w:rPr>
                <w:sz w:val="15"/>
                <w:szCs w:val="15"/>
              </w:rPr>
            </w:pPr>
          </w:p>
        </w:tc>
        <w:tc>
          <w:tcPr>
            <w:tcW w:w="429" w:type="dxa"/>
            <w:tcBorders>
              <w:left w:val="single" w:color="auto" w:sz="4" w:space="0"/>
              <w:right w:val="single" w:color="auto" w:sz="4" w:space="0"/>
            </w:tcBorders>
            <w:vAlign w:val="center"/>
          </w:tcPr>
          <w:p w14:paraId="5073F510">
            <w:pPr>
              <w:jc w:val="right"/>
              <w:rPr>
                <w:sz w:val="15"/>
                <w:szCs w:val="15"/>
              </w:rPr>
            </w:pPr>
          </w:p>
        </w:tc>
        <w:tc>
          <w:tcPr>
            <w:tcW w:w="426" w:type="dxa"/>
            <w:tcBorders>
              <w:left w:val="single" w:color="auto" w:sz="4" w:space="0"/>
            </w:tcBorders>
            <w:vAlign w:val="center"/>
          </w:tcPr>
          <w:p w14:paraId="3BF32FEC">
            <w:pPr>
              <w:jc w:val="right"/>
              <w:rPr>
                <w:sz w:val="15"/>
                <w:szCs w:val="15"/>
              </w:rPr>
            </w:pPr>
          </w:p>
        </w:tc>
        <w:tc>
          <w:tcPr>
            <w:tcW w:w="1317" w:type="dxa"/>
            <w:vAlign w:val="center"/>
          </w:tcPr>
          <w:p w14:paraId="02DBCBE1">
            <w:pPr>
              <w:jc w:val="right"/>
              <w:rPr>
                <w:sz w:val="15"/>
                <w:szCs w:val="15"/>
              </w:rPr>
            </w:pPr>
          </w:p>
        </w:tc>
        <w:tc>
          <w:tcPr>
            <w:tcW w:w="1417" w:type="dxa"/>
            <w:vAlign w:val="center"/>
          </w:tcPr>
          <w:p w14:paraId="5C763F85">
            <w:pPr>
              <w:jc w:val="right"/>
              <w:rPr>
                <w:sz w:val="15"/>
                <w:szCs w:val="15"/>
              </w:rPr>
            </w:pPr>
          </w:p>
        </w:tc>
        <w:tc>
          <w:tcPr>
            <w:tcW w:w="1134" w:type="dxa"/>
            <w:vAlign w:val="center"/>
          </w:tcPr>
          <w:p w14:paraId="6D606827">
            <w:pPr>
              <w:jc w:val="right"/>
              <w:rPr>
                <w:sz w:val="15"/>
                <w:szCs w:val="15"/>
              </w:rPr>
            </w:pPr>
          </w:p>
        </w:tc>
        <w:tc>
          <w:tcPr>
            <w:tcW w:w="1036" w:type="dxa"/>
            <w:vAlign w:val="center"/>
          </w:tcPr>
          <w:p w14:paraId="3076FF88">
            <w:pPr>
              <w:jc w:val="right"/>
              <w:rPr>
                <w:sz w:val="15"/>
                <w:szCs w:val="15"/>
              </w:rPr>
            </w:pPr>
          </w:p>
        </w:tc>
        <w:tc>
          <w:tcPr>
            <w:tcW w:w="1232" w:type="dxa"/>
            <w:vAlign w:val="center"/>
          </w:tcPr>
          <w:p w14:paraId="7CAA3D90">
            <w:pPr>
              <w:jc w:val="right"/>
              <w:rPr>
                <w:sz w:val="15"/>
                <w:szCs w:val="15"/>
              </w:rPr>
            </w:pPr>
          </w:p>
        </w:tc>
        <w:tc>
          <w:tcPr>
            <w:tcW w:w="1276" w:type="dxa"/>
            <w:vAlign w:val="center"/>
          </w:tcPr>
          <w:p w14:paraId="4A3D17CC">
            <w:pPr>
              <w:jc w:val="right"/>
              <w:rPr>
                <w:sz w:val="15"/>
                <w:szCs w:val="15"/>
              </w:rPr>
            </w:pPr>
          </w:p>
        </w:tc>
        <w:tc>
          <w:tcPr>
            <w:tcW w:w="1491" w:type="dxa"/>
            <w:vAlign w:val="center"/>
          </w:tcPr>
          <w:p w14:paraId="3CDCD81B">
            <w:pPr>
              <w:jc w:val="right"/>
              <w:rPr>
                <w:sz w:val="15"/>
                <w:szCs w:val="15"/>
              </w:rPr>
            </w:pPr>
          </w:p>
        </w:tc>
      </w:tr>
      <w:tr w14:paraId="5410B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4815225e85794febad32622528b72229"/>
            <w:id w:val="-979298118"/>
          </w:sdtPr>
          <w:sdtEndPr>
            <w:rPr>
              <w:sz w:val="15"/>
              <w:szCs w:val="15"/>
            </w:rPr>
          </w:sdtEndPr>
          <w:sdtContent>
            <w:tc>
              <w:tcPr>
                <w:tcW w:w="2552" w:type="dxa"/>
                <w:vAlign w:val="center"/>
              </w:tcPr>
              <w:p w14:paraId="1E995265">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w:t>
                </w:r>
                <w:r>
                  <w:rPr>
                    <w:color w:val="000000" w:themeColor="text1"/>
                    <w:sz w:val="15"/>
                    <w:szCs w:val="15"/>
                    <w14:textFill>
                      <w14:solidFill>
                        <w14:schemeClr w14:val="tx1"/>
                      </w14:solidFill>
                    </w14:textFill>
                  </w:rPr>
                  <w:t>．其他</w:t>
                </w:r>
              </w:p>
            </w:tc>
          </w:sdtContent>
        </w:sdt>
        <w:tc>
          <w:tcPr>
            <w:tcW w:w="1273" w:type="dxa"/>
            <w:tcBorders>
              <w:right w:val="single" w:color="auto" w:sz="4" w:space="0"/>
            </w:tcBorders>
            <w:vAlign w:val="center"/>
          </w:tcPr>
          <w:p w14:paraId="44DD1F15">
            <w:pPr>
              <w:jc w:val="right"/>
              <w:rPr>
                <w:sz w:val="15"/>
                <w:szCs w:val="15"/>
              </w:rPr>
            </w:pPr>
          </w:p>
        </w:tc>
        <w:tc>
          <w:tcPr>
            <w:tcW w:w="424" w:type="dxa"/>
            <w:tcBorders>
              <w:left w:val="single" w:color="auto" w:sz="4" w:space="0"/>
              <w:right w:val="single" w:color="auto" w:sz="4" w:space="0"/>
            </w:tcBorders>
            <w:vAlign w:val="center"/>
          </w:tcPr>
          <w:p w14:paraId="17C3FC50">
            <w:pPr>
              <w:jc w:val="right"/>
              <w:rPr>
                <w:sz w:val="15"/>
                <w:szCs w:val="15"/>
              </w:rPr>
            </w:pPr>
          </w:p>
        </w:tc>
        <w:tc>
          <w:tcPr>
            <w:tcW w:w="429" w:type="dxa"/>
            <w:tcBorders>
              <w:left w:val="single" w:color="auto" w:sz="4" w:space="0"/>
              <w:right w:val="single" w:color="auto" w:sz="4" w:space="0"/>
            </w:tcBorders>
            <w:vAlign w:val="center"/>
          </w:tcPr>
          <w:p w14:paraId="13CED091">
            <w:pPr>
              <w:jc w:val="right"/>
              <w:rPr>
                <w:sz w:val="15"/>
                <w:szCs w:val="15"/>
              </w:rPr>
            </w:pPr>
          </w:p>
        </w:tc>
        <w:tc>
          <w:tcPr>
            <w:tcW w:w="426" w:type="dxa"/>
            <w:tcBorders>
              <w:left w:val="single" w:color="auto" w:sz="4" w:space="0"/>
            </w:tcBorders>
            <w:vAlign w:val="center"/>
          </w:tcPr>
          <w:p w14:paraId="46D1409D">
            <w:pPr>
              <w:jc w:val="right"/>
              <w:rPr>
                <w:sz w:val="15"/>
                <w:szCs w:val="15"/>
              </w:rPr>
            </w:pPr>
          </w:p>
        </w:tc>
        <w:tc>
          <w:tcPr>
            <w:tcW w:w="1317" w:type="dxa"/>
            <w:vAlign w:val="center"/>
          </w:tcPr>
          <w:p w14:paraId="5BB44B79">
            <w:pPr>
              <w:jc w:val="right"/>
              <w:rPr>
                <w:sz w:val="15"/>
                <w:szCs w:val="15"/>
              </w:rPr>
            </w:pPr>
            <w:r>
              <w:rPr>
                <w:sz w:val="15"/>
                <w:szCs w:val="15"/>
              </w:rPr>
              <w:t>9,695.23</w:t>
            </w:r>
          </w:p>
        </w:tc>
        <w:tc>
          <w:tcPr>
            <w:tcW w:w="1417" w:type="dxa"/>
            <w:vAlign w:val="center"/>
          </w:tcPr>
          <w:p w14:paraId="030052EE">
            <w:pPr>
              <w:jc w:val="right"/>
              <w:rPr>
                <w:sz w:val="15"/>
                <w:szCs w:val="15"/>
              </w:rPr>
            </w:pPr>
          </w:p>
        </w:tc>
        <w:tc>
          <w:tcPr>
            <w:tcW w:w="1134" w:type="dxa"/>
            <w:vAlign w:val="center"/>
          </w:tcPr>
          <w:p w14:paraId="748FAC2D">
            <w:pPr>
              <w:jc w:val="right"/>
              <w:rPr>
                <w:sz w:val="15"/>
                <w:szCs w:val="15"/>
              </w:rPr>
            </w:pPr>
          </w:p>
        </w:tc>
        <w:tc>
          <w:tcPr>
            <w:tcW w:w="1036" w:type="dxa"/>
            <w:vAlign w:val="center"/>
          </w:tcPr>
          <w:p w14:paraId="1BD199CF">
            <w:pPr>
              <w:jc w:val="right"/>
              <w:rPr>
                <w:sz w:val="15"/>
                <w:szCs w:val="15"/>
              </w:rPr>
            </w:pPr>
          </w:p>
        </w:tc>
        <w:tc>
          <w:tcPr>
            <w:tcW w:w="1232" w:type="dxa"/>
            <w:vAlign w:val="center"/>
          </w:tcPr>
          <w:p w14:paraId="65D30382">
            <w:pPr>
              <w:jc w:val="right"/>
              <w:rPr>
                <w:sz w:val="15"/>
                <w:szCs w:val="15"/>
              </w:rPr>
            </w:pPr>
          </w:p>
        </w:tc>
        <w:tc>
          <w:tcPr>
            <w:tcW w:w="1276" w:type="dxa"/>
            <w:vAlign w:val="center"/>
          </w:tcPr>
          <w:p w14:paraId="3A1603E4">
            <w:pPr>
              <w:jc w:val="right"/>
              <w:rPr>
                <w:sz w:val="15"/>
                <w:szCs w:val="15"/>
              </w:rPr>
            </w:pPr>
          </w:p>
        </w:tc>
        <w:tc>
          <w:tcPr>
            <w:tcW w:w="1491" w:type="dxa"/>
            <w:vAlign w:val="center"/>
          </w:tcPr>
          <w:p w14:paraId="2E31DB98">
            <w:pPr>
              <w:jc w:val="right"/>
              <w:rPr>
                <w:sz w:val="15"/>
                <w:szCs w:val="15"/>
              </w:rPr>
            </w:pPr>
            <w:r>
              <w:rPr>
                <w:sz w:val="15"/>
                <w:szCs w:val="15"/>
              </w:rPr>
              <w:t>9,695.23</w:t>
            </w:r>
          </w:p>
        </w:tc>
      </w:tr>
      <w:tr w14:paraId="0AEE7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1277678c10f343d5a55853e3552c21df"/>
            <w:id w:val="-486558316"/>
          </w:sdtPr>
          <w:sdtEndPr>
            <w:rPr>
              <w:sz w:val="15"/>
              <w:szCs w:val="15"/>
            </w:rPr>
          </w:sdtEndPr>
          <w:sdtContent>
            <w:tc>
              <w:tcPr>
                <w:tcW w:w="2552" w:type="dxa"/>
                <w:vAlign w:val="center"/>
              </w:tcPr>
              <w:p w14:paraId="476FF36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三</w:t>
                </w:r>
                <w:r>
                  <w:rPr>
                    <w:color w:val="000000" w:themeColor="text1"/>
                    <w:sz w:val="15"/>
                    <w:szCs w:val="15"/>
                    <w14:textFill>
                      <w14:solidFill>
                        <w14:schemeClr w14:val="tx1"/>
                      </w14:solidFill>
                    </w14:textFill>
                  </w:rPr>
                  <w:t>）利润分配</w:t>
                </w:r>
              </w:p>
            </w:tc>
          </w:sdtContent>
        </w:sdt>
        <w:tc>
          <w:tcPr>
            <w:tcW w:w="1273" w:type="dxa"/>
            <w:tcBorders>
              <w:right w:val="single" w:color="auto" w:sz="4" w:space="0"/>
            </w:tcBorders>
            <w:vAlign w:val="center"/>
          </w:tcPr>
          <w:p w14:paraId="6E10D82D">
            <w:pPr>
              <w:jc w:val="right"/>
              <w:rPr>
                <w:sz w:val="15"/>
                <w:szCs w:val="15"/>
              </w:rPr>
            </w:pPr>
          </w:p>
        </w:tc>
        <w:tc>
          <w:tcPr>
            <w:tcW w:w="424" w:type="dxa"/>
            <w:tcBorders>
              <w:left w:val="single" w:color="auto" w:sz="4" w:space="0"/>
              <w:right w:val="single" w:color="auto" w:sz="4" w:space="0"/>
            </w:tcBorders>
            <w:vAlign w:val="center"/>
          </w:tcPr>
          <w:p w14:paraId="347F768A">
            <w:pPr>
              <w:jc w:val="right"/>
              <w:rPr>
                <w:sz w:val="15"/>
                <w:szCs w:val="15"/>
              </w:rPr>
            </w:pPr>
          </w:p>
        </w:tc>
        <w:tc>
          <w:tcPr>
            <w:tcW w:w="429" w:type="dxa"/>
            <w:tcBorders>
              <w:left w:val="single" w:color="auto" w:sz="4" w:space="0"/>
              <w:right w:val="single" w:color="auto" w:sz="4" w:space="0"/>
            </w:tcBorders>
            <w:vAlign w:val="center"/>
          </w:tcPr>
          <w:p w14:paraId="1426C3B0">
            <w:pPr>
              <w:jc w:val="right"/>
              <w:rPr>
                <w:sz w:val="15"/>
                <w:szCs w:val="15"/>
              </w:rPr>
            </w:pPr>
          </w:p>
        </w:tc>
        <w:tc>
          <w:tcPr>
            <w:tcW w:w="426" w:type="dxa"/>
            <w:tcBorders>
              <w:left w:val="single" w:color="auto" w:sz="4" w:space="0"/>
            </w:tcBorders>
            <w:vAlign w:val="center"/>
          </w:tcPr>
          <w:p w14:paraId="10AF8841">
            <w:pPr>
              <w:jc w:val="right"/>
              <w:rPr>
                <w:sz w:val="15"/>
                <w:szCs w:val="15"/>
              </w:rPr>
            </w:pPr>
          </w:p>
        </w:tc>
        <w:tc>
          <w:tcPr>
            <w:tcW w:w="1317" w:type="dxa"/>
            <w:vAlign w:val="center"/>
          </w:tcPr>
          <w:p w14:paraId="27A6794D">
            <w:pPr>
              <w:jc w:val="right"/>
              <w:rPr>
                <w:sz w:val="15"/>
                <w:szCs w:val="15"/>
              </w:rPr>
            </w:pPr>
          </w:p>
        </w:tc>
        <w:tc>
          <w:tcPr>
            <w:tcW w:w="1417" w:type="dxa"/>
            <w:vAlign w:val="center"/>
          </w:tcPr>
          <w:p w14:paraId="78CE524E">
            <w:pPr>
              <w:jc w:val="right"/>
              <w:rPr>
                <w:sz w:val="15"/>
                <w:szCs w:val="15"/>
              </w:rPr>
            </w:pPr>
          </w:p>
        </w:tc>
        <w:tc>
          <w:tcPr>
            <w:tcW w:w="1134" w:type="dxa"/>
            <w:vAlign w:val="center"/>
          </w:tcPr>
          <w:p w14:paraId="199BBCBE">
            <w:pPr>
              <w:jc w:val="right"/>
              <w:rPr>
                <w:sz w:val="15"/>
                <w:szCs w:val="15"/>
              </w:rPr>
            </w:pPr>
          </w:p>
        </w:tc>
        <w:tc>
          <w:tcPr>
            <w:tcW w:w="1036" w:type="dxa"/>
            <w:vAlign w:val="center"/>
          </w:tcPr>
          <w:p w14:paraId="733468AB">
            <w:pPr>
              <w:jc w:val="right"/>
              <w:rPr>
                <w:sz w:val="15"/>
                <w:szCs w:val="15"/>
              </w:rPr>
            </w:pPr>
          </w:p>
        </w:tc>
        <w:tc>
          <w:tcPr>
            <w:tcW w:w="1232" w:type="dxa"/>
            <w:vAlign w:val="center"/>
          </w:tcPr>
          <w:p w14:paraId="0C9C7FEE">
            <w:pPr>
              <w:jc w:val="right"/>
              <w:rPr>
                <w:sz w:val="15"/>
                <w:szCs w:val="15"/>
              </w:rPr>
            </w:pPr>
          </w:p>
        </w:tc>
        <w:tc>
          <w:tcPr>
            <w:tcW w:w="1276" w:type="dxa"/>
            <w:vAlign w:val="center"/>
          </w:tcPr>
          <w:p w14:paraId="07CB0697">
            <w:pPr>
              <w:jc w:val="right"/>
              <w:rPr>
                <w:sz w:val="15"/>
                <w:szCs w:val="15"/>
              </w:rPr>
            </w:pPr>
          </w:p>
        </w:tc>
        <w:tc>
          <w:tcPr>
            <w:tcW w:w="1491" w:type="dxa"/>
            <w:vAlign w:val="center"/>
          </w:tcPr>
          <w:p w14:paraId="023B9BED">
            <w:pPr>
              <w:jc w:val="right"/>
              <w:rPr>
                <w:sz w:val="15"/>
                <w:szCs w:val="15"/>
              </w:rPr>
            </w:pPr>
          </w:p>
        </w:tc>
      </w:tr>
      <w:tr w14:paraId="4AB9A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6be0f6b7609247d98f239c435a57bdf2"/>
            <w:id w:val="1525831544"/>
          </w:sdtPr>
          <w:sdtEndPr>
            <w:rPr>
              <w:sz w:val="15"/>
              <w:szCs w:val="15"/>
            </w:rPr>
          </w:sdtEndPr>
          <w:sdtContent>
            <w:tc>
              <w:tcPr>
                <w:tcW w:w="2552" w:type="dxa"/>
                <w:vAlign w:val="center"/>
              </w:tcPr>
              <w:p w14:paraId="106F11AF">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1．提取盈余公积</w:t>
                </w:r>
              </w:p>
            </w:tc>
          </w:sdtContent>
        </w:sdt>
        <w:tc>
          <w:tcPr>
            <w:tcW w:w="1273" w:type="dxa"/>
            <w:tcBorders>
              <w:right w:val="single" w:color="auto" w:sz="4" w:space="0"/>
            </w:tcBorders>
            <w:vAlign w:val="center"/>
          </w:tcPr>
          <w:p w14:paraId="48246F69">
            <w:pPr>
              <w:jc w:val="right"/>
              <w:rPr>
                <w:sz w:val="15"/>
                <w:szCs w:val="15"/>
              </w:rPr>
            </w:pPr>
          </w:p>
        </w:tc>
        <w:tc>
          <w:tcPr>
            <w:tcW w:w="424" w:type="dxa"/>
            <w:tcBorders>
              <w:left w:val="single" w:color="auto" w:sz="4" w:space="0"/>
              <w:right w:val="single" w:color="auto" w:sz="4" w:space="0"/>
            </w:tcBorders>
            <w:vAlign w:val="center"/>
          </w:tcPr>
          <w:p w14:paraId="1A093DED">
            <w:pPr>
              <w:jc w:val="right"/>
              <w:rPr>
                <w:sz w:val="15"/>
                <w:szCs w:val="15"/>
              </w:rPr>
            </w:pPr>
          </w:p>
        </w:tc>
        <w:tc>
          <w:tcPr>
            <w:tcW w:w="429" w:type="dxa"/>
            <w:tcBorders>
              <w:left w:val="single" w:color="auto" w:sz="4" w:space="0"/>
              <w:right w:val="single" w:color="auto" w:sz="4" w:space="0"/>
            </w:tcBorders>
            <w:vAlign w:val="center"/>
          </w:tcPr>
          <w:p w14:paraId="13769BEF">
            <w:pPr>
              <w:jc w:val="right"/>
              <w:rPr>
                <w:sz w:val="15"/>
                <w:szCs w:val="15"/>
              </w:rPr>
            </w:pPr>
          </w:p>
        </w:tc>
        <w:tc>
          <w:tcPr>
            <w:tcW w:w="426" w:type="dxa"/>
            <w:tcBorders>
              <w:left w:val="single" w:color="auto" w:sz="4" w:space="0"/>
            </w:tcBorders>
            <w:vAlign w:val="center"/>
          </w:tcPr>
          <w:p w14:paraId="574EE8F8">
            <w:pPr>
              <w:jc w:val="right"/>
              <w:rPr>
                <w:sz w:val="15"/>
                <w:szCs w:val="15"/>
              </w:rPr>
            </w:pPr>
          </w:p>
        </w:tc>
        <w:tc>
          <w:tcPr>
            <w:tcW w:w="1317" w:type="dxa"/>
            <w:vAlign w:val="center"/>
          </w:tcPr>
          <w:p w14:paraId="2BECB6F6">
            <w:pPr>
              <w:jc w:val="right"/>
              <w:rPr>
                <w:sz w:val="15"/>
                <w:szCs w:val="15"/>
              </w:rPr>
            </w:pPr>
          </w:p>
        </w:tc>
        <w:tc>
          <w:tcPr>
            <w:tcW w:w="1417" w:type="dxa"/>
            <w:vAlign w:val="center"/>
          </w:tcPr>
          <w:p w14:paraId="14FFCB67">
            <w:pPr>
              <w:jc w:val="right"/>
              <w:rPr>
                <w:sz w:val="15"/>
                <w:szCs w:val="15"/>
              </w:rPr>
            </w:pPr>
          </w:p>
        </w:tc>
        <w:tc>
          <w:tcPr>
            <w:tcW w:w="1134" w:type="dxa"/>
            <w:vAlign w:val="center"/>
          </w:tcPr>
          <w:p w14:paraId="5A6AD2F3">
            <w:pPr>
              <w:jc w:val="right"/>
              <w:rPr>
                <w:sz w:val="15"/>
                <w:szCs w:val="15"/>
              </w:rPr>
            </w:pPr>
          </w:p>
        </w:tc>
        <w:tc>
          <w:tcPr>
            <w:tcW w:w="1036" w:type="dxa"/>
            <w:vAlign w:val="center"/>
          </w:tcPr>
          <w:p w14:paraId="520EE410">
            <w:pPr>
              <w:jc w:val="right"/>
              <w:rPr>
                <w:sz w:val="15"/>
                <w:szCs w:val="15"/>
              </w:rPr>
            </w:pPr>
          </w:p>
        </w:tc>
        <w:tc>
          <w:tcPr>
            <w:tcW w:w="1232" w:type="dxa"/>
            <w:vAlign w:val="center"/>
          </w:tcPr>
          <w:p w14:paraId="557EB260">
            <w:pPr>
              <w:jc w:val="right"/>
              <w:rPr>
                <w:sz w:val="15"/>
                <w:szCs w:val="15"/>
              </w:rPr>
            </w:pPr>
          </w:p>
        </w:tc>
        <w:tc>
          <w:tcPr>
            <w:tcW w:w="1276" w:type="dxa"/>
            <w:vAlign w:val="center"/>
          </w:tcPr>
          <w:p w14:paraId="1F68A7C0">
            <w:pPr>
              <w:jc w:val="right"/>
              <w:rPr>
                <w:sz w:val="15"/>
                <w:szCs w:val="15"/>
              </w:rPr>
            </w:pPr>
          </w:p>
        </w:tc>
        <w:tc>
          <w:tcPr>
            <w:tcW w:w="1491" w:type="dxa"/>
            <w:vAlign w:val="center"/>
          </w:tcPr>
          <w:p w14:paraId="71D8CE93">
            <w:pPr>
              <w:jc w:val="right"/>
              <w:rPr>
                <w:sz w:val="15"/>
                <w:szCs w:val="15"/>
              </w:rPr>
            </w:pPr>
          </w:p>
        </w:tc>
      </w:tr>
      <w:tr w14:paraId="46A8A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b4a66855afc2407cbaf93baeafe0ad7f"/>
            <w:id w:val="-480078441"/>
          </w:sdtPr>
          <w:sdtEndPr>
            <w:rPr>
              <w:sz w:val="15"/>
              <w:szCs w:val="15"/>
            </w:rPr>
          </w:sdtEndPr>
          <w:sdtContent>
            <w:tc>
              <w:tcPr>
                <w:tcW w:w="2552" w:type="dxa"/>
                <w:vAlign w:val="center"/>
              </w:tcPr>
              <w:p w14:paraId="0D90958D">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w:t>
                </w:r>
                <w:r>
                  <w:rPr>
                    <w:color w:val="000000" w:themeColor="text1"/>
                    <w:sz w:val="15"/>
                    <w:szCs w:val="15"/>
                    <w14:textFill>
                      <w14:solidFill>
                        <w14:schemeClr w14:val="tx1"/>
                      </w14:solidFill>
                    </w14:textFill>
                  </w:rPr>
                  <w:t>．对所有者（或股东）的分配</w:t>
                </w:r>
              </w:p>
            </w:tc>
          </w:sdtContent>
        </w:sdt>
        <w:tc>
          <w:tcPr>
            <w:tcW w:w="1273" w:type="dxa"/>
            <w:tcBorders>
              <w:right w:val="single" w:color="auto" w:sz="4" w:space="0"/>
            </w:tcBorders>
            <w:vAlign w:val="center"/>
          </w:tcPr>
          <w:p w14:paraId="14F19C02">
            <w:pPr>
              <w:jc w:val="right"/>
              <w:rPr>
                <w:sz w:val="15"/>
                <w:szCs w:val="15"/>
              </w:rPr>
            </w:pPr>
          </w:p>
        </w:tc>
        <w:tc>
          <w:tcPr>
            <w:tcW w:w="424" w:type="dxa"/>
            <w:tcBorders>
              <w:left w:val="single" w:color="auto" w:sz="4" w:space="0"/>
              <w:right w:val="single" w:color="auto" w:sz="4" w:space="0"/>
            </w:tcBorders>
            <w:vAlign w:val="center"/>
          </w:tcPr>
          <w:p w14:paraId="49C10D09">
            <w:pPr>
              <w:jc w:val="right"/>
              <w:rPr>
                <w:sz w:val="15"/>
                <w:szCs w:val="15"/>
              </w:rPr>
            </w:pPr>
          </w:p>
        </w:tc>
        <w:tc>
          <w:tcPr>
            <w:tcW w:w="429" w:type="dxa"/>
            <w:tcBorders>
              <w:left w:val="single" w:color="auto" w:sz="4" w:space="0"/>
              <w:right w:val="single" w:color="auto" w:sz="4" w:space="0"/>
            </w:tcBorders>
            <w:vAlign w:val="center"/>
          </w:tcPr>
          <w:p w14:paraId="78DC0659">
            <w:pPr>
              <w:jc w:val="right"/>
              <w:rPr>
                <w:sz w:val="15"/>
                <w:szCs w:val="15"/>
              </w:rPr>
            </w:pPr>
          </w:p>
        </w:tc>
        <w:tc>
          <w:tcPr>
            <w:tcW w:w="426" w:type="dxa"/>
            <w:tcBorders>
              <w:left w:val="single" w:color="auto" w:sz="4" w:space="0"/>
            </w:tcBorders>
            <w:vAlign w:val="center"/>
          </w:tcPr>
          <w:p w14:paraId="791B18D0">
            <w:pPr>
              <w:jc w:val="right"/>
              <w:rPr>
                <w:sz w:val="15"/>
                <w:szCs w:val="15"/>
              </w:rPr>
            </w:pPr>
          </w:p>
        </w:tc>
        <w:tc>
          <w:tcPr>
            <w:tcW w:w="1317" w:type="dxa"/>
            <w:vAlign w:val="center"/>
          </w:tcPr>
          <w:p w14:paraId="521CEA38">
            <w:pPr>
              <w:jc w:val="right"/>
              <w:rPr>
                <w:sz w:val="15"/>
                <w:szCs w:val="15"/>
              </w:rPr>
            </w:pPr>
          </w:p>
        </w:tc>
        <w:tc>
          <w:tcPr>
            <w:tcW w:w="1417" w:type="dxa"/>
            <w:vAlign w:val="center"/>
          </w:tcPr>
          <w:p w14:paraId="6232FC66">
            <w:pPr>
              <w:jc w:val="right"/>
              <w:rPr>
                <w:sz w:val="15"/>
                <w:szCs w:val="15"/>
              </w:rPr>
            </w:pPr>
          </w:p>
        </w:tc>
        <w:tc>
          <w:tcPr>
            <w:tcW w:w="1134" w:type="dxa"/>
            <w:vAlign w:val="center"/>
          </w:tcPr>
          <w:p w14:paraId="0A5C9370">
            <w:pPr>
              <w:jc w:val="right"/>
              <w:rPr>
                <w:sz w:val="15"/>
                <w:szCs w:val="15"/>
              </w:rPr>
            </w:pPr>
          </w:p>
        </w:tc>
        <w:tc>
          <w:tcPr>
            <w:tcW w:w="1036" w:type="dxa"/>
            <w:vAlign w:val="center"/>
          </w:tcPr>
          <w:p w14:paraId="438F01CE">
            <w:pPr>
              <w:jc w:val="right"/>
              <w:rPr>
                <w:sz w:val="15"/>
                <w:szCs w:val="15"/>
              </w:rPr>
            </w:pPr>
          </w:p>
        </w:tc>
        <w:tc>
          <w:tcPr>
            <w:tcW w:w="1232" w:type="dxa"/>
            <w:vAlign w:val="center"/>
          </w:tcPr>
          <w:p w14:paraId="7EC15742">
            <w:pPr>
              <w:jc w:val="right"/>
              <w:rPr>
                <w:sz w:val="15"/>
                <w:szCs w:val="15"/>
              </w:rPr>
            </w:pPr>
          </w:p>
        </w:tc>
        <w:tc>
          <w:tcPr>
            <w:tcW w:w="1276" w:type="dxa"/>
            <w:vAlign w:val="center"/>
          </w:tcPr>
          <w:p w14:paraId="752159E5">
            <w:pPr>
              <w:jc w:val="right"/>
              <w:rPr>
                <w:sz w:val="15"/>
                <w:szCs w:val="15"/>
              </w:rPr>
            </w:pPr>
          </w:p>
        </w:tc>
        <w:tc>
          <w:tcPr>
            <w:tcW w:w="1491" w:type="dxa"/>
            <w:vAlign w:val="center"/>
          </w:tcPr>
          <w:p w14:paraId="4790C63D">
            <w:pPr>
              <w:jc w:val="right"/>
              <w:rPr>
                <w:sz w:val="15"/>
                <w:szCs w:val="15"/>
              </w:rPr>
            </w:pPr>
          </w:p>
        </w:tc>
      </w:tr>
      <w:tr w14:paraId="49B39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f35184bd1aa14b32a781b0ed9b526ffe"/>
            <w:id w:val="241918029"/>
          </w:sdtPr>
          <w:sdtEndPr>
            <w:rPr>
              <w:sz w:val="15"/>
              <w:szCs w:val="15"/>
            </w:rPr>
          </w:sdtEndPr>
          <w:sdtContent>
            <w:tc>
              <w:tcPr>
                <w:tcW w:w="2552" w:type="dxa"/>
                <w:vAlign w:val="center"/>
              </w:tcPr>
              <w:p w14:paraId="3FD29052">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w:t>
                </w:r>
                <w:r>
                  <w:rPr>
                    <w:color w:val="000000" w:themeColor="text1"/>
                    <w:sz w:val="15"/>
                    <w:szCs w:val="15"/>
                    <w14:textFill>
                      <w14:solidFill>
                        <w14:schemeClr w14:val="tx1"/>
                      </w14:solidFill>
                    </w14:textFill>
                  </w:rPr>
                  <w:t>．其他</w:t>
                </w:r>
              </w:p>
            </w:tc>
          </w:sdtContent>
        </w:sdt>
        <w:tc>
          <w:tcPr>
            <w:tcW w:w="1273" w:type="dxa"/>
            <w:tcBorders>
              <w:right w:val="single" w:color="auto" w:sz="4" w:space="0"/>
            </w:tcBorders>
            <w:vAlign w:val="center"/>
          </w:tcPr>
          <w:p w14:paraId="4C4D3512">
            <w:pPr>
              <w:jc w:val="right"/>
              <w:rPr>
                <w:sz w:val="15"/>
                <w:szCs w:val="15"/>
              </w:rPr>
            </w:pPr>
          </w:p>
        </w:tc>
        <w:tc>
          <w:tcPr>
            <w:tcW w:w="424" w:type="dxa"/>
            <w:tcBorders>
              <w:left w:val="single" w:color="auto" w:sz="4" w:space="0"/>
              <w:right w:val="single" w:color="auto" w:sz="4" w:space="0"/>
            </w:tcBorders>
            <w:vAlign w:val="center"/>
          </w:tcPr>
          <w:p w14:paraId="20B57A30">
            <w:pPr>
              <w:jc w:val="right"/>
              <w:rPr>
                <w:sz w:val="15"/>
                <w:szCs w:val="15"/>
              </w:rPr>
            </w:pPr>
          </w:p>
        </w:tc>
        <w:tc>
          <w:tcPr>
            <w:tcW w:w="429" w:type="dxa"/>
            <w:tcBorders>
              <w:left w:val="single" w:color="auto" w:sz="4" w:space="0"/>
              <w:right w:val="single" w:color="auto" w:sz="4" w:space="0"/>
            </w:tcBorders>
            <w:vAlign w:val="center"/>
          </w:tcPr>
          <w:p w14:paraId="55CFAEE5">
            <w:pPr>
              <w:jc w:val="right"/>
              <w:rPr>
                <w:sz w:val="15"/>
                <w:szCs w:val="15"/>
              </w:rPr>
            </w:pPr>
          </w:p>
        </w:tc>
        <w:tc>
          <w:tcPr>
            <w:tcW w:w="426" w:type="dxa"/>
            <w:tcBorders>
              <w:left w:val="single" w:color="auto" w:sz="4" w:space="0"/>
            </w:tcBorders>
            <w:vAlign w:val="center"/>
          </w:tcPr>
          <w:p w14:paraId="2544D3C4">
            <w:pPr>
              <w:jc w:val="right"/>
              <w:rPr>
                <w:sz w:val="15"/>
                <w:szCs w:val="15"/>
              </w:rPr>
            </w:pPr>
          </w:p>
        </w:tc>
        <w:tc>
          <w:tcPr>
            <w:tcW w:w="1317" w:type="dxa"/>
            <w:vAlign w:val="center"/>
          </w:tcPr>
          <w:p w14:paraId="0F9037EB">
            <w:pPr>
              <w:jc w:val="right"/>
              <w:rPr>
                <w:sz w:val="15"/>
                <w:szCs w:val="15"/>
              </w:rPr>
            </w:pPr>
          </w:p>
        </w:tc>
        <w:tc>
          <w:tcPr>
            <w:tcW w:w="1417" w:type="dxa"/>
            <w:vAlign w:val="center"/>
          </w:tcPr>
          <w:p w14:paraId="1F0109C1">
            <w:pPr>
              <w:jc w:val="right"/>
              <w:rPr>
                <w:sz w:val="15"/>
                <w:szCs w:val="15"/>
              </w:rPr>
            </w:pPr>
          </w:p>
        </w:tc>
        <w:tc>
          <w:tcPr>
            <w:tcW w:w="1134" w:type="dxa"/>
            <w:vAlign w:val="center"/>
          </w:tcPr>
          <w:p w14:paraId="6D895615">
            <w:pPr>
              <w:jc w:val="right"/>
              <w:rPr>
                <w:sz w:val="15"/>
                <w:szCs w:val="15"/>
              </w:rPr>
            </w:pPr>
          </w:p>
        </w:tc>
        <w:tc>
          <w:tcPr>
            <w:tcW w:w="1036" w:type="dxa"/>
            <w:vAlign w:val="center"/>
          </w:tcPr>
          <w:p w14:paraId="0BDB1FC4">
            <w:pPr>
              <w:jc w:val="right"/>
              <w:rPr>
                <w:sz w:val="15"/>
                <w:szCs w:val="15"/>
              </w:rPr>
            </w:pPr>
          </w:p>
        </w:tc>
        <w:tc>
          <w:tcPr>
            <w:tcW w:w="1232" w:type="dxa"/>
            <w:vAlign w:val="center"/>
          </w:tcPr>
          <w:p w14:paraId="15F6AC2F">
            <w:pPr>
              <w:jc w:val="right"/>
              <w:rPr>
                <w:sz w:val="15"/>
                <w:szCs w:val="15"/>
              </w:rPr>
            </w:pPr>
          </w:p>
        </w:tc>
        <w:tc>
          <w:tcPr>
            <w:tcW w:w="1276" w:type="dxa"/>
            <w:vAlign w:val="center"/>
          </w:tcPr>
          <w:p w14:paraId="4038DAEE">
            <w:pPr>
              <w:jc w:val="right"/>
              <w:rPr>
                <w:sz w:val="15"/>
                <w:szCs w:val="15"/>
              </w:rPr>
            </w:pPr>
          </w:p>
        </w:tc>
        <w:tc>
          <w:tcPr>
            <w:tcW w:w="1491" w:type="dxa"/>
            <w:vAlign w:val="center"/>
          </w:tcPr>
          <w:p w14:paraId="0C2C5275">
            <w:pPr>
              <w:jc w:val="right"/>
              <w:rPr>
                <w:sz w:val="15"/>
                <w:szCs w:val="15"/>
              </w:rPr>
            </w:pPr>
          </w:p>
        </w:tc>
      </w:tr>
      <w:tr w14:paraId="2478E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377c539e51b74e8689b49d91a30d6a9f"/>
            <w:id w:val="-809479406"/>
          </w:sdtPr>
          <w:sdtEndPr>
            <w:rPr>
              <w:sz w:val="15"/>
              <w:szCs w:val="15"/>
            </w:rPr>
          </w:sdtEndPr>
          <w:sdtContent>
            <w:tc>
              <w:tcPr>
                <w:tcW w:w="2552" w:type="dxa"/>
                <w:vAlign w:val="center"/>
              </w:tcPr>
              <w:p w14:paraId="728871BD">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四</w:t>
                </w:r>
                <w:r>
                  <w:rPr>
                    <w:color w:val="000000" w:themeColor="text1"/>
                    <w:sz w:val="15"/>
                    <w:szCs w:val="15"/>
                    <w14:textFill>
                      <w14:solidFill>
                        <w14:schemeClr w14:val="tx1"/>
                      </w14:solidFill>
                    </w14:textFill>
                  </w:rPr>
                  <w:t>）所有者权益内部结转</w:t>
                </w:r>
              </w:p>
            </w:tc>
          </w:sdtContent>
        </w:sdt>
        <w:tc>
          <w:tcPr>
            <w:tcW w:w="1273" w:type="dxa"/>
            <w:tcBorders>
              <w:right w:val="single" w:color="auto" w:sz="4" w:space="0"/>
            </w:tcBorders>
            <w:vAlign w:val="center"/>
          </w:tcPr>
          <w:p w14:paraId="54EEAC8F">
            <w:pPr>
              <w:jc w:val="right"/>
              <w:rPr>
                <w:sz w:val="15"/>
                <w:szCs w:val="15"/>
              </w:rPr>
            </w:pPr>
          </w:p>
        </w:tc>
        <w:tc>
          <w:tcPr>
            <w:tcW w:w="424" w:type="dxa"/>
            <w:tcBorders>
              <w:left w:val="single" w:color="auto" w:sz="4" w:space="0"/>
              <w:right w:val="single" w:color="auto" w:sz="4" w:space="0"/>
            </w:tcBorders>
            <w:vAlign w:val="center"/>
          </w:tcPr>
          <w:p w14:paraId="145AE2E2">
            <w:pPr>
              <w:jc w:val="right"/>
              <w:rPr>
                <w:sz w:val="15"/>
                <w:szCs w:val="15"/>
              </w:rPr>
            </w:pPr>
          </w:p>
        </w:tc>
        <w:tc>
          <w:tcPr>
            <w:tcW w:w="429" w:type="dxa"/>
            <w:tcBorders>
              <w:left w:val="single" w:color="auto" w:sz="4" w:space="0"/>
              <w:right w:val="single" w:color="auto" w:sz="4" w:space="0"/>
            </w:tcBorders>
            <w:vAlign w:val="center"/>
          </w:tcPr>
          <w:p w14:paraId="0316B2C4">
            <w:pPr>
              <w:jc w:val="right"/>
              <w:rPr>
                <w:sz w:val="15"/>
                <w:szCs w:val="15"/>
              </w:rPr>
            </w:pPr>
          </w:p>
        </w:tc>
        <w:tc>
          <w:tcPr>
            <w:tcW w:w="426" w:type="dxa"/>
            <w:tcBorders>
              <w:left w:val="single" w:color="auto" w:sz="4" w:space="0"/>
            </w:tcBorders>
            <w:vAlign w:val="center"/>
          </w:tcPr>
          <w:p w14:paraId="3A2D6CFD">
            <w:pPr>
              <w:jc w:val="right"/>
              <w:rPr>
                <w:sz w:val="15"/>
                <w:szCs w:val="15"/>
              </w:rPr>
            </w:pPr>
          </w:p>
        </w:tc>
        <w:tc>
          <w:tcPr>
            <w:tcW w:w="1317" w:type="dxa"/>
            <w:vAlign w:val="center"/>
          </w:tcPr>
          <w:p w14:paraId="785AD8F3">
            <w:pPr>
              <w:jc w:val="right"/>
              <w:rPr>
                <w:sz w:val="15"/>
                <w:szCs w:val="15"/>
              </w:rPr>
            </w:pPr>
          </w:p>
        </w:tc>
        <w:tc>
          <w:tcPr>
            <w:tcW w:w="1417" w:type="dxa"/>
            <w:vAlign w:val="center"/>
          </w:tcPr>
          <w:p w14:paraId="189D315F">
            <w:pPr>
              <w:jc w:val="right"/>
              <w:rPr>
                <w:sz w:val="15"/>
                <w:szCs w:val="15"/>
              </w:rPr>
            </w:pPr>
          </w:p>
        </w:tc>
        <w:tc>
          <w:tcPr>
            <w:tcW w:w="1134" w:type="dxa"/>
            <w:vAlign w:val="center"/>
          </w:tcPr>
          <w:p w14:paraId="75B0A517">
            <w:pPr>
              <w:jc w:val="right"/>
              <w:rPr>
                <w:sz w:val="15"/>
                <w:szCs w:val="15"/>
              </w:rPr>
            </w:pPr>
          </w:p>
        </w:tc>
        <w:tc>
          <w:tcPr>
            <w:tcW w:w="1036" w:type="dxa"/>
            <w:vAlign w:val="center"/>
          </w:tcPr>
          <w:p w14:paraId="1DDEEECC">
            <w:pPr>
              <w:jc w:val="right"/>
              <w:rPr>
                <w:sz w:val="15"/>
                <w:szCs w:val="15"/>
              </w:rPr>
            </w:pPr>
          </w:p>
        </w:tc>
        <w:tc>
          <w:tcPr>
            <w:tcW w:w="1232" w:type="dxa"/>
            <w:vAlign w:val="center"/>
          </w:tcPr>
          <w:p w14:paraId="144FD009">
            <w:pPr>
              <w:jc w:val="right"/>
              <w:rPr>
                <w:sz w:val="15"/>
                <w:szCs w:val="15"/>
              </w:rPr>
            </w:pPr>
          </w:p>
        </w:tc>
        <w:tc>
          <w:tcPr>
            <w:tcW w:w="1276" w:type="dxa"/>
            <w:vAlign w:val="center"/>
          </w:tcPr>
          <w:p w14:paraId="182DA415">
            <w:pPr>
              <w:jc w:val="right"/>
              <w:rPr>
                <w:sz w:val="15"/>
                <w:szCs w:val="15"/>
              </w:rPr>
            </w:pPr>
          </w:p>
        </w:tc>
        <w:tc>
          <w:tcPr>
            <w:tcW w:w="1491" w:type="dxa"/>
            <w:vAlign w:val="center"/>
          </w:tcPr>
          <w:p w14:paraId="1D129F4D">
            <w:pPr>
              <w:jc w:val="right"/>
              <w:rPr>
                <w:sz w:val="15"/>
                <w:szCs w:val="15"/>
              </w:rPr>
            </w:pPr>
          </w:p>
        </w:tc>
      </w:tr>
      <w:tr w14:paraId="18E1E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sdt>
          <w:sdtPr>
            <w:rPr>
              <w:sz w:val="15"/>
              <w:szCs w:val="15"/>
            </w:rPr>
            <w:tag w:val="_PLD_9d82304ad85542d89ad56bdebdedd7c5"/>
            <w:id w:val="1114089886"/>
          </w:sdtPr>
          <w:sdtEndPr>
            <w:rPr>
              <w:sz w:val="15"/>
              <w:szCs w:val="15"/>
            </w:rPr>
          </w:sdtEndPr>
          <w:sdtContent>
            <w:tc>
              <w:tcPr>
                <w:tcW w:w="2552" w:type="dxa"/>
                <w:vAlign w:val="center"/>
              </w:tcPr>
              <w:p w14:paraId="0FBCE999">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1．资本公积转增资本（或股本）</w:t>
                </w:r>
              </w:p>
            </w:tc>
          </w:sdtContent>
        </w:sdt>
        <w:tc>
          <w:tcPr>
            <w:tcW w:w="1273" w:type="dxa"/>
            <w:tcBorders>
              <w:right w:val="single" w:color="auto" w:sz="4" w:space="0"/>
            </w:tcBorders>
            <w:vAlign w:val="center"/>
          </w:tcPr>
          <w:p w14:paraId="56D7C8D6">
            <w:pPr>
              <w:jc w:val="right"/>
              <w:rPr>
                <w:sz w:val="15"/>
                <w:szCs w:val="15"/>
              </w:rPr>
            </w:pPr>
          </w:p>
        </w:tc>
        <w:tc>
          <w:tcPr>
            <w:tcW w:w="424" w:type="dxa"/>
            <w:tcBorders>
              <w:left w:val="single" w:color="auto" w:sz="4" w:space="0"/>
              <w:right w:val="single" w:color="auto" w:sz="4" w:space="0"/>
            </w:tcBorders>
            <w:vAlign w:val="center"/>
          </w:tcPr>
          <w:p w14:paraId="5F57CDFC">
            <w:pPr>
              <w:jc w:val="right"/>
              <w:rPr>
                <w:sz w:val="15"/>
                <w:szCs w:val="15"/>
              </w:rPr>
            </w:pPr>
          </w:p>
        </w:tc>
        <w:tc>
          <w:tcPr>
            <w:tcW w:w="429" w:type="dxa"/>
            <w:tcBorders>
              <w:left w:val="single" w:color="auto" w:sz="4" w:space="0"/>
              <w:right w:val="single" w:color="auto" w:sz="4" w:space="0"/>
            </w:tcBorders>
            <w:vAlign w:val="center"/>
          </w:tcPr>
          <w:p w14:paraId="4AED557B">
            <w:pPr>
              <w:jc w:val="right"/>
              <w:rPr>
                <w:sz w:val="15"/>
                <w:szCs w:val="15"/>
              </w:rPr>
            </w:pPr>
          </w:p>
        </w:tc>
        <w:tc>
          <w:tcPr>
            <w:tcW w:w="426" w:type="dxa"/>
            <w:tcBorders>
              <w:left w:val="single" w:color="auto" w:sz="4" w:space="0"/>
            </w:tcBorders>
            <w:vAlign w:val="center"/>
          </w:tcPr>
          <w:p w14:paraId="06573ECB">
            <w:pPr>
              <w:jc w:val="right"/>
              <w:rPr>
                <w:sz w:val="15"/>
                <w:szCs w:val="15"/>
              </w:rPr>
            </w:pPr>
          </w:p>
        </w:tc>
        <w:tc>
          <w:tcPr>
            <w:tcW w:w="1317" w:type="dxa"/>
            <w:vAlign w:val="center"/>
          </w:tcPr>
          <w:p w14:paraId="3BCB06EC">
            <w:pPr>
              <w:jc w:val="right"/>
              <w:rPr>
                <w:sz w:val="15"/>
                <w:szCs w:val="15"/>
              </w:rPr>
            </w:pPr>
          </w:p>
        </w:tc>
        <w:tc>
          <w:tcPr>
            <w:tcW w:w="1417" w:type="dxa"/>
            <w:vAlign w:val="center"/>
          </w:tcPr>
          <w:p w14:paraId="3B7DB344">
            <w:pPr>
              <w:jc w:val="right"/>
              <w:rPr>
                <w:sz w:val="15"/>
                <w:szCs w:val="15"/>
              </w:rPr>
            </w:pPr>
          </w:p>
        </w:tc>
        <w:tc>
          <w:tcPr>
            <w:tcW w:w="1134" w:type="dxa"/>
            <w:vAlign w:val="center"/>
          </w:tcPr>
          <w:p w14:paraId="63E553A0">
            <w:pPr>
              <w:jc w:val="right"/>
              <w:rPr>
                <w:sz w:val="15"/>
                <w:szCs w:val="15"/>
              </w:rPr>
            </w:pPr>
          </w:p>
        </w:tc>
        <w:tc>
          <w:tcPr>
            <w:tcW w:w="1036" w:type="dxa"/>
            <w:vAlign w:val="center"/>
          </w:tcPr>
          <w:p w14:paraId="57B84BBE">
            <w:pPr>
              <w:jc w:val="right"/>
              <w:rPr>
                <w:sz w:val="15"/>
                <w:szCs w:val="15"/>
              </w:rPr>
            </w:pPr>
          </w:p>
        </w:tc>
        <w:tc>
          <w:tcPr>
            <w:tcW w:w="1232" w:type="dxa"/>
            <w:vAlign w:val="center"/>
          </w:tcPr>
          <w:p w14:paraId="77765365">
            <w:pPr>
              <w:jc w:val="right"/>
              <w:rPr>
                <w:sz w:val="15"/>
                <w:szCs w:val="15"/>
              </w:rPr>
            </w:pPr>
          </w:p>
        </w:tc>
        <w:tc>
          <w:tcPr>
            <w:tcW w:w="1276" w:type="dxa"/>
            <w:vAlign w:val="center"/>
          </w:tcPr>
          <w:p w14:paraId="00E9905B">
            <w:pPr>
              <w:jc w:val="right"/>
              <w:rPr>
                <w:sz w:val="15"/>
                <w:szCs w:val="15"/>
              </w:rPr>
            </w:pPr>
          </w:p>
        </w:tc>
        <w:tc>
          <w:tcPr>
            <w:tcW w:w="1491" w:type="dxa"/>
            <w:vAlign w:val="center"/>
          </w:tcPr>
          <w:p w14:paraId="2EE4E44D">
            <w:pPr>
              <w:jc w:val="right"/>
              <w:rPr>
                <w:sz w:val="15"/>
                <w:szCs w:val="15"/>
              </w:rPr>
            </w:pPr>
          </w:p>
        </w:tc>
      </w:tr>
      <w:tr w14:paraId="405DE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ba5c81951f1c4ff0a188b55532ed96a5"/>
            <w:id w:val="-2137628490"/>
          </w:sdtPr>
          <w:sdtEndPr>
            <w:rPr>
              <w:sz w:val="15"/>
              <w:szCs w:val="15"/>
            </w:rPr>
          </w:sdtEndPr>
          <w:sdtContent>
            <w:tc>
              <w:tcPr>
                <w:tcW w:w="2552" w:type="dxa"/>
                <w:vAlign w:val="center"/>
              </w:tcPr>
              <w:p w14:paraId="42C6F77D">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2．盈余公积转增资本（或股本）</w:t>
                </w:r>
              </w:p>
            </w:tc>
          </w:sdtContent>
        </w:sdt>
        <w:tc>
          <w:tcPr>
            <w:tcW w:w="1273" w:type="dxa"/>
            <w:tcBorders>
              <w:right w:val="single" w:color="auto" w:sz="4" w:space="0"/>
            </w:tcBorders>
            <w:vAlign w:val="center"/>
          </w:tcPr>
          <w:p w14:paraId="46A0B71C">
            <w:pPr>
              <w:jc w:val="right"/>
              <w:rPr>
                <w:sz w:val="15"/>
                <w:szCs w:val="15"/>
              </w:rPr>
            </w:pPr>
          </w:p>
        </w:tc>
        <w:tc>
          <w:tcPr>
            <w:tcW w:w="424" w:type="dxa"/>
            <w:tcBorders>
              <w:left w:val="single" w:color="auto" w:sz="4" w:space="0"/>
              <w:right w:val="single" w:color="auto" w:sz="4" w:space="0"/>
            </w:tcBorders>
            <w:vAlign w:val="center"/>
          </w:tcPr>
          <w:p w14:paraId="393FE0CA">
            <w:pPr>
              <w:jc w:val="right"/>
              <w:rPr>
                <w:sz w:val="15"/>
                <w:szCs w:val="15"/>
              </w:rPr>
            </w:pPr>
          </w:p>
        </w:tc>
        <w:tc>
          <w:tcPr>
            <w:tcW w:w="429" w:type="dxa"/>
            <w:tcBorders>
              <w:left w:val="single" w:color="auto" w:sz="4" w:space="0"/>
              <w:right w:val="single" w:color="auto" w:sz="4" w:space="0"/>
            </w:tcBorders>
            <w:vAlign w:val="center"/>
          </w:tcPr>
          <w:p w14:paraId="7C42FC24">
            <w:pPr>
              <w:jc w:val="right"/>
              <w:rPr>
                <w:sz w:val="15"/>
                <w:szCs w:val="15"/>
              </w:rPr>
            </w:pPr>
          </w:p>
        </w:tc>
        <w:tc>
          <w:tcPr>
            <w:tcW w:w="426" w:type="dxa"/>
            <w:tcBorders>
              <w:left w:val="single" w:color="auto" w:sz="4" w:space="0"/>
            </w:tcBorders>
            <w:vAlign w:val="center"/>
          </w:tcPr>
          <w:p w14:paraId="2D0FA01F">
            <w:pPr>
              <w:jc w:val="right"/>
              <w:rPr>
                <w:sz w:val="15"/>
                <w:szCs w:val="15"/>
              </w:rPr>
            </w:pPr>
          </w:p>
        </w:tc>
        <w:tc>
          <w:tcPr>
            <w:tcW w:w="1317" w:type="dxa"/>
            <w:vAlign w:val="center"/>
          </w:tcPr>
          <w:p w14:paraId="6CE806F6">
            <w:pPr>
              <w:jc w:val="right"/>
              <w:rPr>
                <w:sz w:val="15"/>
                <w:szCs w:val="15"/>
              </w:rPr>
            </w:pPr>
          </w:p>
        </w:tc>
        <w:tc>
          <w:tcPr>
            <w:tcW w:w="1417" w:type="dxa"/>
            <w:vAlign w:val="center"/>
          </w:tcPr>
          <w:p w14:paraId="5EB7B4FD">
            <w:pPr>
              <w:jc w:val="right"/>
              <w:rPr>
                <w:sz w:val="15"/>
                <w:szCs w:val="15"/>
              </w:rPr>
            </w:pPr>
          </w:p>
        </w:tc>
        <w:tc>
          <w:tcPr>
            <w:tcW w:w="1134" w:type="dxa"/>
            <w:vAlign w:val="center"/>
          </w:tcPr>
          <w:p w14:paraId="12DA79B8">
            <w:pPr>
              <w:jc w:val="right"/>
              <w:rPr>
                <w:sz w:val="15"/>
                <w:szCs w:val="15"/>
              </w:rPr>
            </w:pPr>
          </w:p>
        </w:tc>
        <w:tc>
          <w:tcPr>
            <w:tcW w:w="1036" w:type="dxa"/>
            <w:vAlign w:val="center"/>
          </w:tcPr>
          <w:p w14:paraId="3775B7E0">
            <w:pPr>
              <w:jc w:val="right"/>
              <w:rPr>
                <w:sz w:val="15"/>
                <w:szCs w:val="15"/>
              </w:rPr>
            </w:pPr>
          </w:p>
        </w:tc>
        <w:tc>
          <w:tcPr>
            <w:tcW w:w="1232" w:type="dxa"/>
            <w:vAlign w:val="center"/>
          </w:tcPr>
          <w:p w14:paraId="0E39BBCA">
            <w:pPr>
              <w:jc w:val="right"/>
              <w:rPr>
                <w:sz w:val="15"/>
                <w:szCs w:val="15"/>
              </w:rPr>
            </w:pPr>
          </w:p>
        </w:tc>
        <w:tc>
          <w:tcPr>
            <w:tcW w:w="1276" w:type="dxa"/>
            <w:vAlign w:val="center"/>
          </w:tcPr>
          <w:p w14:paraId="220129A5">
            <w:pPr>
              <w:jc w:val="right"/>
              <w:rPr>
                <w:sz w:val="15"/>
                <w:szCs w:val="15"/>
              </w:rPr>
            </w:pPr>
          </w:p>
        </w:tc>
        <w:tc>
          <w:tcPr>
            <w:tcW w:w="1491" w:type="dxa"/>
            <w:vAlign w:val="center"/>
          </w:tcPr>
          <w:p w14:paraId="61F501FA">
            <w:pPr>
              <w:jc w:val="right"/>
              <w:rPr>
                <w:sz w:val="15"/>
                <w:szCs w:val="15"/>
              </w:rPr>
            </w:pPr>
          </w:p>
        </w:tc>
      </w:tr>
      <w:tr w14:paraId="24B6E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81b068c4cdf2482a9438450e52e9b3b4"/>
            <w:id w:val="2010631321"/>
          </w:sdtPr>
          <w:sdtEndPr>
            <w:rPr>
              <w:sz w:val="15"/>
              <w:szCs w:val="15"/>
            </w:rPr>
          </w:sdtEndPr>
          <w:sdtContent>
            <w:tc>
              <w:tcPr>
                <w:tcW w:w="2552" w:type="dxa"/>
                <w:vAlign w:val="center"/>
              </w:tcPr>
              <w:p w14:paraId="4A69D9B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3．盈余公积弥补亏损</w:t>
                </w:r>
              </w:p>
            </w:tc>
          </w:sdtContent>
        </w:sdt>
        <w:tc>
          <w:tcPr>
            <w:tcW w:w="1273" w:type="dxa"/>
            <w:tcBorders>
              <w:right w:val="single" w:color="auto" w:sz="4" w:space="0"/>
            </w:tcBorders>
            <w:vAlign w:val="center"/>
          </w:tcPr>
          <w:p w14:paraId="4C3CA30F">
            <w:pPr>
              <w:jc w:val="right"/>
              <w:rPr>
                <w:sz w:val="15"/>
                <w:szCs w:val="15"/>
              </w:rPr>
            </w:pPr>
          </w:p>
        </w:tc>
        <w:tc>
          <w:tcPr>
            <w:tcW w:w="424" w:type="dxa"/>
            <w:tcBorders>
              <w:left w:val="single" w:color="auto" w:sz="4" w:space="0"/>
              <w:right w:val="single" w:color="auto" w:sz="4" w:space="0"/>
            </w:tcBorders>
            <w:vAlign w:val="center"/>
          </w:tcPr>
          <w:p w14:paraId="38585357">
            <w:pPr>
              <w:jc w:val="right"/>
              <w:rPr>
                <w:sz w:val="15"/>
                <w:szCs w:val="15"/>
              </w:rPr>
            </w:pPr>
          </w:p>
        </w:tc>
        <w:tc>
          <w:tcPr>
            <w:tcW w:w="429" w:type="dxa"/>
            <w:tcBorders>
              <w:left w:val="single" w:color="auto" w:sz="4" w:space="0"/>
              <w:right w:val="single" w:color="auto" w:sz="4" w:space="0"/>
            </w:tcBorders>
            <w:vAlign w:val="center"/>
          </w:tcPr>
          <w:p w14:paraId="201F0804">
            <w:pPr>
              <w:jc w:val="right"/>
              <w:rPr>
                <w:sz w:val="15"/>
                <w:szCs w:val="15"/>
              </w:rPr>
            </w:pPr>
          </w:p>
        </w:tc>
        <w:tc>
          <w:tcPr>
            <w:tcW w:w="426" w:type="dxa"/>
            <w:tcBorders>
              <w:left w:val="single" w:color="auto" w:sz="4" w:space="0"/>
            </w:tcBorders>
            <w:vAlign w:val="center"/>
          </w:tcPr>
          <w:p w14:paraId="03A5F375">
            <w:pPr>
              <w:jc w:val="right"/>
              <w:rPr>
                <w:sz w:val="15"/>
                <w:szCs w:val="15"/>
              </w:rPr>
            </w:pPr>
          </w:p>
        </w:tc>
        <w:tc>
          <w:tcPr>
            <w:tcW w:w="1317" w:type="dxa"/>
            <w:vAlign w:val="center"/>
          </w:tcPr>
          <w:p w14:paraId="1A5FA733">
            <w:pPr>
              <w:jc w:val="right"/>
              <w:rPr>
                <w:sz w:val="15"/>
                <w:szCs w:val="15"/>
              </w:rPr>
            </w:pPr>
          </w:p>
        </w:tc>
        <w:tc>
          <w:tcPr>
            <w:tcW w:w="1417" w:type="dxa"/>
            <w:vAlign w:val="center"/>
          </w:tcPr>
          <w:p w14:paraId="7F8327AA">
            <w:pPr>
              <w:jc w:val="right"/>
              <w:rPr>
                <w:sz w:val="15"/>
                <w:szCs w:val="15"/>
              </w:rPr>
            </w:pPr>
          </w:p>
        </w:tc>
        <w:tc>
          <w:tcPr>
            <w:tcW w:w="1134" w:type="dxa"/>
            <w:vAlign w:val="center"/>
          </w:tcPr>
          <w:p w14:paraId="502D3CBE">
            <w:pPr>
              <w:jc w:val="right"/>
              <w:rPr>
                <w:sz w:val="15"/>
                <w:szCs w:val="15"/>
              </w:rPr>
            </w:pPr>
          </w:p>
        </w:tc>
        <w:tc>
          <w:tcPr>
            <w:tcW w:w="1036" w:type="dxa"/>
            <w:vAlign w:val="center"/>
          </w:tcPr>
          <w:p w14:paraId="4388DE00">
            <w:pPr>
              <w:jc w:val="right"/>
              <w:rPr>
                <w:sz w:val="15"/>
                <w:szCs w:val="15"/>
              </w:rPr>
            </w:pPr>
          </w:p>
        </w:tc>
        <w:tc>
          <w:tcPr>
            <w:tcW w:w="1232" w:type="dxa"/>
            <w:vAlign w:val="center"/>
          </w:tcPr>
          <w:p w14:paraId="25783DBE">
            <w:pPr>
              <w:jc w:val="right"/>
              <w:rPr>
                <w:sz w:val="15"/>
                <w:szCs w:val="15"/>
              </w:rPr>
            </w:pPr>
          </w:p>
        </w:tc>
        <w:tc>
          <w:tcPr>
            <w:tcW w:w="1276" w:type="dxa"/>
            <w:vAlign w:val="center"/>
          </w:tcPr>
          <w:p w14:paraId="76F4A082">
            <w:pPr>
              <w:jc w:val="right"/>
              <w:rPr>
                <w:sz w:val="15"/>
                <w:szCs w:val="15"/>
              </w:rPr>
            </w:pPr>
          </w:p>
        </w:tc>
        <w:tc>
          <w:tcPr>
            <w:tcW w:w="1491" w:type="dxa"/>
            <w:vAlign w:val="center"/>
          </w:tcPr>
          <w:p w14:paraId="3DB362F8">
            <w:pPr>
              <w:jc w:val="right"/>
              <w:rPr>
                <w:sz w:val="15"/>
                <w:szCs w:val="15"/>
              </w:rPr>
            </w:pPr>
          </w:p>
        </w:tc>
      </w:tr>
      <w:tr w14:paraId="17BBA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52" w:type="dxa"/>
            <w:vAlign w:val="center"/>
          </w:tcPr>
          <w:sdt>
            <w:sdtPr>
              <w:rPr>
                <w:sz w:val="15"/>
                <w:szCs w:val="15"/>
              </w:rPr>
              <w:tag w:val="_PLD_0e7647effaeb42219d706b118465bdec"/>
              <w:id w:val="1789548839"/>
            </w:sdtPr>
            <w:sdtEndPr>
              <w:rPr>
                <w:sz w:val="15"/>
                <w:szCs w:val="15"/>
              </w:rPr>
            </w:sdtEndPr>
            <w:sdtContent>
              <w:p w14:paraId="5B12AF7A">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4．设定受益计划变动额结转留存收益</w:t>
                </w:r>
              </w:p>
            </w:sdtContent>
          </w:sdt>
        </w:tc>
        <w:tc>
          <w:tcPr>
            <w:tcW w:w="1273" w:type="dxa"/>
            <w:tcBorders>
              <w:right w:val="single" w:color="auto" w:sz="4" w:space="0"/>
            </w:tcBorders>
            <w:vAlign w:val="center"/>
          </w:tcPr>
          <w:p w14:paraId="5D0756CC">
            <w:pPr>
              <w:jc w:val="right"/>
              <w:rPr>
                <w:sz w:val="15"/>
                <w:szCs w:val="15"/>
              </w:rPr>
            </w:pPr>
          </w:p>
        </w:tc>
        <w:tc>
          <w:tcPr>
            <w:tcW w:w="424" w:type="dxa"/>
            <w:tcBorders>
              <w:left w:val="single" w:color="auto" w:sz="4" w:space="0"/>
              <w:right w:val="single" w:color="auto" w:sz="4" w:space="0"/>
            </w:tcBorders>
            <w:vAlign w:val="center"/>
          </w:tcPr>
          <w:p w14:paraId="78865009">
            <w:pPr>
              <w:jc w:val="right"/>
              <w:rPr>
                <w:sz w:val="15"/>
                <w:szCs w:val="15"/>
              </w:rPr>
            </w:pPr>
          </w:p>
        </w:tc>
        <w:tc>
          <w:tcPr>
            <w:tcW w:w="429" w:type="dxa"/>
            <w:tcBorders>
              <w:left w:val="single" w:color="auto" w:sz="4" w:space="0"/>
              <w:right w:val="single" w:color="auto" w:sz="4" w:space="0"/>
            </w:tcBorders>
            <w:vAlign w:val="center"/>
          </w:tcPr>
          <w:p w14:paraId="06FBB950">
            <w:pPr>
              <w:jc w:val="right"/>
              <w:rPr>
                <w:sz w:val="15"/>
                <w:szCs w:val="15"/>
              </w:rPr>
            </w:pPr>
          </w:p>
        </w:tc>
        <w:tc>
          <w:tcPr>
            <w:tcW w:w="426" w:type="dxa"/>
            <w:tcBorders>
              <w:left w:val="single" w:color="auto" w:sz="4" w:space="0"/>
            </w:tcBorders>
            <w:vAlign w:val="center"/>
          </w:tcPr>
          <w:p w14:paraId="4F17AA72">
            <w:pPr>
              <w:jc w:val="right"/>
              <w:rPr>
                <w:sz w:val="15"/>
                <w:szCs w:val="15"/>
              </w:rPr>
            </w:pPr>
          </w:p>
        </w:tc>
        <w:tc>
          <w:tcPr>
            <w:tcW w:w="1317" w:type="dxa"/>
            <w:vAlign w:val="center"/>
          </w:tcPr>
          <w:p w14:paraId="6D61ECEB">
            <w:pPr>
              <w:jc w:val="right"/>
              <w:rPr>
                <w:sz w:val="15"/>
                <w:szCs w:val="15"/>
              </w:rPr>
            </w:pPr>
          </w:p>
        </w:tc>
        <w:tc>
          <w:tcPr>
            <w:tcW w:w="1417" w:type="dxa"/>
            <w:vAlign w:val="center"/>
          </w:tcPr>
          <w:p w14:paraId="75819B36">
            <w:pPr>
              <w:jc w:val="right"/>
              <w:rPr>
                <w:sz w:val="15"/>
                <w:szCs w:val="15"/>
              </w:rPr>
            </w:pPr>
          </w:p>
        </w:tc>
        <w:tc>
          <w:tcPr>
            <w:tcW w:w="1134" w:type="dxa"/>
            <w:vAlign w:val="center"/>
          </w:tcPr>
          <w:p w14:paraId="07C68D68">
            <w:pPr>
              <w:jc w:val="right"/>
              <w:rPr>
                <w:sz w:val="15"/>
                <w:szCs w:val="15"/>
              </w:rPr>
            </w:pPr>
          </w:p>
        </w:tc>
        <w:tc>
          <w:tcPr>
            <w:tcW w:w="1036" w:type="dxa"/>
            <w:vAlign w:val="center"/>
          </w:tcPr>
          <w:p w14:paraId="229FC050">
            <w:pPr>
              <w:jc w:val="right"/>
              <w:rPr>
                <w:sz w:val="15"/>
                <w:szCs w:val="15"/>
              </w:rPr>
            </w:pPr>
          </w:p>
        </w:tc>
        <w:tc>
          <w:tcPr>
            <w:tcW w:w="1232" w:type="dxa"/>
            <w:vAlign w:val="center"/>
          </w:tcPr>
          <w:p w14:paraId="0AE46C65">
            <w:pPr>
              <w:jc w:val="right"/>
              <w:rPr>
                <w:sz w:val="15"/>
                <w:szCs w:val="15"/>
              </w:rPr>
            </w:pPr>
          </w:p>
        </w:tc>
        <w:tc>
          <w:tcPr>
            <w:tcW w:w="1276" w:type="dxa"/>
            <w:vAlign w:val="center"/>
          </w:tcPr>
          <w:p w14:paraId="3D06E646">
            <w:pPr>
              <w:jc w:val="right"/>
              <w:rPr>
                <w:sz w:val="15"/>
                <w:szCs w:val="15"/>
              </w:rPr>
            </w:pPr>
          </w:p>
        </w:tc>
        <w:tc>
          <w:tcPr>
            <w:tcW w:w="1491" w:type="dxa"/>
            <w:vAlign w:val="center"/>
          </w:tcPr>
          <w:p w14:paraId="7443D25B">
            <w:pPr>
              <w:jc w:val="right"/>
              <w:rPr>
                <w:sz w:val="15"/>
                <w:szCs w:val="15"/>
              </w:rPr>
            </w:pPr>
          </w:p>
        </w:tc>
      </w:tr>
      <w:tr w14:paraId="107DE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52" w:type="dxa"/>
            <w:vAlign w:val="center"/>
          </w:tcPr>
          <w:sdt>
            <w:sdtPr>
              <w:rPr>
                <w:sz w:val="15"/>
                <w:szCs w:val="15"/>
              </w:rPr>
              <w:tag w:val="_PLD_1c8ba4a0bb224c1d891e628390545199"/>
              <w:id w:val="-2094461205"/>
            </w:sdtPr>
            <w:sdtEndPr>
              <w:rPr>
                <w:sz w:val="15"/>
                <w:szCs w:val="15"/>
              </w:rPr>
            </w:sdtEndPr>
            <w:sdtContent>
              <w:p w14:paraId="42F8EDFA">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5．其他综合收益结转留存收益</w:t>
                </w:r>
              </w:p>
            </w:sdtContent>
          </w:sdt>
        </w:tc>
        <w:tc>
          <w:tcPr>
            <w:tcW w:w="1273" w:type="dxa"/>
            <w:tcBorders>
              <w:right w:val="single" w:color="auto" w:sz="4" w:space="0"/>
            </w:tcBorders>
            <w:vAlign w:val="center"/>
          </w:tcPr>
          <w:p w14:paraId="2BA691C5">
            <w:pPr>
              <w:jc w:val="right"/>
              <w:rPr>
                <w:sz w:val="15"/>
                <w:szCs w:val="15"/>
              </w:rPr>
            </w:pPr>
          </w:p>
        </w:tc>
        <w:tc>
          <w:tcPr>
            <w:tcW w:w="424" w:type="dxa"/>
            <w:tcBorders>
              <w:left w:val="single" w:color="auto" w:sz="4" w:space="0"/>
              <w:right w:val="single" w:color="auto" w:sz="4" w:space="0"/>
            </w:tcBorders>
            <w:vAlign w:val="center"/>
          </w:tcPr>
          <w:p w14:paraId="2F99967C">
            <w:pPr>
              <w:jc w:val="right"/>
              <w:rPr>
                <w:sz w:val="15"/>
                <w:szCs w:val="15"/>
              </w:rPr>
            </w:pPr>
          </w:p>
        </w:tc>
        <w:tc>
          <w:tcPr>
            <w:tcW w:w="429" w:type="dxa"/>
            <w:tcBorders>
              <w:left w:val="single" w:color="auto" w:sz="4" w:space="0"/>
              <w:right w:val="single" w:color="auto" w:sz="4" w:space="0"/>
            </w:tcBorders>
            <w:vAlign w:val="center"/>
          </w:tcPr>
          <w:p w14:paraId="63B92267">
            <w:pPr>
              <w:jc w:val="right"/>
              <w:rPr>
                <w:sz w:val="15"/>
                <w:szCs w:val="15"/>
              </w:rPr>
            </w:pPr>
          </w:p>
        </w:tc>
        <w:tc>
          <w:tcPr>
            <w:tcW w:w="426" w:type="dxa"/>
            <w:tcBorders>
              <w:left w:val="single" w:color="auto" w:sz="4" w:space="0"/>
            </w:tcBorders>
            <w:vAlign w:val="center"/>
          </w:tcPr>
          <w:p w14:paraId="418EDF02">
            <w:pPr>
              <w:jc w:val="right"/>
              <w:rPr>
                <w:sz w:val="15"/>
                <w:szCs w:val="15"/>
              </w:rPr>
            </w:pPr>
          </w:p>
        </w:tc>
        <w:tc>
          <w:tcPr>
            <w:tcW w:w="1317" w:type="dxa"/>
            <w:vAlign w:val="center"/>
          </w:tcPr>
          <w:p w14:paraId="07A28C23">
            <w:pPr>
              <w:jc w:val="right"/>
              <w:rPr>
                <w:sz w:val="15"/>
                <w:szCs w:val="15"/>
              </w:rPr>
            </w:pPr>
          </w:p>
        </w:tc>
        <w:tc>
          <w:tcPr>
            <w:tcW w:w="1417" w:type="dxa"/>
            <w:vAlign w:val="center"/>
          </w:tcPr>
          <w:p w14:paraId="432C5082">
            <w:pPr>
              <w:jc w:val="right"/>
              <w:rPr>
                <w:sz w:val="15"/>
                <w:szCs w:val="15"/>
              </w:rPr>
            </w:pPr>
          </w:p>
        </w:tc>
        <w:tc>
          <w:tcPr>
            <w:tcW w:w="1134" w:type="dxa"/>
            <w:vAlign w:val="center"/>
          </w:tcPr>
          <w:p w14:paraId="0AD8B306">
            <w:pPr>
              <w:jc w:val="right"/>
              <w:rPr>
                <w:sz w:val="15"/>
                <w:szCs w:val="15"/>
              </w:rPr>
            </w:pPr>
          </w:p>
        </w:tc>
        <w:tc>
          <w:tcPr>
            <w:tcW w:w="1036" w:type="dxa"/>
            <w:vAlign w:val="center"/>
          </w:tcPr>
          <w:p w14:paraId="5088642C">
            <w:pPr>
              <w:jc w:val="right"/>
              <w:rPr>
                <w:sz w:val="15"/>
                <w:szCs w:val="15"/>
              </w:rPr>
            </w:pPr>
          </w:p>
        </w:tc>
        <w:tc>
          <w:tcPr>
            <w:tcW w:w="1232" w:type="dxa"/>
            <w:vAlign w:val="center"/>
          </w:tcPr>
          <w:p w14:paraId="41A75540">
            <w:pPr>
              <w:jc w:val="right"/>
              <w:rPr>
                <w:sz w:val="15"/>
                <w:szCs w:val="15"/>
              </w:rPr>
            </w:pPr>
          </w:p>
        </w:tc>
        <w:tc>
          <w:tcPr>
            <w:tcW w:w="1276" w:type="dxa"/>
            <w:vAlign w:val="center"/>
          </w:tcPr>
          <w:p w14:paraId="0636350C">
            <w:pPr>
              <w:jc w:val="right"/>
              <w:rPr>
                <w:sz w:val="15"/>
                <w:szCs w:val="15"/>
              </w:rPr>
            </w:pPr>
          </w:p>
        </w:tc>
        <w:tc>
          <w:tcPr>
            <w:tcW w:w="1491" w:type="dxa"/>
            <w:vAlign w:val="center"/>
          </w:tcPr>
          <w:p w14:paraId="0EE8F207">
            <w:pPr>
              <w:jc w:val="right"/>
              <w:rPr>
                <w:sz w:val="15"/>
                <w:szCs w:val="15"/>
              </w:rPr>
            </w:pPr>
          </w:p>
        </w:tc>
      </w:tr>
      <w:tr w14:paraId="18634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52" w:type="dxa"/>
            <w:vAlign w:val="center"/>
          </w:tcPr>
          <w:sdt>
            <w:sdtPr>
              <w:rPr>
                <w:sz w:val="15"/>
                <w:szCs w:val="15"/>
              </w:rPr>
              <w:tag w:val="_PLD_69d4adb536bf498a8a9d97dda9d31e75"/>
              <w:id w:val="-1510833112"/>
            </w:sdtPr>
            <w:sdtEndPr>
              <w:rPr>
                <w:sz w:val="15"/>
                <w:szCs w:val="15"/>
              </w:rPr>
            </w:sdtEndPr>
            <w:sdtContent>
              <w:p w14:paraId="3700A161">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6．其他</w:t>
                </w:r>
              </w:p>
            </w:sdtContent>
          </w:sdt>
        </w:tc>
        <w:tc>
          <w:tcPr>
            <w:tcW w:w="1273" w:type="dxa"/>
            <w:tcBorders>
              <w:right w:val="single" w:color="auto" w:sz="4" w:space="0"/>
            </w:tcBorders>
            <w:vAlign w:val="center"/>
          </w:tcPr>
          <w:p w14:paraId="5D88F044">
            <w:pPr>
              <w:jc w:val="right"/>
              <w:rPr>
                <w:sz w:val="15"/>
                <w:szCs w:val="15"/>
              </w:rPr>
            </w:pPr>
          </w:p>
        </w:tc>
        <w:tc>
          <w:tcPr>
            <w:tcW w:w="424" w:type="dxa"/>
            <w:tcBorders>
              <w:left w:val="single" w:color="auto" w:sz="4" w:space="0"/>
              <w:right w:val="single" w:color="auto" w:sz="4" w:space="0"/>
            </w:tcBorders>
            <w:vAlign w:val="center"/>
          </w:tcPr>
          <w:p w14:paraId="6C16B754">
            <w:pPr>
              <w:jc w:val="right"/>
              <w:rPr>
                <w:sz w:val="15"/>
                <w:szCs w:val="15"/>
              </w:rPr>
            </w:pPr>
          </w:p>
        </w:tc>
        <w:tc>
          <w:tcPr>
            <w:tcW w:w="429" w:type="dxa"/>
            <w:tcBorders>
              <w:left w:val="single" w:color="auto" w:sz="4" w:space="0"/>
              <w:right w:val="single" w:color="auto" w:sz="4" w:space="0"/>
            </w:tcBorders>
            <w:vAlign w:val="center"/>
          </w:tcPr>
          <w:p w14:paraId="6F64B15F">
            <w:pPr>
              <w:jc w:val="right"/>
              <w:rPr>
                <w:sz w:val="15"/>
                <w:szCs w:val="15"/>
              </w:rPr>
            </w:pPr>
          </w:p>
        </w:tc>
        <w:tc>
          <w:tcPr>
            <w:tcW w:w="426" w:type="dxa"/>
            <w:tcBorders>
              <w:left w:val="single" w:color="auto" w:sz="4" w:space="0"/>
            </w:tcBorders>
            <w:vAlign w:val="center"/>
          </w:tcPr>
          <w:p w14:paraId="6980F5DD">
            <w:pPr>
              <w:jc w:val="right"/>
              <w:rPr>
                <w:sz w:val="15"/>
                <w:szCs w:val="15"/>
              </w:rPr>
            </w:pPr>
          </w:p>
        </w:tc>
        <w:tc>
          <w:tcPr>
            <w:tcW w:w="1317" w:type="dxa"/>
            <w:vAlign w:val="center"/>
          </w:tcPr>
          <w:p w14:paraId="00E73BA1">
            <w:pPr>
              <w:jc w:val="right"/>
              <w:rPr>
                <w:sz w:val="15"/>
                <w:szCs w:val="15"/>
              </w:rPr>
            </w:pPr>
          </w:p>
        </w:tc>
        <w:tc>
          <w:tcPr>
            <w:tcW w:w="1417" w:type="dxa"/>
            <w:vAlign w:val="center"/>
          </w:tcPr>
          <w:p w14:paraId="2D1DEC42">
            <w:pPr>
              <w:jc w:val="right"/>
              <w:rPr>
                <w:sz w:val="15"/>
                <w:szCs w:val="15"/>
              </w:rPr>
            </w:pPr>
          </w:p>
        </w:tc>
        <w:tc>
          <w:tcPr>
            <w:tcW w:w="1134" w:type="dxa"/>
            <w:vAlign w:val="center"/>
          </w:tcPr>
          <w:p w14:paraId="2EC12A71">
            <w:pPr>
              <w:jc w:val="right"/>
              <w:rPr>
                <w:sz w:val="15"/>
                <w:szCs w:val="15"/>
              </w:rPr>
            </w:pPr>
          </w:p>
        </w:tc>
        <w:tc>
          <w:tcPr>
            <w:tcW w:w="1036" w:type="dxa"/>
            <w:vAlign w:val="center"/>
          </w:tcPr>
          <w:p w14:paraId="78525C7E">
            <w:pPr>
              <w:jc w:val="right"/>
              <w:rPr>
                <w:sz w:val="15"/>
                <w:szCs w:val="15"/>
              </w:rPr>
            </w:pPr>
          </w:p>
        </w:tc>
        <w:tc>
          <w:tcPr>
            <w:tcW w:w="1232" w:type="dxa"/>
            <w:vAlign w:val="center"/>
          </w:tcPr>
          <w:p w14:paraId="25F1CC2D">
            <w:pPr>
              <w:jc w:val="right"/>
              <w:rPr>
                <w:sz w:val="15"/>
                <w:szCs w:val="15"/>
              </w:rPr>
            </w:pPr>
          </w:p>
        </w:tc>
        <w:tc>
          <w:tcPr>
            <w:tcW w:w="1276" w:type="dxa"/>
            <w:vAlign w:val="center"/>
          </w:tcPr>
          <w:p w14:paraId="22B836BD">
            <w:pPr>
              <w:jc w:val="right"/>
              <w:rPr>
                <w:sz w:val="15"/>
                <w:szCs w:val="15"/>
              </w:rPr>
            </w:pPr>
          </w:p>
        </w:tc>
        <w:tc>
          <w:tcPr>
            <w:tcW w:w="1491" w:type="dxa"/>
            <w:vAlign w:val="center"/>
          </w:tcPr>
          <w:p w14:paraId="1228DCC6">
            <w:pPr>
              <w:jc w:val="right"/>
              <w:rPr>
                <w:sz w:val="15"/>
                <w:szCs w:val="15"/>
              </w:rPr>
            </w:pPr>
          </w:p>
        </w:tc>
      </w:tr>
      <w:tr w14:paraId="6A62F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2ae06251c01740e284196240776af550"/>
            <w:id w:val="1123188476"/>
          </w:sdtPr>
          <w:sdtEndPr>
            <w:rPr>
              <w:sz w:val="15"/>
              <w:szCs w:val="15"/>
            </w:rPr>
          </w:sdtEndPr>
          <w:sdtContent>
            <w:tc>
              <w:tcPr>
                <w:tcW w:w="2552" w:type="dxa"/>
                <w:vAlign w:val="center"/>
              </w:tcPr>
              <w:p w14:paraId="0A71FEEB">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（五）专项储备</w:t>
                </w:r>
              </w:p>
            </w:tc>
          </w:sdtContent>
        </w:sdt>
        <w:tc>
          <w:tcPr>
            <w:tcW w:w="1273" w:type="dxa"/>
            <w:tcBorders>
              <w:right w:val="single" w:color="auto" w:sz="4" w:space="0"/>
            </w:tcBorders>
            <w:vAlign w:val="center"/>
          </w:tcPr>
          <w:p w14:paraId="7F97F273">
            <w:pPr>
              <w:jc w:val="right"/>
              <w:rPr>
                <w:sz w:val="15"/>
                <w:szCs w:val="15"/>
              </w:rPr>
            </w:pPr>
          </w:p>
        </w:tc>
        <w:tc>
          <w:tcPr>
            <w:tcW w:w="424" w:type="dxa"/>
            <w:tcBorders>
              <w:left w:val="single" w:color="auto" w:sz="4" w:space="0"/>
              <w:right w:val="single" w:color="auto" w:sz="4" w:space="0"/>
            </w:tcBorders>
            <w:vAlign w:val="center"/>
          </w:tcPr>
          <w:p w14:paraId="1D6691F6">
            <w:pPr>
              <w:jc w:val="right"/>
              <w:rPr>
                <w:sz w:val="15"/>
                <w:szCs w:val="15"/>
              </w:rPr>
            </w:pPr>
          </w:p>
        </w:tc>
        <w:tc>
          <w:tcPr>
            <w:tcW w:w="429" w:type="dxa"/>
            <w:tcBorders>
              <w:left w:val="single" w:color="auto" w:sz="4" w:space="0"/>
              <w:right w:val="single" w:color="auto" w:sz="4" w:space="0"/>
            </w:tcBorders>
            <w:vAlign w:val="center"/>
          </w:tcPr>
          <w:p w14:paraId="419630F2">
            <w:pPr>
              <w:jc w:val="right"/>
              <w:rPr>
                <w:sz w:val="15"/>
                <w:szCs w:val="15"/>
              </w:rPr>
            </w:pPr>
          </w:p>
        </w:tc>
        <w:tc>
          <w:tcPr>
            <w:tcW w:w="426" w:type="dxa"/>
            <w:tcBorders>
              <w:left w:val="single" w:color="auto" w:sz="4" w:space="0"/>
            </w:tcBorders>
            <w:vAlign w:val="center"/>
          </w:tcPr>
          <w:p w14:paraId="6F7CA250">
            <w:pPr>
              <w:jc w:val="right"/>
              <w:rPr>
                <w:sz w:val="15"/>
                <w:szCs w:val="15"/>
              </w:rPr>
            </w:pPr>
          </w:p>
        </w:tc>
        <w:tc>
          <w:tcPr>
            <w:tcW w:w="1317" w:type="dxa"/>
            <w:vAlign w:val="center"/>
          </w:tcPr>
          <w:p w14:paraId="019A7E29">
            <w:pPr>
              <w:jc w:val="right"/>
              <w:rPr>
                <w:sz w:val="15"/>
                <w:szCs w:val="15"/>
              </w:rPr>
            </w:pPr>
          </w:p>
        </w:tc>
        <w:tc>
          <w:tcPr>
            <w:tcW w:w="1417" w:type="dxa"/>
            <w:vAlign w:val="center"/>
          </w:tcPr>
          <w:p w14:paraId="715E4445">
            <w:pPr>
              <w:jc w:val="right"/>
              <w:rPr>
                <w:sz w:val="15"/>
                <w:szCs w:val="15"/>
              </w:rPr>
            </w:pPr>
          </w:p>
        </w:tc>
        <w:tc>
          <w:tcPr>
            <w:tcW w:w="1134" w:type="dxa"/>
            <w:vAlign w:val="center"/>
          </w:tcPr>
          <w:p w14:paraId="2993F2E1">
            <w:pPr>
              <w:jc w:val="right"/>
              <w:rPr>
                <w:sz w:val="15"/>
                <w:szCs w:val="15"/>
              </w:rPr>
            </w:pPr>
          </w:p>
        </w:tc>
        <w:tc>
          <w:tcPr>
            <w:tcW w:w="1036" w:type="dxa"/>
            <w:vAlign w:val="center"/>
          </w:tcPr>
          <w:p w14:paraId="1D5820F7">
            <w:pPr>
              <w:jc w:val="right"/>
              <w:rPr>
                <w:sz w:val="15"/>
                <w:szCs w:val="15"/>
              </w:rPr>
            </w:pPr>
          </w:p>
        </w:tc>
        <w:tc>
          <w:tcPr>
            <w:tcW w:w="1232" w:type="dxa"/>
            <w:vAlign w:val="center"/>
          </w:tcPr>
          <w:p w14:paraId="78B874B8">
            <w:pPr>
              <w:jc w:val="right"/>
              <w:rPr>
                <w:sz w:val="15"/>
                <w:szCs w:val="15"/>
              </w:rPr>
            </w:pPr>
          </w:p>
        </w:tc>
        <w:tc>
          <w:tcPr>
            <w:tcW w:w="1276" w:type="dxa"/>
            <w:vAlign w:val="center"/>
          </w:tcPr>
          <w:p w14:paraId="32DA43D8">
            <w:pPr>
              <w:jc w:val="right"/>
              <w:rPr>
                <w:sz w:val="15"/>
                <w:szCs w:val="15"/>
              </w:rPr>
            </w:pPr>
          </w:p>
        </w:tc>
        <w:tc>
          <w:tcPr>
            <w:tcW w:w="1491" w:type="dxa"/>
            <w:vAlign w:val="center"/>
          </w:tcPr>
          <w:p w14:paraId="1B8A8D0D">
            <w:pPr>
              <w:jc w:val="right"/>
              <w:rPr>
                <w:sz w:val="15"/>
                <w:szCs w:val="15"/>
              </w:rPr>
            </w:pPr>
          </w:p>
        </w:tc>
      </w:tr>
      <w:tr w14:paraId="2972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6c9c274129814a4ea45296335d45791b"/>
            <w:id w:val="-160856422"/>
          </w:sdtPr>
          <w:sdtEndPr>
            <w:rPr>
              <w:sz w:val="15"/>
              <w:szCs w:val="15"/>
            </w:rPr>
          </w:sdtEndPr>
          <w:sdtContent>
            <w:tc>
              <w:tcPr>
                <w:tcW w:w="2552" w:type="dxa"/>
                <w:vAlign w:val="center"/>
              </w:tcPr>
              <w:p w14:paraId="1D9E566C">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1．本期提取</w:t>
                </w:r>
              </w:p>
            </w:tc>
          </w:sdtContent>
        </w:sdt>
        <w:tc>
          <w:tcPr>
            <w:tcW w:w="1273" w:type="dxa"/>
            <w:tcBorders>
              <w:right w:val="single" w:color="auto" w:sz="4" w:space="0"/>
            </w:tcBorders>
            <w:vAlign w:val="center"/>
          </w:tcPr>
          <w:p w14:paraId="3C87210A">
            <w:pPr>
              <w:jc w:val="right"/>
              <w:rPr>
                <w:sz w:val="15"/>
                <w:szCs w:val="15"/>
              </w:rPr>
            </w:pPr>
          </w:p>
        </w:tc>
        <w:tc>
          <w:tcPr>
            <w:tcW w:w="424" w:type="dxa"/>
            <w:tcBorders>
              <w:left w:val="single" w:color="auto" w:sz="4" w:space="0"/>
              <w:right w:val="single" w:color="auto" w:sz="4" w:space="0"/>
            </w:tcBorders>
            <w:vAlign w:val="center"/>
          </w:tcPr>
          <w:p w14:paraId="71125615">
            <w:pPr>
              <w:jc w:val="right"/>
              <w:rPr>
                <w:sz w:val="15"/>
                <w:szCs w:val="15"/>
              </w:rPr>
            </w:pPr>
          </w:p>
        </w:tc>
        <w:tc>
          <w:tcPr>
            <w:tcW w:w="429" w:type="dxa"/>
            <w:tcBorders>
              <w:left w:val="single" w:color="auto" w:sz="4" w:space="0"/>
              <w:right w:val="single" w:color="auto" w:sz="4" w:space="0"/>
            </w:tcBorders>
            <w:vAlign w:val="center"/>
          </w:tcPr>
          <w:p w14:paraId="4A518470">
            <w:pPr>
              <w:jc w:val="right"/>
              <w:rPr>
                <w:sz w:val="15"/>
                <w:szCs w:val="15"/>
              </w:rPr>
            </w:pPr>
          </w:p>
        </w:tc>
        <w:tc>
          <w:tcPr>
            <w:tcW w:w="426" w:type="dxa"/>
            <w:tcBorders>
              <w:left w:val="single" w:color="auto" w:sz="4" w:space="0"/>
            </w:tcBorders>
            <w:vAlign w:val="center"/>
          </w:tcPr>
          <w:p w14:paraId="42BADBCB">
            <w:pPr>
              <w:jc w:val="right"/>
              <w:rPr>
                <w:sz w:val="15"/>
                <w:szCs w:val="15"/>
              </w:rPr>
            </w:pPr>
          </w:p>
        </w:tc>
        <w:tc>
          <w:tcPr>
            <w:tcW w:w="1317" w:type="dxa"/>
            <w:vAlign w:val="center"/>
          </w:tcPr>
          <w:p w14:paraId="14C6EE6C">
            <w:pPr>
              <w:jc w:val="right"/>
              <w:rPr>
                <w:sz w:val="15"/>
                <w:szCs w:val="15"/>
              </w:rPr>
            </w:pPr>
          </w:p>
        </w:tc>
        <w:tc>
          <w:tcPr>
            <w:tcW w:w="1417" w:type="dxa"/>
            <w:vAlign w:val="center"/>
          </w:tcPr>
          <w:p w14:paraId="49119826">
            <w:pPr>
              <w:jc w:val="right"/>
              <w:rPr>
                <w:sz w:val="15"/>
                <w:szCs w:val="15"/>
              </w:rPr>
            </w:pPr>
          </w:p>
        </w:tc>
        <w:tc>
          <w:tcPr>
            <w:tcW w:w="1134" w:type="dxa"/>
            <w:vAlign w:val="center"/>
          </w:tcPr>
          <w:p w14:paraId="6D171407">
            <w:pPr>
              <w:jc w:val="right"/>
              <w:rPr>
                <w:sz w:val="15"/>
                <w:szCs w:val="15"/>
              </w:rPr>
            </w:pPr>
          </w:p>
        </w:tc>
        <w:tc>
          <w:tcPr>
            <w:tcW w:w="1036" w:type="dxa"/>
            <w:vAlign w:val="center"/>
          </w:tcPr>
          <w:p w14:paraId="3578D436">
            <w:pPr>
              <w:jc w:val="right"/>
              <w:rPr>
                <w:sz w:val="15"/>
                <w:szCs w:val="15"/>
              </w:rPr>
            </w:pPr>
          </w:p>
        </w:tc>
        <w:tc>
          <w:tcPr>
            <w:tcW w:w="1232" w:type="dxa"/>
            <w:vAlign w:val="center"/>
          </w:tcPr>
          <w:p w14:paraId="27718021">
            <w:pPr>
              <w:jc w:val="right"/>
              <w:rPr>
                <w:sz w:val="15"/>
                <w:szCs w:val="15"/>
              </w:rPr>
            </w:pPr>
          </w:p>
        </w:tc>
        <w:tc>
          <w:tcPr>
            <w:tcW w:w="1276" w:type="dxa"/>
            <w:vAlign w:val="center"/>
          </w:tcPr>
          <w:p w14:paraId="467808E0">
            <w:pPr>
              <w:jc w:val="right"/>
              <w:rPr>
                <w:sz w:val="15"/>
                <w:szCs w:val="15"/>
              </w:rPr>
            </w:pPr>
          </w:p>
        </w:tc>
        <w:tc>
          <w:tcPr>
            <w:tcW w:w="1491" w:type="dxa"/>
            <w:vAlign w:val="center"/>
          </w:tcPr>
          <w:p w14:paraId="4097A5EB">
            <w:pPr>
              <w:jc w:val="right"/>
              <w:rPr>
                <w:sz w:val="15"/>
                <w:szCs w:val="15"/>
              </w:rPr>
            </w:pPr>
          </w:p>
        </w:tc>
      </w:tr>
      <w:tr w14:paraId="278AD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14398e4dd6ed4c74869a974323e2137e"/>
            <w:id w:val="221727670"/>
          </w:sdtPr>
          <w:sdtEndPr>
            <w:rPr>
              <w:sz w:val="15"/>
              <w:szCs w:val="15"/>
            </w:rPr>
          </w:sdtEndPr>
          <w:sdtContent>
            <w:tc>
              <w:tcPr>
                <w:tcW w:w="2552" w:type="dxa"/>
                <w:vAlign w:val="center"/>
              </w:tcPr>
              <w:p w14:paraId="50E0379D">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2．本期使用</w:t>
                </w:r>
              </w:p>
            </w:tc>
          </w:sdtContent>
        </w:sdt>
        <w:tc>
          <w:tcPr>
            <w:tcW w:w="1273" w:type="dxa"/>
            <w:tcBorders>
              <w:right w:val="single" w:color="auto" w:sz="4" w:space="0"/>
            </w:tcBorders>
            <w:vAlign w:val="center"/>
          </w:tcPr>
          <w:p w14:paraId="005377BA">
            <w:pPr>
              <w:jc w:val="right"/>
              <w:rPr>
                <w:sz w:val="15"/>
                <w:szCs w:val="15"/>
              </w:rPr>
            </w:pPr>
          </w:p>
        </w:tc>
        <w:tc>
          <w:tcPr>
            <w:tcW w:w="424" w:type="dxa"/>
            <w:tcBorders>
              <w:left w:val="single" w:color="auto" w:sz="4" w:space="0"/>
              <w:right w:val="single" w:color="auto" w:sz="4" w:space="0"/>
            </w:tcBorders>
            <w:vAlign w:val="center"/>
          </w:tcPr>
          <w:p w14:paraId="00C6B464">
            <w:pPr>
              <w:jc w:val="right"/>
              <w:rPr>
                <w:sz w:val="15"/>
                <w:szCs w:val="15"/>
              </w:rPr>
            </w:pPr>
          </w:p>
        </w:tc>
        <w:tc>
          <w:tcPr>
            <w:tcW w:w="429" w:type="dxa"/>
            <w:tcBorders>
              <w:left w:val="single" w:color="auto" w:sz="4" w:space="0"/>
              <w:right w:val="single" w:color="auto" w:sz="4" w:space="0"/>
            </w:tcBorders>
            <w:vAlign w:val="center"/>
          </w:tcPr>
          <w:p w14:paraId="23D35551">
            <w:pPr>
              <w:jc w:val="right"/>
              <w:rPr>
                <w:sz w:val="15"/>
                <w:szCs w:val="15"/>
              </w:rPr>
            </w:pPr>
          </w:p>
        </w:tc>
        <w:tc>
          <w:tcPr>
            <w:tcW w:w="426" w:type="dxa"/>
            <w:tcBorders>
              <w:left w:val="single" w:color="auto" w:sz="4" w:space="0"/>
            </w:tcBorders>
            <w:vAlign w:val="center"/>
          </w:tcPr>
          <w:p w14:paraId="5305ED50">
            <w:pPr>
              <w:jc w:val="right"/>
              <w:rPr>
                <w:sz w:val="15"/>
                <w:szCs w:val="15"/>
              </w:rPr>
            </w:pPr>
          </w:p>
        </w:tc>
        <w:tc>
          <w:tcPr>
            <w:tcW w:w="1317" w:type="dxa"/>
            <w:vAlign w:val="center"/>
          </w:tcPr>
          <w:p w14:paraId="1F9D4A24">
            <w:pPr>
              <w:jc w:val="right"/>
              <w:rPr>
                <w:sz w:val="15"/>
                <w:szCs w:val="15"/>
              </w:rPr>
            </w:pPr>
          </w:p>
        </w:tc>
        <w:tc>
          <w:tcPr>
            <w:tcW w:w="1417" w:type="dxa"/>
            <w:vAlign w:val="center"/>
          </w:tcPr>
          <w:p w14:paraId="20B7C8A3">
            <w:pPr>
              <w:jc w:val="right"/>
              <w:rPr>
                <w:sz w:val="15"/>
                <w:szCs w:val="15"/>
              </w:rPr>
            </w:pPr>
          </w:p>
        </w:tc>
        <w:tc>
          <w:tcPr>
            <w:tcW w:w="1134" w:type="dxa"/>
            <w:vAlign w:val="center"/>
          </w:tcPr>
          <w:p w14:paraId="5CF486BC">
            <w:pPr>
              <w:jc w:val="right"/>
              <w:rPr>
                <w:sz w:val="15"/>
                <w:szCs w:val="15"/>
              </w:rPr>
            </w:pPr>
          </w:p>
        </w:tc>
        <w:tc>
          <w:tcPr>
            <w:tcW w:w="1036" w:type="dxa"/>
            <w:vAlign w:val="center"/>
          </w:tcPr>
          <w:p w14:paraId="5833FD80">
            <w:pPr>
              <w:jc w:val="right"/>
              <w:rPr>
                <w:sz w:val="15"/>
                <w:szCs w:val="15"/>
              </w:rPr>
            </w:pPr>
          </w:p>
        </w:tc>
        <w:tc>
          <w:tcPr>
            <w:tcW w:w="1232" w:type="dxa"/>
            <w:vAlign w:val="center"/>
          </w:tcPr>
          <w:p w14:paraId="4173172F">
            <w:pPr>
              <w:jc w:val="right"/>
              <w:rPr>
                <w:sz w:val="15"/>
                <w:szCs w:val="15"/>
              </w:rPr>
            </w:pPr>
          </w:p>
        </w:tc>
        <w:tc>
          <w:tcPr>
            <w:tcW w:w="1276" w:type="dxa"/>
            <w:vAlign w:val="center"/>
          </w:tcPr>
          <w:p w14:paraId="36AADF65">
            <w:pPr>
              <w:jc w:val="right"/>
              <w:rPr>
                <w:sz w:val="15"/>
                <w:szCs w:val="15"/>
              </w:rPr>
            </w:pPr>
          </w:p>
        </w:tc>
        <w:tc>
          <w:tcPr>
            <w:tcW w:w="1491" w:type="dxa"/>
            <w:vAlign w:val="center"/>
          </w:tcPr>
          <w:p w14:paraId="6AE19DD4">
            <w:pPr>
              <w:jc w:val="right"/>
              <w:rPr>
                <w:sz w:val="15"/>
                <w:szCs w:val="15"/>
              </w:rPr>
            </w:pPr>
          </w:p>
        </w:tc>
      </w:tr>
      <w:tr w14:paraId="5D4D4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224fa1ebe84a4d40b88b89a97997e311"/>
            <w:id w:val="-716970621"/>
          </w:sdtPr>
          <w:sdtEndPr>
            <w:rPr>
              <w:sz w:val="15"/>
              <w:szCs w:val="15"/>
            </w:rPr>
          </w:sdtEndPr>
          <w:sdtContent>
            <w:tc>
              <w:tcPr>
                <w:tcW w:w="2552" w:type="dxa"/>
                <w:vAlign w:val="center"/>
              </w:tcPr>
              <w:p w14:paraId="4D6A103F">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（六）其他</w:t>
                </w:r>
              </w:p>
            </w:tc>
          </w:sdtContent>
        </w:sdt>
        <w:tc>
          <w:tcPr>
            <w:tcW w:w="1273" w:type="dxa"/>
            <w:tcBorders>
              <w:right w:val="single" w:color="auto" w:sz="4" w:space="0"/>
            </w:tcBorders>
            <w:vAlign w:val="center"/>
          </w:tcPr>
          <w:p w14:paraId="1F7C5E98">
            <w:pPr>
              <w:jc w:val="right"/>
              <w:rPr>
                <w:sz w:val="15"/>
                <w:szCs w:val="15"/>
              </w:rPr>
            </w:pPr>
          </w:p>
        </w:tc>
        <w:tc>
          <w:tcPr>
            <w:tcW w:w="424" w:type="dxa"/>
            <w:tcBorders>
              <w:left w:val="single" w:color="auto" w:sz="4" w:space="0"/>
              <w:right w:val="single" w:color="auto" w:sz="4" w:space="0"/>
            </w:tcBorders>
            <w:vAlign w:val="center"/>
          </w:tcPr>
          <w:p w14:paraId="00CED998">
            <w:pPr>
              <w:jc w:val="right"/>
              <w:rPr>
                <w:sz w:val="15"/>
                <w:szCs w:val="15"/>
              </w:rPr>
            </w:pPr>
          </w:p>
        </w:tc>
        <w:tc>
          <w:tcPr>
            <w:tcW w:w="429" w:type="dxa"/>
            <w:tcBorders>
              <w:left w:val="single" w:color="auto" w:sz="4" w:space="0"/>
              <w:right w:val="single" w:color="auto" w:sz="4" w:space="0"/>
            </w:tcBorders>
            <w:vAlign w:val="center"/>
          </w:tcPr>
          <w:p w14:paraId="61E0F7D9">
            <w:pPr>
              <w:jc w:val="right"/>
              <w:rPr>
                <w:sz w:val="15"/>
                <w:szCs w:val="15"/>
              </w:rPr>
            </w:pPr>
          </w:p>
        </w:tc>
        <w:tc>
          <w:tcPr>
            <w:tcW w:w="426" w:type="dxa"/>
            <w:tcBorders>
              <w:left w:val="single" w:color="auto" w:sz="4" w:space="0"/>
            </w:tcBorders>
            <w:vAlign w:val="center"/>
          </w:tcPr>
          <w:p w14:paraId="7FF0E6E9">
            <w:pPr>
              <w:jc w:val="right"/>
              <w:rPr>
                <w:sz w:val="15"/>
                <w:szCs w:val="15"/>
              </w:rPr>
            </w:pPr>
          </w:p>
        </w:tc>
        <w:tc>
          <w:tcPr>
            <w:tcW w:w="1317" w:type="dxa"/>
            <w:vAlign w:val="center"/>
          </w:tcPr>
          <w:p w14:paraId="79019EF1">
            <w:pPr>
              <w:jc w:val="right"/>
              <w:rPr>
                <w:sz w:val="15"/>
                <w:szCs w:val="15"/>
              </w:rPr>
            </w:pPr>
          </w:p>
        </w:tc>
        <w:tc>
          <w:tcPr>
            <w:tcW w:w="1417" w:type="dxa"/>
            <w:vAlign w:val="center"/>
          </w:tcPr>
          <w:p w14:paraId="7C08B2EE">
            <w:pPr>
              <w:jc w:val="right"/>
              <w:rPr>
                <w:sz w:val="15"/>
                <w:szCs w:val="15"/>
              </w:rPr>
            </w:pPr>
          </w:p>
        </w:tc>
        <w:tc>
          <w:tcPr>
            <w:tcW w:w="1134" w:type="dxa"/>
            <w:vAlign w:val="center"/>
          </w:tcPr>
          <w:p w14:paraId="3F7B2D7F">
            <w:pPr>
              <w:jc w:val="right"/>
              <w:rPr>
                <w:sz w:val="15"/>
                <w:szCs w:val="15"/>
              </w:rPr>
            </w:pPr>
          </w:p>
        </w:tc>
        <w:tc>
          <w:tcPr>
            <w:tcW w:w="1036" w:type="dxa"/>
            <w:vAlign w:val="center"/>
          </w:tcPr>
          <w:p w14:paraId="0ACEA1E0">
            <w:pPr>
              <w:jc w:val="right"/>
              <w:rPr>
                <w:sz w:val="15"/>
                <w:szCs w:val="15"/>
              </w:rPr>
            </w:pPr>
          </w:p>
        </w:tc>
        <w:tc>
          <w:tcPr>
            <w:tcW w:w="1232" w:type="dxa"/>
            <w:vAlign w:val="center"/>
          </w:tcPr>
          <w:p w14:paraId="36E134B5">
            <w:pPr>
              <w:jc w:val="right"/>
              <w:rPr>
                <w:sz w:val="15"/>
                <w:szCs w:val="15"/>
              </w:rPr>
            </w:pPr>
          </w:p>
        </w:tc>
        <w:tc>
          <w:tcPr>
            <w:tcW w:w="1276" w:type="dxa"/>
            <w:vAlign w:val="center"/>
          </w:tcPr>
          <w:p w14:paraId="6B33FFBE">
            <w:pPr>
              <w:jc w:val="right"/>
              <w:rPr>
                <w:sz w:val="15"/>
                <w:szCs w:val="15"/>
              </w:rPr>
            </w:pPr>
          </w:p>
        </w:tc>
        <w:tc>
          <w:tcPr>
            <w:tcW w:w="1491" w:type="dxa"/>
            <w:vAlign w:val="center"/>
          </w:tcPr>
          <w:p w14:paraId="100435CB">
            <w:pPr>
              <w:jc w:val="right"/>
              <w:rPr>
                <w:sz w:val="15"/>
                <w:szCs w:val="15"/>
              </w:rPr>
            </w:pPr>
          </w:p>
        </w:tc>
      </w:tr>
      <w:tr w14:paraId="210D3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sz w:val="15"/>
              <w:szCs w:val="15"/>
            </w:rPr>
            <w:tag w:val="_PLD_fe962ef732004aec94edafee7e0bef94"/>
            <w:id w:val="1080553487"/>
          </w:sdtPr>
          <w:sdtEndPr>
            <w:rPr>
              <w:sz w:val="15"/>
              <w:szCs w:val="15"/>
            </w:rPr>
          </w:sdtEndPr>
          <w:sdtContent>
            <w:tc>
              <w:tcPr>
                <w:tcW w:w="2552" w:type="dxa"/>
                <w:vAlign w:val="center"/>
              </w:tcPr>
              <w:p w14:paraId="3FF81C77">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四、本期期末余额</w:t>
                </w:r>
              </w:p>
            </w:tc>
          </w:sdtContent>
        </w:sdt>
        <w:tc>
          <w:tcPr>
            <w:tcW w:w="1273" w:type="dxa"/>
            <w:tcBorders>
              <w:right w:val="single" w:color="auto" w:sz="4" w:space="0"/>
            </w:tcBorders>
            <w:vAlign w:val="center"/>
          </w:tcPr>
          <w:p w14:paraId="3940D23D">
            <w:pPr>
              <w:jc w:val="right"/>
              <w:rPr>
                <w:sz w:val="15"/>
                <w:szCs w:val="15"/>
              </w:rPr>
            </w:pPr>
            <w:r>
              <w:rPr>
                <w:sz w:val="15"/>
                <w:szCs w:val="15"/>
              </w:rPr>
              <w:t>4,521,100,071.00</w:t>
            </w:r>
          </w:p>
        </w:tc>
        <w:tc>
          <w:tcPr>
            <w:tcW w:w="424" w:type="dxa"/>
            <w:tcBorders>
              <w:left w:val="single" w:color="auto" w:sz="4" w:space="0"/>
              <w:right w:val="single" w:color="auto" w:sz="4" w:space="0"/>
            </w:tcBorders>
            <w:vAlign w:val="center"/>
          </w:tcPr>
          <w:p w14:paraId="2BDC39F7">
            <w:pPr>
              <w:jc w:val="right"/>
              <w:rPr>
                <w:sz w:val="15"/>
                <w:szCs w:val="15"/>
              </w:rPr>
            </w:pPr>
          </w:p>
        </w:tc>
        <w:tc>
          <w:tcPr>
            <w:tcW w:w="429" w:type="dxa"/>
            <w:tcBorders>
              <w:left w:val="single" w:color="auto" w:sz="4" w:space="0"/>
              <w:right w:val="single" w:color="auto" w:sz="4" w:space="0"/>
            </w:tcBorders>
            <w:vAlign w:val="center"/>
          </w:tcPr>
          <w:p w14:paraId="5552AE35">
            <w:pPr>
              <w:jc w:val="right"/>
              <w:rPr>
                <w:rFonts w:eastAsia="Times New Roman" w:cs="Times New Roman"/>
                <w:sz w:val="15"/>
                <w:szCs w:val="15"/>
              </w:rPr>
            </w:pPr>
          </w:p>
        </w:tc>
        <w:tc>
          <w:tcPr>
            <w:tcW w:w="426" w:type="dxa"/>
            <w:tcBorders>
              <w:left w:val="single" w:color="auto" w:sz="4" w:space="0"/>
            </w:tcBorders>
            <w:vAlign w:val="center"/>
          </w:tcPr>
          <w:p w14:paraId="10C021BE">
            <w:pPr>
              <w:jc w:val="right"/>
              <w:rPr>
                <w:rFonts w:eastAsia="Times New Roman" w:cs="Times New Roman"/>
                <w:sz w:val="15"/>
                <w:szCs w:val="15"/>
              </w:rPr>
            </w:pPr>
          </w:p>
        </w:tc>
        <w:tc>
          <w:tcPr>
            <w:tcW w:w="1317" w:type="dxa"/>
            <w:vAlign w:val="center"/>
          </w:tcPr>
          <w:p w14:paraId="57F5043B">
            <w:pPr>
              <w:jc w:val="right"/>
              <w:rPr>
                <w:rFonts w:ascii="宋体" w:hAnsi="宋体"/>
                <w:sz w:val="15"/>
                <w:szCs w:val="15"/>
              </w:rPr>
            </w:pPr>
            <w:r>
              <w:rPr>
                <w:sz w:val="15"/>
                <w:szCs w:val="15"/>
              </w:rPr>
              <w:t>8,643,962,102.62</w:t>
            </w:r>
          </w:p>
        </w:tc>
        <w:tc>
          <w:tcPr>
            <w:tcW w:w="1417" w:type="dxa"/>
            <w:vAlign w:val="center"/>
          </w:tcPr>
          <w:p w14:paraId="1F50ACC8">
            <w:pPr>
              <w:jc w:val="right"/>
              <w:rPr>
                <w:sz w:val="15"/>
                <w:szCs w:val="15"/>
              </w:rPr>
            </w:pPr>
            <w:r>
              <w:rPr>
                <w:sz w:val="15"/>
                <w:szCs w:val="15"/>
              </w:rPr>
              <w:t>133,881,025.00</w:t>
            </w:r>
          </w:p>
        </w:tc>
        <w:tc>
          <w:tcPr>
            <w:tcW w:w="1134" w:type="dxa"/>
            <w:vAlign w:val="center"/>
          </w:tcPr>
          <w:p w14:paraId="336B549B">
            <w:pPr>
              <w:jc w:val="right"/>
              <w:rPr>
                <w:sz w:val="15"/>
                <w:szCs w:val="15"/>
              </w:rPr>
            </w:pPr>
            <w:r>
              <w:rPr>
                <w:sz w:val="15"/>
                <w:szCs w:val="15"/>
              </w:rPr>
              <w:t>73,049,744.50</w:t>
            </w:r>
          </w:p>
        </w:tc>
        <w:tc>
          <w:tcPr>
            <w:tcW w:w="1036" w:type="dxa"/>
            <w:vAlign w:val="center"/>
          </w:tcPr>
          <w:p w14:paraId="7F875A4C">
            <w:pPr>
              <w:jc w:val="right"/>
              <w:rPr>
                <w:sz w:val="15"/>
                <w:szCs w:val="15"/>
              </w:rPr>
            </w:pPr>
          </w:p>
        </w:tc>
        <w:tc>
          <w:tcPr>
            <w:tcW w:w="1232" w:type="dxa"/>
            <w:vAlign w:val="center"/>
          </w:tcPr>
          <w:p w14:paraId="7FAE5FAC">
            <w:pPr>
              <w:jc w:val="right"/>
              <w:rPr>
                <w:rFonts w:ascii="宋体" w:hAnsi="宋体"/>
                <w:sz w:val="15"/>
                <w:szCs w:val="15"/>
              </w:rPr>
            </w:pPr>
            <w:r>
              <w:rPr>
                <w:sz w:val="15"/>
                <w:szCs w:val="15"/>
              </w:rPr>
              <w:t>426,993,753.64</w:t>
            </w:r>
          </w:p>
        </w:tc>
        <w:tc>
          <w:tcPr>
            <w:tcW w:w="1276" w:type="dxa"/>
            <w:vAlign w:val="center"/>
          </w:tcPr>
          <w:p w14:paraId="57B2917B">
            <w:pPr>
              <w:jc w:val="right"/>
              <w:rPr>
                <w:sz w:val="15"/>
                <w:szCs w:val="15"/>
              </w:rPr>
            </w:pPr>
            <w:r>
              <w:rPr>
                <w:sz w:val="15"/>
                <w:szCs w:val="15"/>
              </w:rPr>
              <w:t>-675,674,438.78</w:t>
            </w:r>
          </w:p>
        </w:tc>
        <w:tc>
          <w:tcPr>
            <w:tcW w:w="1491" w:type="dxa"/>
            <w:vAlign w:val="center"/>
          </w:tcPr>
          <w:p w14:paraId="3CEACE6B">
            <w:pPr>
              <w:jc w:val="right"/>
              <w:rPr>
                <w:sz w:val="15"/>
                <w:szCs w:val="15"/>
              </w:rPr>
            </w:pPr>
            <w:r>
              <w:rPr>
                <w:sz w:val="15"/>
                <w:szCs w:val="15"/>
              </w:rPr>
              <w:t>12,855,550,207.98</w:t>
            </w:r>
          </w:p>
        </w:tc>
      </w:tr>
    </w:tbl>
    <w:p w14:paraId="26392291">
      <w:pPr>
        <w:rPr>
          <w:color w:val="000000" w:themeColor="text1"/>
          <w14:textFill>
            <w14:solidFill>
              <w14:schemeClr w14:val="tx1"/>
            </w14:solidFill>
          </w14:textFill>
        </w:rPr>
      </w:pPr>
    </w:p>
    <w:p w14:paraId="586A6586">
      <w:pPr>
        <w:rPr>
          <w:color w:val="000000" w:themeColor="text1"/>
          <w14:textFill>
            <w14:solidFill>
              <w14:schemeClr w14:val="tx1"/>
            </w14:solidFill>
          </w14:textFill>
        </w:rPr>
      </w:pPr>
    </w:p>
    <w:tbl>
      <w:tblPr>
        <w:tblStyle w:val="37"/>
        <w:tblW w:w="1381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94"/>
        <w:gridCol w:w="1284"/>
        <w:gridCol w:w="489"/>
        <w:gridCol w:w="426"/>
        <w:gridCol w:w="425"/>
        <w:gridCol w:w="1353"/>
        <w:gridCol w:w="1276"/>
        <w:gridCol w:w="1134"/>
        <w:gridCol w:w="1036"/>
        <w:gridCol w:w="1232"/>
        <w:gridCol w:w="1276"/>
        <w:gridCol w:w="1417"/>
        <w:gridCol w:w="71"/>
      </w:tblGrid>
      <w:tr w14:paraId="1C4E4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vMerge w:val="restart"/>
            <w:vAlign w:val="center"/>
          </w:tcPr>
          <w:sdt>
            <w:sdtPr>
              <w:rPr>
                <w:sz w:val="15"/>
                <w:szCs w:val="15"/>
              </w:rPr>
              <w:tag w:val="_PLD_312727f4b56147c2b646c0fb68a4b58b"/>
              <w:id w:val="-483395060"/>
            </w:sdtPr>
            <w:sdtEndPr>
              <w:rPr>
                <w:sz w:val="15"/>
                <w:szCs w:val="15"/>
              </w:rPr>
            </w:sdtEndPr>
            <w:sdtContent>
              <w:p w14:paraId="24918EAF">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项目</w:t>
                </w:r>
              </w:p>
            </w:sdtContent>
          </w:sdt>
        </w:tc>
        <w:tc>
          <w:tcPr>
            <w:tcW w:w="11419" w:type="dxa"/>
            <w:gridSpan w:val="12"/>
            <w:vAlign w:val="center"/>
          </w:tcPr>
          <w:p w14:paraId="08B9B4F3">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 xml:space="preserve"> </w:t>
            </w:r>
            <w:sdt>
              <w:sdtPr>
                <w:rPr>
                  <w:sz w:val="15"/>
                  <w:szCs w:val="15"/>
                </w:rPr>
                <w:tag w:val="_PLD_35246b22171846ac8ef46c5dfa1d1663"/>
                <w:id w:val="401646680"/>
              </w:sdtPr>
              <w:sdtEndPr>
                <w:rPr>
                  <w:sz w:val="15"/>
                  <w:szCs w:val="15"/>
                </w:rPr>
              </w:sdtEndPr>
              <w:sdtContent>
                <w:r>
                  <w:rPr>
                    <w:rFonts w:hint="eastAsia"/>
                    <w:color w:val="000000" w:themeColor="text1"/>
                    <w:sz w:val="15"/>
                    <w:szCs w:val="15"/>
                    <w14:textFill>
                      <w14:solidFill>
                        <w14:schemeClr w14:val="tx1"/>
                      </w14:solidFill>
                    </w14:textFill>
                  </w:rPr>
                  <w:t>2024年半年度</w:t>
                </w:r>
              </w:sdtContent>
            </w:sdt>
          </w:p>
        </w:tc>
      </w:tr>
      <w:tr w14:paraId="5F445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315" w:hRule="atLeast"/>
        </w:trPr>
        <w:tc>
          <w:tcPr>
            <w:tcW w:w="2394" w:type="dxa"/>
            <w:vMerge w:val="continue"/>
            <w:vAlign w:val="center"/>
          </w:tcPr>
          <w:p w14:paraId="0F64BAB7">
            <w:pPr>
              <w:adjustRightInd w:val="0"/>
              <w:snapToGrid w:val="0"/>
              <w:rPr>
                <w:color w:val="000000" w:themeColor="text1"/>
                <w:sz w:val="15"/>
                <w:szCs w:val="15"/>
                <w14:textFill>
                  <w14:solidFill>
                    <w14:schemeClr w14:val="tx1"/>
                  </w14:solidFill>
                </w14:textFill>
              </w:rPr>
            </w:pPr>
          </w:p>
        </w:tc>
        <w:sdt>
          <w:sdtPr>
            <w:rPr>
              <w:sz w:val="15"/>
              <w:szCs w:val="15"/>
            </w:rPr>
            <w:tag w:val="_PLD_5da9900c5a9e46a085487ea972f44796"/>
            <w:id w:val="621961481"/>
          </w:sdtPr>
          <w:sdtEndPr>
            <w:rPr>
              <w:sz w:val="15"/>
              <w:szCs w:val="15"/>
            </w:rPr>
          </w:sdtEndPr>
          <w:sdtContent>
            <w:tc>
              <w:tcPr>
                <w:tcW w:w="1284" w:type="dxa"/>
                <w:vMerge w:val="restart"/>
                <w:tcBorders>
                  <w:right w:val="single" w:color="auto" w:sz="4" w:space="0"/>
                </w:tcBorders>
                <w:vAlign w:val="center"/>
              </w:tcPr>
              <w:p w14:paraId="30A61C28">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实收资本</w:t>
                </w:r>
                <w:r>
                  <w:rPr>
                    <w:color w:val="000000" w:themeColor="text1"/>
                    <w:sz w:val="15"/>
                    <w:szCs w:val="15"/>
                    <w14:textFill>
                      <w14:solidFill>
                        <w14:schemeClr w14:val="tx1"/>
                      </w14:solidFill>
                    </w14:textFill>
                  </w:rPr>
                  <w:t xml:space="preserve"> (或股本)</w:t>
                </w:r>
              </w:p>
            </w:tc>
          </w:sdtContent>
        </w:sdt>
        <w:sdt>
          <w:sdtPr>
            <w:rPr>
              <w:sz w:val="15"/>
              <w:szCs w:val="15"/>
            </w:rPr>
            <w:tag w:val="_PLD_fc0bce3be00144ff950606755a048a76"/>
            <w:id w:val="-617445792"/>
          </w:sdtPr>
          <w:sdtEndPr>
            <w:rPr>
              <w:sz w:val="15"/>
              <w:szCs w:val="15"/>
            </w:rPr>
          </w:sdtEndPr>
          <w:sdtContent>
            <w:tc>
              <w:tcPr>
                <w:tcW w:w="1340" w:type="dxa"/>
                <w:gridSpan w:val="3"/>
                <w:tcBorders>
                  <w:left w:val="single" w:color="auto" w:sz="4" w:space="0"/>
                  <w:bottom w:val="single" w:color="auto" w:sz="4" w:space="0"/>
                </w:tcBorders>
                <w:vAlign w:val="center"/>
              </w:tcPr>
              <w:p w14:paraId="4EC5F59E">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其他权益工具</w:t>
                </w:r>
              </w:p>
            </w:tc>
          </w:sdtContent>
        </w:sdt>
        <w:sdt>
          <w:sdtPr>
            <w:rPr>
              <w:sz w:val="15"/>
              <w:szCs w:val="15"/>
            </w:rPr>
            <w:tag w:val="_PLD_b31d07f97db344b1b180738b22a76467"/>
            <w:id w:val="1708297963"/>
          </w:sdtPr>
          <w:sdtEndPr>
            <w:rPr>
              <w:sz w:val="15"/>
              <w:szCs w:val="15"/>
            </w:rPr>
          </w:sdtEndPr>
          <w:sdtContent>
            <w:tc>
              <w:tcPr>
                <w:tcW w:w="1353" w:type="dxa"/>
                <w:vAlign w:val="center"/>
              </w:tcPr>
              <w:p w14:paraId="7A6E3478">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资本公积</w:t>
                </w:r>
              </w:p>
            </w:tc>
          </w:sdtContent>
        </w:sdt>
        <w:sdt>
          <w:sdtPr>
            <w:rPr>
              <w:sz w:val="15"/>
              <w:szCs w:val="15"/>
            </w:rPr>
            <w:tag w:val="_PLD_244676dcaf4245bd9119f474a4e885f9"/>
            <w:id w:val="462699207"/>
          </w:sdtPr>
          <w:sdtEndPr>
            <w:rPr>
              <w:sz w:val="15"/>
              <w:szCs w:val="15"/>
            </w:rPr>
          </w:sdtEndPr>
          <w:sdtContent>
            <w:tc>
              <w:tcPr>
                <w:tcW w:w="1276" w:type="dxa"/>
                <w:vAlign w:val="center"/>
              </w:tcPr>
              <w:p w14:paraId="59827E14">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减：库存股</w:t>
                </w:r>
              </w:p>
            </w:tc>
          </w:sdtContent>
        </w:sdt>
        <w:sdt>
          <w:sdtPr>
            <w:rPr>
              <w:sz w:val="15"/>
              <w:szCs w:val="15"/>
            </w:rPr>
            <w:tag w:val="_PLD_01eab1b775574165b2820a19e72d2ad0"/>
            <w:id w:val="605539266"/>
          </w:sdtPr>
          <w:sdtEndPr>
            <w:rPr>
              <w:sz w:val="15"/>
              <w:szCs w:val="15"/>
            </w:rPr>
          </w:sdtEndPr>
          <w:sdtContent>
            <w:tc>
              <w:tcPr>
                <w:tcW w:w="1134" w:type="dxa"/>
                <w:vAlign w:val="center"/>
              </w:tcPr>
              <w:p w14:paraId="21FF541C">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其他综合收益</w:t>
                </w:r>
              </w:p>
            </w:tc>
          </w:sdtContent>
        </w:sdt>
        <w:sdt>
          <w:sdtPr>
            <w:rPr>
              <w:sz w:val="15"/>
              <w:szCs w:val="15"/>
            </w:rPr>
            <w:tag w:val="_PLD_13f17e2c8a7a404da876af1bac2ae6d1"/>
            <w:id w:val="1167677843"/>
          </w:sdtPr>
          <w:sdtEndPr>
            <w:rPr>
              <w:sz w:val="15"/>
              <w:szCs w:val="15"/>
            </w:rPr>
          </w:sdtEndPr>
          <w:sdtContent>
            <w:tc>
              <w:tcPr>
                <w:tcW w:w="1036" w:type="dxa"/>
                <w:vAlign w:val="center"/>
              </w:tcPr>
              <w:p w14:paraId="74795A60">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专项储备</w:t>
                </w:r>
              </w:p>
            </w:tc>
          </w:sdtContent>
        </w:sdt>
        <w:sdt>
          <w:sdtPr>
            <w:rPr>
              <w:sz w:val="15"/>
              <w:szCs w:val="15"/>
            </w:rPr>
            <w:tag w:val="_PLD_9578f3812cf04a34965a5bdc9ee82115"/>
            <w:id w:val="-1554926644"/>
          </w:sdtPr>
          <w:sdtEndPr>
            <w:rPr>
              <w:sz w:val="15"/>
              <w:szCs w:val="15"/>
            </w:rPr>
          </w:sdtEndPr>
          <w:sdtContent>
            <w:tc>
              <w:tcPr>
                <w:tcW w:w="1232" w:type="dxa"/>
                <w:vAlign w:val="center"/>
              </w:tcPr>
              <w:p w14:paraId="6075F863">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盈余公积</w:t>
                </w:r>
              </w:p>
            </w:tc>
          </w:sdtContent>
        </w:sdt>
        <w:sdt>
          <w:sdtPr>
            <w:rPr>
              <w:sz w:val="15"/>
              <w:szCs w:val="15"/>
            </w:rPr>
            <w:tag w:val="_PLD_5d835cd98ccc4304aec553a0b6a56628"/>
            <w:id w:val="-203949348"/>
          </w:sdtPr>
          <w:sdtEndPr>
            <w:rPr>
              <w:sz w:val="15"/>
              <w:szCs w:val="15"/>
            </w:rPr>
          </w:sdtEndPr>
          <w:sdtContent>
            <w:tc>
              <w:tcPr>
                <w:tcW w:w="1276" w:type="dxa"/>
                <w:vAlign w:val="center"/>
              </w:tcPr>
              <w:p w14:paraId="36075B58">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未分配利润</w:t>
                </w:r>
              </w:p>
            </w:tc>
          </w:sdtContent>
        </w:sdt>
        <w:sdt>
          <w:sdtPr>
            <w:rPr>
              <w:sz w:val="15"/>
              <w:szCs w:val="15"/>
            </w:rPr>
            <w:tag w:val="_PLD_1cbb8af374a54430ad1f29ed83c69cd0"/>
            <w:id w:val="1244984048"/>
          </w:sdtPr>
          <w:sdtEndPr>
            <w:rPr>
              <w:sz w:val="15"/>
              <w:szCs w:val="15"/>
            </w:rPr>
          </w:sdtEndPr>
          <w:sdtContent>
            <w:tc>
              <w:tcPr>
                <w:tcW w:w="1417" w:type="dxa"/>
                <w:vAlign w:val="center"/>
              </w:tcPr>
              <w:p w14:paraId="338868EA">
                <w:pPr>
                  <w:adjustRightInd w:val="0"/>
                  <w:snapToGrid w:val="0"/>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所有者权益合计</w:t>
                </w:r>
              </w:p>
            </w:tc>
          </w:sdtContent>
        </w:sdt>
      </w:tr>
      <w:tr w14:paraId="54667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94" w:hRule="atLeast"/>
        </w:trPr>
        <w:tc>
          <w:tcPr>
            <w:tcW w:w="2394" w:type="dxa"/>
            <w:vMerge w:val="continue"/>
            <w:vAlign w:val="center"/>
          </w:tcPr>
          <w:p w14:paraId="716199DF">
            <w:pPr>
              <w:adjustRightInd w:val="0"/>
              <w:snapToGrid w:val="0"/>
              <w:rPr>
                <w:color w:val="000000" w:themeColor="text1"/>
                <w:sz w:val="15"/>
                <w:szCs w:val="15"/>
                <w14:textFill>
                  <w14:solidFill>
                    <w14:schemeClr w14:val="tx1"/>
                  </w14:solidFill>
                </w14:textFill>
              </w:rPr>
            </w:pPr>
          </w:p>
        </w:tc>
        <w:tc>
          <w:tcPr>
            <w:tcW w:w="1284" w:type="dxa"/>
            <w:vMerge w:val="continue"/>
            <w:tcBorders>
              <w:right w:val="single" w:color="auto" w:sz="4" w:space="0"/>
            </w:tcBorders>
            <w:vAlign w:val="center"/>
          </w:tcPr>
          <w:p w14:paraId="235FDAE9">
            <w:pPr>
              <w:adjustRightInd w:val="0"/>
              <w:snapToGrid w:val="0"/>
              <w:jc w:val="center"/>
              <w:rPr>
                <w:color w:val="000000" w:themeColor="text1"/>
                <w:sz w:val="15"/>
                <w:szCs w:val="15"/>
                <w14:textFill>
                  <w14:solidFill>
                    <w14:schemeClr w14:val="tx1"/>
                  </w14:solidFill>
                </w14:textFill>
              </w:rPr>
            </w:pPr>
          </w:p>
        </w:tc>
        <w:sdt>
          <w:sdtPr>
            <w:rPr>
              <w:sz w:val="15"/>
              <w:szCs w:val="15"/>
            </w:rPr>
            <w:tag w:val="_PLD_dcc9ba0f815c4a99a7c4c9fe219d232e"/>
            <w:id w:val="1586335938"/>
          </w:sdtPr>
          <w:sdtEndPr>
            <w:rPr>
              <w:sz w:val="15"/>
              <w:szCs w:val="15"/>
            </w:rPr>
          </w:sdtEndPr>
          <w:sdtContent>
            <w:tc>
              <w:tcPr>
                <w:tcW w:w="489" w:type="dxa"/>
                <w:tcBorders>
                  <w:top w:val="single" w:color="auto" w:sz="4" w:space="0"/>
                  <w:left w:val="single" w:color="auto" w:sz="4" w:space="0"/>
                  <w:right w:val="single" w:color="auto" w:sz="4" w:space="0"/>
                </w:tcBorders>
                <w:vAlign w:val="center"/>
              </w:tcPr>
              <w:p w14:paraId="55137F0D">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优先股</w:t>
                </w:r>
              </w:p>
            </w:tc>
          </w:sdtContent>
        </w:sdt>
        <w:sdt>
          <w:sdtPr>
            <w:rPr>
              <w:sz w:val="15"/>
              <w:szCs w:val="15"/>
            </w:rPr>
            <w:tag w:val="_PLD_42f56a6e995041a8b03e0979c7b2350c"/>
            <w:id w:val="-917864372"/>
          </w:sdtPr>
          <w:sdtEndPr>
            <w:rPr>
              <w:sz w:val="15"/>
              <w:szCs w:val="15"/>
            </w:rPr>
          </w:sdtEndPr>
          <w:sdtContent>
            <w:tc>
              <w:tcPr>
                <w:tcW w:w="426" w:type="dxa"/>
                <w:tcBorders>
                  <w:top w:val="single" w:color="auto" w:sz="4" w:space="0"/>
                  <w:left w:val="single" w:color="auto" w:sz="4" w:space="0"/>
                  <w:right w:val="single" w:color="auto" w:sz="4" w:space="0"/>
                </w:tcBorders>
                <w:vAlign w:val="center"/>
              </w:tcPr>
              <w:p w14:paraId="3476CD33">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永续债</w:t>
                </w:r>
              </w:p>
            </w:tc>
          </w:sdtContent>
        </w:sdt>
        <w:sdt>
          <w:sdtPr>
            <w:rPr>
              <w:sz w:val="15"/>
              <w:szCs w:val="15"/>
            </w:rPr>
            <w:tag w:val="_PLD_30aa853463c54004a69a2235554ee8fd"/>
            <w:id w:val="1223184508"/>
          </w:sdtPr>
          <w:sdtEndPr>
            <w:rPr>
              <w:sz w:val="15"/>
              <w:szCs w:val="15"/>
            </w:rPr>
          </w:sdtEndPr>
          <w:sdtContent>
            <w:tc>
              <w:tcPr>
                <w:tcW w:w="425" w:type="dxa"/>
                <w:tcBorders>
                  <w:top w:val="single" w:color="auto" w:sz="4" w:space="0"/>
                  <w:left w:val="single" w:color="auto" w:sz="4" w:space="0"/>
                </w:tcBorders>
                <w:vAlign w:val="center"/>
              </w:tcPr>
              <w:p w14:paraId="67B4CA9B">
                <w:pPr>
                  <w:adjustRightInd w:val="0"/>
                  <w:snapToGrid w:val="0"/>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tc>
          </w:sdtContent>
        </w:sdt>
        <w:tc>
          <w:tcPr>
            <w:tcW w:w="1353" w:type="dxa"/>
            <w:vAlign w:val="center"/>
          </w:tcPr>
          <w:p w14:paraId="2894B15F">
            <w:pPr>
              <w:adjustRightInd w:val="0"/>
              <w:snapToGrid w:val="0"/>
              <w:jc w:val="center"/>
              <w:rPr>
                <w:color w:val="000000" w:themeColor="text1"/>
                <w:sz w:val="15"/>
                <w:szCs w:val="15"/>
                <w14:textFill>
                  <w14:solidFill>
                    <w14:schemeClr w14:val="tx1"/>
                  </w14:solidFill>
                </w14:textFill>
              </w:rPr>
            </w:pPr>
          </w:p>
        </w:tc>
        <w:tc>
          <w:tcPr>
            <w:tcW w:w="1276" w:type="dxa"/>
            <w:vAlign w:val="center"/>
          </w:tcPr>
          <w:p w14:paraId="1A90837A">
            <w:pPr>
              <w:adjustRightInd w:val="0"/>
              <w:snapToGrid w:val="0"/>
              <w:jc w:val="center"/>
              <w:rPr>
                <w:color w:val="000000" w:themeColor="text1"/>
                <w:sz w:val="15"/>
                <w:szCs w:val="15"/>
                <w14:textFill>
                  <w14:solidFill>
                    <w14:schemeClr w14:val="tx1"/>
                  </w14:solidFill>
                </w14:textFill>
              </w:rPr>
            </w:pPr>
          </w:p>
        </w:tc>
        <w:tc>
          <w:tcPr>
            <w:tcW w:w="1134" w:type="dxa"/>
            <w:vAlign w:val="center"/>
          </w:tcPr>
          <w:p w14:paraId="13ABB2C9">
            <w:pPr>
              <w:jc w:val="center"/>
              <w:rPr>
                <w:color w:val="000000" w:themeColor="text1"/>
                <w:sz w:val="15"/>
                <w:szCs w:val="15"/>
                <w14:textFill>
                  <w14:solidFill>
                    <w14:schemeClr w14:val="tx1"/>
                  </w14:solidFill>
                </w14:textFill>
              </w:rPr>
            </w:pPr>
          </w:p>
        </w:tc>
        <w:tc>
          <w:tcPr>
            <w:tcW w:w="1036" w:type="dxa"/>
            <w:vAlign w:val="center"/>
          </w:tcPr>
          <w:p w14:paraId="59746C8C">
            <w:pPr>
              <w:adjustRightInd w:val="0"/>
              <w:snapToGrid w:val="0"/>
              <w:jc w:val="center"/>
              <w:rPr>
                <w:color w:val="000000" w:themeColor="text1"/>
                <w:sz w:val="15"/>
                <w:szCs w:val="15"/>
                <w14:textFill>
                  <w14:solidFill>
                    <w14:schemeClr w14:val="tx1"/>
                  </w14:solidFill>
                </w14:textFill>
              </w:rPr>
            </w:pPr>
          </w:p>
        </w:tc>
        <w:tc>
          <w:tcPr>
            <w:tcW w:w="1232" w:type="dxa"/>
            <w:vAlign w:val="center"/>
          </w:tcPr>
          <w:p w14:paraId="39DFDB23">
            <w:pPr>
              <w:adjustRightInd w:val="0"/>
              <w:snapToGrid w:val="0"/>
              <w:jc w:val="center"/>
              <w:rPr>
                <w:color w:val="000000" w:themeColor="text1"/>
                <w:sz w:val="15"/>
                <w:szCs w:val="15"/>
                <w14:textFill>
                  <w14:solidFill>
                    <w14:schemeClr w14:val="tx1"/>
                  </w14:solidFill>
                </w14:textFill>
              </w:rPr>
            </w:pPr>
          </w:p>
        </w:tc>
        <w:tc>
          <w:tcPr>
            <w:tcW w:w="1276" w:type="dxa"/>
            <w:vAlign w:val="center"/>
          </w:tcPr>
          <w:p w14:paraId="353FD4EC">
            <w:pPr>
              <w:adjustRightInd w:val="0"/>
              <w:snapToGrid w:val="0"/>
              <w:jc w:val="center"/>
              <w:rPr>
                <w:color w:val="000000" w:themeColor="text1"/>
                <w:sz w:val="15"/>
                <w:szCs w:val="15"/>
                <w14:textFill>
                  <w14:solidFill>
                    <w14:schemeClr w14:val="tx1"/>
                  </w14:solidFill>
                </w14:textFill>
              </w:rPr>
            </w:pPr>
          </w:p>
        </w:tc>
        <w:tc>
          <w:tcPr>
            <w:tcW w:w="1417" w:type="dxa"/>
            <w:vAlign w:val="center"/>
          </w:tcPr>
          <w:p w14:paraId="468618CF">
            <w:pPr>
              <w:adjustRightInd w:val="0"/>
              <w:snapToGrid w:val="0"/>
              <w:jc w:val="center"/>
              <w:rPr>
                <w:color w:val="000000" w:themeColor="text1"/>
                <w:sz w:val="15"/>
                <w:szCs w:val="15"/>
                <w14:textFill>
                  <w14:solidFill>
                    <w14:schemeClr w14:val="tx1"/>
                  </w14:solidFill>
                </w14:textFill>
              </w:rPr>
            </w:pPr>
          </w:p>
        </w:tc>
      </w:tr>
      <w:tr w14:paraId="3D238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b00b327c7ecc4ad1bfafd8f9c1a6ce86"/>
            <w:id w:val="-344020865"/>
          </w:sdtPr>
          <w:sdtEndPr>
            <w:rPr>
              <w:sz w:val="15"/>
              <w:szCs w:val="15"/>
            </w:rPr>
          </w:sdtEndPr>
          <w:sdtContent>
            <w:tc>
              <w:tcPr>
                <w:tcW w:w="2394" w:type="dxa"/>
                <w:vAlign w:val="center"/>
              </w:tcPr>
              <w:p w14:paraId="215C91FB">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一、上年</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末余额</w:t>
                </w:r>
              </w:p>
            </w:tc>
          </w:sdtContent>
        </w:sdt>
        <w:tc>
          <w:tcPr>
            <w:tcW w:w="1284" w:type="dxa"/>
            <w:tcBorders>
              <w:right w:val="single" w:color="auto" w:sz="4" w:space="0"/>
            </w:tcBorders>
            <w:vAlign w:val="center"/>
          </w:tcPr>
          <w:p w14:paraId="2FAA57E0">
            <w:pPr>
              <w:jc w:val="right"/>
              <w:rPr>
                <w:sz w:val="15"/>
                <w:szCs w:val="15"/>
              </w:rPr>
            </w:pPr>
            <w:r>
              <w:rPr>
                <w:sz w:val="15"/>
                <w:szCs w:val="15"/>
              </w:rPr>
              <w:t>4,571,523,000.00</w:t>
            </w:r>
          </w:p>
        </w:tc>
        <w:tc>
          <w:tcPr>
            <w:tcW w:w="489" w:type="dxa"/>
            <w:tcBorders>
              <w:left w:val="single" w:color="auto" w:sz="4" w:space="0"/>
              <w:right w:val="single" w:color="auto" w:sz="4" w:space="0"/>
            </w:tcBorders>
            <w:vAlign w:val="center"/>
          </w:tcPr>
          <w:p w14:paraId="6FC3F0AE">
            <w:pPr>
              <w:jc w:val="right"/>
              <w:rPr>
                <w:sz w:val="15"/>
                <w:szCs w:val="15"/>
              </w:rPr>
            </w:pPr>
          </w:p>
        </w:tc>
        <w:tc>
          <w:tcPr>
            <w:tcW w:w="426" w:type="dxa"/>
            <w:tcBorders>
              <w:left w:val="single" w:color="auto" w:sz="4" w:space="0"/>
              <w:right w:val="single" w:color="auto" w:sz="4" w:space="0"/>
            </w:tcBorders>
            <w:vAlign w:val="center"/>
          </w:tcPr>
          <w:p w14:paraId="7CA0AEC5">
            <w:pPr>
              <w:jc w:val="right"/>
              <w:rPr>
                <w:rFonts w:eastAsia="Times New Roman" w:cs="Times New Roman"/>
                <w:sz w:val="15"/>
                <w:szCs w:val="15"/>
              </w:rPr>
            </w:pPr>
          </w:p>
        </w:tc>
        <w:tc>
          <w:tcPr>
            <w:tcW w:w="425" w:type="dxa"/>
            <w:tcBorders>
              <w:left w:val="single" w:color="auto" w:sz="4" w:space="0"/>
              <w:right w:val="single" w:color="auto" w:sz="4" w:space="0"/>
            </w:tcBorders>
            <w:vAlign w:val="center"/>
          </w:tcPr>
          <w:p w14:paraId="1E4EB07B">
            <w:pPr>
              <w:jc w:val="right"/>
              <w:rPr>
                <w:rFonts w:eastAsia="Times New Roman" w:cs="Times New Roman"/>
                <w:sz w:val="15"/>
                <w:szCs w:val="15"/>
              </w:rPr>
            </w:pPr>
          </w:p>
        </w:tc>
        <w:tc>
          <w:tcPr>
            <w:tcW w:w="1353" w:type="dxa"/>
            <w:tcBorders>
              <w:left w:val="single" w:color="auto" w:sz="4" w:space="0"/>
            </w:tcBorders>
            <w:vAlign w:val="center"/>
          </w:tcPr>
          <w:p w14:paraId="62A8D334">
            <w:pPr>
              <w:jc w:val="right"/>
              <w:rPr>
                <w:rFonts w:ascii="宋体" w:hAnsi="宋体"/>
                <w:sz w:val="15"/>
                <w:szCs w:val="15"/>
              </w:rPr>
            </w:pPr>
            <w:r>
              <w:rPr>
                <w:sz w:val="15"/>
                <w:szCs w:val="15"/>
              </w:rPr>
              <w:t>8,737,968,755.14</w:t>
            </w:r>
          </w:p>
        </w:tc>
        <w:tc>
          <w:tcPr>
            <w:tcW w:w="1276" w:type="dxa"/>
            <w:vAlign w:val="center"/>
          </w:tcPr>
          <w:p w14:paraId="5DAE0EC9">
            <w:pPr>
              <w:jc w:val="right"/>
              <w:rPr>
                <w:sz w:val="15"/>
                <w:szCs w:val="15"/>
              </w:rPr>
            </w:pPr>
            <w:r>
              <w:rPr>
                <w:sz w:val="15"/>
                <w:szCs w:val="15"/>
              </w:rPr>
              <w:t>259,710,024.82</w:t>
            </w:r>
          </w:p>
        </w:tc>
        <w:tc>
          <w:tcPr>
            <w:tcW w:w="1134" w:type="dxa"/>
            <w:vAlign w:val="center"/>
          </w:tcPr>
          <w:p w14:paraId="270A1373">
            <w:pPr>
              <w:jc w:val="right"/>
              <w:rPr>
                <w:sz w:val="15"/>
                <w:szCs w:val="15"/>
              </w:rPr>
            </w:pPr>
            <w:r>
              <w:rPr>
                <w:sz w:val="15"/>
                <w:szCs w:val="15"/>
              </w:rPr>
              <w:t>47,985,616.33</w:t>
            </w:r>
          </w:p>
        </w:tc>
        <w:tc>
          <w:tcPr>
            <w:tcW w:w="1036" w:type="dxa"/>
            <w:vAlign w:val="center"/>
          </w:tcPr>
          <w:p w14:paraId="1521655C">
            <w:pPr>
              <w:jc w:val="right"/>
              <w:rPr>
                <w:sz w:val="15"/>
                <w:szCs w:val="15"/>
              </w:rPr>
            </w:pPr>
          </w:p>
        </w:tc>
        <w:tc>
          <w:tcPr>
            <w:tcW w:w="1232" w:type="dxa"/>
            <w:vAlign w:val="center"/>
          </w:tcPr>
          <w:p w14:paraId="793991DB">
            <w:pPr>
              <w:jc w:val="right"/>
              <w:rPr>
                <w:rFonts w:ascii="宋体" w:hAnsi="宋体"/>
                <w:sz w:val="15"/>
                <w:szCs w:val="15"/>
              </w:rPr>
            </w:pPr>
            <w:r>
              <w:rPr>
                <w:sz w:val="15"/>
                <w:szCs w:val="15"/>
              </w:rPr>
              <w:t>426,993,753.64</w:t>
            </w:r>
          </w:p>
        </w:tc>
        <w:tc>
          <w:tcPr>
            <w:tcW w:w="1276" w:type="dxa"/>
            <w:vAlign w:val="center"/>
          </w:tcPr>
          <w:p w14:paraId="68252A6F">
            <w:pPr>
              <w:jc w:val="right"/>
              <w:rPr>
                <w:sz w:val="15"/>
                <w:szCs w:val="15"/>
              </w:rPr>
            </w:pPr>
            <w:r>
              <w:rPr>
                <w:sz w:val="15"/>
                <w:szCs w:val="15"/>
              </w:rPr>
              <w:t>-974,408,747.83</w:t>
            </w:r>
          </w:p>
        </w:tc>
        <w:tc>
          <w:tcPr>
            <w:tcW w:w="1417" w:type="dxa"/>
            <w:vAlign w:val="center"/>
          </w:tcPr>
          <w:p w14:paraId="042F65F9">
            <w:pPr>
              <w:jc w:val="right"/>
              <w:rPr>
                <w:sz w:val="15"/>
                <w:szCs w:val="15"/>
              </w:rPr>
            </w:pPr>
            <w:r>
              <w:rPr>
                <w:sz w:val="15"/>
                <w:szCs w:val="15"/>
              </w:rPr>
              <w:t>12,550,352,352.46</w:t>
            </w:r>
          </w:p>
        </w:tc>
      </w:tr>
      <w:tr w14:paraId="63F3B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87ad1d45ba9b40488fdf5165b8168def"/>
            <w:id w:val="1615250165"/>
          </w:sdtPr>
          <w:sdtEndPr>
            <w:rPr>
              <w:sz w:val="15"/>
              <w:szCs w:val="15"/>
            </w:rPr>
          </w:sdtEndPr>
          <w:sdtContent>
            <w:tc>
              <w:tcPr>
                <w:tcW w:w="2394" w:type="dxa"/>
                <w:vAlign w:val="center"/>
              </w:tcPr>
              <w:p w14:paraId="50E4E970">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加：会计政策变更</w:t>
                </w:r>
              </w:p>
            </w:tc>
          </w:sdtContent>
        </w:sdt>
        <w:tc>
          <w:tcPr>
            <w:tcW w:w="1284" w:type="dxa"/>
            <w:tcBorders>
              <w:right w:val="single" w:color="auto" w:sz="4" w:space="0"/>
            </w:tcBorders>
            <w:vAlign w:val="center"/>
          </w:tcPr>
          <w:p w14:paraId="03557353">
            <w:pPr>
              <w:jc w:val="right"/>
              <w:rPr>
                <w:sz w:val="15"/>
                <w:szCs w:val="15"/>
              </w:rPr>
            </w:pPr>
          </w:p>
        </w:tc>
        <w:tc>
          <w:tcPr>
            <w:tcW w:w="489" w:type="dxa"/>
            <w:tcBorders>
              <w:left w:val="single" w:color="auto" w:sz="4" w:space="0"/>
              <w:right w:val="single" w:color="auto" w:sz="4" w:space="0"/>
            </w:tcBorders>
            <w:vAlign w:val="center"/>
          </w:tcPr>
          <w:p w14:paraId="4D8F84B9">
            <w:pPr>
              <w:jc w:val="right"/>
              <w:rPr>
                <w:sz w:val="15"/>
                <w:szCs w:val="15"/>
              </w:rPr>
            </w:pPr>
          </w:p>
        </w:tc>
        <w:tc>
          <w:tcPr>
            <w:tcW w:w="426" w:type="dxa"/>
            <w:tcBorders>
              <w:left w:val="single" w:color="auto" w:sz="4" w:space="0"/>
              <w:right w:val="single" w:color="auto" w:sz="4" w:space="0"/>
            </w:tcBorders>
            <w:vAlign w:val="center"/>
          </w:tcPr>
          <w:p w14:paraId="3790213F">
            <w:pPr>
              <w:jc w:val="right"/>
              <w:rPr>
                <w:sz w:val="15"/>
                <w:szCs w:val="15"/>
              </w:rPr>
            </w:pPr>
          </w:p>
        </w:tc>
        <w:tc>
          <w:tcPr>
            <w:tcW w:w="425" w:type="dxa"/>
            <w:tcBorders>
              <w:left w:val="single" w:color="auto" w:sz="4" w:space="0"/>
              <w:right w:val="single" w:color="auto" w:sz="4" w:space="0"/>
            </w:tcBorders>
            <w:vAlign w:val="center"/>
          </w:tcPr>
          <w:p w14:paraId="2D600785">
            <w:pPr>
              <w:jc w:val="right"/>
              <w:rPr>
                <w:sz w:val="15"/>
                <w:szCs w:val="15"/>
              </w:rPr>
            </w:pPr>
          </w:p>
        </w:tc>
        <w:tc>
          <w:tcPr>
            <w:tcW w:w="1353" w:type="dxa"/>
            <w:tcBorders>
              <w:left w:val="single" w:color="auto" w:sz="4" w:space="0"/>
            </w:tcBorders>
            <w:vAlign w:val="center"/>
          </w:tcPr>
          <w:p w14:paraId="5ADE4230">
            <w:pPr>
              <w:jc w:val="right"/>
              <w:rPr>
                <w:sz w:val="15"/>
                <w:szCs w:val="15"/>
              </w:rPr>
            </w:pPr>
          </w:p>
        </w:tc>
        <w:tc>
          <w:tcPr>
            <w:tcW w:w="1276" w:type="dxa"/>
            <w:vAlign w:val="center"/>
          </w:tcPr>
          <w:p w14:paraId="3D4BEB91">
            <w:pPr>
              <w:jc w:val="right"/>
              <w:rPr>
                <w:sz w:val="15"/>
                <w:szCs w:val="15"/>
              </w:rPr>
            </w:pPr>
          </w:p>
        </w:tc>
        <w:tc>
          <w:tcPr>
            <w:tcW w:w="1134" w:type="dxa"/>
            <w:vAlign w:val="center"/>
          </w:tcPr>
          <w:p w14:paraId="06F69FC7">
            <w:pPr>
              <w:jc w:val="right"/>
              <w:rPr>
                <w:sz w:val="15"/>
                <w:szCs w:val="15"/>
              </w:rPr>
            </w:pPr>
          </w:p>
        </w:tc>
        <w:tc>
          <w:tcPr>
            <w:tcW w:w="1036" w:type="dxa"/>
            <w:vAlign w:val="center"/>
          </w:tcPr>
          <w:p w14:paraId="0DCFB9B3">
            <w:pPr>
              <w:jc w:val="right"/>
              <w:rPr>
                <w:sz w:val="15"/>
                <w:szCs w:val="15"/>
              </w:rPr>
            </w:pPr>
          </w:p>
        </w:tc>
        <w:tc>
          <w:tcPr>
            <w:tcW w:w="1232" w:type="dxa"/>
            <w:vAlign w:val="center"/>
          </w:tcPr>
          <w:p w14:paraId="454718E6">
            <w:pPr>
              <w:jc w:val="right"/>
              <w:rPr>
                <w:sz w:val="15"/>
                <w:szCs w:val="15"/>
              </w:rPr>
            </w:pPr>
          </w:p>
        </w:tc>
        <w:tc>
          <w:tcPr>
            <w:tcW w:w="1276" w:type="dxa"/>
            <w:vAlign w:val="center"/>
          </w:tcPr>
          <w:p w14:paraId="24E70DE9">
            <w:pPr>
              <w:jc w:val="right"/>
              <w:rPr>
                <w:sz w:val="15"/>
                <w:szCs w:val="15"/>
              </w:rPr>
            </w:pPr>
          </w:p>
        </w:tc>
        <w:tc>
          <w:tcPr>
            <w:tcW w:w="1417" w:type="dxa"/>
            <w:vAlign w:val="center"/>
          </w:tcPr>
          <w:p w14:paraId="186470D3">
            <w:pPr>
              <w:jc w:val="right"/>
              <w:rPr>
                <w:sz w:val="15"/>
                <w:szCs w:val="15"/>
              </w:rPr>
            </w:pPr>
          </w:p>
        </w:tc>
      </w:tr>
      <w:tr w14:paraId="1A5E9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494f8b7216f946d9a09f6954da6ee226"/>
            <w:id w:val="-2028939765"/>
          </w:sdtPr>
          <w:sdtEndPr>
            <w:rPr>
              <w:sz w:val="15"/>
              <w:szCs w:val="15"/>
            </w:rPr>
          </w:sdtEndPr>
          <w:sdtContent>
            <w:tc>
              <w:tcPr>
                <w:tcW w:w="2394" w:type="dxa"/>
                <w:vAlign w:val="center"/>
              </w:tcPr>
              <w:p w14:paraId="15E1EC8C">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前期差错更正</w:t>
                </w:r>
              </w:p>
            </w:tc>
          </w:sdtContent>
        </w:sdt>
        <w:tc>
          <w:tcPr>
            <w:tcW w:w="1284" w:type="dxa"/>
            <w:tcBorders>
              <w:right w:val="single" w:color="auto" w:sz="4" w:space="0"/>
            </w:tcBorders>
            <w:vAlign w:val="center"/>
          </w:tcPr>
          <w:p w14:paraId="503383D4">
            <w:pPr>
              <w:jc w:val="right"/>
              <w:rPr>
                <w:sz w:val="15"/>
                <w:szCs w:val="15"/>
              </w:rPr>
            </w:pPr>
          </w:p>
        </w:tc>
        <w:tc>
          <w:tcPr>
            <w:tcW w:w="489" w:type="dxa"/>
            <w:tcBorders>
              <w:left w:val="single" w:color="auto" w:sz="4" w:space="0"/>
              <w:right w:val="single" w:color="auto" w:sz="4" w:space="0"/>
            </w:tcBorders>
            <w:vAlign w:val="center"/>
          </w:tcPr>
          <w:p w14:paraId="3ACBE8CC">
            <w:pPr>
              <w:jc w:val="right"/>
              <w:rPr>
                <w:sz w:val="15"/>
                <w:szCs w:val="15"/>
              </w:rPr>
            </w:pPr>
          </w:p>
        </w:tc>
        <w:tc>
          <w:tcPr>
            <w:tcW w:w="426" w:type="dxa"/>
            <w:tcBorders>
              <w:left w:val="single" w:color="auto" w:sz="4" w:space="0"/>
              <w:right w:val="single" w:color="auto" w:sz="4" w:space="0"/>
            </w:tcBorders>
            <w:vAlign w:val="center"/>
          </w:tcPr>
          <w:p w14:paraId="3295F82F">
            <w:pPr>
              <w:jc w:val="right"/>
              <w:rPr>
                <w:sz w:val="15"/>
                <w:szCs w:val="15"/>
              </w:rPr>
            </w:pPr>
          </w:p>
        </w:tc>
        <w:tc>
          <w:tcPr>
            <w:tcW w:w="425" w:type="dxa"/>
            <w:tcBorders>
              <w:left w:val="single" w:color="auto" w:sz="4" w:space="0"/>
              <w:right w:val="single" w:color="auto" w:sz="4" w:space="0"/>
            </w:tcBorders>
            <w:vAlign w:val="center"/>
          </w:tcPr>
          <w:p w14:paraId="31D5D9B1">
            <w:pPr>
              <w:jc w:val="right"/>
              <w:rPr>
                <w:sz w:val="15"/>
                <w:szCs w:val="15"/>
              </w:rPr>
            </w:pPr>
          </w:p>
        </w:tc>
        <w:tc>
          <w:tcPr>
            <w:tcW w:w="1353" w:type="dxa"/>
            <w:tcBorders>
              <w:left w:val="single" w:color="auto" w:sz="4" w:space="0"/>
            </w:tcBorders>
            <w:vAlign w:val="center"/>
          </w:tcPr>
          <w:p w14:paraId="31F36971">
            <w:pPr>
              <w:jc w:val="right"/>
              <w:rPr>
                <w:sz w:val="15"/>
                <w:szCs w:val="15"/>
              </w:rPr>
            </w:pPr>
          </w:p>
        </w:tc>
        <w:tc>
          <w:tcPr>
            <w:tcW w:w="1276" w:type="dxa"/>
            <w:vAlign w:val="center"/>
          </w:tcPr>
          <w:p w14:paraId="25D46863">
            <w:pPr>
              <w:jc w:val="right"/>
              <w:rPr>
                <w:sz w:val="15"/>
                <w:szCs w:val="15"/>
              </w:rPr>
            </w:pPr>
          </w:p>
        </w:tc>
        <w:tc>
          <w:tcPr>
            <w:tcW w:w="1134" w:type="dxa"/>
            <w:vAlign w:val="center"/>
          </w:tcPr>
          <w:p w14:paraId="2AE269D2">
            <w:pPr>
              <w:jc w:val="right"/>
              <w:rPr>
                <w:sz w:val="15"/>
                <w:szCs w:val="15"/>
              </w:rPr>
            </w:pPr>
          </w:p>
        </w:tc>
        <w:tc>
          <w:tcPr>
            <w:tcW w:w="1036" w:type="dxa"/>
            <w:vAlign w:val="center"/>
          </w:tcPr>
          <w:p w14:paraId="07D486B7">
            <w:pPr>
              <w:jc w:val="right"/>
              <w:rPr>
                <w:sz w:val="15"/>
                <w:szCs w:val="15"/>
              </w:rPr>
            </w:pPr>
          </w:p>
        </w:tc>
        <w:tc>
          <w:tcPr>
            <w:tcW w:w="1232" w:type="dxa"/>
            <w:vAlign w:val="center"/>
          </w:tcPr>
          <w:p w14:paraId="129A942F">
            <w:pPr>
              <w:jc w:val="right"/>
              <w:rPr>
                <w:sz w:val="15"/>
                <w:szCs w:val="15"/>
              </w:rPr>
            </w:pPr>
          </w:p>
        </w:tc>
        <w:tc>
          <w:tcPr>
            <w:tcW w:w="1276" w:type="dxa"/>
            <w:vAlign w:val="center"/>
          </w:tcPr>
          <w:p w14:paraId="412259E4">
            <w:pPr>
              <w:jc w:val="right"/>
              <w:rPr>
                <w:sz w:val="15"/>
                <w:szCs w:val="15"/>
              </w:rPr>
            </w:pPr>
          </w:p>
        </w:tc>
        <w:tc>
          <w:tcPr>
            <w:tcW w:w="1417" w:type="dxa"/>
            <w:vAlign w:val="center"/>
          </w:tcPr>
          <w:p w14:paraId="4B1E85B2">
            <w:pPr>
              <w:jc w:val="right"/>
              <w:rPr>
                <w:sz w:val="15"/>
                <w:szCs w:val="15"/>
              </w:rPr>
            </w:pPr>
          </w:p>
        </w:tc>
      </w:tr>
      <w:tr w14:paraId="71069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cdd9f72b38894c3eb70b005a61432c29"/>
            <w:id w:val="-591399674"/>
          </w:sdtPr>
          <w:sdtEndPr>
            <w:rPr>
              <w:sz w:val="15"/>
              <w:szCs w:val="15"/>
            </w:rPr>
          </w:sdtEndPr>
          <w:sdtContent>
            <w:tc>
              <w:tcPr>
                <w:tcW w:w="2394" w:type="dxa"/>
                <w:vAlign w:val="center"/>
              </w:tcPr>
              <w:p w14:paraId="72AA740A">
                <w:pPr>
                  <w:ind w:firstLine="300" w:firstLineChars="200"/>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其他</w:t>
                </w:r>
              </w:p>
            </w:tc>
          </w:sdtContent>
        </w:sdt>
        <w:tc>
          <w:tcPr>
            <w:tcW w:w="1284" w:type="dxa"/>
            <w:tcBorders>
              <w:right w:val="single" w:color="auto" w:sz="4" w:space="0"/>
            </w:tcBorders>
            <w:vAlign w:val="center"/>
          </w:tcPr>
          <w:p w14:paraId="70C9FC00">
            <w:pPr>
              <w:jc w:val="right"/>
              <w:rPr>
                <w:sz w:val="15"/>
                <w:szCs w:val="15"/>
              </w:rPr>
            </w:pPr>
          </w:p>
        </w:tc>
        <w:tc>
          <w:tcPr>
            <w:tcW w:w="489" w:type="dxa"/>
            <w:tcBorders>
              <w:left w:val="single" w:color="auto" w:sz="4" w:space="0"/>
              <w:right w:val="single" w:color="auto" w:sz="4" w:space="0"/>
            </w:tcBorders>
            <w:vAlign w:val="center"/>
          </w:tcPr>
          <w:p w14:paraId="757FFC69">
            <w:pPr>
              <w:jc w:val="right"/>
              <w:rPr>
                <w:sz w:val="15"/>
                <w:szCs w:val="15"/>
              </w:rPr>
            </w:pPr>
          </w:p>
        </w:tc>
        <w:tc>
          <w:tcPr>
            <w:tcW w:w="426" w:type="dxa"/>
            <w:tcBorders>
              <w:left w:val="single" w:color="auto" w:sz="4" w:space="0"/>
              <w:right w:val="single" w:color="auto" w:sz="4" w:space="0"/>
            </w:tcBorders>
            <w:vAlign w:val="center"/>
          </w:tcPr>
          <w:p w14:paraId="18C7E744">
            <w:pPr>
              <w:jc w:val="right"/>
              <w:rPr>
                <w:sz w:val="15"/>
                <w:szCs w:val="15"/>
              </w:rPr>
            </w:pPr>
          </w:p>
        </w:tc>
        <w:tc>
          <w:tcPr>
            <w:tcW w:w="425" w:type="dxa"/>
            <w:tcBorders>
              <w:left w:val="single" w:color="auto" w:sz="4" w:space="0"/>
              <w:right w:val="single" w:color="auto" w:sz="4" w:space="0"/>
            </w:tcBorders>
            <w:vAlign w:val="center"/>
          </w:tcPr>
          <w:p w14:paraId="24253C24">
            <w:pPr>
              <w:jc w:val="right"/>
              <w:rPr>
                <w:sz w:val="15"/>
                <w:szCs w:val="15"/>
              </w:rPr>
            </w:pPr>
          </w:p>
        </w:tc>
        <w:tc>
          <w:tcPr>
            <w:tcW w:w="1353" w:type="dxa"/>
            <w:tcBorders>
              <w:left w:val="single" w:color="auto" w:sz="4" w:space="0"/>
            </w:tcBorders>
            <w:vAlign w:val="center"/>
          </w:tcPr>
          <w:p w14:paraId="4B203895">
            <w:pPr>
              <w:jc w:val="right"/>
              <w:rPr>
                <w:sz w:val="15"/>
                <w:szCs w:val="15"/>
              </w:rPr>
            </w:pPr>
          </w:p>
        </w:tc>
        <w:tc>
          <w:tcPr>
            <w:tcW w:w="1276" w:type="dxa"/>
            <w:vAlign w:val="center"/>
          </w:tcPr>
          <w:p w14:paraId="67A34D82">
            <w:pPr>
              <w:jc w:val="right"/>
              <w:rPr>
                <w:sz w:val="15"/>
                <w:szCs w:val="15"/>
              </w:rPr>
            </w:pPr>
          </w:p>
        </w:tc>
        <w:tc>
          <w:tcPr>
            <w:tcW w:w="1134" w:type="dxa"/>
            <w:vAlign w:val="center"/>
          </w:tcPr>
          <w:p w14:paraId="1CB2BB1B">
            <w:pPr>
              <w:jc w:val="right"/>
              <w:rPr>
                <w:sz w:val="15"/>
                <w:szCs w:val="15"/>
              </w:rPr>
            </w:pPr>
          </w:p>
        </w:tc>
        <w:tc>
          <w:tcPr>
            <w:tcW w:w="1036" w:type="dxa"/>
            <w:vAlign w:val="center"/>
          </w:tcPr>
          <w:p w14:paraId="5D6D8937">
            <w:pPr>
              <w:jc w:val="right"/>
              <w:rPr>
                <w:sz w:val="15"/>
                <w:szCs w:val="15"/>
              </w:rPr>
            </w:pPr>
          </w:p>
        </w:tc>
        <w:tc>
          <w:tcPr>
            <w:tcW w:w="1232" w:type="dxa"/>
            <w:vAlign w:val="center"/>
          </w:tcPr>
          <w:p w14:paraId="76B26751">
            <w:pPr>
              <w:jc w:val="right"/>
              <w:rPr>
                <w:sz w:val="15"/>
                <w:szCs w:val="15"/>
              </w:rPr>
            </w:pPr>
          </w:p>
        </w:tc>
        <w:tc>
          <w:tcPr>
            <w:tcW w:w="1276" w:type="dxa"/>
            <w:vAlign w:val="center"/>
          </w:tcPr>
          <w:p w14:paraId="138EC14F">
            <w:pPr>
              <w:jc w:val="right"/>
              <w:rPr>
                <w:sz w:val="15"/>
                <w:szCs w:val="15"/>
              </w:rPr>
            </w:pPr>
          </w:p>
        </w:tc>
        <w:tc>
          <w:tcPr>
            <w:tcW w:w="1417" w:type="dxa"/>
            <w:vAlign w:val="center"/>
          </w:tcPr>
          <w:p w14:paraId="70A43CF3">
            <w:pPr>
              <w:jc w:val="right"/>
              <w:rPr>
                <w:sz w:val="15"/>
                <w:szCs w:val="15"/>
              </w:rPr>
            </w:pPr>
          </w:p>
        </w:tc>
      </w:tr>
      <w:tr w14:paraId="6BE2C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8593e1735c664981bacefcb1a0cab245"/>
            <w:id w:val="1440872944"/>
          </w:sdtPr>
          <w:sdtEndPr>
            <w:rPr>
              <w:sz w:val="15"/>
              <w:szCs w:val="15"/>
            </w:rPr>
          </w:sdtEndPr>
          <w:sdtContent>
            <w:tc>
              <w:tcPr>
                <w:tcW w:w="2394" w:type="dxa"/>
                <w:vAlign w:val="center"/>
              </w:tcPr>
              <w:p w14:paraId="545FD30B">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二、本年</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初余额</w:t>
                </w:r>
              </w:p>
            </w:tc>
          </w:sdtContent>
        </w:sdt>
        <w:tc>
          <w:tcPr>
            <w:tcW w:w="1284" w:type="dxa"/>
            <w:tcBorders>
              <w:right w:val="single" w:color="auto" w:sz="4" w:space="0"/>
            </w:tcBorders>
            <w:vAlign w:val="center"/>
          </w:tcPr>
          <w:p w14:paraId="65BCFF1D">
            <w:pPr>
              <w:jc w:val="right"/>
              <w:rPr>
                <w:sz w:val="15"/>
                <w:szCs w:val="15"/>
              </w:rPr>
            </w:pPr>
            <w:r>
              <w:rPr>
                <w:sz w:val="15"/>
                <w:szCs w:val="15"/>
              </w:rPr>
              <w:t>4,571,523,000.00</w:t>
            </w:r>
          </w:p>
        </w:tc>
        <w:tc>
          <w:tcPr>
            <w:tcW w:w="489" w:type="dxa"/>
            <w:tcBorders>
              <w:left w:val="single" w:color="auto" w:sz="4" w:space="0"/>
              <w:right w:val="single" w:color="auto" w:sz="4" w:space="0"/>
            </w:tcBorders>
            <w:vAlign w:val="center"/>
          </w:tcPr>
          <w:p w14:paraId="612E3DDA">
            <w:pPr>
              <w:jc w:val="right"/>
              <w:rPr>
                <w:sz w:val="15"/>
                <w:szCs w:val="15"/>
              </w:rPr>
            </w:pPr>
          </w:p>
        </w:tc>
        <w:tc>
          <w:tcPr>
            <w:tcW w:w="426" w:type="dxa"/>
            <w:tcBorders>
              <w:left w:val="single" w:color="auto" w:sz="4" w:space="0"/>
              <w:right w:val="single" w:color="auto" w:sz="4" w:space="0"/>
            </w:tcBorders>
            <w:vAlign w:val="center"/>
          </w:tcPr>
          <w:p w14:paraId="5EAB1BB3">
            <w:pPr>
              <w:jc w:val="right"/>
              <w:rPr>
                <w:rFonts w:eastAsia="Times New Roman" w:cs="Times New Roman"/>
                <w:sz w:val="15"/>
                <w:szCs w:val="15"/>
              </w:rPr>
            </w:pPr>
          </w:p>
        </w:tc>
        <w:tc>
          <w:tcPr>
            <w:tcW w:w="425" w:type="dxa"/>
            <w:tcBorders>
              <w:left w:val="single" w:color="auto" w:sz="4" w:space="0"/>
              <w:right w:val="single" w:color="auto" w:sz="4" w:space="0"/>
            </w:tcBorders>
            <w:vAlign w:val="center"/>
          </w:tcPr>
          <w:p w14:paraId="18C238D6">
            <w:pPr>
              <w:jc w:val="right"/>
              <w:rPr>
                <w:rFonts w:eastAsia="Times New Roman" w:cs="Times New Roman"/>
                <w:sz w:val="15"/>
                <w:szCs w:val="15"/>
              </w:rPr>
            </w:pPr>
          </w:p>
        </w:tc>
        <w:tc>
          <w:tcPr>
            <w:tcW w:w="1353" w:type="dxa"/>
            <w:tcBorders>
              <w:left w:val="single" w:color="auto" w:sz="4" w:space="0"/>
            </w:tcBorders>
            <w:vAlign w:val="center"/>
          </w:tcPr>
          <w:p w14:paraId="4730C55B">
            <w:pPr>
              <w:jc w:val="right"/>
              <w:rPr>
                <w:rFonts w:ascii="宋体" w:hAnsi="宋体"/>
                <w:sz w:val="15"/>
                <w:szCs w:val="15"/>
              </w:rPr>
            </w:pPr>
            <w:r>
              <w:rPr>
                <w:sz w:val="15"/>
                <w:szCs w:val="15"/>
              </w:rPr>
              <w:t>8,737,968,755.14</w:t>
            </w:r>
          </w:p>
        </w:tc>
        <w:tc>
          <w:tcPr>
            <w:tcW w:w="1276" w:type="dxa"/>
            <w:vAlign w:val="center"/>
          </w:tcPr>
          <w:p w14:paraId="39B483A3">
            <w:pPr>
              <w:jc w:val="right"/>
              <w:rPr>
                <w:sz w:val="15"/>
                <w:szCs w:val="15"/>
              </w:rPr>
            </w:pPr>
            <w:r>
              <w:rPr>
                <w:sz w:val="15"/>
                <w:szCs w:val="15"/>
              </w:rPr>
              <w:t>259,710,024.82</w:t>
            </w:r>
          </w:p>
        </w:tc>
        <w:tc>
          <w:tcPr>
            <w:tcW w:w="1134" w:type="dxa"/>
            <w:vAlign w:val="center"/>
          </w:tcPr>
          <w:p w14:paraId="24952952">
            <w:pPr>
              <w:jc w:val="right"/>
              <w:rPr>
                <w:sz w:val="15"/>
                <w:szCs w:val="15"/>
              </w:rPr>
            </w:pPr>
            <w:r>
              <w:rPr>
                <w:sz w:val="15"/>
                <w:szCs w:val="15"/>
              </w:rPr>
              <w:t>47,985,616.33</w:t>
            </w:r>
          </w:p>
        </w:tc>
        <w:tc>
          <w:tcPr>
            <w:tcW w:w="1036" w:type="dxa"/>
            <w:vAlign w:val="center"/>
          </w:tcPr>
          <w:p w14:paraId="075F5981">
            <w:pPr>
              <w:jc w:val="right"/>
              <w:rPr>
                <w:sz w:val="15"/>
                <w:szCs w:val="15"/>
              </w:rPr>
            </w:pPr>
          </w:p>
        </w:tc>
        <w:tc>
          <w:tcPr>
            <w:tcW w:w="1232" w:type="dxa"/>
            <w:vAlign w:val="center"/>
          </w:tcPr>
          <w:p w14:paraId="50831597">
            <w:pPr>
              <w:jc w:val="right"/>
              <w:rPr>
                <w:rFonts w:ascii="宋体" w:hAnsi="宋体"/>
                <w:sz w:val="15"/>
                <w:szCs w:val="15"/>
              </w:rPr>
            </w:pPr>
            <w:r>
              <w:rPr>
                <w:sz w:val="15"/>
                <w:szCs w:val="15"/>
              </w:rPr>
              <w:t>426,993,753.64</w:t>
            </w:r>
          </w:p>
        </w:tc>
        <w:tc>
          <w:tcPr>
            <w:tcW w:w="1276" w:type="dxa"/>
            <w:vAlign w:val="center"/>
          </w:tcPr>
          <w:p w14:paraId="12B0636A">
            <w:pPr>
              <w:jc w:val="right"/>
              <w:rPr>
                <w:sz w:val="15"/>
                <w:szCs w:val="15"/>
              </w:rPr>
            </w:pPr>
            <w:r>
              <w:rPr>
                <w:sz w:val="15"/>
                <w:szCs w:val="15"/>
              </w:rPr>
              <w:t>-974,408,747.83</w:t>
            </w:r>
          </w:p>
        </w:tc>
        <w:tc>
          <w:tcPr>
            <w:tcW w:w="1417" w:type="dxa"/>
            <w:vAlign w:val="center"/>
          </w:tcPr>
          <w:p w14:paraId="6EC029E3">
            <w:pPr>
              <w:jc w:val="right"/>
              <w:rPr>
                <w:sz w:val="15"/>
                <w:szCs w:val="15"/>
              </w:rPr>
            </w:pPr>
            <w:r>
              <w:rPr>
                <w:sz w:val="15"/>
                <w:szCs w:val="15"/>
              </w:rPr>
              <w:t>12,550,352,352.46</w:t>
            </w:r>
          </w:p>
        </w:tc>
      </w:tr>
      <w:tr w14:paraId="512A7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9ce2d31f4fd34371930cec7fd79a4318"/>
            <w:id w:val="-387415712"/>
          </w:sdtPr>
          <w:sdtEndPr>
            <w:rPr>
              <w:sz w:val="15"/>
              <w:szCs w:val="15"/>
            </w:rPr>
          </w:sdtEndPr>
          <w:sdtContent>
            <w:tc>
              <w:tcPr>
                <w:tcW w:w="2394" w:type="dxa"/>
                <w:vAlign w:val="center"/>
              </w:tcPr>
              <w:p w14:paraId="6AD13257">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三、本</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增减变动金额（减少以“－”号填列）</w:t>
                </w:r>
              </w:p>
            </w:tc>
          </w:sdtContent>
        </w:sdt>
        <w:tc>
          <w:tcPr>
            <w:tcW w:w="1284" w:type="dxa"/>
            <w:tcBorders>
              <w:right w:val="single" w:color="auto" w:sz="4" w:space="0"/>
            </w:tcBorders>
            <w:vAlign w:val="center"/>
          </w:tcPr>
          <w:p w14:paraId="7B56E3DA">
            <w:pPr>
              <w:jc w:val="right"/>
              <w:rPr>
                <w:sz w:val="15"/>
                <w:szCs w:val="15"/>
              </w:rPr>
            </w:pPr>
            <w:r>
              <w:rPr>
                <w:sz w:val="15"/>
                <w:szCs w:val="15"/>
              </w:rPr>
              <w:t>-50,422,929.00</w:t>
            </w:r>
          </w:p>
        </w:tc>
        <w:tc>
          <w:tcPr>
            <w:tcW w:w="489" w:type="dxa"/>
            <w:tcBorders>
              <w:left w:val="single" w:color="auto" w:sz="4" w:space="0"/>
              <w:right w:val="single" w:color="auto" w:sz="4" w:space="0"/>
            </w:tcBorders>
            <w:vAlign w:val="center"/>
          </w:tcPr>
          <w:p w14:paraId="65DD6CE8">
            <w:pPr>
              <w:jc w:val="right"/>
              <w:rPr>
                <w:sz w:val="15"/>
                <w:szCs w:val="15"/>
              </w:rPr>
            </w:pPr>
          </w:p>
        </w:tc>
        <w:tc>
          <w:tcPr>
            <w:tcW w:w="426" w:type="dxa"/>
            <w:tcBorders>
              <w:left w:val="single" w:color="auto" w:sz="4" w:space="0"/>
              <w:right w:val="single" w:color="auto" w:sz="4" w:space="0"/>
            </w:tcBorders>
            <w:vAlign w:val="center"/>
          </w:tcPr>
          <w:p w14:paraId="17E4DB50">
            <w:pPr>
              <w:jc w:val="right"/>
              <w:rPr>
                <w:rFonts w:eastAsia="Times New Roman" w:cs="Times New Roman"/>
                <w:sz w:val="15"/>
                <w:szCs w:val="15"/>
              </w:rPr>
            </w:pPr>
          </w:p>
        </w:tc>
        <w:tc>
          <w:tcPr>
            <w:tcW w:w="425" w:type="dxa"/>
            <w:tcBorders>
              <w:left w:val="single" w:color="auto" w:sz="4" w:space="0"/>
            </w:tcBorders>
            <w:vAlign w:val="center"/>
          </w:tcPr>
          <w:p w14:paraId="6A2F8CD7">
            <w:pPr>
              <w:jc w:val="right"/>
              <w:rPr>
                <w:rFonts w:eastAsia="Times New Roman" w:cs="Times New Roman"/>
                <w:sz w:val="15"/>
                <w:szCs w:val="15"/>
              </w:rPr>
            </w:pPr>
          </w:p>
        </w:tc>
        <w:tc>
          <w:tcPr>
            <w:tcW w:w="1353" w:type="dxa"/>
            <w:vAlign w:val="center"/>
          </w:tcPr>
          <w:p w14:paraId="395C5ADB">
            <w:pPr>
              <w:jc w:val="right"/>
              <w:rPr>
                <w:rFonts w:ascii="宋体" w:hAnsi="宋体"/>
                <w:sz w:val="15"/>
                <w:szCs w:val="15"/>
              </w:rPr>
            </w:pPr>
            <w:r>
              <w:rPr>
                <w:sz w:val="15"/>
                <w:szCs w:val="15"/>
              </w:rPr>
              <w:t>-79,633,617.92</w:t>
            </w:r>
          </w:p>
        </w:tc>
        <w:tc>
          <w:tcPr>
            <w:tcW w:w="1276" w:type="dxa"/>
            <w:vAlign w:val="center"/>
          </w:tcPr>
          <w:p w14:paraId="17C64853">
            <w:pPr>
              <w:jc w:val="right"/>
              <w:rPr>
                <w:sz w:val="15"/>
                <w:szCs w:val="15"/>
              </w:rPr>
            </w:pPr>
            <w:r>
              <w:rPr>
                <w:sz w:val="15"/>
                <w:szCs w:val="15"/>
              </w:rPr>
              <w:t>-130,101,426.82</w:t>
            </w:r>
          </w:p>
        </w:tc>
        <w:tc>
          <w:tcPr>
            <w:tcW w:w="1134" w:type="dxa"/>
            <w:vAlign w:val="center"/>
          </w:tcPr>
          <w:p w14:paraId="225EEC10">
            <w:pPr>
              <w:jc w:val="right"/>
              <w:rPr>
                <w:sz w:val="15"/>
                <w:szCs w:val="15"/>
              </w:rPr>
            </w:pPr>
          </w:p>
        </w:tc>
        <w:tc>
          <w:tcPr>
            <w:tcW w:w="1036" w:type="dxa"/>
            <w:vAlign w:val="center"/>
          </w:tcPr>
          <w:p w14:paraId="299FA5D3">
            <w:pPr>
              <w:jc w:val="right"/>
              <w:rPr>
                <w:rFonts w:eastAsia="Times New Roman" w:cs="Times New Roman"/>
                <w:sz w:val="15"/>
                <w:szCs w:val="15"/>
              </w:rPr>
            </w:pPr>
          </w:p>
        </w:tc>
        <w:tc>
          <w:tcPr>
            <w:tcW w:w="1232" w:type="dxa"/>
            <w:vAlign w:val="center"/>
          </w:tcPr>
          <w:p w14:paraId="76F8B58F">
            <w:pPr>
              <w:jc w:val="right"/>
              <w:rPr>
                <w:rFonts w:eastAsia="Times New Roman" w:cs="Times New Roman"/>
                <w:sz w:val="15"/>
                <w:szCs w:val="15"/>
              </w:rPr>
            </w:pPr>
          </w:p>
        </w:tc>
        <w:tc>
          <w:tcPr>
            <w:tcW w:w="1276" w:type="dxa"/>
            <w:vAlign w:val="center"/>
          </w:tcPr>
          <w:p w14:paraId="39B0535C">
            <w:pPr>
              <w:jc w:val="right"/>
              <w:rPr>
                <w:rFonts w:ascii="宋体" w:hAnsi="宋体"/>
                <w:sz w:val="15"/>
                <w:szCs w:val="15"/>
              </w:rPr>
            </w:pPr>
            <w:r>
              <w:rPr>
                <w:sz w:val="15"/>
                <w:szCs w:val="15"/>
              </w:rPr>
              <w:t>69,141,617.73</w:t>
            </w:r>
          </w:p>
        </w:tc>
        <w:tc>
          <w:tcPr>
            <w:tcW w:w="1417" w:type="dxa"/>
            <w:vAlign w:val="center"/>
          </w:tcPr>
          <w:p w14:paraId="20FCB66D">
            <w:pPr>
              <w:jc w:val="right"/>
              <w:rPr>
                <w:sz w:val="15"/>
                <w:szCs w:val="15"/>
              </w:rPr>
            </w:pPr>
            <w:r>
              <w:rPr>
                <w:sz w:val="15"/>
                <w:szCs w:val="15"/>
              </w:rPr>
              <w:t>69,186,497.63</w:t>
            </w:r>
          </w:p>
        </w:tc>
      </w:tr>
      <w:tr w14:paraId="29679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8e61c9577cd8495fb0815773685b00bb"/>
            <w:id w:val="-1930578784"/>
          </w:sdtPr>
          <w:sdtEndPr>
            <w:rPr>
              <w:sz w:val="15"/>
              <w:szCs w:val="15"/>
            </w:rPr>
          </w:sdtEndPr>
          <w:sdtContent>
            <w:tc>
              <w:tcPr>
                <w:tcW w:w="2394" w:type="dxa"/>
                <w:vAlign w:val="center"/>
              </w:tcPr>
              <w:p w14:paraId="64165B29">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（一）综合收益总额</w:t>
                </w:r>
              </w:p>
            </w:tc>
          </w:sdtContent>
        </w:sdt>
        <w:tc>
          <w:tcPr>
            <w:tcW w:w="1284" w:type="dxa"/>
            <w:tcBorders>
              <w:right w:val="single" w:color="auto" w:sz="4" w:space="0"/>
            </w:tcBorders>
            <w:vAlign w:val="center"/>
          </w:tcPr>
          <w:p w14:paraId="2EB76A59">
            <w:pPr>
              <w:jc w:val="right"/>
              <w:rPr>
                <w:sz w:val="15"/>
                <w:szCs w:val="15"/>
              </w:rPr>
            </w:pPr>
          </w:p>
        </w:tc>
        <w:tc>
          <w:tcPr>
            <w:tcW w:w="489" w:type="dxa"/>
            <w:tcBorders>
              <w:left w:val="single" w:color="auto" w:sz="4" w:space="0"/>
              <w:right w:val="single" w:color="auto" w:sz="4" w:space="0"/>
            </w:tcBorders>
            <w:vAlign w:val="center"/>
          </w:tcPr>
          <w:p w14:paraId="37592F31">
            <w:pPr>
              <w:jc w:val="right"/>
              <w:rPr>
                <w:rFonts w:eastAsia="Times New Roman" w:cs="Times New Roman"/>
                <w:sz w:val="15"/>
                <w:szCs w:val="15"/>
              </w:rPr>
            </w:pPr>
          </w:p>
        </w:tc>
        <w:tc>
          <w:tcPr>
            <w:tcW w:w="426" w:type="dxa"/>
            <w:tcBorders>
              <w:left w:val="single" w:color="auto" w:sz="4" w:space="0"/>
              <w:right w:val="single" w:color="auto" w:sz="4" w:space="0"/>
            </w:tcBorders>
            <w:vAlign w:val="center"/>
          </w:tcPr>
          <w:p w14:paraId="682AAA59">
            <w:pPr>
              <w:jc w:val="right"/>
              <w:rPr>
                <w:rFonts w:eastAsia="Times New Roman" w:cs="Times New Roman"/>
                <w:sz w:val="15"/>
                <w:szCs w:val="15"/>
              </w:rPr>
            </w:pPr>
          </w:p>
        </w:tc>
        <w:tc>
          <w:tcPr>
            <w:tcW w:w="425" w:type="dxa"/>
            <w:tcBorders>
              <w:left w:val="single" w:color="auto" w:sz="4" w:space="0"/>
            </w:tcBorders>
            <w:vAlign w:val="center"/>
          </w:tcPr>
          <w:p w14:paraId="535C4EE3">
            <w:pPr>
              <w:jc w:val="right"/>
              <w:rPr>
                <w:rFonts w:eastAsia="Times New Roman" w:cs="Times New Roman"/>
                <w:sz w:val="15"/>
                <w:szCs w:val="15"/>
              </w:rPr>
            </w:pPr>
          </w:p>
        </w:tc>
        <w:tc>
          <w:tcPr>
            <w:tcW w:w="1353" w:type="dxa"/>
            <w:vAlign w:val="center"/>
          </w:tcPr>
          <w:p w14:paraId="48B6E395">
            <w:pPr>
              <w:jc w:val="right"/>
              <w:rPr>
                <w:rFonts w:eastAsia="Times New Roman" w:cs="Times New Roman"/>
                <w:sz w:val="15"/>
                <w:szCs w:val="15"/>
              </w:rPr>
            </w:pPr>
          </w:p>
        </w:tc>
        <w:tc>
          <w:tcPr>
            <w:tcW w:w="1276" w:type="dxa"/>
            <w:vAlign w:val="center"/>
          </w:tcPr>
          <w:p w14:paraId="1877052A">
            <w:pPr>
              <w:jc w:val="right"/>
              <w:rPr>
                <w:rFonts w:eastAsia="Times New Roman" w:cs="Times New Roman"/>
                <w:sz w:val="15"/>
                <w:szCs w:val="15"/>
              </w:rPr>
            </w:pPr>
          </w:p>
        </w:tc>
        <w:tc>
          <w:tcPr>
            <w:tcW w:w="1134" w:type="dxa"/>
            <w:vAlign w:val="center"/>
          </w:tcPr>
          <w:p w14:paraId="794CE005">
            <w:pPr>
              <w:jc w:val="right"/>
              <w:rPr>
                <w:rFonts w:eastAsia="Times New Roman" w:cs="Times New Roman"/>
                <w:sz w:val="15"/>
                <w:szCs w:val="15"/>
              </w:rPr>
            </w:pPr>
          </w:p>
        </w:tc>
        <w:tc>
          <w:tcPr>
            <w:tcW w:w="1036" w:type="dxa"/>
            <w:vAlign w:val="center"/>
          </w:tcPr>
          <w:p w14:paraId="492B47BF">
            <w:pPr>
              <w:jc w:val="right"/>
              <w:rPr>
                <w:rFonts w:eastAsia="Times New Roman" w:cs="Times New Roman"/>
                <w:sz w:val="15"/>
                <w:szCs w:val="15"/>
              </w:rPr>
            </w:pPr>
          </w:p>
        </w:tc>
        <w:tc>
          <w:tcPr>
            <w:tcW w:w="1232" w:type="dxa"/>
            <w:vAlign w:val="center"/>
          </w:tcPr>
          <w:p w14:paraId="71B80F69">
            <w:pPr>
              <w:jc w:val="right"/>
              <w:rPr>
                <w:rFonts w:eastAsia="Times New Roman" w:cs="Times New Roman"/>
                <w:sz w:val="15"/>
                <w:szCs w:val="15"/>
              </w:rPr>
            </w:pPr>
          </w:p>
        </w:tc>
        <w:tc>
          <w:tcPr>
            <w:tcW w:w="1276" w:type="dxa"/>
            <w:vAlign w:val="center"/>
          </w:tcPr>
          <w:p w14:paraId="0D191496">
            <w:pPr>
              <w:jc w:val="right"/>
              <w:rPr>
                <w:rFonts w:ascii="宋体" w:hAnsi="宋体"/>
                <w:sz w:val="15"/>
                <w:szCs w:val="15"/>
              </w:rPr>
            </w:pPr>
            <w:r>
              <w:rPr>
                <w:sz w:val="15"/>
                <w:szCs w:val="15"/>
              </w:rPr>
              <w:t>69,141,617.73</w:t>
            </w:r>
          </w:p>
        </w:tc>
        <w:tc>
          <w:tcPr>
            <w:tcW w:w="1417" w:type="dxa"/>
            <w:vAlign w:val="center"/>
          </w:tcPr>
          <w:p w14:paraId="7F30282F">
            <w:pPr>
              <w:jc w:val="right"/>
              <w:rPr>
                <w:sz w:val="15"/>
                <w:szCs w:val="15"/>
              </w:rPr>
            </w:pPr>
            <w:r>
              <w:rPr>
                <w:sz w:val="15"/>
                <w:szCs w:val="15"/>
              </w:rPr>
              <w:t>69,141,617.73</w:t>
            </w:r>
          </w:p>
        </w:tc>
      </w:tr>
      <w:tr w14:paraId="0B4D3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e11fbdac72bf4f84a5635701204e5724"/>
            <w:id w:val="-756370745"/>
          </w:sdtPr>
          <w:sdtEndPr>
            <w:rPr>
              <w:sz w:val="15"/>
              <w:szCs w:val="15"/>
            </w:rPr>
          </w:sdtEndPr>
          <w:sdtContent>
            <w:tc>
              <w:tcPr>
                <w:tcW w:w="2394" w:type="dxa"/>
                <w:vAlign w:val="center"/>
              </w:tcPr>
              <w:p w14:paraId="1C3C7774">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二</w:t>
                </w:r>
                <w:r>
                  <w:rPr>
                    <w:color w:val="000000" w:themeColor="text1"/>
                    <w:sz w:val="15"/>
                    <w:szCs w:val="15"/>
                    <w14:textFill>
                      <w14:solidFill>
                        <w14:schemeClr w14:val="tx1"/>
                      </w14:solidFill>
                    </w14:textFill>
                  </w:rPr>
                  <w:t>）所有者投入和减少资本</w:t>
                </w:r>
              </w:p>
            </w:tc>
          </w:sdtContent>
        </w:sdt>
        <w:tc>
          <w:tcPr>
            <w:tcW w:w="1284" w:type="dxa"/>
            <w:tcBorders>
              <w:right w:val="single" w:color="auto" w:sz="4" w:space="0"/>
            </w:tcBorders>
            <w:vAlign w:val="center"/>
          </w:tcPr>
          <w:p w14:paraId="4EBB36C0">
            <w:pPr>
              <w:jc w:val="right"/>
              <w:rPr>
                <w:sz w:val="15"/>
                <w:szCs w:val="15"/>
              </w:rPr>
            </w:pPr>
            <w:r>
              <w:rPr>
                <w:sz w:val="15"/>
                <w:szCs w:val="15"/>
              </w:rPr>
              <w:t>-50,422,929.00</w:t>
            </w:r>
          </w:p>
        </w:tc>
        <w:tc>
          <w:tcPr>
            <w:tcW w:w="489" w:type="dxa"/>
            <w:tcBorders>
              <w:left w:val="single" w:color="auto" w:sz="4" w:space="0"/>
              <w:right w:val="single" w:color="auto" w:sz="4" w:space="0"/>
            </w:tcBorders>
            <w:vAlign w:val="center"/>
          </w:tcPr>
          <w:p w14:paraId="001511F0">
            <w:pPr>
              <w:jc w:val="right"/>
              <w:rPr>
                <w:sz w:val="15"/>
                <w:szCs w:val="15"/>
              </w:rPr>
            </w:pPr>
          </w:p>
        </w:tc>
        <w:tc>
          <w:tcPr>
            <w:tcW w:w="426" w:type="dxa"/>
            <w:tcBorders>
              <w:left w:val="single" w:color="auto" w:sz="4" w:space="0"/>
              <w:right w:val="single" w:color="auto" w:sz="4" w:space="0"/>
            </w:tcBorders>
            <w:vAlign w:val="center"/>
          </w:tcPr>
          <w:p w14:paraId="39F3B3E9">
            <w:pPr>
              <w:jc w:val="right"/>
              <w:rPr>
                <w:rFonts w:eastAsia="Times New Roman" w:cs="Times New Roman"/>
                <w:sz w:val="15"/>
                <w:szCs w:val="15"/>
              </w:rPr>
            </w:pPr>
          </w:p>
        </w:tc>
        <w:tc>
          <w:tcPr>
            <w:tcW w:w="425" w:type="dxa"/>
            <w:tcBorders>
              <w:left w:val="single" w:color="auto" w:sz="4" w:space="0"/>
            </w:tcBorders>
            <w:vAlign w:val="center"/>
          </w:tcPr>
          <w:p w14:paraId="15CDB7F2">
            <w:pPr>
              <w:jc w:val="right"/>
              <w:rPr>
                <w:rFonts w:eastAsia="Times New Roman" w:cs="Times New Roman"/>
                <w:sz w:val="15"/>
                <w:szCs w:val="15"/>
              </w:rPr>
            </w:pPr>
          </w:p>
        </w:tc>
        <w:tc>
          <w:tcPr>
            <w:tcW w:w="1353" w:type="dxa"/>
            <w:vAlign w:val="center"/>
          </w:tcPr>
          <w:p w14:paraId="37717607">
            <w:pPr>
              <w:jc w:val="right"/>
              <w:rPr>
                <w:rFonts w:ascii="宋体" w:hAnsi="宋体"/>
                <w:sz w:val="15"/>
                <w:szCs w:val="15"/>
              </w:rPr>
            </w:pPr>
            <w:r>
              <w:rPr>
                <w:sz w:val="15"/>
                <w:szCs w:val="15"/>
              </w:rPr>
              <w:t>-79,633,617.92</w:t>
            </w:r>
          </w:p>
        </w:tc>
        <w:tc>
          <w:tcPr>
            <w:tcW w:w="1276" w:type="dxa"/>
            <w:vAlign w:val="center"/>
          </w:tcPr>
          <w:p w14:paraId="0C80CBBA">
            <w:pPr>
              <w:jc w:val="right"/>
              <w:rPr>
                <w:sz w:val="15"/>
                <w:szCs w:val="15"/>
              </w:rPr>
            </w:pPr>
            <w:r>
              <w:rPr>
                <w:sz w:val="15"/>
                <w:szCs w:val="15"/>
              </w:rPr>
              <w:t>-130,101,426.82</w:t>
            </w:r>
          </w:p>
        </w:tc>
        <w:tc>
          <w:tcPr>
            <w:tcW w:w="1134" w:type="dxa"/>
            <w:vAlign w:val="center"/>
          </w:tcPr>
          <w:p w14:paraId="4139EEF7">
            <w:pPr>
              <w:jc w:val="right"/>
              <w:rPr>
                <w:sz w:val="15"/>
                <w:szCs w:val="15"/>
              </w:rPr>
            </w:pPr>
          </w:p>
        </w:tc>
        <w:tc>
          <w:tcPr>
            <w:tcW w:w="1036" w:type="dxa"/>
            <w:vAlign w:val="center"/>
          </w:tcPr>
          <w:p w14:paraId="7F3DA640">
            <w:pPr>
              <w:jc w:val="right"/>
              <w:rPr>
                <w:rFonts w:eastAsia="Times New Roman" w:cs="Times New Roman"/>
                <w:sz w:val="15"/>
                <w:szCs w:val="15"/>
              </w:rPr>
            </w:pPr>
          </w:p>
        </w:tc>
        <w:tc>
          <w:tcPr>
            <w:tcW w:w="1232" w:type="dxa"/>
            <w:vAlign w:val="center"/>
          </w:tcPr>
          <w:p w14:paraId="30C479AB">
            <w:pPr>
              <w:jc w:val="right"/>
              <w:rPr>
                <w:rFonts w:eastAsia="Times New Roman" w:cs="Times New Roman"/>
                <w:sz w:val="15"/>
                <w:szCs w:val="15"/>
              </w:rPr>
            </w:pPr>
          </w:p>
        </w:tc>
        <w:tc>
          <w:tcPr>
            <w:tcW w:w="1276" w:type="dxa"/>
            <w:vAlign w:val="center"/>
          </w:tcPr>
          <w:p w14:paraId="41FBF9A0">
            <w:pPr>
              <w:jc w:val="right"/>
              <w:rPr>
                <w:rFonts w:eastAsia="Times New Roman" w:cs="Times New Roman"/>
                <w:sz w:val="15"/>
                <w:szCs w:val="15"/>
              </w:rPr>
            </w:pPr>
          </w:p>
        </w:tc>
        <w:tc>
          <w:tcPr>
            <w:tcW w:w="1417" w:type="dxa"/>
            <w:vAlign w:val="center"/>
          </w:tcPr>
          <w:p w14:paraId="6A2EB936">
            <w:pPr>
              <w:jc w:val="right"/>
              <w:rPr>
                <w:rFonts w:ascii="宋体" w:hAnsi="宋体"/>
                <w:sz w:val="15"/>
                <w:szCs w:val="15"/>
              </w:rPr>
            </w:pPr>
            <w:r>
              <w:rPr>
                <w:sz w:val="15"/>
                <w:szCs w:val="15"/>
              </w:rPr>
              <w:t>44,879.90</w:t>
            </w:r>
          </w:p>
        </w:tc>
      </w:tr>
      <w:tr w14:paraId="3D549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7b195f652f0542a9b8fb6e62990feb42"/>
            <w:id w:val="-376549778"/>
          </w:sdtPr>
          <w:sdtEndPr>
            <w:rPr>
              <w:sz w:val="15"/>
              <w:szCs w:val="15"/>
            </w:rPr>
          </w:sdtEndPr>
          <w:sdtContent>
            <w:tc>
              <w:tcPr>
                <w:tcW w:w="2394" w:type="dxa"/>
                <w:vAlign w:val="center"/>
              </w:tcPr>
              <w:p w14:paraId="33B5D046">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1．所有者投入的普通股</w:t>
                </w:r>
              </w:p>
            </w:tc>
          </w:sdtContent>
        </w:sdt>
        <w:tc>
          <w:tcPr>
            <w:tcW w:w="1284" w:type="dxa"/>
            <w:tcBorders>
              <w:right w:val="single" w:color="auto" w:sz="4" w:space="0"/>
            </w:tcBorders>
            <w:vAlign w:val="center"/>
          </w:tcPr>
          <w:p w14:paraId="41195380">
            <w:pPr>
              <w:jc w:val="right"/>
              <w:rPr>
                <w:sz w:val="15"/>
                <w:szCs w:val="15"/>
              </w:rPr>
            </w:pPr>
          </w:p>
        </w:tc>
        <w:tc>
          <w:tcPr>
            <w:tcW w:w="489" w:type="dxa"/>
            <w:tcBorders>
              <w:left w:val="single" w:color="auto" w:sz="4" w:space="0"/>
              <w:right w:val="single" w:color="auto" w:sz="4" w:space="0"/>
            </w:tcBorders>
            <w:vAlign w:val="center"/>
          </w:tcPr>
          <w:p w14:paraId="49140F85">
            <w:pPr>
              <w:jc w:val="right"/>
              <w:rPr>
                <w:sz w:val="15"/>
                <w:szCs w:val="15"/>
              </w:rPr>
            </w:pPr>
          </w:p>
        </w:tc>
        <w:tc>
          <w:tcPr>
            <w:tcW w:w="426" w:type="dxa"/>
            <w:tcBorders>
              <w:left w:val="single" w:color="auto" w:sz="4" w:space="0"/>
              <w:right w:val="single" w:color="auto" w:sz="4" w:space="0"/>
            </w:tcBorders>
            <w:vAlign w:val="center"/>
          </w:tcPr>
          <w:p w14:paraId="0CC57CC8">
            <w:pPr>
              <w:jc w:val="right"/>
              <w:rPr>
                <w:sz w:val="15"/>
                <w:szCs w:val="15"/>
              </w:rPr>
            </w:pPr>
          </w:p>
        </w:tc>
        <w:tc>
          <w:tcPr>
            <w:tcW w:w="425" w:type="dxa"/>
            <w:tcBorders>
              <w:left w:val="single" w:color="auto" w:sz="4" w:space="0"/>
            </w:tcBorders>
            <w:vAlign w:val="center"/>
          </w:tcPr>
          <w:p w14:paraId="63012A17">
            <w:pPr>
              <w:jc w:val="right"/>
              <w:rPr>
                <w:sz w:val="15"/>
                <w:szCs w:val="15"/>
              </w:rPr>
            </w:pPr>
          </w:p>
        </w:tc>
        <w:tc>
          <w:tcPr>
            <w:tcW w:w="1353" w:type="dxa"/>
            <w:vAlign w:val="center"/>
          </w:tcPr>
          <w:p w14:paraId="6EB9B9AA">
            <w:pPr>
              <w:jc w:val="right"/>
              <w:rPr>
                <w:sz w:val="15"/>
                <w:szCs w:val="15"/>
              </w:rPr>
            </w:pPr>
          </w:p>
        </w:tc>
        <w:tc>
          <w:tcPr>
            <w:tcW w:w="1276" w:type="dxa"/>
            <w:vAlign w:val="center"/>
          </w:tcPr>
          <w:p w14:paraId="41147D4B">
            <w:pPr>
              <w:jc w:val="right"/>
              <w:rPr>
                <w:sz w:val="15"/>
                <w:szCs w:val="15"/>
              </w:rPr>
            </w:pPr>
          </w:p>
        </w:tc>
        <w:tc>
          <w:tcPr>
            <w:tcW w:w="1134" w:type="dxa"/>
            <w:vAlign w:val="center"/>
          </w:tcPr>
          <w:p w14:paraId="3B382C12">
            <w:pPr>
              <w:jc w:val="right"/>
              <w:rPr>
                <w:sz w:val="15"/>
                <w:szCs w:val="15"/>
              </w:rPr>
            </w:pPr>
          </w:p>
        </w:tc>
        <w:tc>
          <w:tcPr>
            <w:tcW w:w="1036" w:type="dxa"/>
            <w:vAlign w:val="center"/>
          </w:tcPr>
          <w:p w14:paraId="4E12B296">
            <w:pPr>
              <w:jc w:val="right"/>
              <w:rPr>
                <w:sz w:val="15"/>
                <w:szCs w:val="15"/>
              </w:rPr>
            </w:pPr>
          </w:p>
        </w:tc>
        <w:tc>
          <w:tcPr>
            <w:tcW w:w="1232" w:type="dxa"/>
            <w:vAlign w:val="center"/>
          </w:tcPr>
          <w:p w14:paraId="472F2477">
            <w:pPr>
              <w:jc w:val="right"/>
              <w:rPr>
                <w:sz w:val="15"/>
                <w:szCs w:val="15"/>
              </w:rPr>
            </w:pPr>
          </w:p>
        </w:tc>
        <w:tc>
          <w:tcPr>
            <w:tcW w:w="1276" w:type="dxa"/>
            <w:vAlign w:val="center"/>
          </w:tcPr>
          <w:p w14:paraId="4DB5F074">
            <w:pPr>
              <w:jc w:val="right"/>
              <w:rPr>
                <w:sz w:val="15"/>
                <w:szCs w:val="15"/>
              </w:rPr>
            </w:pPr>
          </w:p>
        </w:tc>
        <w:tc>
          <w:tcPr>
            <w:tcW w:w="1417" w:type="dxa"/>
            <w:vAlign w:val="center"/>
          </w:tcPr>
          <w:p w14:paraId="44A55F6B">
            <w:pPr>
              <w:jc w:val="right"/>
              <w:rPr>
                <w:sz w:val="15"/>
                <w:szCs w:val="15"/>
              </w:rPr>
            </w:pPr>
          </w:p>
        </w:tc>
      </w:tr>
      <w:tr w14:paraId="28739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4873337789fc42b5ae8485de96f3dad3"/>
            <w:id w:val="442812704"/>
          </w:sdtPr>
          <w:sdtEndPr>
            <w:rPr>
              <w:sz w:val="15"/>
              <w:szCs w:val="15"/>
            </w:rPr>
          </w:sdtEndPr>
          <w:sdtContent>
            <w:tc>
              <w:tcPr>
                <w:tcW w:w="2394" w:type="dxa"/>
                <w:vAlign w:val="center"/>
              </w:tcPr>
              <w:p w14:paraId="77F29028">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2．其他权益工具持有者投入资本</w:t>
                </w:r>
              </w:p>
            </w:tc>
          </w:sdtContent>
        </w:sdt>
        <w:tc>
          <w:tcPr>
            <w:tcW w:w="1284" w:type="dxa"/>
            <w:tcBorders>
              <w:right w:val="single" w:color="auto" w:sz="4" w:space="0"/>
            </w:tcBorders>
            <w:vAlign w:val="center"/>
          </w:tcPr>
          <w:p w14:paraId="610D8BF3">
            <w:pPr>
              <w:jc w:val="right"/>
              <w:rPr>
                <w:sz w:val="15"/>
                <w:szCs w:val="15"/>
              </w:rPr>
            </w:pPr>
          </w:p>
        </w:tc>
        <w:tc>
          <w:tcPr>
            <w:tcW w:w="489" w:type="dxa"/>
            <w:tcBorders>
              <w:left w:val="single" w:color="auto" w:sz="4" w:space="0"/>
              <w:right w:val="single" w:color="auto" w:sz="4" w:space="0"/>
            </w:tcBorders>
            <w:vAlign w:val="center"/>
          </w:tcPr>
          <w:p w14:paraId="21F00AF6">
            <w:pPr>
              <w:jc w:val="right"/>
              <w:rPr>
                <w:sz w:val="15"/>
                <w:szCs w:val="15"/>
              </w:rPr>
            </w:pPr>
          </w:p>
        </w:tc>
        <w:tc>
          <w:tcPr>
            <w:tcW w:w="426" w:type="dxa"/>
            <w:tcBorders>
              <w:left w:val="single" w:color="auto" w:sz="4" w:space="0"/>
              <w:right w:val="single" w:color="auto" w:sz="4" w:space="0"/>
            </w:tcBorders>
            <w:vAlign w:val="center"/>
          </w:tcPr>
          <w:p w14:paraId="1E804594">
            <w:pPr>
              <w:jc w:val="right"/>
              <w:rPr>
                <w:sz w:val="15"/>
                <w:szCs w:val="15"/>
              </w:rPr>
            </w:pPr>
          </w:p>
        </w:tc>
        <w:tc>
          <w:tcPr>
            <w:tcW w:w="425" w:type="dxa"/>
            <w:tcBorders>
              <w:left w:val="single" w:color="auto" w:sz="4" w:space="0"/>
            </w:tcBorders>
            <w:vAlign w:val="center"/>
          </w:tcPr>
          <w:p w14:paraId="5D58C211">
            <w:pPr>
              <w:jc w:val="right"/>
              <w:rPr>
                <w:sz w:val="15"/>
                <w:szCs w:val="15"/>
              </w:rPr>
            </w:pPr>
          </w:p>
        </w:tc>
        <w:tc>
          <w:tcPr>
            <w:tcW w:w="1353" w:type="dxa"/>
            <w:vAlign w:val="center"/>
          </w:tcPr>
          <w:p w14:paraId="09BCA4E8">
            <w:pPr>
              <w:jc w:val="right"/>
              <w:rPr>
                <w:sz w:val="15"/>
                <w:szCs w:val="15"/>
              </w:rPr>
            </w:pPr>
          </w:p>
        </w:tc>
        <w:tc>
          <w:tcPr>
            <w:tcW w:w="1276" w:type="dxa"/>
            <w:vAlign w:val="center"/>
          </w:tcPr>
          <w:p w14:paraId="7A917194">
            <w:pPr>
              <w:jc w:val="right"/>
              <w:rPr>
                <w:sz w:val="15"/>
                <w:szCs w:val="15"/>
              </w:rPr>
            </w:pPr>
          </w:p>
        </w:tc>
        <w:tc>
          <w:tcPr>
            <w:tcW w:w="1134" w:type="dxa"/>
            <w:vAlign w:val="center"/>
          </w:tcPr>
          <w:p w14:paraId="53AB3594">
            <w:pPr>
              <w:jc w:val="right"/>
              <w:rPr>
                <w:sz w:val="15"/>
                <w:szCs w:val="15"/>
              </w:rPr>
            </w:pPr>
          </w:p>
        </w:tc>
        <w:tc>
          <w:tcPr>
            <w:tcW w:w="1036" w:type="dxa"/>
            <w:vAlign w:val="center"/>
          </w:tcPr>
          <w:p w14:paraId="439407EE">
            <w:pPr>
              <w:jc w:val="right"/>
              <w:rPr>
                <w:sz w:val="15"/>
                <w:szCs w:val="15"/>
              </w:rPr>
            </w:pPr>
          </w:p>
        </w:tc>
        <w:tc>
          <w:tcPr>
            <w:tcW w:w="1232" w:type="dxa"/>
            <w:vAlign w:val="center"/>
          </w:tcPr>
          <w:p w14:paraId="3F80BB86">
            <w:pPr>
              <w:jc w:val="right"/>
              <w:rPr>
                <w:sz w:val="15"/>
                <w:szCs w:val="15"/>
              </w:rPr>
            </w:pPr>
          </w:p>
        </w:tc>
        <w:tc>
          <w:tcPr>
            <w:tcW w:w="1276" w:type="dxa"/>
            <w:vAlign w:val="center"/>
          </w:tcPr>
          <w:p w14:paraId="6F2A8466">
            <w:pPr>
              <w:jc w:val="right"/>
              <w:rPr>
                <w:sz w:val="15"/>
                <w:szCs w:val="15"/>
              </w:rPr>
            </w:pPr>
          </w:p>
        </w:tc>
        <w:tc>
          <w:tcPr>
            <w:tcW w:w="1417" w:type="dxa"/>
            <w:vAlign w:val="center"/>
          </w:tcPr>
          <w:p w14:paraId="362F0D0C">
            <w:pPr>
              <w:jc w:val="right"/>
              <w:rPr>
                <w:sz w:val="15"/>
                <w:szCs w:val="15"/>
              </w:rPr>
            </w:pPr>
          </w:p>
        </w:tc>
      </w:tr>
      <w:tr w14:paraId="792C5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83c73c5580c0412189f697f05780f9af"/>
            <w:id w:val="888152193"/>
          </w:sdtPr>
          <w:sdtEndPr>
            <w:rPr>
              <w:sz w:val="15"/>
              <w:szCs w:val="15"/>
            </w:rPr>
          </w:sdtEndPr>
          <w:sdtContent>
            <w:tc>
              <w:tcPr>
                <w:tcW w:w="2394" w:type="dxa"/>
                <w:vAlign w:val="center"/>
              </w:tcPr>
              <w:p w14:paraId="23C7DA49">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w:t>
                </w:r>
                <w:r>
                  <w:rPr>
                    <w:color w:val="000000" w:themeColor="text1"/>
                    <w:sz w:val="15"/>
                    <w:szCs w:val="15"/>
                    <w14:textFill>
                      <w14:solidFill>
                        <w14:schemeClr w14:val="tx1"/>
                      </w14:solidFill>
                    </w14:textFill>
                  </w:rPr>
                  <w:t>．股份支付计入所有者权益的金额</w:t>
                </w:r>
              </w:p>
            </w:tc>
          </w:sdtContent>
        </w:sdt>
        <w:tc>
          <w:tcPr>
            <w:tcW w:w="1284" w:type="dxa"/>
            <w:tcBorders>
              <w:right w:val="single" w:color="auto" w:sz="4" w:space="0"/>
            </w:tcBorders>
            <w:vAlign w:val="center"/>
          </w:tcPr>
          <w:p w14:paraId="795EBE67">
            <w:pPr>
              <w:jc w:val="right"/>
              <w:rPr>
                <w:sz w:val="15"/>
                <w:szCs w:val="15"/>
              </w:rPr>
            </w:pPr>
          </w:p>
        </w:tc>
        <w:tc>
          <w:tcPr>
            <w:tcW w:w="489" w:type="dxa"/>
            <w:tcBorders>
              <w:left w:val="single" w:color="auto" w:sz="4" w:space="0"/>
              <w:right w:val="single" w:color="auto" w:sz="4" w:space="0"/>
            </w:tcBorders>
            <w:vAlign w:val="center"/>
          </w:tcPr>
          <w:p w14:paraId="0FCBE1FA">
            <w:pPr>
              <w:jc w:val="right"/>
              <w:rPr>
                <w:sz w:val="15"/>
                <w:szCs w:val="15"/>
              </w:rPr>
            </w:pPr>
          </w:p>
        </w:tc>
        <w:tc>
          <w:tcPr>
            <w:tcW w:w="426" w:type="dxa"/>
            <w:tcBorders>
              <w:left w:val="single" w:color="auto" w:sz="4" w:space="0"/>
              <w:right w:val="single" w:color="auto" w:sz="4" w:space="0"/>
            </w:tcBorders>
            <w:vAlign w:val="center"/>
          </w:tcPr>
          <w:p w14:paraId="2947E1E1">
            <w:pPr>
              <w:jc w:val="right"/>
              <w:rPr>
                <w:sz w:val="15"/>
                <w:szCs w:val="15"/>
              </w:rPr>
            </w:pPr>
          </w:p>
        </w:tc>
        <w:tc>
          <w:tcPr>
            <w:tcW w:w="425" w:type="dxa"/>
            <w:tcBorders>
              <w:left w:val="single" w:color="auto" w:sz="4" w:space="0"/>
            </w:tcBorders>
            <w:vAlign w:val="center"/>
          </w:tcPr>
          <w:p w14:paraId="35DD6C14">
            <w:pPr>
              <w:jc w:val="right"/>
              <w:rPr>
                <w:sz w:val="15"/>
                <w:szCs w:val="15"/>
              </w:rPr>
            </w:pPr>
          </w:p>
        </w:tc>
        <w:tc>
          <w:tcPr>
            <w:tcW w:w="1353" w:type="dxa"/>
            <w:vAlign w:val="center"/>
          </w:tcPr>
          <w:p w14:paraId="173CCFF6">
            <w:pPr>
              <w:jc w:val="right"/>
              <w:rPr>
                <w:sz w:val="15"/>
                <w:szCs w:val="15"/>
              </w:rPr>
            </w:pPr>
          </w:p>
        </w:tc>
        <w:tc>
          <w:tcPr>
            <w:tcW w:w="1276" w:type="dxa"/>
            <w:vAlign w:val="center"/>
          </w:tcPr>
          <w:p w14:paraId="7FFEA98B">
            <w:pPr>
              <w:jc w:val="right"/>
              <w:rPr>
                <w:sz w:val="15"/>
                <w:szCs w:val="15"/>
              </w:rPr>
            </w:pPr>
          </w:p>
        </w:tc>
        <w:tc>
          <w:tcPr>
            <w:tcW w:w="1134" w:type="dxa"/>
            <w:vAlign w:val="center"/>
          </w:tcPr>
          <w:p w14:paraId="7F0BD779">
            <w:pPr>
              <w:jc w:val="right"/>
              <w:rPr>
                <w:sz w:val="15"/>
                <w:szCs w:val="15"/>
              </w:rPr>
            </w:pPr>
          </w:p>
        </w:tc>
        <w:tc>
          <w:tcPr>
            <w:tcW w:w="1036" w:type="dxa"/>
            <w:vAlign w:val="center"/>
          </w:tcPr>
          <w:p w14:paraId="592023EB">
            <w:pPr>
              <w:jc w:val="right"/>
              <w:rPr>
                <w:sz w:val="15"/>
                <w:szCs w:val="15"/>
              </w:rPr>
            </w:pPr>
          </w:p>
        </w:tc>
        <w:tc>
          <w:tcPr>
            <w:tcW w:w="1232" w:type="dxa"/>
            <w:vAlign w:val="center"/>
          </w:tcPr>
          <w:p w14:paraId="55226F77">
            <w:pPr>
              <w:jc w:val="right"/>
              <w:rPr>
                <w:sz w:val="15"/>
                <w:szCs w:val="15"/>
              </w:rPr>
            </w:pPr>
          </w:p>
        </w:tc>
        <w:tc>
          <w:tcPr>
            <w:tcW w:w="1276" w:type="dxa"/>
            <w:vAlign w:val="center"/>
          </w:tcPr>
          <w:p w14:paraId="384E46D9">
            <w:pPr>
              <w:jc w:val="right"/>
              <w:rPr>
                <w:sz w:val="15"/>
                <w:szCs w:val="15"/>
              </w:rPr>
            </w:pPr>
          </w:p>
        </w:tc>
        <w:tc>
          <w:tcPr>
            <w:tcW w:w="1417" w:type="dxa"/>
            <w:vAlign w:val="center"/>
          </w:tcPr>
          <w:p w14:paraId="60541239">
            <w:pPr>
              <w:jc w:val="right"/>
              <w:rPr>
                <w:sz w:val="15"/>
                <w:szCs w:val="15"/>
              </w:rPr>
            </w:pPr>
          </w:p>
        </w:tc>
      </w:tr>
      <w:tr w14:paraId="5547A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b328cbc349734354ae3aacf675414174"/>
            <w:id w:val="1053344129"/>
          </w:sdtPr>
          <w:sdtEndPr>
            <w:rPr>
              <w:sz w:val="15"/>
              <w:szCs w:val="15"/>
            </w:rPr>
          </w:sdtEndPr>
          <w:sdtContent>
            <w:tc>
              <w:tcPr>
                <w:tcW w:w="2394" w:type="dxa"/>
                <w:vAlign w:val="center"/>
              </w:tcPr>
              <w:p w14:paraId="1124BD58">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w:t>
                </w:r>
                <w:r>
                  <w:rPr>
                    <w:color w:val="000000" w:themeColor="text1"/>
                    <w:sz w:val="15"/>
                    <w:szCs w:val="15"/>
                    <w14:textFill>
                      <w14:solidFill>
                        <w14:schemeClr w14:val="tx1"/>
                      </w14:solidFill>
                    </w14:textFill>
                  </w:rPr>
                  <w:t>．其他</w:t>
                </w:r>
              </w:p>
            </w:tc>
          </w:sdtContent>
        </w:sdt>
        <w:tc>
          <w:tcPr>
            <w:tcW w:w="1284" w:type="dxa"/>
            <w:tcBorders>
              <w:right w:val="single" w:color="auto" w:sz="4" w:space="0"/>
            </w:tcBorders>
            <w:vAlign w:val="center"/>
          </w:tcPr>
          <w:p w14:paraId="3A2773CA">
            <w:pPr>
              <w:jc w:val="right"/>
              <w:rPr>
                <w:sz w:val="15"/>
                <w:szCs w:val="15"/>
              </w:rPr>
            </w:pPr>
            <w:r>
              <w:rPr>
                <w:sz w:val="15"/>
                <w:szCs w:val="15"/>
              </w:rPr>
              <w:t>-50,422,929.00</w:t>
            </w:r>
          </w:p>
        </w:tc>
        <w:tc>
          <w:tcPr>
            <w:tcW w:w="489" w:type="dxa"/>
            <w:tcBorders>
              <w:left w:val="single" w:color="auto" w:sz="4" w:space="0"/>
              <w:right w:val="single" w:color="auto" w:sz="4" w:space="0"/>
            </w:tcBorders>
            <w:vAlign w:val="center"/>
          </w:tcPr>
          <w:p w14:paraId="73D742A1">
            <w:pPr>
              <w:jc w:val="right"/>
              <w:rPr>
                <w:sz w:val="15"/>
                <w:szCs w:val="15"/>
              </w:rPr>
            </w:pPr>
          </w:p>
        </w:tc>
        <w:tc>
          <w:tcPr>
            <w:tcW w:w="426" w:type="dxa"/>
            <w:tcBorders>
              <w:left w:val="single" w:color="auto" w:sz="4" w:space="0"/>
              <w:right w:val="single" w:color="auto" w:sz="4" w:space="0"/>
            </w:tcBorders>
            <w:vAlign w:val="center"/>
          </w:tcPr>
          <w:p w14:paraId="70616FC2">
            <w:pPr>
              <w:jc w:val="right"/>
              <w:rPr>
                <w:rFonts w:eastAsia="Times New Roman" w:cs="Times New Roman"/>
                <w:sz w:val="15"/>
                <w:szCs w:val="15"/>
              </w:rPr>
            </w:pPr>
          </w:p>
        </w:tc>
        <w:tc>
          <w:tcPr>
            <w:tcW w:w="425" w:type="dxa"/>
            <w:tcBorders>
              <w:left w:val="single" w:color="auto" w:sz="4" w:space="0"/>
            </w:tcBorders>
            <w:vAlign w:val="center"/>
          </w:tcPr>
          <w:p w14:paraId="2E0425EE">
            <w:pPr>
              <w:jc w:val="right"/>
              <w:rPr>
                <w:rFonts w:eastAsia="Times New Roman" w:cs="Times New Roman"/>
                <w:sz w:val="15"/>
                <w:szCs w:val="15"/>
              </w:rPr>
            </w:pPr>
          </w:p>
        </w:tc>
        <w:tc>
          <w:tcPr>
            <w:tcW w:w="1353" w:type="dxa"/>
            <w:vAlign w:val="center"/>
          </w:tcPr>
          <w:p w14:paraId="404EBE5E">
            <w:pPr>
              <w:jc w:val="right"/>
              <w:rPr>
                <w:rFonts w:ascii="宋体" w:hAnsi="宋体"/>
                <w:sz w:val="15"/>
                <w:szCs w:val="15"/>
              </w:rPr>
            </w:pPr>
            <w:r>
              <w:rPr>
                <w:sz w:val="15"/>
                <w:szCs w:val="15"/>
              </w:rPr>
              <w:t>-79,633,617.92</w:t>
            </w:r>
          </w:p>
        </w:tc>
        <w:tc>
          <w:tcPr>
            <w:tcW w:w="1276" w:type="dxa"/>
            <w:vAlign w:val="center"/>
          </w:tcPr>
          <w:p w14:paraId="3EBC7E21">
            <w:pPr>
              <w:jc w:val="right"/>
              <w:rPr>
                <w:sz w:val="15"/>
                <w:szCs w:val="15"/>
              </w:rPr>
            </w:pPr>
            <w:r>
              <w:rPr>
                <w:sz w:val="15"/>
                <w:szCs w:val="15"/>
              </w:rPr>
              <w:t>-130,101,426.82</w:t>
            </w:r>
          </w:p>
        </w:tc>
        <w:tc>
          <w:tcPr>
            <w:tcW w:w="1134" w:type="dxa"/>
            <w:vAlign w:val="center"/>
          </w:tcPr>
          <w:p w14:paraId="58C0A666">
            <w:pPr>
              <w:jc w:val="right"/>
              <w:rPr>
                <w:sz w:val="15"/>
                <w:szCs w:val="15"/>
              </w:rPr>
            </w:pPr>
          </w:p>
        </w:tc>
        <w:tc>
          <w:tcPr>
            <w:tcW w:w="1036" w:type="dxa"/>
            <w:vAlign w:val="center"/>
          </w:tcPr>
          <w:p w14:paraId="6C9FD593">
            <w:pPr>
              <w:jc w:val="right"/>
              <w:rPr>
                <w:rFonts w:eastAsia="Times New Roman" w:cs="Times New Roman"/>
                <w:sz w:val="15"/>
                <w:szCs w:val="15"/>
              </w:rPr>
            </w:pPr>
          </w:p>
        </w:tc>
        <w:tc>
          <w:tcPr>
            <w:tcW w:w="1232" w:type="dxa"/>
            <w:vAlign w:val="center"/>
          </w:tcPr>
          <w:p w14:paraId="4DD240FF">
            <w:pPr>
              <w:jc w:val="right"/>
              <w:rPr>
                <w:rFonts w:eastAsia="Times New Roman" w:cs="Times New Roman"/>
                <w:sz w:val="15"/>
                <w:szCs w:val="15"/>
              </w:rPr>
            </w:pPr>
          </w:p>
        </w:tc>
        <w:tc>
          <w:tcPr>
            <w:tcW w:w="1276" w:type="dxa"/>
            <w:vAlign w:val="center"/>
          </w:tcPr>
          <w:p w14:paraId="1A0AD4CE">
            <w:pPr>
              <w:jc w:val="right"/>
              <w:rPr>
                <w:rFonts w:eastAsia="Times New Roman" w:cs="Times New Roman"/>
                <w:sz w:val="15"/>
                <w:szCs w:val="15"/>
              </w:rPr>
            </w:pPr>
          </w:p>
        </w:tc>
        <w:tc>
          <w:tcPr>
            <w:tcW w:w="1417" w:type="dxa"/>
            <w:vAlign w:val="center"/>
          </w:tcPr>
          <w:p w14:paraId="39D588A2">
            <w:pPr>
              <w:jc w:val="right"/>
              <w:rPr>
                <w:rFonts w:ascii="宋体" w:hAnsi="宋体"/>
                <w:sz w:val="15"/>
                <w:szCs w:val="15"/>
              </w:rPr>
            </w:pPr>
            <w:r>
              <w:rPr>
                <w:sz w:val="15"/>
                <w:szCs w:val="15"/>
              </w:rPr>
              <w:t>44,879.90</w:t>
            </w:r>
          </w:p>
        </w:tc>
      </w:tr>
      <w:tr w14:paraId="14F16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9773183e97be44a1a360188937e7fe10"/>
            <w:id w:val="-397201964"/>
          </w:sdtPr>
          <w:sdtEndPr>
            <w:rPr>
              <w:sz w:val="15"/>
              <w:szCs w:val="15"/>
            </w:rPr>
          </w:sdtEndPr>
          <w:sdtContent>
            <w:tc>
              <w:tcPr>
                <w:tcW w:w="2394" w:type="dxa"/>
                <w:vAlign w:val="center"/>
              </w:tcPr>
              <w:p w14:paraId="1BBA5AB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三</w:t>
                </w:r>
                <w:r>
                  <w:rPr>
                    <w:color w:val="000000" w:themeColor="text1"/>
                    <w:sz w:val="15"/>
                    <w:szCs w:val="15"/>
                    <w14:textFill>
                      <w14:solidFill>
                        <w14:schemeClr w14:val="tx1"/>
                      </w14:solidFill>
                    </w14:textFill>
                  </w:rPr>
                  <w:t>）利润分配</w:t>
                </w:r>
              </w:p>
            </w:tc>
          </w:sdtContent>
        </w:sdt>
        <w:tc>
          <w:tcPr>
            <w:tcW w:w="1284" w:type="dxa"/>
            <w:tcBorders>
              <w:right w:val="single" w:color="auto" w:sz="4" w:space="0"/>
            </w:tcBorders>
            <w:vAlign w:val="center"/>
          </w:tcPr>
          <w:p w14:paraId="3B173E58">
            <w:pPr>
              <w:jc w:val="right"/>
              <w:rPr>
                <w:sz w:val="15"/>
                <w:szCs w:val="15"/>
              </w:rPr>
            </w:pPr>
          </w:p>
        </w:tc>
        <w:tc>
          <w:tcPr>
            <w:tcW w:w="489" w:type="dxa"/>
            <w:tcBorders>
              <w:left w:val="single" w:color="auto" w:sz="4" w:space="0"/>
              <w:right w:val="single" w:color="auto" w:sz="4" w:space="0"/>
            </w:tcBorders>
            <w:vAlign w:val="center"/>
          </w:tcPr>
          <w:p w14:paraId="178398A3">
            <w:pPr>
              <w:jc w:val="right"/>
              <w:rPr>
                <w:sz w:val="15"/>
                <w:szCs w:val="15"/>
              </w:rPr>
            </w:pPr>
          </w:p>
        </w:tc>
        <w:tc>
          <w:tcPr>
            <w:tcW w:w="426" w:type="dxa"/>
            <w:tcBorders>
              <w:left w:val="single" w:color="auto" w:sz="4" w:space="0"/>
              <w:right w:val="single" w:color="auto" w:sz="4" w:space="0"/>
            </w:tcBorders>
            <w:vAlign w:val="center"/>
          </w:tcPr>
          <w:p w14:paraId="01A3ABE3">
            <w:pPr>
              <w:jc w:val="right"/>
              <w:rPr>
                <w:sz w:val="15"/>
                <w:szCs w:val="15"/>
              </w:rPr>
            </w:pPr>
          </w:p>
        </w:tc>
        <w:tc>
          <w:tcPr>
            <w:tcW w:w="425" w:type="dxa"/>
            <w:tcBorders>
              <w:left w:val="single" w:color="auto" w:sz="4" w:space="0"/>
            </w:tcBorders>
            <w:vAlign w:val="center"/>
          </w:tcPr>
          <w:p w14:paraId="123B3E87">
            <w:pPr>
              <w:jc w:val="right"/>
              <w:rPr>
                <w:sz w:val="15"/>
                <w:szCs w:val="15"/>
              </w:rPr>
            </w:pPr>
          </w:p>
        </w:tc>
        <w:tc>
          <w:tcPr>
            <w:tcW w:w="1353" w:type="dxa"/>
            <w:vAlign w:val="center"/>
          </w:tcPr>
          <w:p w14:paraId="52DBE66B">
            <w:pPr>
              <w:jc w:val="right"/>
              <w:rPr>
                <w:sz w:val="15"/>
                <w:szCs w:val="15"/>
              </w:rPr>
            </w:pPr>
          </w:p>
        </w:tc>
        <w:tc>
          <w:tcPr>
            <w:tcW w:w="1276" w:type="dxa"/>
            <w:vAlign w:val="center"/>
          </w:tcPr>
          <w:p w14:paraId="0052CD2A">
            <w:pPr>
              <w:jc w:val="right"/>
              <w:rPr>
                <w:sz w:val="15"/>
                <w:szCs w:val="15"/>
              </w:rPr>
            </w:pPr>
          </w:p>
        </w:tc>
        <w:tc>
          <w:tcPr>
            <w:tcW w:w="1134" w:type="dxa"/>
            <w:vAlign w:val="center"/>
          </w:tcPr>
          <w:p w14:paraId="33E757FF">
            <w:pPr>
              <w:jc w:val="right"/>
              <w:rPr>
                <w:sz w:val="15"/>
                <w:szCs w:val="15"/>
              </w:rPr>
            </w:pPr>
          </w:p>
        </w:tc>
        <w:tc>
          <w:tcPr>
            <w:tcW w:w="1036" w:type="dxa"/>
            <w:vAlign w:val="center"/>
          </w:tcPr>
          <w:p w14:paraId="6CF67256">
            <w:pPr>
              <w:jc w:val="right"/>
              <w:rPr>
                <w:sz w:val="15"/>
                <w:szCs w:val="15"/>
              </w:rPr>
            </w:pPr>
          </w:p>
        </w:tc>
        <w:tc>
          <w:tcPr>
            <w:tcW w:w="1232" w:type="dxa"/>
            <w:vAlign w:val="center"/>
          </w:tcPr>
          <w:p w14:paraId="3B399092">
            <w:pPr>
              <w:jc w:val="right"/>
              <w:rPr>
                <w:sz w:val="15"/>
                <w:szCs w:val="15"/>
              </w:rPr>
            </w:pPr>
          </w:p>
        </w:tc>
        <w:tc>
          <w:tcPr>
            <w:tcW w:w="1276" w:type="dxa"/>
            <w:vAlign w:val="center"/>
          </w:tcPr>
          <w:p w14:paraId="2449EEBC">
            <w:pPr>
              <w:jc w:val="right"/>
              <w:rPr>
                <w:sz w:val="15"/>
                <w:szCs w:val="15"/>
              </w:rPr>
            </w:pPr>
          </w:p>
        </w:tc>
        <w:tc>
          <w:tcPr>
            <w:tcW w:w="1417" w:type="dxa"/>
            <w:vAlign w:val="center"/>
          </w:tcPr>
          <w:p w14:paraId="781D9A9F">
            <w:pPr>
              <w:jc w:val="right"/>
              <w:rPr>
                <w:sz w:val="15"/>
                <w:szCs w:val="15"/>
              </w:rPr>
            </w:pPr>
          </w:p>
        </w:tc>
      </w:tr>
      <w:tr w14:paraId="0A6E5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49d633deae854098a44173514bb3a7b3"/>
            <w:id w:val="1647235665"/>
          </w:sdtPr>
          <w:sdtEndPr>
            <w:rPr>
              <w:sz w:val="15"/>
              <w:szCs w:val="15"/>
            </w:rPr>
          </w:sdtEndPr>
          <w:sdtContent>
            <w:tc>
              <w:tcPr>
                <w:tcW w:w="2394" w:type="dxa"/>
                <w:vAlign w:val="center"/>
              </w:tcPr>
              <w:p w14:paraId="14FC2ACB">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1．提取盈余公积</w:t>
                </w:r>
              </w:p>
            </w:tc>
          </w:sdtContent>
        </w:sdt>
        <w:tc>
          <w:tcPr>
            <w:tcW w:w="1284" w:type="dxa"/>
            <w:tcBorders>
              <w:right w:val="single" w:color="auto" w:sz="4" w:space="0"/>
            </w:tcBorders>
            <w:vAlign w:val="center"/>
          </w:tcPr>
          <w:p w14:paraId="6BCBF98B">
            <w:pPr>
              <w:jc w:val="right"/>
              <w:rPr>
                <w:sz w:val="15"/>
                <w:szCs w:val="15"/>
              </w:rPr>
            </w:pPr>
          </w:p>
        </w:tc>
        <w:tc>
          <w:tcPr>
            <w:tcW w:w="489" w:type="dxa"/>
            <w:tcBorders>
              <w:left w:val="single" w:color="auto" w:sz="4" w:space="0"/>
              <w:right w:val="single" w:color="auto" w:sz="4" w:space="0"/>
            </w:tcBorders>
            <w:vAlign w:val="center"/>
          </w:tcPr>
          <w:p w14:paraId="09E0B505">
            <w:pPr>
              <w:jc w:val="right"/>
              <w:rPr>
                <w:sz w:val="15"/>
                <w:szCs w:val="15"/>
              </w:rPr>
            </w:pPr>
          </w:p>
        </w:tc>
        <w:tc>
          <w:tcPr>
            <w:tcW w:w="426" w:type="dxa"/>
            <w:tcBorders>
              <w:left w:val="single" w:color="auto" w:sz="4" w:space="0"/>
              <w:right w:val="single" w:color="auto" w:sz="4" w:space="0"/>
            </w:tcBorders>
            <w:vAlign w:val="center"/>
          </w:tcPr>
          <w:p w14:paraId="00771114">
            <w:pPr>
              <w:jc w:val="right"/>
              <w:rPr>
                <w:sz w:val="15"/>
                <w:szCs w:val="15"/>
              </w:rPr>
            </w:pPr>
          </w:p>
        </w:tc>
        <w:tc>
          <w:tcPr>
            <w:tcW w:w="425" w:type="dxa"/>
            <w:tcBorders>
              <w:left w:val="single" w:color="auto" w:sz="4" w:space="0"/>
            </w:tcBorders>
            <w:vAlign w:val="center"/>
          </w:tcPr>
          <w:p w14:paraId="6BF9B42A">
            <w:pPr>
              <w:jc w:val="right"/>
              <w:rPr>
                <w:sz w:val="15"/>
                <w:szCs w:val="15"/>
              </w:rPr>
            </w:pPr>
          </w:p>
        </w:tc>
        <w:tc>
          <w:tcPr>
            <w:tcW w:w="1353" w:type="dxa"/>
            <w:vAlign w:val="center"/>
          </w:tcPr>
          <w:p w14:paraId="0BD2E4F3">
            <w:pPr>
              <w:jc w:val="right"/>
              <w:rPr>
                <w:sz w:val="15"/>
                <w:szCs w:val="15"/>
              </w:rPr>
            </w:pPr>
          </w:p>
        </w:tc>
        <w:tc>
          <w:tcPr>
            <w:tcW w:w="1276" w:type="dxa"/>
            <w:vAlign w:val="center"/>
          </w:tcPr>
          <w:p w14:paraId="06C37171">
            <w:pPr>
              <w:jc w:val="right"/>
              <w:rPr>
                <w:sz w:val="15"/>
                <w:szCs w:val="15"/>
              </w:rPr>
            </w:pPr>
          </w:p>
        </w:tc>
        <w:tc>
          <w:tcPr>
            <w:tcW w:w="1134" w:type="dxa"/>
            <w:vAlign w:val="center"/>
          </w:tcPr>
          <w:p w14:paraId="2D5E1751">
            <w:pPr>
              <w:jc w:val="right"/>
              <w:rPr>
                <w:sz w:val="15"/>
                <w:szCs w:val="15"/>
              </w:rPr>
            </w:pPr>
          </w:p>
        </w:tc>
        <w:tc>
          <w:tcPr>
            <w:tcW w:w="1036" w:type="dxa"/>
            <w:vAlign w:val="center"/>
          </w:tcPr>
          <w:p w14:paraId="301D3485">
            <w:pPr>
              <w:jc w:val="right"/>
              <w:rPr>
                <w:sz w:val="15"/>
                <w:szCs w:val="15"/>
              </w:rPr>
            </w:pPr>
          </w:p>
        </w:tc>
        <w:tc>
          <w:tcPr>
            <w:tcW w:w="1232" w:type="dxa"/>
            <w:vAlign w:val="center"/>
          </w:tcPr>
          <w:p w14:paraId="525224B1">
            <w:pPr>
              <w:jc w:val="right"/>
              <w:rPr>
                <w:sz w:val="15"/>
                <w:szCs w:val="15"/>
              </w:rPr>
            </w:pPr>
          </w:p>
        </w:tc>
        <w:tc>
          <w:tcPr>
            <w:tcW w:w="1276" w:type="dxa"/>
            <w:vAlign w:val="center"/>
          </w:tcPr>
          <w:p w14:paraId="04E068EE">
            <w:pPr>
              <w:jc w:val="right"/>
              <w:rPr>
                <w:sz w:val="15"/>
                <w:szCs w:val="15"/>
              </w:rPr>
            </w:pPr>
          </w:p>
        </w:tc>
        <w:tc>
          <w:tcPr>
            <w:tcW w:w="1417" w:type="dxa"/>
            <w:vAlign w:val="center"/>
          </w:tcPr>
          <w:p w14:paraId="40DFA2DF">
            <w:pPr>
              <w:jc w:val="right"/>
              <w:rPr>
                <w:sz w:val="15"/>
                <w:szCs w:val="15"/>
              </w:rPr>
            </w:pPr>
          </w:p>
        </w:tc>
      </w:tr>
      <w:tr w14:paraId="19B36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97bd41fffab4497fb1be0b345aef17bd"/>
            <w:id w:val="-705166120"/>
          </w:sdtPr>
          <w:sdtEndPr>
            <w:rPr>
              <w:sz w:val="15"/>
              <w:szCs w:val="15"/>
            </w:rPr>
          </w:sdtEndPr>
          <w:sdtContent>
            <w:tc>
              <w:tcPr>
                <w:tcW w:w="2394" w:type="dxa"/>
                <w:vAlign w:val="center"/>
              </w:tcPr>
              <w:p w14:paraId="44D9AB03">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w:t>
                </w:r>
                <w:r>
                  <w:rPr>
                    <w:color w:val="000000" w:themeColor="text1"/>
                    <w:sz w:val="15"/>
                    <w:szCs w:val="15"/>
                    <w14:textFill>
                      <w14:solidFill>
                        <w14:schemeClr w14:val="tx1"/>
                      </w14:solidFill>
                    </w14:textFill>
                  </w:rPr>
                  <w:t>．对所有者（或股东）的分配</w:t>
                </w:r>
              </w:p>
            </w:tc>
          </w:sdtContent>
        </w:sdt>
        <w:tc>
          <w:tcPr>
            <w:tcW w:w="1284" w:type="dxa"/>
            <w:tcBorders>
              <w:right w:val="single" w:color="auto" w:sz="4" w:space="0"/>
            </w:tcBorders>
            <w:vAlign w:val="center"/>
          </w:tcPr>
          <w:p w14:paraId="3490496F">
            <w:pPr>
              <w:jc w:val="right"/>
              <w:rPr>
                <w:sz w:val="15"/>
                <w:szCs w:val="15"/>
              </w:rPr>
            </w:pPr>
          </w:p>
        </w:tc>
        <w:tc>
          <w:tcPr>
            <w:tcW w:w="489" w:type="dxa"/>
            <w:tcBorders>
              <w:left w:val="single" w:color="auto" w:sz="4" w:space="0"/>
              <w:right w:val="single" w:color="auto" w:sz="4" w:space="0"/>
            </w:tcBorders>
            <w:vAlign w:val="center"/>
          </w:tcPr>
          <w:p w14:paraId="0F6F683B">
            <w:pPr>
              <w:jc w:val="right"/>
              <w:rPr>
                <w:sz w:val="15"/>
                <w:szCs w:val="15"/>
              </w:rPr>
            </w:pPr>
          </w:p>
        </w:tc>
        <w:tc>
          <w:tcPr>
            <w:tcW w:w="426" w:type="dxa"/>
            <w:tcBorders>
              <w:left w:val="single" w:color="auto" w:sz="4" w:space="0"/>
              <w:right w:val="single" w:color="auto" w:sz="4" w:space="0"/>
            </w:tcBorders>
            <w:vAlign w:val="center"/>
          </w:tcPr>
          <w:p w14:paraId="0D1A45B2">
            <w:pPr>
              <w:jc w:val="right"/>
              <w:rPr>
                <w:sz w:val="15"/>
                <w:szCs w:val="15"/>
              </w:rPr>
            </w:pPr>
          </w:p>
        </w:tc>
        <w:tc>
          <w:tcPr>
            <w:tcW w:w="425" w:type="dxa"/>
            <w:tcBorders>
              <w:left w:val="single" w:color="auto" w:sz="4" w:space="0"/>
            </w:tcBorders>
            <w:vAlign w:val="center"/>
          </w:tcPr>
          <w:p w14:paraId="1FFCFEC0">
            <w:pPr>
              <w:jc w:val="right"/>
              <w:rPr>
                <w:sz w:val="15"/>
                <w:szCs w:val="15"/>
              </w:rPr>
            </w:pPr>
          </w:p>
        </w:tc>
        <w:tc>
          <w:tcPr>
            <w:tcW w:w="1353" w:type="dxa"/>
            <w:vAlign w:val="center"/>
          </w:tcPr>
          <w:p w14:paraId="70AF317A">
            <w:pPr>
              <w:jc w:val="right"/>
              <w:rPr>
                <w:sz w:val="15"/>
                <w:szCs w:val="15"/>
              </w:rPr>
            </w:pPr>
          </w:p>
        </w:tc>
        <w:tc>
          <w:tcPr>
            <w:tcW w:w="1276" w:type="dxa"/>
            <w:vAlign w:val="center"/>
          </w:tcPr>
          <w:p w14:paraId="175DE4D4">
            <w:pPr>
              <w:jc w:val="right"/>
              <w:rPr>
                <w:sz w:val="15"/>
                <w:szCs w:val="15"/>
              </w:rPr>
            </w:pPr>
          </w:p>
        </w:tc>
        <w:tc>
          <w:tcPr>
            <w:tcW w:w="1134" w:type="dxa"/>
            <w:vAlign w:val="center"/>
          </w:tcPr>
          <w:p w14:paraId="3E4D1018">
            <w:pPr>
              <w:jc w:val="right"/>
              <w:rPr>
                <w:sz w:val="15"/>
                <w:szCs w:val="15"/>
              </w:rPr>
            </w:pPr>
          </w:p>
        </w:tc>
        <w:tc>
          <w:tcPr>
            <w:tcW w:w="1036" w:type="dxa"/>
            <w:vAlign w:val="center"/>
          </w:tcPr>
          <w:p w14:paraId="24CD58AF">
            <w:pPr>
              <w:jc w:val="right"/>
              <w:rPr>
                <w:sz w:val="15"/>
                <w:szCs w:val="15"/>
              </w:rPr>
            </w:pPr>
          </w:p>
        </w:tc>
        <w:tc>
          <w:tcPr>
            <w:tcW w:w="1232" w:type="dxa"/>
            <w:vAlign w:val="center"/>
          </w:tcPr>
          <w:p w14:paraId="07ECAB38">
            <w:pPr>
              <w:jc w:val="right"/>
              <w:rPr>
                <w:sz w:val="15"/>
                <w:szCs w:val="15"/>
              </w:rPr>
            </w:pPr>
          </w:p>
        </w:tc>
        <w:tc>
          <w:tcPr>
            <w:tcW w:w="1276" w:type="dxa"/>
            <w:vAlign w:val="center"/>
          </w:tcPr>
          <w:p w14:paraId="2CACC98F">
            <w:pPr>
              <w:jc w:val="right"/>
              <w:rPr>
                <w:sz w:val="15"/>
                <w:szCs w:val="15"/>
              </w:rPr>
            </w:pPr>
          </w:p>
        </w:tc>
        <w:tc>
          <w:tcPr>
            <w:tcW w:w="1417" w:type="dxa"/>
            <w:vAlign w:val="center"/>
          </w:tcPr>
          <w:p w14:paraId="5E6F0D76">
            <w:pPr>
              <w:jc w:val="right"/>
              <w:rPr>
                <w:sz w:val="15"/>
                <w:szCs w:val="15"/>
              </w:rPr>
            </w:pPr>
          </w:p>
        </w:tc>
      </w:tr>
      <w:tr w14:paraId="2C4DD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a5c6789730e84b389ee95f39091419a8"/>
            <w:id w:val="725959742"/>
          </w:sdtPr>
          <w:sdtEndPr>
            <w:rPr>
              <w:sz w:val="15"/>
              <w:szCs w:val="15"/>
            </w:rPr>
          </w:sdtEndPr>
          <w:sdtContent>
            <w:tc>
              <w:tcPr>
                <w:tcW w:w="2394" w:type="dxa"/>
                <w:vAlign w:val="center"/>
              </w:tcPr>
              <w:p w14:paraId="621C59FB">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w:t>
                </w:r>
                <w:r>
                  <w:rPr>
                    <w:color w:val="000000" w:themeColor="text1"/>
                    <w:sz w:val="15"/>
                    <w:szCs w:val="15"/>
                    <w14:textFill>
                      <w14:solidFill>
                        <w14:schemeClr w14:val="tx1"/>
                      </w14:solidFill>
                    </w14:textFill>
                  </w:rPr>
                  <w:t>．其他</w:t>
                </w:r>
              </w:p>
            </w:tc>
          </w:sdtContent>
        </w:sdt>
        <w:tc>
          <w:tcPr>
            <w:tcW w:w="1284" w:type="dxa"/>
            <w:tcBorders>
              <w:right w:val="single" w:color="auto" w:sz="4" w:space="0"/>
            </w:tcBorders>
            <w:vAlign w:val="center"/>
          </w:tcPr>
          <w:p w14:paraId="65ACC3B5">
            <w:pPr>
              <w:jc w:val="right"/>
              <w:rPr>
                <w:sz w:val="15"/>
                <w:szCs w:val="15"/>
              </w:rPr>
            </w:pPr>
          </w:p>
        </w:tc>
        <w:tc>
          <w:tcPr>
            <w:tcW w:w="489" w:type="dxa"/>
            <w:tcBorders>
              <w:left w:val="single" w:color="auto" w:sz="4" w:space="0"/>
              <w:right w:val="single" w:color="auto" w:sz="4" w:space="0"/>
            </w:tcBorders>
            <w:vAlign w:val="center"/>
          </w:tcPr>
          <w:p w14:paraId="4A3AC5E4">
            <w:pPr>
              <w:jc w:val="right"/>
              <w:rPr>
                <w:sz w:val="15"/>
                <w:szCs w:val="15"/>
              </w:rPr>
            </w:pPr>
          </w:p>
        </w:tc>
        <w:tc>
          <w:tcPr>
            <w:tcW w:w="426" w:type="dxa"/>
            <w:tcBorders>
              <w:left w:val="single" w:color="auto" w:sz="4" w:space="0"/>
              <w:right w:val="single" w:color="auto" w:sz="4" w:space="0"/>
            </w:tcBorders>
            <w:vAlign w:val="center"/>
          </w:tcPr>
          <w:p w14:paraId="7C0CDFF8">
            <w:pPr>
              <w:jc w:val="right"/>
              <w:rPr>
                <w:sz w:val="15"/>
                <w:szCs w:val="15"/>
              </w:rPr>
            </w:pPr>
          </w:p>
        </w:tc>
        <w:tc>
          <w:tcPr>
            <w:tcW w:w="425" w:type="dxa"/>
            <w:tcBorders>
              <w:left w:val="single" w:color="auto" w:sz="4" w:space="0"/>
            </w:tcBorders>
            <w:vAlign w:val="center"/>
          </w:tcPr>
          <w:p w14:paraId="09BA10C9">
            <w:pPr>
              <w:jc w:val="right"/>
              <w:rPr>
                <w:sz w:val="15"/>
                <w:szCs w:val="15"/>
              </w:rPr>
            </w:pPr>
          </w:p>
        </w:tc>
        <w:tc>
          <w:tcPr>
            <w:tcW w:w="1353" w:type="dxa"/>
            <w:vAlign w:val="center"/>
          </w:tcPr>
          <w:p w14:paraId="719266AE">
            <w:pPr>
              <w:jc w:val="right"/>
              <w:rPr>
                <w:sz w:val="15"/>
                <w:szCs w:val="15"/>
              </w:rPr>
            </w:pPr>
          </w:p>
        </w:tc>
        <w:tc>
          <w:tcPr>
            <w:tcW w:w="1276" w:type="dxa"/>
            <w:vAlign w:val="center"/>
          </w:tcPr>
          <w:p w14:paraId="6606FFDD">
            <w:pPr>
              <w:jc w:val="right"/>
              <w:rPr>
                <w:sz w:val="15"/>
                <w:szCs w:val="15"/>
              </w:rPr>
            </w:pPr>
          </w:p>
        </w:tc>
        <w:tc>
          <w:tcPr>
            <w:tcW w:w="1134" w:type="dxa"/>
            <w:vAlign w:val="center"/>
          </w:tcPr>
          <w:p w14:paraId="1DDBA8C6">
            <w:pPr>
              <w:jc w:val="right"/>
              <w:rPr>
                <w:sz w:val="15"/>
                <w:szCs w:val="15"/>
              </w:rPr>
            </w:pPr>
          </w:p>
        </w:tc>
        <w:tc>
          <w:tcPr>
            <w:tcW w:w="1036" w:type="dxa"/>
            <w:vAlign w:val="center"/>
          </w:tcPr>
          <w:p w14:paraId="76ED9A0F">
            <w:pPr>
              <w:jc w:val="right"/>
              <w:rPr>
                <w:sz w:val="15"/>
                <w:szCs w:val="15"/>
              </w:rPr>
            </w:pPr>
          </w:p>
        </w:tc>
        <w:tc>
          <w:tcPr>
            <w:tcW w:w="1232" w:type="dxa"/>
            <w:vAlign w:val="center"/>
          </w:tcPr>
          <w:p w14:paraId="37EDF579">
            <w:pPr>
              <w:jc w:val="right"/>
              <w:rPr>
                <w:sz w:val="15"/>
                <w:szCs w:val="15"/>
              </w:rPr>
            </w:pPr>
          </w:p>
        </w:tc>
        <w:tc>
          <w:tcPr>
            <w:tcW w:w="1276" w:type="dxa"/>
            <w:vAlign w:val="center"/>
          </w:tcPr>
          <w:p w14:paraId="54E1EAC4">
            <w:pPr>
              <w:jc w:val="right"/>
              <w:rPr>
                <w:sz w:val="15"/>
                <w:szCs w:val="15"/>
              </w:rPr>
            </w:pPr>
          </w:p>
        </w:tc>
        <w:tc>
          <w:tcPr>
            <w:tcW w:w="1417" w:type="dxa"/>
            <w:vAlign w:val="center"/>
          </w:tcPr>
          <w:p w14:paraId="6E842612">
            <w:pPr>
              <w:jc w:val="right"/>
              <w:rPr>
                <w:sz w:val="15"/>
                <w:szCs w:val="15"/>
              </w:rPr>
            </w:pPr>
          </w:p>
        </w:tc>
      </w:tr>
      <w:tr w14:paraId="5871A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9c529a92f12642ed93c3ac5d7c5ef52b"/>
            <w:id w:val="1607690036"/>
          </w:sdtPr>
          <w:sdtEndPr>
            <w:rPr>
              <w:sz w:val="15"/>
              <w:szCs w:val="15"/>
            </w:rPr>
          </w:sdtEndPr>
          <w:sdtContent>
            <w:tc>
              <w:tcPr>
                <w:tcW w:w="2394" w:type="dxa"/>
                <w:vAlign w:val="center"/>
              </w:tcPr>
              <w:p w14:paraId="57493477">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四</w:t>
                </w:r>
                <w:r>
                  <w:rPr>
                    <w:color w:val="000000" w:themeColor="text1"/>
                    <w:sz w:val="15"/>
                    <w:szCs w:val="15"/>
                    <w14:textFill>
                      <w14:solidFill>
                        <w14:schemeClr w14:val="tx1"/>
                      </w14:solidFill>
                    </w14:textFill>
                  </w:rPr>
                  <w:t>）所有者权益内部结转</w:t>
                </w:r>
              </w:p>
            </w:tc>
          </w:sdtContent>
        </w:sdt>
        <w:tc>
          <w:tcPr>
            <w:tcW w:w="1284" w:type="dxa"/>
            <w:tcBorders>
              <w:right w:val="single" w:color="auto" w:sz="4" w:space="0"/>
            </w:tcBorders>
            <w:vAlign w:val="center"/>
          </w:tcPr>
          <w:p w14:paraId="18FBAADA">
            <w:pPr>
              <w:jc w:val="right"/>
              <w:rPr>
                <w:sz w:val="15"/>
                <w:szCs w:val="15"/>
              </w:rPr>
            </w:pPr>
          </w:p>
        </w:tc>
        <w:tc>
          <w:tcPr>
            <w:tcW w:w="489" w:type="dxa"/>
            <w:tcBorders>
              <w:left w:val="single" w:color="auto" w:sz="4" w:space="0"/>
              <w:right w:val="single" w:color="auto" w:sz="4" w:space="0"/>
            </w:tcBorders>
            <w:vAlign w:val="center"/>
          </w:tcPr>
          <w:p w14:paraId="3BA95E4C">
            <w:pPr>
              <w:jc w:val="right"/>
              <w:rPr>
                <w:sz w:val="15"/>
                <w:szCs w:val="15"/>
              </w:rPr>
            </w:pPr>
          </w:p>
        </w:tc>
        <w:tc>
          <w:tcPr>
            <w:tcW w:w="426" w:type="dxa"/>
            <w:tcBorders>
              <w:left w:val="single" w:color="auto" w:sz="4" w:space="0"/>
              <w:right w:val="single" w:color="auto" w:sz="4" w:space="0"/>
            </w:tcBorders>
            <w:vAlign w:val="center"/>
          </w:tcPr>
          <w:p w14:paraId="2AA4640B">
            <w:pPr>
              <w:jc w:val="right"/>
              <w:rPr>
                <w:sz w:val="15"/>
                <w:szCs w:val="15"/>
              </w:rPr>
            </w:pPr>
          </w:p>
        </w:tc>
        <w:tc>
          <w:tcPr>
            <w:tcW w:w="425" w:type="dxa"/>
            <w:tcBorders>
              <w:left w:val="single" w:color="auto" w:sz="4" w:space="0"/>
            </w:tcBorders>
            <w:vAlign w:val="center"/>
          </w:tcPr>
          <w:p w14:paraId="69934026">
            <w:pPr>
              <w:jc w:val="right"/>
              <w:rPr>
                <w:sz w:val="15"/>
                <w:szCs w:val="15"/>
              </w:rPr>
            </w:pPr>
          </w:p>
        </w:tc>
        <w:tc>
          <w:tcPr>
            <w:tcW w:w="1353" w:type="dxa"/>
            <w:vAlign w:val="center"/>
          </w:tcPr>
          <w:p w14:paraId="2DB5173B">
            <w:pPr>
              <w:jc w:val="right"/>
              <w:rPr>
                <w:sz w:val="15"/>
                <w:szCs w:val="15"/>
              </w:rPr>
            </w:pPr>
          </w:p>
        </w:tc>
        <w:tc>
          <w:tcPr>
            <w:tcW w:w="1276" w:type="dxa"/>
            <w:vAlign w:val="center"/>
          </w:tcPr>
          <w:p w14:paraId="20788560">
            <w:pPr>
              <w:jc w:val="right"/>
              <w:rPr>
                <w:sz w:val="15"/>
                <w:szCs w:val="15"/>
              </w:rPr>
            </w:pPr>
          </w:p>
        </w:tc>
        <w:tc>
          <w:tcPr>
            <w:tcW w:w="1134" w:type="dxa"/>
            <w:vAlign w:val="center"/>
          </w:tcPr>
          <w:p w14:paraId="3888A7D7">
            <w:pPr>
              <w:jc w:val="right"/>
              <w:rPr>
                <w:sz w:val="15"/>
                <w:szCs w:val="15"/>
              </w:rPr>
            </w:pPr>
          </w:p>
        </w:tc>
        <w:tc>
          <w:tcPr>
            <w:tcW w:w="1036" w:type="dxa"/>
            <w:vAlign w:val="center"/>
          </w:tcPr>
          <w:p w14:paraId="5DBA07D1">
            <w:pPr>
              <w:jc w:val="right"/>
              <w:rPr>
                <w:sz w:val="15"/>
                <w:szCs w:val="15"/>
              </w:rPr>
            </w:pPr>
          </w:p>
        </w:tc>
        <w:tc>
          <w:tcPr>
            <w:tcW w:w="1232" w:type="dxa"/>
            <w:vAlign w:val="center"/>
          </w:tcPr>
          <w:p w14:paraId="796EFFE6">
            <w:pPr>
              <w:jc w:val="right"/>
              <w:rPr>
                <w:sz w:val="15"/>
                <w:szCs w:val="15"/>
              </w:rPr>
            </w:pPr>
          </w:p>
        </w:tc>
        <w:tc>
          <w:tcPr>
            <w:tcW w:w="1276" w:type="dxa"/>
            <w:vAlign w:val="center"/>
          </w:tcPr>
          <w:p w14:paraId="7DDBC43F">
            <w:pPr>
              <w:jc w:val="right"/>
              <w:rPr>
                <w:sz w:val="15"/>
                <w:szCs w:val="15"/>
              </w:rPr>
            </w:pPr>
          </w:p>
        </w:tc>
        <w:tc>
          <w:tcPr>
            <w:tcW w:w="1417" w:type="dxa"/>
            <w:vAlign w:val="center"/>
          </w:tcPr>
          <w:p w14:paraId="33308937">
            <w:pPr>
              <w:jc w:val="right"/>
              <w:rPr>
                <w:sz w:val="15"/>
                <w:szCs w:val="15"/>
              </w:rPr>
            </w:pPr>
          </w:p>
        </w:tc>
      </w:tr>
      <w:tr w14:paraId="522DF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084a56709ef243f89e8f0aead886c10d"/>
            <w:id w:val="2132587444"/>
          </w:sdtPr>
          <w:sdtEndPr>
            <w:rPr>
              <w:sz w:val="15"/>
              <w:szCs w:val="15"/>
            </w:rPr>
          </w:sdtEndPr>
          <w:sdtContent>
            <w:tc>
              <w:tcPr>
                <w:tcW w:w="2394" w:type="dxa"/>
                <w:vAlign w:val="center"/>
              </w:tcPr>
              <w:p w14:paraId="7360F97E">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1．资本公积转增资本（或股本）</w:t>
                </w:r>
              </w:p>
            </w:tc>
          </w:sdtContent>
        </w:sdt>
        <w:tc>
          <w:tcPr>
            <w:tcW w:w="1284" w:type="dxa"/>
            <w:tcBorders>
              <w:right w:val="single" w:color="auto" w:sz="4" w:space="0"/>
            </w:tcBorders>
            <w:vAlign w:val="center"/>
          </w:tcPr>
          <w:p w14:paraId="6E0B1653">
            <w:pPr>
              <w:jc w:val="right"/>
              <w:rPr>
                <w:sz w:val="15"/>
                <w:szCs w:val="15"/>
              </w:rPr>
            </w:pPr>
          </w:p>
        </w:tc>
        <w:tc>
          <w:tcPr>
            <w:tcW w:w="489" w:type="dxa"/>
            <w:tcBorders>
              <w:left w:val="single" w:color="auto" w:sz="4" w:space="0"/>
              <w:right w:val="single" w:color="auto" w:sz="4" w:space="0"/>
            </w:tcBorders>
            <w:vAlign w:val="center"/>
          </w:tcPr>
          <w:p w14:paraId="004CFE8F">
            <w:pPr>
              <w:jc w:val="right"/>
              <w:rPr>
                <w:sz w:val="15"/>
                <w:szCs w:val="15"/>
              </w:rPr>
            </w:pPr>
          </w:p>
        </w:tc>
        <w:tc>
          <w:tcPr>
            <w:tcW w:w="426" w:type="dxa"/>
            <w:tcBorders>
              <w:left w:val="single" w:color="auto" w:sz="4" w:space="0"/>
              <w:right w:val="single" w:color="auto" w:sz="4" w:space="0"/>
            </w:tcBorders>
            <w:vAlign w:val="center"/>
          </w:tcPr>
          <w:p w14:paraId="18283772">
            <w:pPr>
              <w:jc w:val="right"/>
              <w:rPr>
                <w:sz w:val="15"/>
                <w:szCs w:val="15"/>
              </w:rPr>
            </w:pPr>
          </w:p>
        </w:tc>
        <w:tc>
          <w:tcPr>
            <w:tcW w:w="425" w:type="dxa"/>
            <w:tcBorders>
              <w:left w:val="single" w:color="auto" w:sz="4" w:space="0"/>
            </w:tcBorders>
            <w:vAlign w:val="center"/>
          </w:tcPr>
          <w:p w14:paraId="5C37DA9A">
            <w:pPr>
              <w:jc w:val="right"/>
              <w:rPr>
                <w:sz w:val="15"/>
                <w:szCs w:val="15"/>
              </w:rPr>
            </w:pPr>
          </w:p>
        </w:tc>
        <w:tc>
          <w:tcPr>
            <w:tcW w:w="1353" w:type="dxa"/>
            <w:vAlign w:val="center"/>
          </w:tcPr>
          <w:p w14:paraId="13123CE2">
            <w:pPr>
              <w:jc w:val="right"/>
              <w:rPr>
                <w:sz w:val="15"/>
                <w:szCs w:val="15"/>
              </w:rPr>
            </w:pPr>
          </w:p>
        </w:tc>
        <w:tc>
          <w:tcPr>
            <w:tcW w:w="1276" w:type="dxa"/>
            <w:vAlign w:val="center"/>
          </w:tcPr>
          <w:p w14:paraId="36C43681">
            <w:pPr>
              <w:jc w:val="right"/>
              <w:rPr>
                <w:sz w:val="15"/>
                <w:szCs w:val="15"/>
              </w:rPr>
            </w:pPr>
          </w:p>
        </w:tc>
        <w:tc>
          <w:tcPr>
            <w:tcW w:w="1134" w:type="dxa"/>
            <w:vAlign w:val="center"/>
          </w:tcPr>
          <w:p w14:paraId="51CD7132">
            <w:pPr>
              <w:jc w:val="right"/>
              <w:rPr>
                <w:sz w:val="15"/>
                <w:szCs w:val="15"/>
              </w:rPr>
            </w:pPr>
          </w:p>
        </w:tc>
        <w:tc>
          <w:tcPr>
            <w:tcW w:w="1036" w:type="dxa"/>
            <w:vAlign w:val="center"/>
          </w:tcPr>
          <w:p w14:paraId="0350528C">
            <w:pPr>
              <w:jc w:val="right"/>
              <w:rPr>
                <w:sz w:val="15"/>
                <w:szCs w:val="15"/>
              </w:rPr>
            </w:pPr>
          </w:p>
        </w:tc>
        <w:tc>
          <w:tcPr>
            <w:tcW w:w="1232" w:type="dxa"/>
            <w:vAlign w:val="center"/>
          </w:tcPr>
          <w:p w14:paraId="47ABC02D">
            <w:pPr>
              <w:jc w:val="right"/>
              <w:rPr>
                <w:sz w:val="15"/>
                <w:szCs w:val="15"/>
              </w:rPr>
            </w:pPr>
          </w:p>
        </w:tc>
        <w:tc>
          <w:tcPr>
            <w:tcW w:w="1276" w:type="dxa"/>
            <w:vAlign w:val="center"/>
          </w:tcPr>
          <w:p w14:paraId="0F230EA9">
            <w:pPr>
              <w:jc w:val="right"/>
              <w:rPr>
                <w:sz w:val="15"/>
                <w:szCs w:val="15"/>
              </w:rPr>
            </w:pPr>
          </w:p>
        </w:tc>
        <w:tc>
          <w:tcPr>
            <w:tcW w:w="1417" w:type="dxa"/>
            <w:vAlign w:val="center"/>
          </w:tcPr>
          <w:p w14:paraId="59226E67">
            <w:pPr>
              <w:jc w:val="right"/>
              <w:rPr>
                <w:sz w:val="15"/>
                <w:szCs w:val="15"/>
              </w:rPr>
            </w:pPr>
          </w:p>
        </w:tc>
      </w:tr>
      <w:tr w14:paraId="1D182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22df50d156334ad9a740cc6d62e17f0b"/>
            <w:id w:val="1966845746"/>
          </w:sdtPr>
          <w:sdtEndPr>
            <w:rPr>
              <w:sz w:val="15"/>
              <w:szCs w:val="15"/>
            </w:rPr>
          </w:sdtEndPr>
          <w:sdtContent>
            <w:tc>
              <w:tcPr>
                <w:tcW w:w="2394" w:type="dxa"/>
                <w:vAlign w:val="center"/>
              </w:tcPr>
              <w:p w14:paraId="5F0E7952">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2．盈余公积转增资本（或股本）</w:t>
                </w:r>
              </w:p>
            </w:tc>
          </w:sdtContent>
        </w:sdt>
        <w:tc>
          <w:tcPr>
            <w:tcW w:w="1284" w:type="dxa"/>
            <w:tcBorders>
              <w:right w:val="single" w:color="auto" w:sz="4" w:space="0"/>
            </w:tcBorders>
            <w:vAlign w:val="center"/>
          </w:tcPr>
          <w:p w14:paraId="065042B1">
            <w:pPr>
              <w:jc w:val="right"/>
              <w:rPr>
                <w:sz w:val="15"/>
                <w:szCs w:val="15"/>
              </w:rPr>
            </w:pPr>
          </w:p>
        </w:tc>
        <w:tc>
          <w:tcPr>
            <w:tcW w:w="489" w:type="dxa"/>
            <w:tcBorders>
              <w:left w:val="single" w:color="auto" w:sz="4" w:space="0"/>
              <w:right w:val="single" w:color="auto" w:sz="4" w:space="0"/>
            </w:tcBorders>
            <w:vAlign w:val="center"/>
          </w:tcPr>
          <w:p w14:paraId="5A9F7835">
            <w:pPr>
              <w:jc w:val="right"/>
              <w:rPr>
                <w:sz w:val="15"/>
                <w:szCs w:val="15"/>
              </w:rPr>
            </w:pPr>
          </w:p>
        </w:tc>
        <w:tc>
          <w:tcPr>
            <w:tcW w:w="426" w:type="dxa"/>
            <w:tcBorders>
              <w:left w:val="single" w:color="auto" w:sz="4" w:space="0"/>
              <w:right w:val="single" w:color="auto" w:sz="4" w:space="0"/>
            </w:tcBorders>
            <w:vAlign w:val="center"/>
          </w:tcPr>
          <w:p w14:paraId="2CF35818">
            <w:pPr>
              <w:jc w:val="right"/>
              <w:rPr>
                <w:sz w:val="15"/>
                <w:szCs w:val="15"/>
              </w:rPr>
            </w:pPr>
          </w:p>
        </w:tc>
        <w:tc>
          <w:tcPr>
            <w:tcW w:w="425" w:type="dxa"/>
            <w:tcBorders>
              <w:left w:val="single" w:color="auto" w:sz="4" w:space="0"/>
            </w:tcBorders>
            <w:vAlign w:val="center"/>
          </w:tcPr>
          <w:p w14:paraId="3C1650A0">
            <w:pPr>
              <w:jc w:val="right"/>
              <w:rPr>
                <w:sz w:val="15"/>
                <w:szCs w:val="15"/>
              </w:rPr>
            </w:pPr>
          </w:p>
        </w:tc>
        <w:tc>
          <w:tcPr>
            <w:tcW w:w="1353" w:type="dxa"/>
            <w:vAlign w:val="center"/>
          </w:tcPr>
          <w:p w14:paraId="327C4541">
            <w:pPr>
              <w:jc w:val="right"/>
              <w:rPr>
                <w:sz w:val="15"/>
                <w:szCs w:val="15"/>
              </w:rPr>
            </w:pPr>
          </w:p>
        </w:tc>
        <w:tc>
          <w:tcPr>
            <w:tcW w:w="1276" w:type="dxa"/>
            <w:vAlign w:val="center"/>
          </w:tcPr>
          <w:p w14:paraId="55BD71CB">
            <w:pPr>
              <w:jc w:val="right"/>
              <w:rPr>
                <w:sz w:val="15"/>
                <w:szCs w:val="15"/>
              </w:rPr>
            </w:pPr>
          </w:p>
        </w:tc>
        <w:tc>
          <w:tcPr>
            <w:tcW w:w="1134" w:type="dxa"/>
            <w:vAlign w:val="center"/>
          </w:tcPr>
          <w:p w14:paraId="62A4FD48">
            <w:pPr>
              <w:jc w:val="right"/>
              <w:rPr>
                <w:sz w:val="15"/>
                <w:szCs w:val="15"/>
              </w:rPr>
            </w:pPr>
          </w:p>
        </w:tc>
        <w:tc>
          <w:tcPr>
            <w:tcW w:w="1036" w:type="dxa"/>
            <w:vAlign w:val="center"/>
          </w:tcPr>
          <w:p w14:paraId="4CC482FE">
            <w:pPr>
              <w:jc w:val="right"/>
              <w:rPr>
                <w:sz w:val="15"/>
                <w:szCs w:val="15"/>
              </w:rPr>
            </w:pPr>
          </w:p>
        </w:tc>
        <w:tc>
          <w:tcPr>
            <w:tcW w:w="1232" w:type="dxa"/>
            <w:vAlign w:val="center"/>
          </w:tcPr>
          <w:p w14:paraId="5B06B1B3">
            <w:pPr>
              <w:jc w:val="right"/>
              <w:rPr>
                <w:sz w:val="15"/>
                <w:szCs w:val="15"/>
              </w:rPr>
            </w:pPr>
          </w:p>
        </w:tc>
        <w:tc>
          <w:tcPr>
            <w:tcW w:w="1276" w:type="dxa"/>
            <w:vAlign w:val="center"/>
          </w:tcPr>
          <w:p w14:paraId="480F686D">
            <w:pPr>
              <w:jc w:val="right"/>
              <w:rPr>
                <w:sz w:val="15"/>
                <w:szCs w:val="15"/>
              </w:rPr>
            </w:pPr>
          </w:p>
        </w:tc>
        <w:tc>
          <w:tcPr>
            <w:tcW w:w="1417" w:type="dxa"/>
            <w:vAlign w:val="center"/>
          </w:tcPr>
          <w:p w14:paraId="3E84E5D4">
            <w:pPr>
              <w:jc w:val="right"/>
              <w:rPr>
                <w:sz w:val="15"/>
                <w:szCs w:val="15"/>
              </w:rPr>
            </w:pPr>
          </w:p>
        </w:tc>
      </w:tr>
      <w:tr w14:paraId="23471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4846580862224d1a9e17a9af1fe14d07"/>
            <w:id w:val="2029365576"/>
          </w:sdtPr>
          <w:sdtEndPr>
            <w:rPr>
              <w:sz w:val="15"/>
              <w:szCs w:val="15"/>
            </w:rPr>
          </w:sdtEndPr>
          <w:sdtContent>
            <w:tc>
              <w:tcPr>
                <w:tcW w:w="2394" w:type="dxa"/>
                <w:vAlign w:val="center"/>
              </w:tcPr>
              <w:p w14:paraId="677DABCE">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3．盈余公积弥补亏损</w:t>
                </w:r>
              </w:p>
            </w:tc>
          </w:sdtContent>
        </w:sdt>
        <w:tc>
          <w:tcPr>
            <w:tcW w:w="1284" w:type="dxa"/>
            <w:tcBorders>
              <w:right w:val="single" w:color="auto" w:sz="4" w:space="0"/>
            </w:tcBorders>
            <w:vAlign w:val="center"/>
          </w:tcPr>
          <w:p w14:paraId="2C46C748">
            <w:pPr>
              <w:jc w:val="right"/>
              <w:rPr>
                <w:sz w:val="15"/>
                <w:szCs w:val="15"/>
              </w:rPr>
            </w:pPr>
          </w:p>
        </w:tc>
        <w:tc>
          <w:tcPr>
            <w:tcW w:w="489" w:type="dxa"/>
            <w:tcBorders>
              <w:left w:val="single" w:color="auto" w:sz="4" w:space="0"/>
              <w:right w:val="single" w:color="auto" w:sz="4" w:space="0"/>
            </w:tcBorders>
            <w:vAlign w:val="center"/>
          </w:tcPr>
          <w:p w14:paraId="1A4AE583">
            <w:pPr>
              <w:jc w:val="right"/>
              <w:rPr>
                <w:sz w:val="15"/>
                <w:szCs w:val="15"/>
              </w:rPr>
            </w:pPr>
          </w:p>
        </w:tc>
        <w:tc>
          <w:tcPr>
            <w:tcW w:w="426" w:type="dxa"/>
            <w:tcBorders>
              <w:left w:val="single" w:color="auto" w:sz="4" w:space="0"/>
              <w:right w:val="single" w:color="auto" w:sz="4" w:space="0"/>
            </w:tcBorders>
            <w:vAlign w:val="center"/>
          </w:tcPr>
          <w:p w14:paraId="4396EC2A">
            <w:pPr>
              <w:jc w:val="right"/>
              <w:rPr>
                <w:sz w:val="15"/>
                <w:szCs w:val="15"/>
              </w:rPr>
            </w:pPr>
          </w:p>
        </w:tc>
        <w:tc>
          <w:tcPr>
            <w:tcW w:w="425" w:type="dxa"/>
            <w:tcBorders>
              <w:left w:val="single" w:color="auto" w:sz="4" w:space="0"/>
            </w:tcBorders>
            <w:vAlign w:val="center"/>
          </w:tcPr>
          <w:p w14:paraId="5DBA8204">
            <w:pPr>
              <w:jc w:val="right"/>
              <w:rPr>
                <w:sz w:val="15"/>
                <w:szCs w:val="15"/>
              </w:rPr>
            </w:pPr>
          </w:p>
        </w:tc>
        <w:tc>
          <w:tcPr>
            <w:tcW w:w="1353" w:type="dxa"/>
            <w:vAlign w:val="center"/>
          </w:tcPr>
          <w:p w14:paraId="00E2E832">
            <w:pPr>
              <w:jc w:val="right"/>
              <w:rPr>
                <w:sz w:val="15"/>
                <w:szCs w:val="15"/>
              </w:rPr>
            </w:pPr>
          </w:p>
        </w:tc>
        <w:tc>
          <w:tcPr>
            <w:tcW w:w="1276" w:type="dxa"/>
            <w:vAlign w:val="center"/>
          </w:tcPr>
          <w:p w14:paraId="4BFD1A81">
            <w:pPr>
              <w:jc w:val="right"/>
              <w:rPr>
                <w:sz w:val="15"/>
                <w:szCs w:val="15"/>
              </w:rPr>
            </w:pPr>
          </w:p>
        </w:tc>
        <w:tc>
          <w:tcPr>
            <w:tcW w:w="1134" w:type="dxa"/>
            <w:vAlign w:val="center"/>
          </w:tcPr>
          <w:p w14:paraId="7CC93480">
            <w:pPr>
              <w:jc w:val="right"/>
              <w:rPr>
                <w:sz w:val="15"/>
                <w:szCs w:val="15"/>
              </w:rPr>
            </w:pPr>
          </w:p>
        </w:tc>
        <w:tc>
          <w:tcPr>
            <w:tcW w:w="1036" w:type="dxa"/>
            <w:vAlign w:val="center"/>
          </w:tcPr>
          <w:p w14:paraId="5B1E7AAB">
            <w:pPr>
              <w:jc w:val="right"/>
              <w:rPr>
                <w:sz w:val="15"/>
                <w:szCs w:val="15"/>
              </w:rPr>
            </w:pPr>
          </w:p>
        </w:tc>
        <w:tc>
          <w:tcPr>
            <w:tcW w:w="1232" w:type="dxa"/>
            <w:vAlign w:val="center"/>
          </w:tcPr>
          <w:p w14:paraId="36CC7AAD">
            <w:pPr>
              <w:jc w:val="right"/>
              <w:rPr>
                <w:sz w:val="15"/>
                <w:szCs w:val="15"/>
              </w:rPr>
            </w:pPr>
          </w:p>
        </w:tc>
        <w:tc>
          <w:tcPr>
            <w:tcW w:w="1276" w:type="dxa"/>
            <w:vAlign w:val="center"/>
          </w:tcPr>
          <w:p w14:paraId="532ED69D">
            <w:pPr>
              <w:jc w:val="right"/>
              <w:rPr>
                <w:sz w:val="15"/>
                <w:szCs w:val="15"/>
              </w:rPr>
            </w:pPr>
          </w:p>
        </w:tc>
        <w:tc>
          <w:tcPr>
            <w:tcW w:w="1417" w:type="dxa"/>
            <w:vAlign w:val="center"/>
          </w:tcPr>
          <w:p w14:paraId="26CD44EA">
            <w:pPr>
              <w:jc w:val="right"/>
              <w:rPr>
                <w:sz w:val="15"/>
                <w:szCs w:val="15"/>
              </w:rPr>
            </w:pPr>
          </w:p>
        </w:tc>
      </w:tr>
      <w:tr w14:paraId="40B6D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tc>
          <w:tcPr>
            <w:tcW w:w="2394" w:type="dxa"/>
            <w:vAlign w:val="center"/>
          </w:tcPr>
          <w:sdt>
            <w:sdtPr>
              <w:rPr>
                <w:sz w:val="15"/>
                <w:szCs w:val="15"/>
              </w:rPr>
              <w:tag w:val="_PLD_a2566358e2dc4d0b9e534ee13a2b1a26"/>
              <w:id w:val="-1655452563"/>
            </w:sdtPr>
            <w:sdtEndPr>
              <w:rPr>
                <w:sz w:val="15"/>
                <w:szCs w:val="15"/>
              </w:rPr>
            </w:sdtEndPr>
            <w:sdtContent>
              <w:p w14:paraId="247C04A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4．设定受益计划变动额结转留存收益</w:t>
                </w:r>
              </w:p>
            </w:sdtContent>
          </w:sdt>
        </w:tc>
        <w:tc>
          <w:tcPr>
            <w:tcW w:w="1284" w:type="dxa"/>
            <w:tcBorders>
              <w:right w:val="single" w:color="auto" w:sz="4" w:space="0"/>
            </w:tcBorders>
            <w:vAlign w:val="center"/>
          </w:tcPr>
          <w:p w14:paraId="013695E3">
            <w:pPr>
              <w:jc w:val="right"/>
              <w:rPr>
                <w:sz w:val="15"/>
                <w:szCs w:val="15"/>
              </w:rPr>
            </w:pPr>
          </w:p>
        </w:tc>
        <w:tc>
          <w:tcPr>
            <w:tcW w:w="489" w:type="dxa"/>
            <w:tcBorders>
              <w:left w:val="single" w:color="auto" w:sz="4" w:space="0"/>
              <w:right w:val="single" w:color="auto" w:sz="4" w:space="0"/>
            </w:tcBorders>
            <w:vAlign w:val="center"/>
          </w:tcPr>
          <w:p w14:paraId="2BA68B40">
            <w:pPr>
              <w:jc w:val="right"/>
              <w:rPr>
                <w:sz w:val="15"/>
                <w:szCs w:val="15"/>
              </w:rPr>
            </w:pPr>
          </w:p>
        </w:tc>
        <w:tc>
          <w:tcPr>
            <w:tcW w:w="426" w:type="dxa"/>
            <w:tcBorders>
              <w:left w:val="single" w:color="auto" w:sz="4" w:space="0"/>
              <w:right w:val="single" w:color="auto" w:sz="4" w:space="0"/>
            </w:tcBorders>
            <w:vAlign w:val="center"/>
          </w:tcPr>
          <w:p w14:paraId="55803AF8">
            <w:pPr>
              <w:jc w:val="right"/>
              <w:rPr>
                <w:sz w:val="15"/>
                <w:szCs w:val="15"/>
              </w:rPr>
            </w:pPr>
          </w:p>
        </w:tc>
        <w:tc>
          <w:tcPr>
            <w:tcW w:w="425" w:type="dxa"/>
            <w:tcBorders>
              <w:left w:val="single" w:color="auto" w:sz="4" w:space="0"/>
            </w:tcBorders>
            <w:vAlign w:val="center"/>
          </w:tcPr>
          <w:p w14:paraId="63915F65">
            <w:pPr>
              <w:jc w:val="right"/>
              <w:rPr>
                <w:sz w:val="15"/>
                <w:szCs w:val="15"/>
              </w:rPr>
            </w:pPr>
          </w:p>
        </w:tc>
        <w:tc>
          <w:tcPr>
            <w:tcW w:w="1353" w:type="dxa"/>
            <w:vAlign w:val="center"/>
          </w:tcPr>
          <w:p w14:paraId="2EF452EE">
            <w:pPr>
              <w:jc w:val="right"/>
              <w:rPr>
                <w:sz w:val="15"/>
                <w:szCs w:val="15"/>
              </w:rPr>
            </w:pPr>
          </w:p>
        </w:tc>
        <w:tc>
          <w:tcPr>
            <w:tcW w:w="1276" w:type="dxa"/>
            <w:vAlign w:val="center"/>
          </w:tcPr>
          <w:p w14:paraId="0E482A27">
            <w:pPr>
              <w:jc w:val="right"/>
              <w:rPr>
                <w:sz w:val="15"/>
                <w:szCs w:val="15"/>
              </w:rPr>
            </w:pPr>
          </w:p>
        </w:tc>
        <w:tc>
          <w:tcPr>
            <w:tcW w:w="1134" w:type="dxa"/>
            <w:vAlign w:val="center"/>
          </w:tcPr>
          <w:p w14:paraId="7E0F765E">
            <w:pPr>
              <w:jc w:val="right"/>
              <w:rPr>
                <w:sz w:val="15"/>
                <w:szCs w:val="15"/>
              </w:rPr>
            </w:pPr>
          </w:p>
        </w:tc>
        <w:tc>
          <w:tcPr>
            <w:tcW w:w="1036" w:type="dxa"/>
            <w:vAlign w:val="center"/>
          </w:tcPr>
          <w:p w14:paraId="1EF5A935">
            <w:pPr>
              <w:jc w:val="right"/>
              <w:rPr>
                <w:sz w:val="15"/>
                <w:szCs w:val="15"/>
              </w:rPr>
            </w:pPr>
          </w:p>
        </w:tc>
        <w:tc>
          <w:tcPr>
            <w:tcW w:w="1232" w:type="dxa"/>
            <w:vAlign w:val="center"/>
          </w:tcPr>
          <w:p w14:paraId="3623D78B">
            <w:pPr>
              <w:jc w:val="right"/>
              <w:rPr>
                <w:sz w:val="15"/>
                <w:szCs w:val="15"/>
              </w:rPr>
            </w:pPr>
          </w:p>
        </w:tc>
        <w:tc>
          <w:tcPr>
            <w:tcW w:w="1276" w:type="dxa"/>
            <w:vAlign w:val="center"/>
          </w:tcPr>
          <w:p w14:paraId="6DF093DB">
            <w:pPr>
              <w:jc w:val="right"/>
              <w:rPr>
                <w:sz w:val="15"/>
                <w:szCs w:val="15"/>
              </w:rPr>
            </w:pPr>
          </w:p>
        </w:tc>
        <w:tc>
          <w:tcPr>
            <w:tcW w:w="1417" w:type="dxa"/>
            <w:vAlign w:val="center"/>
          </w:tcPr>
          <w:p w14:paraId="75EE1BE1">
            <w:pPr>
              <w:jc w:val="right"/>
              <w:rPr>
                <w:sz w:val="15"/>
                <w:szCs w:val="15"/>
              </w:rPr>
            </w:pPr>
          </w:p>
        </w:tc>
      </w:tr>
      <w:tr w14:paraId="4F6A2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tc>
          <w:tcPr>
            <w:tcW w:w="2394" w:type="dxa"/>
            <w:vAlign w:val="center"/>
          </w:tcPr>
          <w:sdt>
            <w:sdtPr>
              <w:rPr>
                <w:sz w:val="15"/>
                <w:szCs w:val="15"/>
              </w:rPr>
              <w:tag w:val="_PLD_659907ea90ce4ac18323403c6e02efd1"/>
              <w:id w:val="-546759917"/>
            </w:sdtPr>
            <w:sdtEndPr>
              <w:rPr>
                <w:sz w:val="15"/>
                <w:szCs w:val="15"/>
              </w:rPr>
            </w:sdtEndPr>
            <w:sdtContent>
              <w:p w14:paraId="6128BDEA">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5．其他综合收益结转留存收益</w:t>
                </w:r>
              </w:p>
            </w:sdtContent>
          </w:sdt>
        </w:tc>
        <w:tc>
          <w:tcPr>
            <w:tcW w:w="1284" w:type="dxa"/>
            <w:tcBorders>
              <w:right w:val="single" w:color="auto" w:sz="4" w:space="0"/>
            </w:tcBorders>
            <w:vAlign w:val="center"/>
          </w:tcPr>
          <w:p w14:paraId="15BA1BE0">
            <w:pPr>
              <w:jc w:val="right"/>
              <w:rPr>
                <w:sz w:val="15"/>
                <w:szCs w:val="15"/>
              </w:rPr>
            </w:pPr>
          </w:p>
        </w:tc>
        <w:tc>
          <w:tcPr>
            <w:tcW w:w="489" w:type="dxa"/>
            <w:tcBorders>
              <w:left w:val="single" w:color="auto" w:sz="4" w:space="0"/>
              <w:right w:val="single" w:color="auto" w:sz="4" w:space="0"/>
            </w:tcBorders>
            <w:vAlign w:val="center"/>
          </w:tcPr>
          <w:p w14:paraId="6EFC8BAF">
            <w:pPr>
              <w:jc w:val="right"/>
              <w:rPr>
                <w:sz w:val="15"/>
                <w:szCs w:val="15"/>
              </w:rPr>
            </w:pPr>
          </w:p>
        </w:tc>
        <w:tc>
          <w:tcPr>
            <w:tcW w:w="426" w:type="dxa"/>
            <w:tcBorders>
              <w:left w:val="single" w:color="auto" w:sz="4" w:space="0"/>
              <w:right w:val="single" w:color="auto" w:sz="4" w:space="0"/>
            </w:tcBorders>
            <w:vAlign w:val="center"/>
          </w:tcPr>
          <w:p w14:paraId="264125C8">
            <w:pPr>
              <w:jc w:val="right"/>
              <w:rPr>
                <w:sz w:val="15"/>
                <w:szCs w:val="15"/>
              </w:rPr>
            </w:pPr>
          </w:p>
        </w:tc>
        <w:tc>
          <w:tcPr>
            <w:tcW w:w="425" w:type="dxa"/>
            <w:tcBorders>
              <w:left w:val="single" w:color="auto" w:sz="4" w:space="0"/>
            </w:tcBorders>
            <w:vAlign w:val="center"/>
          </w:tcPr>
          <w:p w14:paraId="41D5DA27">
            <w:pPr>
              <w:jc w:val="right"/>
              <w:rPr>
                <w:sz w:val="15"/>
                <w:szCs w:val="15"/>
              </w:rPr>
            </w:pPr>
          </w:p>
        </w:tc>
        <w:tc>
          <w:tcPr>
            <w:tcW w:w="1353" w:type="dxa"/>
            <w:vAlign w:val="center"/>
          </w:tcPr>
          <w:p w14:paraId="4EB721DE">
            <w:pPr>
              <w:jc w:val="right"/>
              <w:rPr>
                <w:sz w:val="15"/>
                <w:szCs w:val="15"/>
              </w:rPr>
            </w:pPr>
          </w:p>
        </w:tc>
        <w:tc>
          <w:tcPr>
            <w:tcW w:w="1276" w:type="dxa"/>
            <w:vAlign w:val="center"/>
          </w:tcPr>
          <w:p w14:paraId="746870D2">
            <w:pPr>
              <w:jc w:val="right"/>
              <w:rPr>
                <w:sz w:val="15"/>
                <w:szCs w:val="15"/>
              </w:rPr>
            </w:pPr>
          </w:p>
        </w:tc>
        <w:tc>
          <w:tcPr>
            <w:tcW w:w="1134" w:type="dxa"/>
            <w:vAlign w:val="center"/>
          </w:tcPr>
          <w:p w14:paraId="38189B09">
            <w:pPr>
              <w:jc w:val="right"/>
              <w:rPr>
                <w:sz w:val="15"/>
                <w:szCs w:val="15"/>
              </w:rPr>
            </w:pPr>
          </w:p>
        </w:tc>
        <w:tc>
          <w:tcPr>
            <w:tcW w:w="1036" w:type="dxa"/>
            <w:vAlign w:val="center"/>
          </w:tcPr>
          <w:p w14:paraId="6AC10A01">
            <w:pPr>
              <w:jc w:val="right"/>
              <w:rPr>
                <w:sz w:val="15"/>
                <w:szCs w:val="15"/>
              </w:rPr>
            </w:pPr>
          </w:p>
        </w:tc>
        <w:tc>
          <w:tcPr>
            <w:tcW w:w="1232" w:type="dxa"/>
            <w:vAlign w:val="center"/>
          </w:tcPr>
          <w:p w14:paraId="425C9836">
            <w:pPr>
              <w:jc w:val="right"/>
              <w:rPr>
                <w:sz w:val="15"/>
                <w:szCs w:val="15"/>
              </w:rPr>
            </w:pPr>
          </w:p>
        </w:tc>
        <w:tc>
          <w:tcPr>
            <w:tcW w:w="1276" w:type="dxa"/>
            <w:vAlign w:val="center"/>
          </w:tcPr>
          <w:p w14:paraId="5FC964D4">
            <w:pPr>
              <w:jc w:val="right"/>
              <w:rPr>
                <w:sz w:val="15"/>
                <w:szCs w:val="15"/>
              </w:rPr>
            </w:pPr>
          </w:p>
        </w:tc>
        <w:tc>
          <w:tcPr>
            <w:tcW w:w="1417" w:type="dxa"/>
            <w:vAlign w:val="center"/>
          </w:tcPr>
          <w:p w14:paraId="4A603191">
            <w:pPr>
              <w:jc w:val="right"/>
              <w:rPr>
                <w:sz w:val="15"/>
                <w:szCs w:val="15"/>
              </w:rPr>
            </w:pPr>
          </w:p>
        </w:tc>
      </w:tr>
      <w:tr w14:paraId="1D83D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tc>
          <w:tcPr>
            <w:tcW w:w="2394" w:type="dxa"/>
            <w:vAlign w:val="center"/>
          </w:tcPr>
          <w:sdt>
            <w:sdtPr>
              <w:rPr>
                <w:sz w:val="15"/>
                <w:szCs w:val="15"/>
              </w:rPr>
              <w:tag w:val="_PLD_811577c623d04471a27af10d35119258"/>
              <w:id w:val="-165865743"/>
            </w:sdtPr>
            <w:sdtEndPr>
              <w:rPr>
                <w:sz w:val="15"/>
                <w:szCs w:val="15"/>
              </w:rPr>
            </w:sdtEndPr>
            <w:sdtContent>
              <w:p w14:paraId="7C5EC536">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6．其他</w:t>
                </w:r>
              </w:p>
            </w:sdtContent>
          </w:sdt>
        </w:tc>
        <w:tc>
          <w:tcPr>
            <w:tcW w:w="1284" w:type="dxa"/>
            <w:tcBorders>
              <w:right w:val="single" w:color="auto" w:sz="4" w:space="0"/>
            </w:tcBorders>
            <w:vAlign w:val="center"/>
          </w:tcPr>
          <w:p w14:paraId="642566E7">
            <w:pPr>
              <w:jc w:val="right"/>
              <w:rPr>
                <w:sz w:val="15"/>
                <w:szCs w:val="15"/>
              </w:rPr>
            </w:pPr>
          </w:p>
        </w:tc>
        <w:tc>
          <w:tcPr>
            <w:tcW w:w="489" w:type="dxa"/>
            <w:tcBorders>
              <w:left w:val="single" w:color="auto" w:sz="4" w:space="0"/>
              <w:right w:val="single" w:color="auto" w:sz="4" w:space="0"/>
            </w:tcBorders>
            <w:vAlign w:val="center"/>
          </w:tcPr>
          <w:p w14:paraId="4450DE8E">
            <w:pPr>
              <w:jc w:val="right"/>
              <w:rPr>
                <w:sz w:val="15"/>
                <w:szCs w:val="15"/>
              </w:rPr>
            </w:pPr>
          </w:p>
        </w:tc>
        <w:tc>
          <w:tcPr>
            <w:tcW w:w="426" w:type="dxa"/>
            <w:tcBorders>
              <w:left w:val="single" w:color="auto" w:sz="4" w:space="0"/>
              <w:right w:val="single" w:color="auto" w:sz="4" w:space="0"/>
            </w:tcBorders>
            <w:vAlign w:val="center"/>
          </w:tcPr>
          <w:p w14:paraId="0E5FC68E">
            <w:pPr>
              <w:jc w:val="right"/>
              <w:rPr>
                <w:sz w:val="15"/>
                <w:szCs w:val="15"/>
              </w:rPr>
            </w:pPr>
          </w:p>
        </w:tc>
        <w:tc>
          <w:tcPr>
            <w:tcW w:w="425" w:type="dxa"/>
            <w:tcBorders>
              <w:left w:val="single" w:color="auto" w:sz="4" w:space="0"/>
            </w:tcBorders>
            <w:vAlign w:val="center"/>
          </w:tcPr>
          <w:p w14:paraId="35C3FDC5">
            <w:pPr>
              <w:jc w:val="right"/>
              <w:rPr>
                <w:sz w:val="15"/>
                <w:szCs w:val="15"/>
              </w:rPr>
            </w:pPr>
          </w:p>
        </w:tc>
        <w:tc>
          <w:tcPr>
            <w:tcW w:w="1353" w:type="dxa"/>
            <w:vAlign w:val="center"/>
          </w:tcPr>
          <w:p w14:paraId="5C55C327">
            <w:pPr>
              <w:jc w:val="right"/>
              <w:rPr>
                <w:sz w:val="15"/>
                <w:szCs w:val="15"/>
              </w:rPr>
            </w:pPr>
          </w:p>
        </w:tc>
        <w:tc>
          <w:tcPr>
            <w:tcW w:w="1276" w:type="dxa"/>
            <w:vAlign w:val="center"/>
          </w:tcPr>
          <w:p w14:paraId="61C37779">
            <w:pPr>
              <w:jc w:val="right"/>
              <w:rPr>
                <w:sz w:val="15"/>
                <w:szCs w:val="15"/>
              </w:rPr>
            </w:pPr>
          </w:p>
        </w:tc>
        <w:tc>
          <w:tcPr>
            <w:tcW w:w="1134" w:type="dxa"/>
            <w:vAlign w:val="center"/>
          </w:tcPr>
          <w:p w14:paraId="0AA8DD78">
            <w:pPr>
              <w:jc w:val="right"/>
              <w:rPr>
                <w:sz w:val="15"/>
                <w:szCs w:val="15"/>
              </w:rPr>
            </w:pPr>
          </w:p>
        </w:tc>
        <w:tc>
          <w:tcPr>
            <w:tcW w:w="1036" w:type="dxa"/>
            <w:vAlign w:val="center"/>
          </w:tcPr>
          <w:p w14:paraId="19631601">
            <w:pPr>
              <w:jc w:val="right"/>
              <w:rPr>
                <w:sz w:val="15"/>
                <w:szCs w:val="15"/>
              </w:rPr>
            </w:pPr>
          </w:p>
        </w:tc>
        <w:tc>
          <w:tcPr>
            <w:tcW w:w="1232" w:type="dxa"/>
            <w:vAlign w:val="center"/>
          </w:tcPr>
          <w:p w14:paraId="2F68D544">
            <w:pPr>
              <w:jc w:val="right"/>
              <w:rPr>
                <w:sz w:val="15"/>
                <w:szCs w:val="15"/>
              </w:rPr>
            </w:pPr>
          </w:p>
        </w:tc>
        <w:tc>
          <w:tcPr>
            <w:tcW w:w="1276" w:type="dxa"/>
            <w:vAlign w:val="center"/>
          </w:tcPr>
          <w:p w14:paraId="66DF0064">
            <w:pPr>
              <w:jc w:val="right"/>
              <w:rPr>
                <w:sz w:val="15"/>
                <w:szCs w:val="15"/>
              </w:rPr>
            </w:pPr>
          </w:p>
        </w:tc>
        <w:tc>
          <w:tcPr>
            <w:tcW w:w="1417" w:type="dxa"/>
            <w:vAlign w:val="center"/>
          </w:tcPr>
          <w:p w14:paraId="3A772844">
            <w:pPr>
              <w:jc w:val="right"/>
              <w:rPr>
                <w:sz w:val="15"/>
                <w:szCs w:val="15"/>
              </w:rPr>
            </w:pPr>
          </w:p>
        </w:tc>
      </w:tr>
      <w:tr w14:paraId="33949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2a0b15de13474fe285b68b48e29b688f"/>
            <w:id w:val="2000145432"/>
          </w:sdtPr>
          <w:sdtEndPr>
            <w:rPr>
              <w:sz w:val="15"/>
              <w:szCs w:val="15"/>
            </w:rPr>
          </w:sdtEndPr>
          <w:sdtContent>
            <w:tc>
              <w:tcPr>
                <w:tcW w:w="2394" w:type="dxa"/>
                <w:vAlign w:val="center"/>
              </w:tcPr>
              <w:p w14:paraId="3DA2BEA5">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（五）专项储备</w:t>
                </w:r>
              </w:p>
            </w:tc>
          </w:sdtContent>
        </w:sdt>
        <w:tc>
          <w:tcPr>
            <w:tcW w:w="1284" w:type="dxa"/>
            <w:tcBorders>
              <w:right w:val="single" w:color="auto" w:sz="4" w:space="0"/>
            </w:tcBorders>
            <w:vAlign w:val="center"/>
          </w:tcPr>
          <w:p w14:paraId="060C2CCF">
            <w:pPr>
              <w:jc w:val="right"/>
              <w:rPr>
                <w:sz w:val="15"/>
                <w:szCs w:val="15"/>
              </w:rPr>
            </w:pPr>
          </w:p>
        </w:tc>
        <w:tc>
          <w:tcPr>
            <w:tcW w:w="489" w:type="dxa"/>
            <w:tcBorders>
              <w:left w:val="single" w:color="auto" w:sz="4" w:space="0"/>
              <w:right w:val="single" w:color="auto" w:sz="4" w:space="0"/>
            </w:tcBorders>
            <w:vAlign w:val="center"/>
          </w:tcPr>
          <w:p w14:paraId="3FB91A72">
            <w:pPr>
              <w:jc w:val="right"/>
              <w:rPr>
                <w:sz w:val="15"/>
                <w:szCs w:val="15"/>
              </w:rPr>
            </w:pPr>
          </w:p>
        </w:tc>
        <w:tc>
          <w:tcPr>
            <w:tcW w:w="426" w:type="dxa"/>
            <w:tcBorders>
              <w:left w:val="single" w:color="auto" w:sz="4" w:space="0"/>
              <w:right w:val="single" w:color="auto" w:sz="4" w:space="0"/>
            </w:tcBorders>
            <w:vAlign w:val="center"/>
          </w:tcPr>
          <w:p w14:paraId="23E25255">
            <w:pPr>
              <w:jc w:val="right"/>
              <w:rPr>
                <w:sz w:val="15"/>
                <w:szCs w:val="15"/>
              </w:rPr>
            </w:pPr>
          </w:p>
        </w:tc>
        <w:tc>
          <w:tcPr>
            <w:tcW w:w="425" w:type="dxa"/>
            <w:tcBorders>
              <w:left w:val="single" w:color="auto" w:sz="4" w:space="0"/>
            </w:tcBorders>
            <w:vAlign w:val="center"/>
          </w:tcPr>
          <w:p w14:paraId="5E399ADD">
            <w:pPr>
              <w:jc w:val="right"/>
              <w:rPr>
                <w:sz w:val="15"/>
                <w:szCs w:val="15"/>
              </w:rPr>
            </w:pPr>
          </w:p>
        </w:tc>
        <w:tc>
          <w:tcPr>
            <w:tcW w:w="1353" w:type="dxa"/>
            <w:vAlign w:val="center"/>
          </w:tcPr>
          <w:p w14:paraId="16338AB6">
            <w:pPr>
              <w:jc w:val="right"/>
              <w:rPr>
                <w:sz w:val="15"/>
                <w:szCs w:val="15"/>
              </w:rPr>
            </w:pPr>
          </w:p>
        </w:tc>
        <w:tc>
          <w:tcPr>
            <w:tcW w:w="1276" w:type="dxa"/>
            <w:vAlign w:val="center"/>
          </w:tcPr>
          <w:p w14:paraId="013001D8">
            <w:pPr>
              <w:jc w:val="right"/>
              <w:rPr>
                <w:sz w:val="15"/>
                <w:szCs w:val="15"/>
              </w:rPr>
            </w:pPr>
          </w:p>
        </w:tc>
        <w:tc>
          <w:tcPr>
            <w:tcW w:w="1134" w:type="dxa"/>
            <w:vAlign w:val="center"/>
          </w:tcPr>
          <w:p w14:paraId="07A95974">
            <w:pPr>
              <w:jc w:val="right"/>
              <w:rPr>
                <w:sz w:val="15"/>
                <w:szCs w:val="15"/>
              </w:rPr>
            </w:pPr>
          </w:p>
        </w:tc>
        <w:tc>
          <w:tcPr>
            <w:tcW w:w="1036" w:type="dxa"/>
            <w:vAlign w:val="center"/>
          </w:tcPr>
          <w:p w14:paraId="4D44160A">
            <w:pPr>
              <w:jc w:val="right"/>
              <w:rPr>
                <w:sz w:val="15"/>
                <w:szCs w:val="15"/>
              </w:rPr>
            </w:pPr>
          </w:p>
        </w:tc>
        <w:tc>
          <w:tcPr>
            <w:tcW w:w="1232" w:type="dxa"/>
            <w:vAlign w:val="center"/>
          </w:tcPr>
          <w:p w14:paraId="6A06B531">
            <w:pPr>
              <w:jc w:val="right"/>
              <w:rPr>
                <w:sz w:val="15"/>
                <w:szCs w:val="15"/>
              </w:rPr>
            </w:pPr>
          </w:p>
        </w:tc>
        <w:tc>
          <w:tcPr>
            <w:tcW w:w="1276" w:type="dxa"/>
            <w:vAlign w:val="center"/>
          </w:tcPr>
          <w:p w14:paraId="4255B21C">
            <w:pPr>
              <w:jc w:val="right"/>
              <w:rPr>
                <w:sz w:val="15"/>
                <w:szCs w:val="15"/>
              </w:rPr>
            </w:pPr>
          </w:p>
        </w:tc>
        <w:tc>
          <w:tcPr>
            <w:tcW w:w="1417" w:type="dxa"/>
            <w:vAlign w:val="center"/>
          </w:tcPr>
          <w:p w14:paraId="0086575F">
            <w:pPr>
              <w:jc w:val="right"/>
              <w:rPr>
                <w:sz w:val="15"/>
                <w:szCs w:val="15"/>
              </w:rPr>
            </w:pPr>
          </w:p>
        </w:tc>
      </w:tr>
      <w:tr w14:paraId="43006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8be2fdb078fc42cdaebf61e81ed6d67b"/>
            <w:id w:val="770516472"/>
          </w:sdtPr>
          <w:sdtEndPr>
            <w:rPr>
              <w:sz w:val="15"/>
              <w:szCs w:val="15"/>
            </w:rPr>
          </w:sdtEndPr>
          <w:sdtContent>
            <w:tc>
              <w:tcPr>
                <w:tcW w:w="2394" w:type="dxa"/>
                <w:vAlign w:val="center"/>
              </w:tcPr>
              <w:p w14:paraId="0B0ABAEC">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1．本期提取</w:t>
                </w:r>
              </w:p>
            </w:tc>
          </w:sdtContent>
        </w:sdt>
        <w:tc>
          <w:tcPr>
            <w:tcW w:w="1284" w:type="dxa"/>
            <w:tcBorders>
              <w:right w:val="single" w:color="auto" w:sz="4" w:space="0"/>
            </w:tcBorders>
            <w:vAlign w:val="center"/>
          </w:tcPr>
          <w:p w14:paraId="52EFADED">
            <w:pPr>
              <w:jc w:val="right"/>
              <w:rPr>
                <w:sz w:val="15"/>
                <w:szCs w:val="15"/>
              </w:rPr>
            </w:pPr>
          </w:p>
        </w:tc>
        <w:tc>
          <w:tcPr>
            <w:tcW w:w="489" w:type="dxa"/>
            <w:tcBorders>
              <w:left w:val="single" w:color="auto" w:sz="4" w:space="0"/>
              <w:right w:val="single" w:color="auto" w:sz="4" w:space="0"/>
            </w:tcBorders>
            <w:vAlign w:val="center"/>
          </w:tcPr>
          <w:p w14:paraId="142423D0">
            <w:pPr>
              <w:jc w:val="right"/>
              <w:rPr>
                <w:sz w:val="15"/>
                <w:szCs w:val="15"/>
              </w:rPr>
            </w:pPr>
          </w:p>
        </w:tc>
        <w:tc>
          <w:tcPr>
            <w:tcW w:w="426" w:type="dxa"/>
            <w:tcBorders>
              <w:left w:val="single" w:color="auto" w:sz="4" w:space="0"/>
              <w:right w:val="single" w:color="auto" w:sz="4" w:space="0"/>
            </w:tcBorders>
            <w:vAlign w:val="center"/>
          </w:tcPr>
          <w:p w14:paraId="04807367">
            <w:pPr>
              <w:jc w:val="right"/>
              <w:rPr>
                <w:sz w:val="15"/>
                <w:szCs w:val="15"/>
              </w:rPr>
            </w:pPr>
          </w:p>
        </w:tc>
        <w:tc>
          <w:tcPr>
            <w:tcW w:w="425" w:type="dxa"/>
            <w:tcBorders>
              <w:left w:val="single" w:color="auto" w:sz="4" w:space="0"/>
            </w:tcBorders>
            <w:vAlign w:val="center"/>
          </w:tcPr>
          <w:p w14:paraId="1EFC09C3">
            <w:pPr>
              <w:jc w:val="right"/>
              <w:rPr>
                <w:sz w:val="15"/>
                <w:szCs w:val="15"/>
              </w:rPr>
            </w:pPr>
          </w:p>
        </w:tc>
        <w:tc>
          <w:tcPr>
            <w:tcW w:w="1353" w:type="dxa"/>
            <w:vAlign w:val="center"/>
          </w:tcPr>
          <w:p w14:paraId="1F536DB3">
            <w:pPr>
              <w:jc w:val="right"/>
              <w:rPr>
                <w:sz w:val="15"/>
                <w:szCs w:val="15"/>
              </w:rPr>
            </w:pPr>
          </w:p>
        </w:tc>
        <w:tc>
          <w:tcPr>
            <w:tcW w:w="1276" w:type="dxa"/>
            <w:vAlign w:val="center"/>
          </w:tcPr>
          <w:p w14:paraId="539E3A07">
            <w:pPr>
              <w:jc w:val="right"/>
              <w:rPr>
                <w:sz w:val="15"/>
                <w:szCs w:val="15"/>
              </w:rPr>
            </w:pPr>
          </w:p>
        </w:tc>
        <w:tc>
          <w:tcPr>
            <w:tcW w:w="1134" w:type="dxa"/>
            <w:vAlign w:val="center"/>
          </w:tcPr>
          <w:p w14:paraId="54FC6C25">
            <w:pPr>
              <w:jc w:val="right"/>
              <w:rPr>
                <w:sz w:val="15"/>
                <w:szCs w:val="15"/>
              </w:rPr>
            </w:pPr>
          </w:p>
        </w:tc>
        <w:tc>
          <w:tcPr>
            <w:tcW w:w="1036" w:type="dxa"/>
            <w:vAlign w:val="center"/>
          </w:tcPr>
          <w:p w14:paraId="2ECE9FDA">
            <w:pPr>
              <w:jc w:val="right"/>
              <w:rPr>
                <w:sz w:val="15"/>
                <w:szCs w:val="15"/>
              </w:rPr>
            </w:pPr>
          </w:p>
        </w:tc>
        <w:tc>
          <w:tcPr>
            <w:tcW w:w="1232" w:type="dxa"/>
            <w:vAlign w:val="center"/>
          </w:tcPr>
          <w:p w14:paraId="7CF900B3">
            <w:pPr>
              <w:jc w:val="right"/>
              <w:rPr>
                <w:sz w:val="15"/>
                <w:szCs w:val="15"/>
              </w:rPr>
            </w:pPr>
          </w:p>
        </w:tc>
        <w:tc>
          <w:tcPr>
            <w:tcW w:w="1276" w:type="dxa"/>
            <w:vAlign w:val="center"/>
          </w:tcPr>
          <w:p w14:paraId="31677454">
            <w:pPr>
              <w:jc w:val="right"/>
              <w:rPr>
                <w:sz w:val="15"/>
                <w:szCs w:val="15"/>
              </w:rPr>
            </w:pPr>
          </w:p>
        </w:tc>
        <w:tc>
          <w:tcPr>
            <w:tcW w:w="1417" w:type="dxa"/>
            <w:vAlign w:val="center"/>
          </w:tcPr>
          <w:p w14:paraId="28C3FC32">
            <w:pPr>
              <w:jc w:val="right"/>
              <w:rPr>
                <w:sz w:val="15"/>
                <w:szCs w:val="15"/>
              </w:rPr>
            </w:pPr>
          </w:p>
        </w:tc>
      </w:tr>
      <w:tr w14:paraId="12961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12344832238e442d9f64388fa2af60f1"/>
            <w:id w:val="-136800835"/>
          </w:sdtPr>
          <w:sdtEndPr>
            <w:rPr>
              <w:sz w:val="15"/>
              <w:szCs w:val="15"/>
            </w:rPr>
          </w:sdtEndPr>
          <w:sdtContent>
            <w:tc>
              <w:tcPr>
                <w:tcW w:w="2394" w:type="dxa"/>
                <w:vAlign w:val="center"/>
              </w:tcPr>
              <w:p w14:paraId="06E55840">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2．本期使用</w:t>
                </w:r>
              </w:p>
            </w:tc>
          </w:sdtContent>
        </w:sdt>
        <w:tc>
          <w:tcPr>
            <w:tcW w:w="1284" w:type="dxa"/>
            <w:tcBorders>
              <w:right w:val="single" w:color="auto" w:sz="4" w:space="0"/>
            </w:tcBorders>
            <w:vAlign w:val="center"/>
          </w:tcPr>
          <w:p w14:paraId="1B066B89">
            <w:pPr>
              <w:jc w:val="right"/>
              <w:rPr>
                <w:sz w:val="15"/>
                <w:szCs w:val="15"/>
              </w:rPr>
            </w:pPr>
          </w:p>
        </w:tc>
        <w:tc>
          <w:tcPr>
            <w:tcW w:w="489" w:type="dxa"/>
            <w:tcBorders>
              <w:left w:val="single" w:color="auto" w:sz="4" w:space="0"/>
              <w:right w:val="single" w:color="auto" w:sz="4" w:space="0"/>
            </w:tcBorders>
            <w:vAlign w:val="center"/>
          </w:tcPr>
          <w:p w14:paraId="7FD4791E">
            <w:pPr>
              <w:jc w:val="right"/>
              <w:rPr>
                <w:sz w:val="15"/>
                <w:szCs w:val="15"/>
              </w:rPr>
            </w:pPr>
          </w:p>
        </w:tc>
        <w:tc>
          <w:tcPr>
            <w:tcW w:w="426" w:type="dxa"/>
            <w:tcBorders>
              <w:left w:val="single" w:color="auto" w:sz="4" w:space="0"/>
              <w:right w:val="single" w:color="auto" w:sz="4" w:space="0"/>
            </w:tcBorders>
            <w:vAlign w:val="center"/>
          </w:tcPr>
          <w:p w14:paraId="5DBAFB46">
            <w:pPr>
              <w:jc w:val="right"/>
              <w:rPr>
                <w:sz w:val="15"/>
                <w:szCs w:val="15"/>
              </w:rPr>
            </w:pPr>
          </w:p>
        </w:tc>
        <w:tc>
          <w:tcPr>
            <w:tcW w:w="425" w:type="dxa"/>
            <w:tcBorders>
              <w:left w:val="single" w:color="auto" w:sz="4" w:space="0"/>
            </w:tcBorders>
            <w:vAlign w:val="center"/>
          </w:tcPr>
          <w:p w14:paraId="6511F475">
            <w:pPr>
              <w:jc w:val="right"/>
              <w:rPr>
                <w:sz w:val="15"/>
                <w:szCs w:val="15"/>
              </w:rPr>
            </w:pPr>
          </w:p>
        </w:tc>
        <w:tc>
          <w:tcPr>
            <w:tcW w:w="1353" w:type="dxa"/>
            <w:vAlign w:val="center"/>
          </w:tcPr>
          <w:p w14:paraId="7F69B99F">
            <w:pPr>
              <w:jc w:val="right"/>
              <w:rPr>
                <w:sz w:val="15"/>
                <w:szCs w:val="15"/>
              </w:rPr>
            </w:pPr>
          </w:p>
        </w:tc>
        <w:tc>
          <w:tcPr>
            <w:tcW w:w="1276" w:type="dxa"/>
            <w:vAlign w:val="center"/>
          </w:tcPr>
          <w:p w14:paraId="64C51DC2">
            <w:pPr>
              <w:jc w:val="right"/>
              <w:rPr>
                <w:sz w:val="15"/>
                <w:szCs w:val="15"/>
              </w:rPr>
            </w:pPr>
          </w:p>
        </w:tc>
        <w:tc>
          <w:tcPr>
            <w:tcW w:w="1134" w:type="dxa"/>
            <w:vAlign w:val="center"/>
          </w:tcPr>
          <w:p w14:paraId="1A29E5EC">
            <w:pPr>
              <w:jc w:val="right"/>
              <w:rPr>
                <w:sz w:val="15"/>
                <w:szCs w:val="15"/>
              </w:rPr>
            </w:pPr>
          </w:p>
        </w:tc>
        <w:tc>
          <w:tcPr>
            <w:tcW w:w="1036" w:type="dxa"/>
            <w:vAlign w:val="center"/>
          </w:tcPr>
          <w:p w14:paraId="3FFD0499">
            <w:pPr>
              <w:jc w:val="right"/>
              <w:rPr>
                <w:sz w:val="15"/>
                <w:szCs w:val="15"/>
              </w:rPr>
            </w:pPr>
          </w:p>
        </w:tc>
        <w:tc>
          <w:tcPr>
            <w:tcW w:w="1232" w:type="dxa"/>
            <w:vAlign w:val="center"/>
          </w:tcPr>
          <w:p w14:paraId="7B2D27CB">
            <w:pPr>
              <w:jc w:val="right"/>
              <w:rPr>
                <w:sz w:val="15"/>
                <w:szCs w:val="15"/>
              </w:rPr>
            </w:pPr>
          </w:p>
        </w:tc>
        <w:tc>
          <w:tcPr>
            <w:tcW w:w="1276" w:type="dxa"/>
            <w:vAlign w:val="center"/>
          </w:tcPr>
          <w:p w14:paraId="113A8820">
            <w:pPr>
              <w:jc w:val="right"/>
              <w:rPr>
                <w:sz w:val="15"/>
                <w:szCs w:val="15"/>
              </w:rPr>
            </w:pPr>
          </w:p>
        </w:tc>
        <w:tc>
          <w:tcPr>
            <w:tcW w:w="1417" w:type="dxa"/>
            <w:vAlign w:val="center"/>
          </w:tcPr>
          <w:p w14:paraId="21465928">
            <w:pPr>
              <w:jc w:val="right"/>
              <w:rPr>
                <w:sz w:val="15"/>
                <w:szCs w:val="15"/>
              </w:rPr>
            </w:pPr>
          </w:p>
        </w:tc>
      </w:tr>
      <w:tr w14:paraId="4A0F0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adc6cb0ad3a14129b7edac5f396c8fd5"/>
            <w:id w:val="-757589255"/>
          </w:sdtPr>
          <w:sdtEndPr>
            <w:rPr>
              <w:sz w:val="15"/>
              <w:szCs w:val="15"/>
            </w:rPr>
          </w:sdtEndPr>
          <w:sdtContent>
            <w:tc>
              <w:tcPr>
                <w:tcW w:w="2394" w:type="dxa"/>
                <w:vAlign w:val="center"/>
              </w:tcPr>
              <w:p w14:paraId="08DA0509">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（六）其他</w:t>
                </w:r>
              </w:p>
            </w:tc>
          </w:sdtContent>
        </w:sdt>
        <w:tc>
          <w:tcPr>
            <w:tcW w:w="1284" w:type="dxa"/>
            <w:tcBorders>
              <w:right w:val="single" w:color="auto" w:sz="4" w:space="0"/>
            </w:tcBorders>
            <w:vAlign w:val="center"/>
          </w:tcPr>
          <w:p w14:paraId="0556BCAF">
            <w:pPr>
              <w:jc w:val="right"/>
              <w:rPr>
                <w:sz w:val="15"/>
                <w:szCs w:val="15"/>
              </w:rPr>
            </w:pPr>
          </w:p>
        </w:tc>
        <w:tc>
          <w:tcPr>
            <w:tcW w:w="489" w:type="dxa"/>
            <w:tcBorders>
              <w:left w:val="single" w:color="auto" w:sz="4" w:space="0"/>
              <w:right w:val="single" w:color="auto" w:sz="4" w:space="0"/>
            </w:tcBorders>
            <w:vAlign w:val="center"/>
          </w:tcPr>
          <w:p w14:paraId="638FC817">
            <w:pPr>
              <w:jc w:val="right"/>
              <w:rPr>
                <w:sz w:val="15"/>
                <w:szCs w:val="15"/>
              </w:rPr>
            </w:pPr>
          </w:p>
        </w:tc>
        <w:tc>
          <w:tcPr>
            <w:tcW w:w="426" w:type="dxa"/>
            <w:tcBorders>
              <w:left w:val="single" w:color="auto" w:sz="4" w:space="0"/>
              <w:right w:val="single" w:color="auto" w:sz="4" w:space="0"/>
            </w:tcBorders>
            <w:vAlign w:val="center"/>
          </w:tcPr>
          <w:p w14:paraId="63909096">
            <w:pPr>
              <w:jc w:val="right"/>
              <w:rPr>
                <w:sz w:val="15"/>
                <w:szCs w:val="15"/>
              </w:rPr>
            </w:pPr>
          </w:p>
        </w:tc>
        <w:tc>
          <w:tcPr>
            <w:tcW w:w="425" w:type="dxa"/>
            <w:tcBorders>
              <w:left w:val="single" w:color="auto" w:sz="4" w:space="0"/>
            </w:tcBorders>
            <w:vAlign w:val="center"/>
          </w:tcPr>
          <w:p w14:paraId="51C43DF5">
            <w:pPr>
              <w:jc w:val="right"/>
              <w:rPr>
                <w:sz w:val="15"/>
                <w:szCs w:val="15"/>
              </w:rPr>
            </w:pPr>
          </w:p>
        </w:tc>
        <w:tc>
          <w:tcPr>
            <w:tcW w:w="1353" w:type="dxa"/>
            <w:vAlign w:val="center"/>
          </w:tcPr>
          <w:p w14:paraId="4E3931E2">
            <w:pPr>
              <w:jc w:val="right"/>
              <w:rPr>
                <w:sz w:val="15"/>
                <w:szCs w:val="15"/>
              </w:rPr>
            </w:pPr>
          </w:p>
        </w:tc>
        <w:tc>
          <w:tcPr>
            <w:tcW w:w="1276" w:type="dxa"/>
            <w:vAlign w:val="center"/>
          </w:tcPr>
          <w:p w14:paraId="4086254E">
            <w:pPr>
              <w:jc w:val="right"/>
              <w:rPr>
                <w:sz w:val="15"/>
                <w:szCs w:val="15"/>
              </w:rPr>
            </w:pPr>
          </w:p>
        </w:tc>
        <w:tc>
          <w:tcPr>
            <w:tcW w:w="1134" w:type="dxa"/>
            <w:vAlign w:val="center"/>
          </w:tcPr>
          <w:p w14:paraId="150D7631">
            <w:pPr>
              <w:jc w:val="right"/>
              <w:rPr>
                <w:sz w:val="15"/>
                <w:szCs w:val="15"/>
              </w:rPr>
            </w:pPr>
          </w:p>
        </w:tc>
        <w:tc>
          <w:tcPr>
            <w:tcW w:w="1036" w:type="dxa"/>
            <w:vAlign w:val="center"/>
          </w:tcPr>
          <w:p w14:paraId="36AC5B8A">
            <w:pPr>
              <w:jc w:val="right"/>
              <w:rPr>
                <w:sz w:val="15"/>
                <w:szCs w:val="15"/>
              </w:rPr>
            </w:pPr>
          </w:p>
        </w:tc>
        <w:tc>
          <w:tcPr>
            <w:tcW w:w="1232" w:type="dxa"/>
            <w:vAlign w:val="center"/>
          </w:tcPr>
          <w:p w14:paraId="2FF0C3FE">
            <w:pPr>
              <w:jc w:val="right"/>
              <w:rPr>
                <w:sz w:val="15"/>
                <w:szCs w:val="15"/>
              </w:rPr>
            </w:pPr>
          </w:p>
        </w:tc>
        <w:tc>
          <w:tcPr>
            <w:tcW w:w="1276" w:type="dxa"/>
            <w:vAlign w:val="center"/>
          </w:tcPr>
          <w:p w14:paraId="1752106E">
            <w:pPr>
              <w:jc w:val="right"/>
              <w:rPr>
                <w:sz w:val="15"/>
                <w:szCs w:val="15"/>
              </w:rPr>
            </w:pPr>
          </w:p>
        </w:tc>
        <w:tc>
          <w:tcPr>
            <w:tcW w:w="1417" w:type="dxa"/>
            <w:vAlign w:val="center"/>
          </w:tcPr>
          <w:p w14:paraId="1B3ED093">
            <w:pPr>
              <w:jc w:val="right"/>
              <w:rPr>
                <w:sz w:val="15"/>
                <w:szCs w:val="15"/>
              </w:rPr>
            </w:pPr>
          </w:p>
        </w:tc>
      </w:tr>
      <w:tr w14:paraId="2FA14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71" w:type="dxa"/>
          <w:trHeight w:val="20" w:hRule="atLeast"/>
        </w:trPr>
        <w:sdt>
          <w:sdtPr>
            <w:rPr>
              <w:sz w:val="15"/>
              <w:szCs w:val="15"/>
            </w:rPr>
            <w:tag w:val="_PLD_0009c8b4e5ca4d7083f8b2619f6a4584"/>
            <w:id w:val="13882936"/>
          </w:sdtPr>
          <w:sdtEndPr>
            <w:rPr>
              <w:sz w:val="15"/>
              <w:szCs w:val="15"/>
            </w:rPr>
          </w:sdtEndPr>
          <w:sdtContent>
            <w:tc>
              <w:tcPr>
                <w:tcW w:w="2394" w:type="dxa"/>
                <w:vAlign w:val="center"/>
              </w:tcPr>
              <w:p w14:paraId="762144C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四、本期期末余额</w:t>
                </w:r>
              </w:p>
            </w:tc>
          </w:sdtContent>
        </w:sdt>
        <w:tc>
          <w:tcPr>
            <w:tcW w:w="1284" w:type="dxa"/>
            <w:tcBorders>
              <w:right w:val="single" w:color="auto" w:sz="4" w:space="0"/>
            </w:tcBorders>
            <w:vAlign w:val="center"/>
          </w:tcPr>
          <w:p w14:paraId="4340B92D">
            <w:pPr>
              <w:jc w:val="right"/>
              <w:rPr>
                <w:sz w:val="15"/>
                <w:szCs w:val="15"/>
              </w:rPr>
            </w:pPr>
            <w:r>
              <w:rPr>
                <w:sz w:val="15"/>
                <w:szCs w:val="15"/>
              </w:rPr>
              <w:t>4,521,100,071.00</w:t>
            </w:r>
          </w:p>
        </w:tc>
        <w:tc>
          <w:tcPr>
            <w:tcW w:w="489" w:type="dxa"/>
            <w:tcBorders>
              <w:left w:val="single" w:color="auto" w:sz="4" w:space="0"/>
              <w:right w:val="single" w:color="auto" w:sz="4" w:space="0"/>
            </w:tcBorders>
            <w:vAlign w:val="center"/>
          </w:tcPr>
          <w:p w14:paraId="3AD10E9A">
            <w:pPr>
              <w:jc w:val="right"/>
              <w:rPr>
                <w:sz w:val="15"/>
                <w:szCs w:val="15"/>
              </w:rPr>
            </w:pPr>
          </w:p>
        </w:tc>
        <w:tc>
          <w:tcPr>
            <w:tcW w:w="426" w:type="dxa"/>
            <w:tcBorders>
              <w:left w:val="single" w:color="auto" w:sz="4" w:space="0"/>
              <w:right w:val="single" w:color="auto" w:sz="4" w:space="0"/>
            </w:tcBorders>
            <w:vAlign w:val="center"/>
          </w:tcPr>
          <w:p w14:paraId="562D835E">
            <w:pPr>
              <w:jc w:val="right"/>
              <w:rPr>
                <w:rFonts w:eastAsia="Times New Roman" w:cs="Times New Roman"/>
                <w:sz w:val="15"/>
                <w:szCs w:val="15"/>
              </w:rPr>
            </w:pPr>
          </w:p>
        </w:tc>
        <w:tc>
          <w:tcPr>
            <w:tcW w:w="425" w:type="dxa"/>
            <w:tcBorders>
              <w:left w:val="single" w:color="auto" w:sz="4" w:space="0"/>
            </w:tcBorders>
            <w:vAlign w:val="center"/>
          </w:tcPr>
          <w:p w14:paraId="3EC35758">
            <w:pPr>
              <w:jc w:val="right"/>
              <w:rPr>
                <w:rFonts w:eastAsia="Times New Roman" w:cs="Times New Roman"/>
                <w:sz w:val="15"/>
                <w:szCs w:val="15"/>
              </w:rPr>
            </w:pPr>
          </w:p>
        </w:tc>
        <w:tc>
          <w:tcPr>
            <w:tcW w:w="1353" w:type="dxa"/>
            <w:vAlign w:val="center"/>
          </w:tcPr>
          <w:p w14:paraId="68599ED4">
            <w:pPr>
              <w:jc w:val="right"/>
              <w:rPr>
                <w:rFonts w:ascii="宋体" w:hAnsi="宋体"/>
                <w:sz w:val="15"/>
                <w:szCs w:val="15"/>
              </w:rPr>
            </w:pPr>
            <w:r>
              <w:rPr>
                <w:sz w:val="15"/>
                <w:szCs w:val="15"/>
              </w:rPr>
              <w:t>8,658,335,137.22</w:t>
            </w:r>
          </w:p>
        </w:tc>
        <w:tc>
          <w:tcPr>
            <w:tcW w:w="1276" w:type="dxa"/>
            <w:vAlign w:val="center"/>
          </w:tcPr>
          <w:p w14:paraId="36660FFD">
            <w:pPr>
              <w:jc w:val="right"/>
              <w:rPr>
                <w:sz w:val="15"/>
                <w:szCs w:val="15"/>
              </w:rPr>
            </w:pPr>
            <w:r>
              <w:rPr>
                <w:sz w:val="15"/>
                <w:szCs w:val="15"/>
              </w:rPr>
              <w:t>129,608,598.00</w:t>
            </w:r>
          </w:p>
        </w:tc>
        <w:tc>
          <w:tcPr>
            <w:tcW w:w="1134" w:type="dxa"/>
            <w:vAlign w:val="center"/>
          </w:tcPr>
          <w:p w14:paraId="1243BC9E">
            <w:pPr>
              <w:jc w:val="right"/>
              <w:rPr>
                <w:sz w:val="15"/>
                <w:szCs w:val="15"/>
              </w:rPr>
            </w:pPr>
            <w:r>
              <w:rPr>
                <w:sz w:val="15"/>
                <w:szCs w:val="15"/>
              </w:rPr>
              <w:t>47,985,616.33</w:t>
            </w:r>
          </w:p>
        </w:tc>
        <w:tc>
          <w:tcPr>
            <w:tcW w:w="1036" w:type="dxa"/>
            <w:vAlign w:val="center"/>
          </w:tcPr>
          <w:p w14:paraId="0E4D5E31">
            <w:pPr>
              <w:jc w:val="right"/>
              <w:rPr>
                <w:sz w:val="15"/>
                <w:szCs w:val="15"/>
              </w:rPr>
            </w:pPr>
          </w:p>
        </w:tc>
        <w:tc>
          <w:tcPr>
            <w:tcW w:w="1232" w:type="dxa"/>
            <w:vAlign w:val="center"/>
          </w:tcPr>
          <w:p w14:paraId="3CC02C8F">
            <w:pPr>
              <w:jc w:val="right"/>
              <w:rPr>
                <w:rFonts w:ascii="宋体" w:hAnsi="宋体"/>
                <w:sz w:val="15"/>
                <w:szCs w:val="15"/>
              </w:rPr>
            </w:pPr>
            <w:r>
              <w:rPr>
                <w:sz w:val="15"/>
                <w:szCs w:val="15"/>
              </w:rPr>
              <w:t>426,993,753.64</w:t>
            </w:r>
          </w:p>
        </w:tc>
        <w:tc>
          <w:tcPr>
            <w:tcW w:w="1276" w:type="dxa"/>
            <w:vAlign w:val="center"/>
          </w:tcPr>
          <w:p w14:paraId="0E7082AC">
            <w:pPr>
              <w:jc w:val="right"/>
              <w:rPr>
                <w:sz w:val="15"/>
                <w:szCs w:val="15"/>
              </w:rPr>
            </w:pPr>
            <w:r>
              <w:rPr>
                <w:sz w:val="15"/>
                <w:szCs w:val="15"/>
              </w:rPr>
              <w:t>-905,267,130.10</w:t>
            </w:r>
          </w:p>
        </w:tc>
        <w:tc>
          <w:tcPr>
            <w:tcW w:w="1417" w:type="dxa"/>
            <w:vAlign w:val="center"/>
          </w:tcPr>
          <w:p w14:paraId="2C57B2DD">
            <w:pPr>
              <w:jc w:val="right"/>
              <w:rPr>
                <w:sz w:val="15"/>
                <w:szCs w:val="15"/>
              </w:rPr>
            </w:pPr>
            <w:r>
              <w:rPr>
                <w:sz w:val="15"/>
                <w:szCs w:val="15"/>
              </w:rPr>
              <w:t>12,619,538,850.09</w:t>
            </w:r>
          </w:p>
        </w:tc>
      </w:tr>
    </w:tbl>
    <w:p w14:paraId="691E1D16">
      <w:pPr>
        <w:rPr>
          <w:color w:val="000000" w:themeColor="text1"/>
          <w14:textFill>
            <w14:solidFill>
              <w14:schemeClr w14:val="tx1"/>
            </w14:solidFill>
          </w14:textFill>
        </w:rPr>
      </w:pPr>
    </w:p>
    <w:p w14:paraId="60018181">
      <w:pPr>
        <w:snapToGrid w:val="0"/>
        <w:spacing w:line="240" w:lineRule="atLeast"/>
        <w:rPr>
          <w:b/>
          <w:bCs/>
          <w:color w:val="000000" w:themeColor="text1"/>
          <w14:textFill>
            <w14:solidFill>
              <w14:schemeClr w14:val="tx1"/>
            </w14:solidFill>
          </w14:textFill>
        </w:rPr>
      </w:pPr>
      <w:r>
        <w:rPr>
          <w:color w:val="000000" w:themeColor="text1"/>
          <w14:textFill>
            <w14:solidFill>
              <w14:schemeClr w14:val="tx1"/>
            </w14:solidFill>
          </w14:textFill>
        </w:rPr>
        <w:t>公司负责人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公司负责人"/>
          <w:tag w:val="_GBC_6042a2c12168484781348969a4da3e4c"/>
          <w:id w:val="-1875607618"/>
          <w:placeholder>
            <w:docPart w:val="GBC22222222222222222222222222222"/>
          </w:placeholder>
          <w:dataBinding w:prefixMappings="xmlns:clcid-mr='clcid-mr'" w:xpath="/*/clcid-mr:GongSi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印奇</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主管会计工作负责人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主管会计工作负责人姓名"/>
          <w:tag w:val="_GBC_3008dab61aca43f0a6d82ef192943e79"/>
          <w:id w:val="117340560"/>
          <w:placeholder>
            <w:docPart w:val="GBC22222222222222222222222222222"/>
          </w:placeholder>
          <w:dataBinding w:prefixMappings="xmlns:clcid-mr='clcid-mr'" w:xpath="/*/clcid-mr:ZhuGuanKuaiJiGongZuo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黄强</w:t>
          </w:r>
        </w:sdtContent>
      </w:sdt>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会计机构负责人</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会计机构负责人姓名"/>
          <w:tag w:val="_GBC_e6c21b270080402ca8dbdc0cab514bde"/>
          <w:id w:val="-683511857"/>
          <w:placeholder>
            <w:docPart w:val="GBC22222222222222222222222222222"/>
          </w:placeholder>
          <w:dataBinding w:prefixMappings="xmlns:clcid-mr='clcid-mr'" w:xpath="/*/clcid-mr:KuaiJiJiGouFuZeRenXingMing[not(@periodRef)]" w:storeItemID="{89EBAB94-44A0-46A2-B712-30D997D04A6D}"/>
          <w:text/>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徐衬</w:t>
          </w:r>
        </w:sdtContent>
      </w:sdt>
    </w:p>
    <w:p w14:paraId="731D0B5F">
      <w:pPr>
        <w:rPr>
          <w:color w:val="000000" w:themeColor="text1"/>
          <w14:textFill>
            <w14:solidFill>
              <w14:schemeClr w14:val="tx1"/>
            </w14:solidFill>
          </w14:textFill>
        </w:rPr>
      </w:pPr>
    </w:p>
    <w:bookmarkEnd w:id="115"/>
    <w:p w14:paraId="22B16004">
      <w:pPr>
        <w:snapToGrid w:val="0"/>
        <w:spacing w:line="240" w:lineRule="atLeast"/>
        <w:rPr>
          <w:color w:val="000000" w:themeColor="text1"/>
          <w14:textFill>
            <w14:solidFill>
              <w14:schemeClr w14:val="tx1"/>
            </w14:solidFill>
          </w14:textFill>
        </w:rPr>
        <w:sectPr>
          <w:pgSz w:w="16838" w:h="11906" w:orient="landscape"/>
          <w:pgMar w:top="1797" w:right="1525" w:bottom="1276" w:left="1440" w:header="851" w:footer="992" w:gutter="0"/>
          <w:cols w:space="425" w:num="1"/>
          <w:docGrid w:linePitch="312" w:charSpace="0"/>
        </w:sectPr>
      </w:pPr>
      <w:bookmarkStart w:id="116" w:name="_Hlk10212138"/>
      <w:bookmarkEnd w:id="116"/>
    </w:p>
    <w:p w14:paraId="36D43A14">
      <w:pPr>
        <w:pStyle w:val="3"/>
        <w:numPr>
          <w:ilvl w:val="0"/>
          <w:numId w:val="30"/>
        </w:numPr>
        <w:ind w:left="420" w:hanging="420"/>
        <w:rPr>
          <w:rFonts w:ascii="宋体" w:hAnsi="宋体"/>
          <w:color w:val="000000" w:themeColor="text1"/>
          <w14:textFill>
            <w14:solidFill>
              <w14:schemeClr w14:val="tx1"/>
            </w14:solidFill>
          </w14:textFill>
        </w:rPr>
      </w:pPr>
      <w:bookmarkStart w:id="117" w:name="_Hlk168646044"/>
      <w:bookmarkStart w:id="118" w:name="_Hlk168993498"/>
      <w:r>
        <w:rPr>
          <w:rFonts w:hint="eastAsia" w:ascii="宋体" w:hAnsi="宋体"/>
          <w:color w:val="000000" w:themeColor="text1"/>
          <w14:textFill>
            <w14:solidFill>
              <w14:schemeClr w14:val="tx1"/>
            </w14:solidFill>
          </w14:textFill>
        </w:rPr>
        <w:t>公司基本情况</w:t>
      </w:r>
    </w:p>
    <w:p w14:paraId="31A67EF8">
      <w:pPr>
        <w:pStyle w:val="4"/>
        <w:numPr>
          <w:ilvl w:val="0"/>
          <w:numId w:val="31"/>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公司概况</w:t>
      </w:r>
    </w:p>
    <w:sdt>
      <w:sdtPr>
        <w:rPr>
          <w:rFonts w:hint="eastAsia"/>
          <w:color w:val="000000" w:themeColor="text1"/>
          <w14:textFill>
            <w14:solidFill>
              <w14:schemeClr w14:val="tx1"/>
            </w14:solidFill>
          </w14:textFill>
        </w:rPr>
        <w:alias w:val="是否适用：公司概况[双击切换]"/>
        <w:tag w:val="_GBC_0cae3ba4a5394806810c0303cd783dd4"/>
        <w:id w:val="-1355419573"/>
        <w:placeholder>
          <w:docPart w:val="GBC22222222222222222222222222222"/>
        </w:placeholder>
      </w:sdtPr>
      <w:sdtEndPr>
        <w:rPr>
          <w:rFonts w:hint="eastAsia"/>
          <w:color w:val="000000" w:themeColor="text1"/>
          <w14:textFill>
            <w14:solidFill>
              <w14:schemeClr w14:val="tx1"/>
            </w14:solidFill>
          </w14:textFill>
        </w:rPr>
      </w:sdtEndPr>
      <w:sdtContent>
        <w:p w14:paraId="52BE168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公司概况"/>
        <w:tag w:val="_GBC_ae08459ad5fd43f3a92abaa61cf00bfd"/>
        <w:id w:val="-901600920"/>
        <w:placeholder>
          <w:docPart w:val="GBC22222222222222222222222222222"/>
        </w:placeholder>
      </w:sdtPr>
      <w:sdtEndPr>
        <w:rPr>
          <w:color w:val="000000" w:themeColor="text1"/>
          <w14:textFill>
            <w14:solidFill>
              <w14:schemeClr w14:val="tx1"/>
            </w14:solidFill>
          </w14:textFill>
        </w:rPr>
      </w:sdtEndPr>
      <w:sdtContent>
        <w:p w14:paraId="10E626FA">
          <w:pPr>
            <w:spacing w:before="120" w:beforeLines="50" w:after="120" w:afterLines="50" w:line="360" w:lineRule="exact"/>
            <w:ind w:firstLine="420" w:firstLineChars="200"/>
            <w:rPr>
              <w:rFonts w:ascii="宋体" w:hAnsi="宋体" w:cs="Times New Roman"/>
              <w:bCs/>
              <w:kern w:val="2"/>
            </w:rPr>
          </w:pPr>
          <w:r>
            <w:rPr>
              <w:rFonts w:hint="eastAsia" w:ascii="宋体" w:hAnsi="宋体" w:cs="Times New Roman"/>
              <w:bCs/>
              <w:kern w:val="2"/>
            </w:rPr>
            <w:t>（一）</w:t>
          </w:r>
          <w:r>
            <w:rPr>
              <w:rFonts w:ascii="宋体" w:hAnsi="宋体" w:cs="Times New Roman"/>
              <w:bCs/>
              <w:kern w:val="2"/>
            </w:rPr>
            <w:t>公司注册地、组织形式和总部地址</w:t>
          </w:r>
        </w:p>
        <w:p w14:paraId="30A1C534">
          <w:pPr>
            <w:widowControl w:val="0"/>
            <w:spacing w:before="120" w:beforeLines="50" w:after="120" w:afterLines="50" w:line="360" w:lineRule="exact"/>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重庆千里科技股份有限公司</w:t>
          </w:r>
          <w:r>
            <w:rPr>
              <w:rFonts w:cs="Times New Roman" w:asciiTheme="minorEastAsia" w:hAnsiTheme="minorEastAsia" w:eastAsiaTheme="minorEastAsia"/>
              <w:bCs/>
              <w:kern w:val="2"/>
            </w:rPr>
            <w:t>(以下简称</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公司</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或</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本公司</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)前身为</w:t>
          </w:r>
          <w:r>
            <w:rPr>
              <w:rFonts w:hint="eastAsia" w:cs="Times New Roman" w:asciiTheme="minorEastAsia" w:hAnsiTheme="minorEastAsia" w:eastAsiaTheme="minorEastAsia"/>
              <w:bCs/>
              <w:kern w:val="2"/>
            </w:rPr>
            <w:t>力帆科技（集团）股份有限公司</w:t>
          </w:r>
          <w:r>
            <w:rPr>
              <w:rFonts w:cs="Times New Roman" w:asciiTheme="minorEastAsia" w:hAnsiTheme="minorEastAsia" w:eastAsiaTheme="minorEastAsia"/>
              <w:bCs/>
              <w:kern w:val="2"/>
            </w:rPr>
            <w:t xml:space="preserve">，现持有统一社会信用代码为 915000006220209463 </w:t>
          </w:r>
          <w:r>
            <w:rPr>
              <w:rFonts w:hint="eastAsia" w:cs="Times New Roman" w:asciiTheme="minorEastAsia" w:hAnsiTheme="minorEastAsia" w:eastAsiaTheme="minorEastAsia"/>
              <w:bCs/>
              <w:kern w:val="2"/>
            </w:rPr>
            <w:t>的营业执照。公司于</w:t>
          </w:r>
          <w:r>
            <w:rPr>
              <w:rFonts w:cs="Times New Roman" w:asciiTheme="minorEastAsia" w:hAnsiTheme="minorEastAsia" w:eastAsiaTheme="minorEastAsia"/>
              <w:bCs/>
              <w:kern w:val="2"/>
            </w:rPr>
            <w:t xml:space="preserve"> 2010 </w:t>
          </w:r>
          <w:r>
            <w:rPr>
              <w:rFonts w:hint="eastAsia" w:cs="Times New Roman" w:asciiTheme="minorEastAsia" w:hAnsiTheme="minorEastAsia" w:eastAsiaTheme="minorEastAsia"/>
              <w:bCs/>
              <w:kern w:val="2"/>
            </w:rPr>
            <w:t>年</w:t>
          </w:r>
          <w:r>
            <w:rPr>
              <w:rFonts w:cs="Times New Roman" w:asciiTheme="minorEastAsia" w:hAnsiTheme="minorEastAsia" w:eastAsiaTheme="minorEastAsia"/>
              <w:bCs/>
              <w:kern w:val="2"/>
            </w:rPr>
            <w:t>11月25日在上海证券交易所上市，股票代码:601777。</w:t>
          </w:r>
        </w:p>
        <w:p w14:paraId="766FC233">
          <w:pPr>
            <w:widowControl w:val="0"/>
            <w:spacing w:before="120" w:beforeLines="50" w:after="120" w:afterLines="50" w:line="360" w:lineRule="exact"/>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经过历年的增发新股及资本公积转增股本，截至</w:t>
          </w:r>
          <w:r>
            <w:rPr>
              <w:rFonts w:cs="Times New Roman" w:asciiTheme="minorEastAsia" w:hAnsiTheme="minorEastAsia" w:eastAsiaTheme="minorEastAsia"/>
              <w:bCs/>
              <w:kern w:val="2"/>
            </w:rPr>
            <w:t>2025年6月30日，本公司注册资本4,521,100,071.00元，注册地址</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重庆市两江新区金山大道黄环北路2号，总部地址</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重庆市</w:t>
          </w:r>
          <w:r>
            <w:rPr>
              <w:rFonts w:hint="eastAsia" w:cs="Times New Roman" w:asciiTheme="minorEastAsia" w:hAnsiTheme="minorEastAsia" w:eastAsiaTheme="minorEastAsia"/>
              <w:bCs/>
              <w:kern w:val="2"/>
            </w:rPr>
            <w:t>北碚区蔡家岗镇</w:t>
          </w:r>
          <w:r>
            <w:rPr>
              <w:rFonts w:cs="Times New Roman" w:asciiTheme="minorEastAsia" w:hAnsiTheme="minorEastAsia" w:eastAsiaTheme="minorEastAsia"/>
              <w:bCs/>
              <w:kern w:val="2"/>
            </w:rPr>
            <w:t>凤栖路16号。</w:t>
          </w:r>
        </w:p>
        <w:p w14:paraId="5CB973C6">
          <w:pPr>
            <w:widowControl w:val="0"/>
            <w:spacing w:before="120" w:beforeLines="50" w:after="120" w:afterLines="50" w:line="360" w:lineRule="exact"/>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（二）公司实际从事的主要经营活动</w:t>
          </w:r>
        </w:p>
        <w:p w14:paraId="3AA79CF7">
          <w:pPr>
            <w:widowControl w:val="0"/>
            <w:spacing w:before="120" w:beforeLines="50" w:after="120" w:afterLines="50" w:line="360" w:lineRule="exact"/>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本公司属制造行业。主要产品为汽车、摩托车、摩托车发动机、通机。经营范围为：</w:t>
          </w:r>
          <w:r>
            <w:rPr>
              <w:rFonts w:cs="Times New Roman" w:asciiTheme="minorEastAsia" w:hAnsiTheme="minorEastAsia" w:eastAsiaTheme="minorEastAsia"/>
              <w:bCs/>
              <w:kern w:val="2"/>
            </w:rPr>
            <w:t>研制、开发、生产、销售</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汽车、汽车发动机、摩托车、摩托车发动机、车辆配件、摩托车配件、小型汽油机及配件、电动自行车及配件、汽油机助力车及配件</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销售</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有色金属(不含贵金属)、金属材料、金属制品、白银饰品、计算机、体育(限汽车、摩托车运动)及运动产品(不含研制、生产)</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为本企业研制、生产、销售的产品提供售后服务</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经营本企业研制开发的技术和生产的科技产品的出口业务</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经营本企业科研和生产所需的技术、原辅材料</w:t>
          </w:r>
          <w:r>
            <w:rPr>
              <w:rFonts w:hint="eastAsia" w:cs="Times New Roman" w:asciiTheme="minorEastAsia" w:hAnsiTheme="minorEastAsia" w:eastAsiaTheme="minorEastAsia"/>
              <w:bCs/>
              <w:kern w:val="2"/>
            </w:rPr>
            <w:t>、机械设备、仪器仪表、零配件的进口业务，经营本企业的进料加工和“三来一补”业务；</w:t>
          </w:r>
          <w:r>
            <w:rPr>
              <w:rFonts w:cs="Times New Roman" w:asciiTheme="minorEastAsia" w:hAnsiTheme="minorEastAsia" w:eastAsiaTheme="minorEastAsia"/>
              <w:bCs/>
              <w:kern w:val="2"/>
            </w:rPr>
            <w:t>经济信息咨询服务</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批发、零售</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润滑油、润滑脂</w:t>
          </w:r>
          <w:r>
            <w:rPr>
              <w:rFonts w:hint="eastAsia" w:cs="Times New Roman" w:asciiTheme="minorEastAsia" w:hAnsiTheme="minorEastAsia" w:eastAsiaTheme="minorEastAsia"/>
              <w:bCs/>
              <w:kern w:val="2"/>
            </w:rPr>
            <w:t>；</w:t>
          </w:r>
          <w:r>
            <w:rPr>
              <w:rFonts w:cs="Times New Roman" w:asciiTheme="minorEastAsia" w:hAnsiTheme="minorEastAsia" w:eastAsiaTheme="minorEastAsia"/>
              <w:bCs/>
              <w:kern w:val="2"/>
            </w:rPr>
            <w:t>普通货运(除依法须经批准的项目外，凭营业执照依法自主开展经营活动)</w:t>
          </w:r>
          <w:r>
            <w:rPr>
              <w:rFonts w:hint="eastAsia" w:cs="Times New Roman" w:asciiTheme="minorEastAsia" w:hAnsiTheme="minorEastAsia" w:eastAsiaTheme="minorEastAsia"/>
              <w:bCs/>
              <w:kern w:val="2"/>
            </w:rPr>
            <w:t>。</w:t>
          </w:r>
        </w:p>
        <w:p w14:paraId="60DB31E2">
          <w:pPr>
            <w:widowControl w:val="0"/>
            <w:spacing w:before="120" w:beforeLines="50" w:after="120" w:afterLines="50" w:line="360" w:lineRule="exact"/>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（三）母公司以及最终控制人的名称</w:t>
          </w:r>
        </w:p>
        <w:p w14:paraId="11CDF174">
          <w:pPr>
            <w:widowControl w:val="0"/>
            <w:spacing w:before="120" w:beforeLines="50" w:after="120" w:afterLines="50" w:line="360" w:lineRule="exact"/>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本公司母公司为重庆满江红私募股权投资基金合伙企业（有限合伙），本公司最终控制方是重庆满江红企业管理有限公司。</w:t>
          </w:r>
        </w:p>
        <w:p w14:paraId="4CBD0F3C">
          <w:pPr>
            <w:widowControl w:val="0"/>
            <w:spacing w:before="120" w:beforeLines="50" w:after="120" w:afterLines="50" w:line="360" w:lineRule="exact"/>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（四）财务报告的批准报出机构和财务报告批准报出日</w:t>
          </w:r>
        </w:p>
        <w:p w14:paraId="0D9E8959">
          <w:pPr>
            <w:widowControl w:val="0"/>
            <w:spacing w:before="120" w:beforeLines="50" w:after="120" w:afterLines="50" w:line="360" w:lineRule="exact"/>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本财务报表业经公司董事会于</w:t>
          </w:r>
          <w:r>
            <w:rPr>
              <w:rFonts w:cs="Times New Roman" w:asciiTheme="minorEastAsia" w:hAnsiTheme="minorEastAsia" w:eastAsiaTheme="minorEastAsia"/>
              <w:bCs/>
              <w:kern w:val="2"/>
            </w:rPr>
            <w:t>2025</w:t>
          </w:r>
          <w:r>
            <w:rPr>
              <w:rFonts w:hint="eastAsia" w:cs="Times New Roman" w:asciiTheme="minorEastAsia" w:hAnsiTheme="minorEastAsia" w:eastAsiaTheme="minorEastAsia"/>
              <w:bCs/>
              <w:kern w:val="2"/>
            </w:rPr>
            <w:t>年</w:t>
          </w:r>
          <w:r>
            <w:rPr>
              <w:rFonts w:cs="Times New Roman" w:asciiTheme="minorEastAsia" w:hAnsiTheme="minorEastAsia" w:eastAsiaTheme="minorEastAsia"/>
              <w:bCs/>
              <w:kern w:val="2"/>
            </w:rPr>
            <w:t>8</w:t>
          </w:r>
          <w:r>
            <w:rPr>
              <w:rFonts w:hint="eastAsia" w:cs="Times New Roman" w:asciiTheme="minorEastAsia" w:hAnsiTheme="minorEastAsia" w:eastAsiaTheme="minorEastAsia"/>
              <w:bCs/>
              <w:kern w:val="2"/>
            </w:rPr>
            <w:t>月</w:t>
          </w:r>
          <w:r>
            <w:rPr>
              <w:rFonts w:cs="Times New Roman" w:asciiTheme="minorEastAsia" w:hAnsiTheme="minorEastAsia" w:eastAsiaTheme="minorEastAsia"/>
              <w:bCs/>
              <w:kern w:val="2"/>
            </w:rPr>
            <w:t>22</w:t>
          </w:r>
          <w:r>
            <w:rPr>
              <w:rFonts w:hint="eastAsia" w:cs="Times New Roman" w:asciiTheme="minorEastAsia" w:hAnsiTheme="minorEastAsia" w:eastAsiaTheme="minorEastAsia"/>
              <w:bCs/>
              <w:kern w:val="2"/>
            </w:rPr>
            <w:t>日批准报出。</w:t>
          </w:r>
        </w:p>
        <w:p w14:paraId="37028A99">
          <w:pPr>
            <w:rPr>
              <w:color w:val="000000" w:themeColor="text1"/>
              <w14:textFill>
                <w14:solidFill>
                  <w14:schemeClr w14:val="tx1"/>
                </w14:solidFill>
              </w14:textFill>
            </w:rPr>
          </w:pPr>
        </w:p>
      </w:sdtContent>
    </w:sdt>
    <w:p w14:paraId="63C47531">
      <w:pPr>
        <w:rPr>
          <w:rFonts w:cs="Times New Roman"/>
          <w:color w:val="000000" w:themeColor="text1"/>
          <w:kern w:val="2"/>
          <w14:textFill>
            <w14:solidFill>
              <w14:schemeClr w14:val="tx1"/>
            </w14:solidFill>
          </w14:textFill>
        </w:rPr>
      </w:pPr>
    </w:p>
    <w:bookmarkEnd w:id="117"/>
    <w:bookmarkEnd w:id="118"/>
    <w:p w14:paraId="1F95D99E">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财务报表的编制基础</w:t>
      </w:r>
    </w:p>
    <w:p w14:paraId="4FCF5E0C">
      <w:pPr>
        <w:pStyle w:val="4"/>
        <w:numPr>
          <w:ilvl w:val="0"/>
          <w:numId w:val="32"/>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编制基础</w:t>
      </w:r>
    </w:p>
    <w:p w14:paraId="3D76DC77">
      <w:pPr>
        <w:spacing w:line="360" w:lineRule="auto"/>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财务报表的编制基础"/>
          <w:tag w:val="_GBC_1dc2375ed7ab49628f5badf2d5006405"/>
          <w:id w:val="1494296892"/>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本公司财务报表以持续经营为编制基础。</w:t>
          </w:r>
        </w:sdtContent>
      </w:sdt>
      <w:r>
        <w:rPr>
          <w:rFonts w:hint="eastAsia" w:ascii="宋体" w:hAnsi="宋体"/>
        </w:rPr>
        <w:t>根据实际发生的交易事项，按照企业会计准则的有关规定，并基于以下所述重要会计政策、会计估计进行编制。</w:t>
      </w:r>
    </w:p>
    <w:p w14:paraId="6A374A5E">
      <w:pPr>
        <w:rPr>
          <w:color w:val="000000" w:themeColor="text1"/>
          <w14:textFill>
            <w14:solidFill>
              <w14:schemeClr w14:val="tx1"/>
            </w14:solidFill>
          </w14:textFill>
        </w:rPr>
      </w:pPr>
    </w:p>
    <w:p w14:paraId="6590233F">
      <w:pPr>
        <w:pStyle w:val="4"/>
        <w:numPr>
          <w:ilvl w:val="0"/>
          <w:numId w:val="32"/>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持续经营</w:t>
      </w:r>
    </w:p>
    <w:sdt>
      <w:sdtPr>
        <w:rPr>
          <w:color w:val="000000" w:themeColor="text1"/>
          <w14:textFill>
            <w14:solidFill>
              <w14:schemeClr w14:val="tx1"/>
            </w14:solidFill>
          </w14:textFill>
        </w:rPr>
        <w:alias w:val="是否适用：持续经营[双击切换]"/>
        <w:tag w:val="_GBC_7a7bd82392314f508ef1adfe80947192"/>
        <w:id w:val="967320989"/>
        <w:placeholder>
          <w:docPart w:val="GBC22222222222222222222222222222"/>
        </w:placeholder>
      </w:sdtPr>
      <w:sdtEndPr>
        <w:rPr>
          <w:color w:val="000000" w:themeColor="text1"/>
          <w14:textFill>
            <w14:solidFill>
              <w14:schemeClr w14:val="tx1"/>
            </w14:solidFill>
          </w14:textFill>
        </w:rPr>
      </w:sdtEndPr>
      <w:sdtContent>
        <w:p w14:paraId="7B699E96">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持续经营"/>
        <w:tag w:val="_GBC_dc876c24006b428987a041949eb554f3"/>
        <w:id w:val="1206835169"/>
        <w:placeholder>
          <w:docPart w:val="GBC22222222222222222222222222222"/>
        </w:placeholder>
      </w:sdtPr>
      <w:sdtEndPr>
        <w:rPr>
          <w:color w:val="000000" w:themeColor="text1"/>
          <w14:textFill>
            <w14:solidFill>
              <w14:schemeClr w14:val="tx1"/>
            </w14:solidFill>
          </w14:textFill>
        </w:rPr>
      </w:sdtEndPr>
      <w:sdtContent>
        <w:p w14:paraId="6E6E5308">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本公司对报告期末起12个月的持续经营能力进行了评价，未发现对持续经营能力产生重大怀疑的事项或情况。因此，本财务报表系在持续经营假设的基础上编制。</w:t>
          </w:r>
        </w:p>
      </w:sdtContent>
    </w:sdt>
    <w:p w14:paraId="1C8A86A7">
      <w:pPr>
        <w:rPr>
          <w:color w:val="000000" w:themeColor="text1"/>
          <w14:textFill>
            <w14:solidFill>
              <w14:schemeClr w14:val="tx1"/>
            </w14:solidFill>
          </w14:textFill>
        </w:rPr>
      </w:pPr>
    </w:p>
    <w:p w14:paraId="04067EB9">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重要会计政策及会计估计</w:t>
      </w:r>
    </w:p>
    <w:p w14:paraId="2ADE1677">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具体会计政策和会计估计提示：</w:t>
      </w:r>
    </w:p>
    <w:sdt>
      <w:sdtPr>
        <w:rPr>
          <w:color w:val="000000" w:themeColor="text1"/>
          <w14:textFill>
            <w14:solidFill>
              <w14:schemeClr w14:val="tx1"/>
            </w14:solidFill>
          </w14:textFill>
        </w:rPr>
        <w:alias w:val="是否适用：具体会计政策和会计估计提示[双击切换]"/>
        <w:tag w:val="_GBC_77c62823e3884e1fbfb236cea1f9f425"/>
        <w:id w:val="942961407"/>
        <w:placeholder>
          <w:docPart w:val="GBC22222222222222222222222222222"/>
        </w:placeholder>
      </w:sdtPr>
      <w:sdtEndPr>
        <w:rPr>
          <w:color w:val="000000" w:themeColor="text1"/>
          <w14:textFill>
            <w14:solidFill>
              <w14:schemeClr w14:val="tx1"/>
            </w14:solidFill>
          </w14:textFill>
        </w:rPr>
      </w:sdtEndPr>
      <w:sdtContent>
        <w:p w14:paraId="67EE065E">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4158D2A">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遵循企业会计准则的声明</w:t>
      </w:r>
    </w:p>
    <w:sdt>
      <w:sdtPr>
        <w:rPr>
          <w:rFonts w:hint="eastAsia"/>
          <w:color w:val="000000" w:themeColor="text1"/>
          <w14:textFill>
            <w14:solidFill>
              <w14:schemeClr w14:val="tx1"/>
            </w14:solidFill>
          </w14:textFill>
        </w:rPr>
        <w:alias w:val="会计准则和会计制度"/>
        <w:tag w:val="_GBC_a350b889163a4ef3bb500c021e6a6b47"/>
        <w:id w:val="-297304440"/>
        <w:placeholder>
          <w:docPart w:val="GBC22222222222222222222222222222"/>
        </w:placeholder>
      </w:sdtPr>
      <w:sdtEndPr>
        <w:rPr>
          <w:rFonts w:hint="eastAsia"/>
          <w:color w:val="000000" w:themeColor="text1"/>
          <w14:textFill>
            <w14:solidFill>
              <w14:schemeClr w14:val="tx1"/>
            </w14:solidFill>
          </w14:textFill>
        </w:rPr>
      </w:sdtEndPr>
      <w:sdtContent>
        <w:p w14:paraId="3546100D">
          <w:pPr>
            <w:spacing w:line="360"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本公司所编制的财务报表符合企业会计准则的要求，真实、完整地反映了公司的财务状况、经营成果、股东权益变动和现金流量等有关信息。</w:t>
          </w:r>
        </w:p>
        <w:p w14:paraId="153B1193">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此外，本财务报告编制参照了证监会发布的《公开发行证券的公司信息披露编报规则第15号——财务报告的一般规定》（2023年修订）的列报和披露要求。</w:t>
          </w:r>
        </w:p>
      </w:sdtContent>
    </w:sdt>
    <w:p w14:paraId="23ADDB3E">
      <w:pPr>
        <w:rPr>
          <w:color w:val="000000" w:themeColor="text1"/>
          <w14:textFill>
            <w14:solidFill>
              <w14:schemeClr w14:val="tx1"/>
            </w14:solidFill>
          </w14:textFill>
        </w:rPr>
      </w:pPr>
    </w:p>
    <w:p w14:paraId="11D284B7">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会计期间</w:t>
      </w:r>
    </w:p>
    <w:sdt>
      <w:sdtPr>
        <w:rPr>
          <w:rFonts w:hint="eastAsia"/>
          <w:color w:val="000000" w:themeColor="text1"/>
          <w14:textFill>
            <w14:solidFill>
              <w14:schemeClr w14:val="tx1"/>
            </w14:solidFill>
          </w14:textFill>
        </w:rPr>
        <w:alias w:val="会计年度"/>
        <w:tag w:val="_GBC_fc896fba50b143f8a06984831f5d5600"/>
        <w:id w:val="1909657094"/>
        <w:placeholder>
          <w:docPart w:val="GBC22222222222222222222222222222"/>
        </w:placeholder>
      </w:sdtPr>
      <w:sdtEndPr>
        <w:rPr>
          <w:rFonts w:hint="eastAsia"/>
          <w:color w:val="000000" w:themeColor="text1"/>
          <w14:textFill>
            <w14:solidFill>
              <w14:schemeClr w14:val="tx1"/>
            </w14:solidFill>
          </w14:textFill>
        </w:rPr>
      </w:sdtEndPr>
      <w:sdtContent>
        <w:p w14:paraId="05FA7309">
          <w:pPr>
            <w:rPr>
              <w:color w:val="000000" w:themeColor="text1"/>
              <w14:textFill>
                <w14:solidFill>
                  <w14:schemeClr w14:val="tx1"/>
                </w14:solidFill>
              </w14:textFill>
            </w:rPr>
          </w:pPr>
          <w:r>
            <w:rPr>
              <w:color w:val="000000" w:themeColor="text1"/>
              <w14:textFill>
                <w14:solidFill>
                  <w14:schemeClr w14:val="tx1"/>
                </w14:solidFill>
              </w14:textFill>
            </w:rPr>
            <w:t>本公司会计年度自公历1月1日起至12月31日止。</w:t>
          </w:r>
        </w:p>
      </w:sdtContent>
    </w:sdt>
    <w:p w14:paraId="4F867B9A">
      <w:pPr>
        <w:rPr>
          <w:color w:val="000000" w:themeColor="text1"/>
          <w14:textFill>
            <w14:solidFill>
              <w14:schemeClr w14:val="tx1"/>
            </w14:solidFill>
          </w14:textFill>
        </w:rPr>
      </w:pPr>
    </w:p>
    <w:p w14:paraId="4320AB8C">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营业周期</w:t>
      </w:r>
    </w:p>
    <w:sdt>
      <w:sdtPr>
        <w:rPr>
          <w:color w:val="000000" w:themeColor="text1"/>
          <w14:textFill>
            <w14:solidFill>
              <w14:schemeClr w14:val="tx1"/>
            </w14:solidFill>
          </w14:textFill>
        </w:rPr>
        <w:alias w:val="是否适用：营业周期[双击切换]"/>
        <w:tag w:val="_GBC_1668f7f497234cf886206b57711c4c87"/>
        <w:id w:val="1379209565"/>
        <w:placeholder>
          <w:docPart w:val="GBC22222222222222222222222222222"/>
        </w:placeholder>
      </w:sdtPr>
      <w:sdtEndPr>
        <w:rPr>
          <w:color w:val="000000" w:themeColor="text1"/>
          <w14:textFill>
            <w14:solidFill>
              <w14:schemeClr w14:val="tx1"/>
            </w14:solidFill>
          </w14:textFill>
        </w:rPr>
      </w:sdtEndPr>
      <w:sdtContent>
        <w:p w14:paraId="2AF0200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营业周期"/>
        <w:tag w:val="_GBC_e145e43187d9463889884f48e9e0b234"/>
        <w:id w:val="1536005998"/>
        <w:placeholder>
          <w:docPart w:val="GBC22222222222222222222222222222"/>
        </w:placeholder>
      </w:sdtPr>
      <w:sdtEndPr>
        <w:rPr>
          <w:color w:val="000000" w:themeColor="text1"/>
          <w14:textFill>
            <w14:solidFill>
              <w14:schemeClr w14:val="tx1"/>
            </w14:solidFill>
          </w14:textFill>
        </w:rPr>
      </w:sdtEndPr>
      <w:sdtContent>
        <w:p w14:paraId="69378F51">
          <w:pPr>
            <w:rPr>
              <w:color w:val="000000" w:themeColor="text1"/>
              <w14:textFill>
                <w14:solidFill>
                  <w14:schemeClr w14:val="tx1"/>
                </w14:solidFill>
              </w14:textFill>
            </w:rPr>
          </w:pPr>
          <w:r>
            <w:rPr>
              <w:rFonts w:hint="eastAsia"/>
              <w:color w:val="000000" w:themeColor="text1"/>
              <w14:textFill>
                <w14:solidFill>
                  <w14:schemeClr w14:val="tx1"/>
                </w14:solidFill>
              </w14:textFill>
            </w:rPr>
            <w:t>以12个月作为一个营业周期，并以其作为资产和负债的流动性划分标准。</w:t>
          </w:r>
        </w:p>
      </w:sdtContent>
    </w:sdt>
    <w:p w14:paraId="298FA4A7">
      <w:pPr>
        <w:rPr>
          <w:color w:val="000000" w:themeColor="text1"/>
          <w14:textFill>
            <w14:solidFill>
              <w14:schemeClr w14:val="tx1"/>
            </w14:solidFill>
          </w14:textFill>
        </w:rPr>
      </w:pPr>
    </w:p>
    <w:p w14:paraId="6BD8FD86">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记账本位币</w:t>
      </w:r>
    </w:p>
    <w:sdt>
      <w:sdtPr>
        <w:rPr>
          <w:rFonts w:hint="eastAsia"/>
          <w:color w:val="000000" w:themeColor="text1"/>
          <w14:textFill>
            <w14:solidFill>
              <w14:schemeClr w14:val="tx1"/>
            </w14:solidFill>
          </w14:textFill>
        </w:rPr>
        <w:alias w:val="记账本位币"/>
        <w:tag w:val="_GBC_3749a2357eba44e8b968cb41cda75ff1"/>
        <w:id w:val="-1118289520"/>
        <w:placeholder>
          <w:docPart w:val="GBC22222222222222222222222222222"/>
        </w:placeholder>
      </w:sdtPr>
      <w:sdtEndPr>
        <w:rPr>
          <w:rFonts w:hint="eastAsia"/>
          <w:color w:val="000000" w:themeColor="text1"/>
          <w14:textFill>
            <w14:solidFill>
              <w14:schemeClr w14:val="tx1"/>
            </w14:solidFill>
          </w14:textFill>
        </w:rPr>
      </w:sdtEndPr>
      <w:sdtContent>
        <w:p w14:paraId="6A8FC285">
          <w:pPr>
            <w:rPr>
              <w:color w:val="000000" w:themeColor="text1"/>
              <w14:textFill>
                <w14:solidFill>
                  <w14:schemeClr w14:val="tx1"/>
                </w14:solidFill>
              </w14:textFill>
            </w:rPr>
          </w:pPr>
          <w:r>
            <w:rPr>
              <w:color w:val="000000" w:themeColor="text1"/>
              <w14:textFill>
                <w14:solidFill>
                  <w14:schemeClr w14:val="tx1"/>
                </w14:solidFill>
              </w14:textFill>
            </w:rPr>
            <w:t>本公司的记账本位币为人民币。</w:t>
          </w:r>
        </w:p>
      </w:sdtContent>
    </w:sdt>
    <w:p w14:paraId="098AFA78">
      <w:pPr>
        <w:rPr>
          <w:rFonts w:cs="Times New Roman"/>
          <w:color w:val="000000" w:themeColor="text1"/>
          <w:kern w:val="2"/>
          <w14:textFill>
            <w14:solidFill>
              <w14:schemeClr w14:val="tx1"/>
            </w14:solidFill>
          </w14:textFill>
        </w:rPr>
      </w:pPr>
    </w:p>
    <w:p w14:paraId="49BCE98F">
      <w:pPr>
        <w:pStyle w:val="4"/>
        <w:numPr>
          <w:ilvl w:val="0"/>
          <w:numId w:val="33"/>
        </w:numPr>
        <w:rPr>
          <w:rFonts w:ascii="宋体" w:hAnsi="宋体"/>
          <w:color w:val="000000" w:themeColor="text1"/>
          <w14:textFill>
            <w14:solidFill>
              <w14:schemeClr w14:val="tx1"/>
            </w14:solidFill>
          </w14:textFill>
        </w:rPr>
      </w:pPr>
      <w:bookmarkStart w:id="119" w:name="_Hlk169007161"/>
      <w:bookmarkStart w:id="120" w:name="_Hlk167809539"/>
      <w:r>
        <w:rPr>
          <w:rFonts w:ascii="宋体" w:hAnsi="宋体"/>
          <w:color w:val="000000" w:themeColor="text1"/>
          <w14:textFill>
            <w14:solidFill>
              <w14:schemeClr w14:val="tx1"/>
            </w14:solidFill>
          </w14:textFill>
        </w:rPr>
        <w:t>重要性标准确定方法和选择依据</w:t>
      </w:r>
    </w:p>
    <w:sdt>
      <w:sdtPr>
        <w:rPr>
          <w:color w:val="000000" w:themeColor="text1"/>
          <w14:textFill>
            <w14:solidFill>
              <w14:schemeClr w14:val="tx1"/>
            </w14:solidFill>
          </w14:textFill>
        </w:rPr>
        <w:alias w:val="是否适用：重要性标准确定方法和选择依据[双击切换]"/>
        <w:tag w:val="_GBC_1f44a82433fd445aac6090cd207979fd"/>
        <w:id w:val="-2140411260"/>
        <w:placeholder>
          <w:docPart w:val="GBC22222222222222222222222222222"/>
        </w:placeholder>
      </w:sdtPr>
      <w:sdtEndPr>
        <w:rPr>
          <w:color w:val="000000" w:themeColor="text1"/>
          <w14:textFill>
            <w14:solidFill>
              <w14:schemeClr w14:val="tx1"/>
            </w14:solidFill>
          </w14:textFill>
        </w:rPr>
      </w:sdtEndPr>
      <w:sdtContent>
        <w:p w14:paraId="41842C5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19"/>
    <w:bookmarkEnd w:id="120"/>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4717"/>
      </w:tblGrid>
      <w:tr w14:paraId="1868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d2a16b36b194561ae6c2ac9de9d21f1"/>
            <w:id w:val="1076086024"/>
          </w:sdtPr>
          <w:sdtContent>
            <w:tc>
              <w:tcPr>
                <w:tcW w:w="4106" w:type="dxa"/>
                <w:vAlign w:val="center"/>
              </w:tcPr>
              <w:p w14:paraId="4E09E796">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b4e754207e74cc59df0dce32451d27d"/>
            <w:id w:val="892852666"/>
          </w:sdtPr>
          <w:sdtContent>
            <w:tc>
              <w:tcPr>
                <w:tcW w:w="4717" w:type="dxa"/>
              </w:tcPr>
              <w:p w14:paraId="7036799B">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重要性标准</w:t>
                </w:r>
              </w:p>
            </w:tc>
          </w:sdtContent>
        </w:sdt>
      </w:tr>
      <w:tr w14:paraId="5670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4264E255">
            <w:pPr>
              <w:widowControl w:val="0"/>
              <w:jc w:val="both"/>
            </w:pPr>
            <w:r>
              <w:t>重要的单项计提坏账准备的应收款项</w:t>
            </w:r>
          </w:p>
        </w:tc>
        <w:tc>
          <w:tcPr>
            <w:tcW w:w="4717" w:type="dxa"/>
          </w:tcPr>
          <w:p w14:paraId="064AFDBE">
            <w:pPr>
              <w:widowControl w:val="0"/>
              <w:jc w:val="both"/>
            </w:pPr>
            <w:r>
              <w:t>公司将单项计提坏账准备的应收款项金额超过资产总额1‰的应收账款认定为重要的应收账款。</w:t>
            </w:r>
          </w:p>
        </w:tc>
      </w:tr>
      <w:tr w14:paraId="366B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1CA54F4D">
            <w:pPr>
              <w:widowControl w:val="0"/>
              <w:jc w:val="both"/>
            </w:pPr>
            <w:r>
              <w:t>应收款项本期坏账准备收回或转回重要的</w:t>
            </w:r>
          </w:p>
        </w:tc>
        <w:tc>
          <w:tcPr>
            <w:tcW w:w="4717" w:type="dxa"/>
          </w:tcPr>
          <w:p w14:paraId="2EE5312D">
            <w:pPr>
              <w:widowControl w:val="0"/>
              <w:jc w:val="both"/>
            </w:pPr>
            <w:r>
              <w:t>公司将单项应收款项本期坏账准备收回或转回金额超过资产总额1‰的应收款项认定为重要的应收款项。</w:t>
            </w:r>
          </w:p>
        </w:tc>
      </w:tr>
      <w:tr w14:paraId="7CA0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25506D4A">
            <w:pPr>
              <w:widowControl w:val="0"/>
              <w:jc w:val="both"/>
            </w:pPr>
            <w:r>
              <w:t>本期重要的应收款项核销</w:t>
            </w:r>
          </w:p>
        </w:tc>
        <w:tc>
          <w:tcPr>
            <w:tcW w:w="4717" w:type="dxa"/>
          </w:tcPr>
          <w:p w14:paraId="7D5334E3">
            <w:pPr>
              <w:widowControl w:val="0"/>
              <w:jc w:val="both"/>
            </w:pPr>
            <w:r>
              <w:t>公司将单项应收款项核销金额超过资产总额1‰的应收款项认定为重要的应收款项。</w:t>
            </w:r>
          </w:p>
        </w:tc>
      </w:tr>
      <w:tr w14:paraId="3832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051CFDD1">
            <w:pPr>
              <w:widowControl w:val="0"/>
              <w:jc w:val="both"/>
            </w:pPr>
            <w:r>
              <w:t>账龄超过1年且重要的预付款项</w:t>
            </w:r>
          </w:p>
        </w:tc>
        <w:tc>
          <w:tcPr>
            <w:tcW w:w="4717" w:type="dxa"/>
          </w:tcPr>
          <w:p w14:paraId="7AD22AFE">
            <w:pPr>
              <w:widowControl w:val="0"/>
              <w:jc w:val="both"/>
            </w:pPr>
            <w:r>
              <w:t>公司将单项预付款项金额超过资产总额1‰的预付款项认定为重要的预付款项。</w:t>
            </w:r>
          </w:p>
        </w:tc>
      </w:tr>
      <w:tr w14:paraId="7F88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67B19C14">
            <w:pPr>
              <w:widowControl w:val="0"/>
              <w:jc w:val="both"/>
            </w:pPr>
            <w:r>
              <w:t>重要的在建工程</w:t>
            </w:r>
          </w:p>
        </w:tc>
        <w:tc>
          <w:tcPr>
            <w:tcW w:w="4717" w:type="dxa"/>
          </w:tcPr>
          <w:p w14:paraId="02C07A83">
            <w:pPr>
              <w:widowControl w:val="0"/>
              <w:jc w:val="both"/>
            </w:pPr>
            <w:r>
              <w:t>公司将单项在建工程金额超过资产总额1‰的在建工程认定为重要的在建工程。</w:t>
            </w:r>
          </w:p>
        </w:tc>
      </w:tr>
      <w:tr w14:paraId="7B8B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282A903B">
            <w:pPr>
              <w:widowControl w:val="0"/>
              <w:jc w:val="both"/>
            </w:pPr>
            <w:r>
              <w:t>重要的债权投资</w:t>
            </w:r>
          </w:p>
        </w:tc>
        <w:tc>
          <w:tcPr>
            <w:tcW w:w="4717" w:type="dxa"/>
          </w:tcPr>
          <w:p w14:paraId="459B247A">
            <w:pPr>
              <w:widowControl w:val="0"/>
              <w:jc w:val="both"/>
            </w:pPr>
            <w:r>
              <w:t>公司将单项债权投资金额超过资产总额1‰的债权投资认定为重要的债权投资。</w:t>
            </w:r>
          </w:p>
        </w:tc>
      </w:tr>
      <w:tr w14:paraId="066B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2BDB9D6A">
            <w:pPr>
              <w:widowControl w:val="0"/>
              <w:jc w:val="both"/>
            </w:pPr>
            <w:r>
              <w:t>账龄超过1年且重要应付账款</w:t>
            </w:r>
          </w:p>
        </w:tc>
        <w:tc>
          <w:tcPr>
            <w:tcW w:w="4717" w:type="dxa"/>
          </w:tcPr>
          <w:p w14:paraId="588ADAB0">
            <w:pPr>
              <w:widowControl w:val="0"/>
              <w:jc w:val="both"/>
            </w:pPr>
            <w:r>
              <w:t>公司将单项应付账款金额超过资产总额1‰的应付账款认定为重要的应付账款。</w:t>
            </w:r>
          </w:p>
        </w:tc>
      </w:tr>
      <w:tr w14:paraId="1E3A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52610578">
            <w:pPr>
              <w:widowControl w:val="0"/>
              <w:jc w:val="both"/>
            </w:pPr>
            <w:r>
              <w:t>账龄超过1年的重要合同负债</w:t>
            </w:r>
          </w:p>
        </w:tc>
        <w:tc>
          <w:tcPr>
            <w:tcW w:w="4717" w:type="dxa"/>
          </w:tcPr>
          <w:p w14:paraId="56878DB2">
            <w:pPr>
              <w:widowControl w:val="0"/>
              <w:jc w:val="both"/>
            </w:pPr>
            <w:r>
              <w:t>公司将单项合同负债金额超过资产总额1‰的合同负债认定为重要的合同负债。</w:t>
            </w:r>
          </w:p>
        </w:tc>
      </w:tr>
      <w:tr w14:paraId="1F38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343B1434">
            <w:pPr>
              <w:widowControl w:val="0"/>
              <w:jc w:val="both"/>
            </w:pPr>
            <w:r>
              <w:t>账龄超过1年的重要其他应付款</w:t>
            </w:r>
          </w:p>
        </w:tc>
        <w:tc>
          <w:tcPr>
            <w:tcW w:w="4717" w:type="dxa"/>
          </w:tcPr>
          <w:p w14:paraId="6C5D08B3">
            <w:pPr>
              <w:widowControl w:val="0"/>
              <w:jc w:val="both"/>
            </w:pPr>
            <w:r>
              <w:t>公司将单项其他应付款金额超过资产总额1‰的其他应付款认定为重要的其他应付款。</w:t>
            </w:r>
          </w:p>
        </w:tc>
      </w:tr>
      <w:tr w14:paraId="161E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42864788">
            <w:pPr>
              <w:widowControl w:val="0"/>
              <w:jc w:val="both"/>
            </w:pPr>
            <w:r>
              <w:t>收到或支付的重要的投资活动有关的现金</w:t>
            </w:r>
          </w:p>
        </w:tc>
        <w:tc>
          <w:tcPr>
            <w:tcW w:w="4717" w:type="dxa"/>
          </w:tcPr>
          <w:p w14:paraId="6BC797CA">
            <w:pPr>
              <w:widowControl w:val="0"/>
              <w:jc w:val="both"/>
            </w:pPr>
            <w:r>
              <w:t>公司将单项投资活动现金流量金额超过资产总额2.5‰的投资活动认定为重要的投资活动</w:t>
            </w:r>
          </w:p>
        </w:tc>
      </w:tr>
      <w:tr w14:paraId="090C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532D82D8">
            <w:pPr>
              <w:widowControl w:val="0"/>
              <w:jc w:val="both"/>
            </w:pPr>
            <w:r>
              <w:t>重要的非全资子公司</w:t>
            </w:r>
          </w:p>
        </w:tc>
        <w:tc>
          <w:tcPr>
            <w:tcW w:w="4717" w:type="dxa"/>
          </w:tcPr>
          <w:p w14:paraId="5DC79DE8">
            <w:pPr>
              <w:widowControl w:val="0"/>
              <w:jc w:val="both"/>
            </w:pPr>
            <w:r>
              <w:t>公司将单个非全资子公司资产总额超过资产总额10%的非全资子公司认定为重要的非全资子公司</w:t>
            </w:r>
          </w:p>
        </w:tc>
      </w:tr>
      <w:tr w14:paraId="0184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026758ED">
            <w:pPr>
              <w:widowControl w:val="0"/>
              <w:jc w:val="both"/>
            </w:pPr>
            <w:r>
              <w:t>重要的联营或合营企业</w:t>
            </w:r>
          </w:p>
        </w:tc>
        <w:tc>
          <w:tcPr>
            <w:tcW w:w="4717" w:type="dxa"/>
          </w:tcPr>
          <w:p w14:paraId="4813CDE5">
            <w:pPr>
              <w:widowControl w:val="0"/>
              <w:jc w:val="both"/>
            </w:pPr>
            <w:r>
              <w:t>公司将单项联营或合营企业长期股权投资金额超过资产总额1%的联营或合营企业认定为重要的联营或合营企业</w:t>
            </w:r>
          </w:p>
        </w:tc>
      </w:tr>
      <w:tr w14:paraId="269C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7EC35526">
            <w:pPr>
              <w:widowControl w:val="0"/>
              <w:jc w:val="both"/>
            </w:pPr>
            <w:r>
              <w:t>重要的资本化研发项目</w:t>
            </w:r>
          </w:p>
        </w:tc>
        <w:tc>
          <w:tcPr>
            <w:tcW w:w="4717" w:type="dxa"/>
          </w:tcPr>
          <w:p w14:paraId="30FD9046">
            <w:pPr>
              <w:widowControl w:val="0"/>
              <w:jc w:val="both"/>
            </w:pPr>
            <w:r>
              <w:t>公司将单个资本化研发项目金额超过资产总额1‰认定为重要的研发项目。</w:t>
            </w:r>
          </w:p>
        </w:tc>
      </w:tr>
      <w:tr w14:paraId="2BD6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vAlign w:val="center"/>
          </w:tcPr>
          <w:p w14:paraId="78F2BF63">
            <w:pPr>
              <w:widowControl w:val="0"/>
              <w:jc w:val="both"/>
            </w:pPr>
            <w:r>
              <w:t>重大未决诉讼或仲裁形成的或有事项及其财务影响</w:t>
            </w:r>
          </w:p>
        </w:tc>
        <w:tc>
          <w:tcPr>
            <w:tcW w:w="4717" w:type="dxa"/>
          </w:tcPr>
          <w:p w14:paraId="32BC3E00">
            <w:pPr>
              <w:widowControl w:val="0"/>
              <w:jc w:val="both"/>
            </w:pPr>
            <w:r>
              <w:t>公司将单项诉讼金额超过资产总额1‰的未决诉讼认定为重大未决诉讼。</w:t>
            </w:r>
          </w:p>
        </w:tc>
      </w:tr>
    </w:tbl>
    <w:p w14:paraId="59561F4F"/>
    <w:p w14:paraId="01A056F2">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同一控制下和非同一控制下企业合并的会计处理方法</w:t>
      </w:r>
    </w:p>
    <w:sdt>
      <w:sdtPr>
        <w:rPr>
          <w:rFonts w:hint="eastAsia"/>
          <w:color w:val="000000" w:themeColor="text1"/>
          <w14:textFill>
            <w14:solidFill>
              <w14:schemeClr w14:val="tx1"/>
            </w14:solidFill>
          </w14:textFill>
        </w:rPr>
        <w:alias w:val="是否适用：同一控制下和非同一控制下企业合并的会计处理方法[双击切换]"/>
        <w:tag w:val="_GBC_15953b39483a4ce1a5c96869e4a0ae9c"/>
        <w:id w:val="231672488"/>
        <w:placeholder>
          <w:docPart w:val="GBC22222222222222222222222222222"/>
        </w:placeholder>
      </w:sdtPr>
      <w:sdtEndPr>
        <w:rPr>
          <w:rFonts w:hint="eastAsia"/>
          <w:color w:val="000000" w:themeColor="text1"/>
          <w14:textFill>
            <w14:solidFill>
              <w14:schemeClr w14:val="tx1"/>
            </w14:solidFill>
          </w14:textFill>
        </w:rPr>
      </w:sdtEndPr>
      <w:sdtContent>
        <w:p w14:paraId="6D0703E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同一控制下和非同一控制下企业合并的会计处理方法"/>
        <w:tag w:val="_GBC_ef4b9a8d4ac34f45a0f61a23267bcbb8"/>
        <w:id w:val="499319141"/>
        <w:placeholder>
          <w:docPart w:val="GBC22222222222222222222222222222"/>
        </w:placeholder>
      </w:sdtPr>
      <w:sdtEndPr>
        <w:rPr>
          <w:rFonts w:hint="eastAsia"/>
          <w:color w:val="000000" w:themeColor="text1"/>
          <w14:textFill>
            <w14:solidFill>
              <w14:schemeClr w14:val="tx1"/>
            </w14:solidFill>
          </w14:textFill>
        </w:rPr>
      </w:sdtEndPr>
      <w:sdtContent>
        <w:p w14:paraId="2F425B67">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1.同一控制下企业合并的会计处理方法</w:t>
          </w:r>
        </w:p>
        <w:p w14:paraId="07554060">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参与合并的各方在合并前后均受同一方或相同的多方最终控制且该控制并非暂时性的，为同一控制下企业合并。合并方在企业合并中取得的资产和负债，以被合并方的资产、负债（包括最终控制方收购被合并方而形成的商誉）在最终控制方合并财务报表中的账面价值为基础，进行相关会计处理。合并方取得的净资产账面价值与支付的合并对价账面价值（或发行股份面值总额）的差额，调整资本公积（股本溢价），资本公积（股本溢价）不足以冲减的，调整留存收益。合并日为合并方实际取得对被合并方控制权的日期。</w:t>
          </w:r>
        </w:p>
        <w:p w14:paraId="6234458D">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通过多次交易分步实现的同一控制下企业合并，合并方在取得被合并方控制权之前持有的长期股权投资，在取得原股权之日与合并方和被合并方同处于同一方最终控制之日孰晚日与合并日之间已确认有关损益、其他综合收益和其他所有者权益变动，分别冲减比较报表期间的期初留存收益或当期损益。</w:t>
          </w:r>
        </w:p>
        <w:p w14:paraId="2BFD1257">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2.非同一控制下企业合并的会计处理方法</w:t>
          </w:r>
        </w:p>
        <w:p w14:paraId="33C02D87">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参与合并的各方在合并前后不受同一方或相同的多方最终控制的，为非同一控制下企业合并。购买方支付的合并成本是为取得被购买方控制权而支付的资产、发生或承担的负债以及发行的权益性证券在购买日的公允价值之和。付出资产的公允价值与其账面价值的差额，计入当期损益。购买日是指购买方实际取得对被购买方控制权的日期。</w:t>
          </w:r>
        </w:p>
        <w:p w14:paraId="30FA515D">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购买方在购买日对合并成本进行分配，确认所取得的被购买方各项可辨认资产、负债及或有负债的公允价值。合并成本大于合并中取得的被购买方可辨认净资产公允价值份额的差额，确认为商誉；合并成本小于合并中取得的被购买方可辨认净资产公允价值份额的差额，计入当期损益。通过多次交易分步实现的非同一控制下企业合并，对于购买日之前持有的被购买方的股权，按照该股权在购买日的公允价值进行重新计量，公允价值与其账面价值的差额计入当期投资收益；购买日之前持有的被购买方的股权涉及其他综合收益以及其他所有者权益变动的，与其相关的其他综合收益、其他所有者权益变动转为购买日所属当期投资收益，由于被投资方重新计量设定受益计划净负债或净资产变动而产生的其他综合收益除外。</w:t>
          </w:r>
        </w:p>
        <w:p w14:paraId="31A18454">
          <w:pPr>
            <w:rPr>
              <w:color w:val="000000" w:themeColor="text1"/>
              <w14:textFill>
                <w14:solidFill>
                  <w14:schemeClr w14:val="tx1"/>
                </w14:solidFill>
              </w14:textFill>
            </w:rPr>
          </w:pPr>
        </w:p>
      </w:sdtContent>
    </w:sdt>
    <w:p w14:paraId="0AEE2370">
      <w:pPr>
        <w:rPr>
          <w:color w:val="000000" w:themeColor="text1"/>
          <w14:textFill>
            <w14:solidFill>
              <w14:schemeClr w14:val="tx1"/>
            </w14:solidFill>
          </w14:textFill>
        </w:rPr>
      </w:pPr>
    </w:p>
    <w:p w14:paraId="4A4855CB">
      <w:pPr>
        <w:pStyle w:val="4"/>
        <w:numPr>
          <w:ilvl w:val="0"/>
          <w:numId w:val="33"/>
        </w:numPr>
        <w:rPr>
          <w:rFonts w:ascii="宋体" w:hAnsi="宋体"/>
          <w:color w:val="000000" w:themeColor="text1"/>
          <w14:textFill>
            <w14:solidFill>
              <w14:schemeClr w14:val="tx1"/>
            </w14:solidFill>
          </w14:textFill>
        </w:rPr>
      </w:pPr>
      <w:bookmarkStart w:id="121" w:name="_Hlk169007307"/>
      <w:r>
        <w:rPr>
          <w:rFonts w:ascii="宋体" w:hAnsi="宋体"/>
          <w:color w:val="000000" w:themeColor="text1"/>
          <w14:textFill>
            <w14:solidFill>
              <w14:schemeClr w14:val="tx1"/>
            </w14:solidFill>
          </w14:textFill>
        </w:rPr>
        <w:t>控制的判断标准和合并财务报表的编制方法</w:t>
      </w:r>
    </w:p>
    <w:sdt>
      <w:sdtPr>
        <w:rPr>
          <w:rFonts w:hint="eastAsia"/>
          <w:color w:val="000000" w:themeColor="text1"/>
          <w14:textFill>
            <w14:solidFill>
              <w14:schemeClr w14:val="tx1"/>
            </w14:solidFill>
          </w14:textFill>
        </w:rPr>
        <w:alias w:val="是否适用：合并财务报表的编制方法[双击切换]"/>
        <w:tag w:val="_GBC_dad2e053cc8c4461a681b3e4926c48a6"/>
        <w:id w:val="-826744837"/>
        <w:placeholder>
          <w:docPart w:val="GBC22222222222222222222222222222"/>
        </w:placeholder>
      </w:sdtPr>
      <w:sdtEndPr>
        <w:rPr>
          <w:rFonts w:hint="eastAsia"/>
          <w:color w:val="000000" w:themeColor="text1"/>
          <w14:textFill>
            <w14:solidFill>
              <w14:schemeClr w14:val="tx1"/>
            </w14:solidFill>
          </w14:textFill>
        </w:rPr>
      </w:sdtEndPr>
      <w:sdtContent>
        <w:p w14:paraId="25756E4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企业合并及合并财务报表的说明"/>
        <w:tag w:val="_GBC_5201beca0c0944939b4a0d8d100d6fcf"/>
        <w:id w:val="248474429"/>
        <w:placeholder>
          <w:docPart w:val="GBC22222222222222222222222222222"/>
        </w:placeholder>
      </w:sdtPr>
      <w:sdtEndPr>
        <w:rPr>
          <w:rFonts w:hint="eastAsia"/>
          <w:color w:val="000000" w:themeColor="text1"/>
          <w14:textFill>
            <w14:solidFill>
              <w14:schemeClr w14:val="tx1"/>
            </w14:solidFill>
          </w14:textFill>
        </w:rPr>
      </w:sdtEndPr>
      <w:sdtContent>
        <w:p w14:paraId="1CFEA355">
          <w:pPr>
            <w:spacing w:line="360" w:lineRule="auto"/>
            <w:ind w:firstLine="420" w:firstLineChars="200"/>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本公司合并财务报表的合并范围应当以控制为基础予以确定。包括本公司及本公司的子公司（指被本公司控制的主体，包括企业、被投资单位中可分割部分、以及企业所控制的结构化主体等）。子公司的经营成果和财务状况由控制开始日起至控制结束日止包含于合并财务报表中。</w:t>
          </w:r>
        </w:p>
        <w:p w14:paraId="265D6F99">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控制，是指本公司拥有对被投资方的权力,通过参与被投资方的相关活动而享有可变回报，并且有能力运用对被投资方的权力影响其回报金额。相关活动，是指对被投资方的回报产生重大影响的活动。被投资方的相关活动应当根据具体情况进行判断，通常包括商品或劳务的销售和购买、金融资产的管理、资产的购买和处置、研究与开发活动以及融资活动等。</w:t>
          </w:r>
        </w:p>
        <w:p w14:paraId="5E11FE0D">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本公司在综合考虑所有相关事实和情况的基础上对是否控制被投资方进行判断。一旦相关事实和情况的变化导致对控制定义所涉及的相关要素发生变化的，本公司进行重新评估。</w:t>
          </w:r>
        </w:p>
        <w:p w14:paraId="12A26019">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合并财务报表以母公司及其子公司的财务报表为基础，根据其他有关资料，由本公司按照《企业会计准则第33号——合并财务报表》编制。</w:t>
          </w:r>
        </w:p>
        <w:p w14:paraId="58A532AE">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本公司通过同一控制下企业合并取得的子公司，在编制合并当期财务报表时，视同被合并子公司在本公司最终控制方对其实施控制时纳入合并范围，并对合并财务报表的期初数以及前期比较报表进行相应调整。</w:t>
          </w:r>
        </w:p>
        <w:p w14:paraId="2B6B1BE6">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本公司通过非同一控制下企业合并取得的子公司，在编制合并当期财务报表时，以购买日确定的各项可辨认资产、负债的公允价值为基础对子公司的财务报表进行调整，并自购买日起将被合并子公司纳入合并范围。</w:t>
          </w:r>
        </w:p>
        <w:p w14:paraId="0D9A4BEB">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子公司所采用的会计期间或会计政策与本公司不一致时，在编制合并财务报表时按本公司的会计期间或会计政策对子公司的财务报表进行必要的调整。合并范围内企业之间所有重大交易、余额以及未实现损益在编制合并财务报表时予以抵消。内部交易发生的未实现损失，有证据表明该损失是相关资产减值损失的，则不予抵消。</w:t>
          </w:r>
        </w:p>
        <w:p w14:paraId="6B48DCBD">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子公司少数股东应占的权益和损益分别在合并资产负债表中股东权益项目下和合并利润表中净利润项目下单独列示。</w:t>
          </w:r>
        </w:p>
        <w:p w14:paraId="18A367A8">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子公司少数股东分担的当期亏损超过了少数股东在该子公司期初所有者权益中所享有的份额的，其余额应当冲减少数股东权益。</w:t>
          </w:r>
        </w:p>
        <w:p w14:paraId="5E2B8DA7">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因处置部分股权投资或其他原因丧失了对原有子公司控制权的，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14:paraId="6337E8B3">
          <w:pPr>
            <w:widowControl w:val="0"/>
            <w:spacing w:line="360" w:lineRule="auto"/>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通过多次交易分步处置对子公司股权投资直至丧失控制权的，需考虑各项交易是否构成一揽子交易，处置对子公司股权投资的各项交易的条款、条件以及经济影响符合以下一种或多种情况，表明应将多次交易事项作为一揽子交易进行会计处理：（1）这些交易是同时或者在考虑了彼此影响的情况下订立的；（2）这些交易整体才能达成一项完整的商业结果；（3）一项交易的发生取决于其他至少一项交易的发生；（4）一项交易单独看是不经济的，但是和其他交易一并考虑时是经济的。不属于一揽子交易的，对其中每一项交易分别按照前述进行会计处理；若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14:paraId="771F3C1E">
          <w:pPr>
            <w:rPr>
              <w:color w:val="000000" w:themeColor="text1"/>
              <w14:textFill>
                <w14:solidFill>
                  <w14:schemeClr w14:val="tx1"/>
                </w14:solidFill>
              </w14:textFill>
            </w:rPr>
          </w:pPr>
        </w:p>
      </w:sdtContent>
    </w:sdt>
    <w:bookmarkEnd w:id="121"/>
    <w:p w14:paraId="1C5E97DF">
      <w:pPr>
        <w:rPr>
          <w:color w:val="000000" w:themeColor="text1"/>
          <w14:textFill>
            <w14:solidFill>
              <w14:schemeClr w14:val="tx1"/>
            </w14:solidFill>
          </w14:textFill>
        </w:rPr>
      </w:pPr>
    </w:p>
    <w:p w14:paraId="33B822E7">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合营安排分类及共同经营会计处理方法</w:t>
      </w:r>
    </w:p>
    <w:sdt>
      <w:sdtPr>
        <w:rPr>
          <w:rFonts w:hint="eastAsia"/>
          <w:color w:val="000000" w:themeColor="text1"/>
          <w14:textFill>
            <w14:solidFill>
              <w14:schemeClr w14:val="tx1"/>
            </w14:solidFill>
          </w14:textFill>
        </w:rPr>
        <w:alias w:val="是否适用：合营安排分类及共同经营会计处理方法[双击切换]"/>
        <w:tag w:val="_GBC_f94c8519453541fe9de852d3064d61d5"/>
        <w:id w:val="1544479620"/>
        <w:placeholder>
          <w:docPart w:val="GBC22222222222222222222222222222"/>
        </w:placeholder>
      </w:sdtPr>
      <w:sdtEndPr>
        <w:rPr>
          <w:rFonts w:hint="eastAsia"/>
          <w:color w:val="000000" w:themeColor="text1"/>
          <w14:textFill>
            <w14:solidFill>
              <w14:schemeClr w14:val="tx1"/>
            </w14:solidFill>
          </w14:textFill>
        </w:rPr>
      </w:sdtEndPr>
      <w:sdtContent>
        <w:p w14:paraId="69C961C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营安排分类及共同经营会计处理方法"/>
        <w:tag w:val="_GBC_cf67ede4230c4056b34792c6a0db55e2"/>
        <w:id w:val="-1545361174"/>
        <w:placeholder>
          <w:docPart w:val="GBC22222222222222222222222222222"/>
        </w:placeholder>
      </w:sdtPr>
      <w:sdtEndPr>
        <w:rPr>
          <w:rFonts w:asciiTheme="minorEastAsia" w:hAnsiTheme="minorEastAsia" w:eastAsiaTheme="minorEastAsia"/>
          <w:color w:val="auto"/>
        </w:rPr>
      </w:sdtEndPr>
      <w:sdtContent>
        <w:p w14:paraId="38C2525D">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合营安排分为共同经营和合营企业。共同经营是指合营方享有该安排相关资产且承担该安排相关负债的合营安排。合营企业是指合营方仅对该安排的净资产享有权利的合营安排。</w:t>
          </w:r>
        </w:p>
        <w:p w14:paraId="32EA02F4">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共同经营的合营方应当确认其与共同经营中利益份额相关的下列项目，并按照相关企业会计准则的规定进行会计处理：1</w:t>
          </w:r>
          <w:r>
            <w:rPr>
              <w:rFonts w:asciiTheme="minorEastAsia" w:hAnsiTheme="minorEastAsia" w:eastAsiaTheme="minorEastAsia"/>
            </w:rPr>
            <w:t>.</w:t>
          </w:r>
          <w:r>
            <w:rPr>
              <w:rFonts w:hint="eastAsia" w:asciiTheme="minorEastAsia" w:hAnsiTheme="minorEastAsia" w:eastAsiaTheme="minorEastAsia"/>
            </w:rPr>
            <w:t>确认单独所持有的资产，以及按其份额确认共同持有的资产；2</w:t>
          </w:r>
          <w:r>
            <w:rPr>
              <w:rFonts w:asciiTheme="minorEastAsia" w:hAnsiTheme="minorEastAsia" w:eastAsiaTheme="minorEastAsia"/>
            </w:rPr>
            <w:t>.</w:t>
          </w:r>
          <w:r>
            <w:rPr>
              <w:rFonts w:hint="eastAsia" w:asciiTheme="minorEastAsia" w:hAnsiTheme="minorEastAsia" w:eastAsiaTheme="minorEastAsia"/>
            </w:rPr>
            <w:t>确认单独所承担的负债，以及按其份额确认共同承担的负债；3</w:t>
          </w:r>
          <w:r>
            <w:rPr>
              <w:rFonts w:asciiTheme="minorEastAsia" w:hAnsiTheme="minorEastAsia" w:eastAsiaTheme="minorEastAsia"/>
            </w:rPr>
            <w:t>.</w:t>
          </w:r>
          <w:r>
            <w:rPr>
              <w:rFonts w:hint="eastAsia" w:asciiTheme="minorEastAsia" w:hAnsiTheme="minorEastAsia" w:eastAsiaTheme="minorEastAsia"/>
            </w:rPr>
            <w:t>确认出售其享有的共同经营产出份额所产生的收入；4</w:t>
          </w:r>
          <w:r>
            <w:rPr>
              <w:rFonts w:asciiTheme="minorEastAsia" w:hAnsiTheme="minorEastAsia" w:eastAsiaTheme="minorEastAsia"/>
            </w:rPr>
            <w:t>.</w:t>
          </w:r>
          <w:r>
            <w:rPr>
              <w:rFonts w:hint="eastAsia" w:asciiTheme="minorEastAsia" w:hAnsiTheme="minorEastAsia" w:eastAsiaTheme="minorEastAsia"/>
            </w:rPr>
            <w:t>按其份额确认共同经营因出售产出所产生的收入；5</w:t>
          </w:r>
          <w:r>
            <w:rPr>
              <w:rFonts w:asciiTheme="minorEastAsia" w:hAnsiTheme="minorEastAsia" w:eastAsiaTheme="minorEastAsia"/>
            </w:rPr>
            <w:t>.</w:t>
          </w:r>
          <w:r>
            <w:rPr>
              <w:rFonts w:hint="eastAsia" w:asciiTheme="minorEastAsia" w:hAnsiTheme="minorEastAsia" w:eastAsiaTheme="minorEastAsia"/>
            </w:rPr>
            <w:t>确认单独所发生的费用，以及按其份额确认共同经营发生的费用。</w:t>
          </w:r>
        </w:p>
        <w:p w14:paraId="72B5803A">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合营方向共同经营投出或出售资产等（该资产构成业务的除外），在该资产等由共同经营出售给第三方之前，应当仅确认因该交易产生的损益中归属于共同经营其他参与方的部分。投出或出售的资产发生符合《企业会计准则第 8 号——资产减值》等规定的资产减值损失的，合营方应当全额确认该损失。</w:t>
          </w:r>
        </w:p>
        <w:p w14:paraId="71CE24C4">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合营方自共同经营购买资产等（该资产构成业务的除外），在将该资产等出售给第三方之前，应当仅确认因该交易产生的损益中归属于共同经营其他参与方的部分。购入的资产发生符合《企业会计准则第 8 号——资产减值》等规定的资产减值损失的，合营方应当按其承担的份额确认该部分损失。</w:t>
          </w:r>
        </w:p>
        <w:p w14:paraId="183223B2">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对共同经营不享有共同控制的参与方，如果享有该共同经营相关资产且承担该共同经营相关负债的，应当按照前述规定进行会计处理。</w:t>
          </w:r>
        </w:p>
      </w:sdtContent>
    </w:sdt>
    <w:p w14:paraId="730BBA02">
      <w:pPr>
        <w:rPr>
          <w:color w:val="000000" w:themeColor="text1"/>
          <w14:textFill>
            <w14:solidFill>
              <w14:schemeClr w14:val="tx1"/>
            </w14:solidFill>
          </w14:textFill>
        </w:rPr>
      </w:pPr>
    </w:p>
    <w:p w14:paraId="049AAA76">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现金及现金等价物的确定标准</w:t>
      </w:r>
    </w:p>
    <w:sdt>
      <w:sdtPr>
        <w:rPr>
          <w:rFonts w:hint="eastAsia"/>
          <w:color w:val="000000" w:themeColor="text1"/>
          <w14:textFill>
            <w14:solidFill>
              <w14:schemeClr w14:val="tx1"/>
            </w14:solidFill>
          </w14:textFill>
        </w:rPr>
        <w:alias w:val="现金及现金等价物的确定标准"/>
        <w:tag w:val="_GBC_54f6bc3e44e840bc85cb3872600823b5"/>
        <w:id w:val="-1984610370"/>
        <w:placeholder>
          <w:docPart w:val="GBC22222222222222222222222222222"/>
        </w:placeholder>
      </w:sdtPr>
      <w:sdtEndPr>
        <w:rPr>
          <w:rFonts w:hint="eastAsia" w:asciiTheme="minorEastAsia" w:hAnsiTheme="minorEastAsia" w:eastAsiaTheme="minorEastAsia"/>
          <w:color w:val="auto"/>
        </w:rPr>
      </w:sdtEndPr>
      <w:sdtContent>
        <w:p w14:paraId="5341D8D6">
          <w:pPr>
            <w:spacing w:line="360" w:lineRule="auto"/>
            <w:rPr>
              <w:rFonts w:asciiTheme="minorEastAsia" w:hAnsiTheme="minorEastAsia" w:eastAsiaTheme="minorEastAsia"/>
            </w:rPr>
          </w:pPr>
          <w:r>
            <w:rPr>
              <w:rFonts w:asciiTheme="minorEastAsia" w:hAnsiTheme="minorEastAsia" w:eastAsiaTheme="minorEastAsia"/>
            </w:rPr>
            <w:t>现金等价物是指企业持有的期限短（一般指从购买日起三个月内到期）、流动性强、易于转换为已知金额现金、价值变动风险很小的投资。</w:t>
          </w:r>
        </w:p>
      </w:sdtContent>
    </w:sdt>
    <w:p w14:paraId="0B202B11">
      <w:pPr>
        <w:rPr>
          <w:color w:val="000000" w:themeColor="text1"/>
          <w14:textFill>
            <w14:solidFill>
              <w14:schemeClr w14:val="tx1"/>
            </w14:solidFill>
          </w14:textFill>
        </w:rPr>
      </w:pPr>
    </w:p>
    <w:p w14:paraId="750B90D8">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外币业务和外币报表折算</w:t>
      </w:r>
    </w:p>
    <w:sdt>
      <w:sdtPr>
        <w:rPr>
          <w:rFonts w:hint="eastAsia"/>
          <w:color w:val="000000" w:themeColor="text1"/>
          <w14:textFill>
            <w14:solidFill>
              <w14:schemeClr w14:val="tx1"/>
            </w14:solidFill>
          </w14:textFill>
        </w:rPr>
        <w:alias w:val="是否适用：外币业务和外币报表折算[双击切换]"/>
        <w:tag w:val="_GBC_cd1fc5c05f5e49ed9ea2fffe41d0d113"/>
        <w:id w:val="-1096634613"/>
        <w:placeholder>
          <w:docPart w:val="GBC22222222222222222222222222222"/>
        </w:placeholder>
      </w:sdtPr>
      <w:sdtEndPr>
        <w:rPr>
          <w:rFonts w:hint="eastAsia"/>
          <w:color w:val="000000" w:themeColor="text1"/>
          <w14:textFill>
            <w14:solidFill>
              <w14:schemeClr w14:val="tx1"/>
            </w14:solidFill>
          </w14:textFill>
        </w:rPr>
      </w:sdtEndPr>
      <w:sdtContent>
        <w:p w14:paraId="17A571A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外币业务核算方法"/>
        <w:tag w:val="_GBC_1703fe5fc56b42a8972c0906a4ac6d6b"/>
        <w:id w:val="-1786576919"/>
        <w:placeholder>
          <w:docPart w:val="GBC22222222222222222222222222222"/>
        </w:placeholder>
      </w:sdtPr>
      <w:sdtEndPr>
        <w:rPr>
          <w:rFonts w:hint="eastAsia"/>
          <w:color w:val="000000" w:themeColor="text1"/>
          <w14:textFill>
            <w14:solidFill>
              <w14:schemeClr w14:val="tx1"/>
            </w14:solidFill>
          </w14:textFill>
        </w:rPr>
      </w:sdtEndPr>
      <w:sdtContent>
        <w:p w14:paraId="7FFF7D78">
          <w:pPr>
            <w:spacing w:after="120" w:afterLines="50" w:line="360" w:lineRule="exact"/>
            <w:ind w:firstLine="420" w:firstLineChars="200"/>
            <w:rPr>
              <w:rFonts w:ascii="宋体"/>
            </w:rPr>
          </w:pPr>
          <w:r>
            <w:rPr>
              <w:rFonts w:ascii="宋体" w:hAnsi="宋体"/>
            </w:rPr>
            <w:t>1</w:t>
          </w:r>
          <w:r>
            <w:rPr>
              <w:rFonts w:ascii="宋体"/>
            </w:rPr>
            <w:t>.</w:t>
          </w:r>
          <w:r>
            <w:rPr>
              <w:rFonts w:hint="eastAsia" w:ascii="宋体" w:hAnsi="宋体"/>
            </w:rPr>
            <w:t>外币业务折算</w:t>
          </w:r>
        </w:p>
        <w:p w14:paraId="0077C37E">
          <w:pPr>
            <w:spacing w:after="120" w:afterLines="50" w:line="360" w:lineRule="exact"/>
            <w:ind w:firstLine="420" w:firstLineChars="200"/>
            <w:rPr>
              <w:rFonts w:ascii="宋体" w:hAnsi="宋体"/>
            </w:rPr>
          </w:pPr>
          <w:r>
            <w:rPr>
              <w:rFonts w:hint="eastAsia" w:ascii="宋体" w:hAnsi="宋体"/>
            </w:rPr>
            <w:t>发生外币交易时，采用交易发生日的即期汇率将外币金额折算为人民币金额。</w:t>
          </w:r>
        </w:p>
        <w:p w14:paraId="6B801ADF">
          <w:pPr>
            <w:spacing w:after="120" w:afterLines="50" w:line="360" w:lineRule="exact"/>
            <w:ind w:firstLine="420" w:firstLineChars="200"/>
            <w:rPr>
              <w:rFonts w:ascii="宋体" w:hAnsi="宋体"/>
            </w:rPr>
          </w:pPr>
          <w:r>
            <w:rPr>
              <w:rFonts w:hint="eastAsia" w:ascii="宋体" w:hAnsi="宋体"/>
            </w:rPr>
            <w:t>于资产负债表日，外币货币性项目采用资产负债表日的即期汇率折算为人民币，所产生的折算差额，除根据借款费用核算方法应予资本化的，计入当期损益。以历史成本计量的外币非货币性项目，于资产负债表日仍采用交易发生日的即期汇率折算。</w:t>
          </w:r>
        </w:p>
        <w:p w14:paraId="047A7FCE">
          <w:pPr>
            <w:spacing w:after="120" w:afterLines="50" w:line="360" w:lineRule="exact"/>
            <w:ind w:firstLine="420" w:firstLineChars="200"/>
            <w:rPr>
              <w:rFonts w:ascii="宋体" w:hAnsi="宋体"/>
            </w:rPr>
          </w:pPr>
          <w:r>
            <w:rPr>
              <w:rFonts w:ascii="宋体" w:hAnsi="宋体"/>
            </w:rPr>
            <w:t>2.</w:t>
          </w:r>
          <w:r>
            <w:rPr>
              <w:rFonts w:hint="eastAsia" w:ascii="宋体" w:hAnsi="宋体"/>
            </w:rPr>
            <w:t>外币财务报表折算</w:t>
          </w:r>
        </w:p>
        <w:p w14:paraId="61CD80B2">
          <w:pPr>
            <w:spacing w:after="120" w:afterLines="50" w:line="360" w:lineRule="exact"/>
            <w:ind w:firstLine="420" w:firstLineChars="200"/>
            <w:rPr>
              <w:color w:val="000000" w:themeColor="text1"/>
              <w14:textFill>
                <w14:solidFill>
                  <w14:schemeClr w14:val="tx1"/>
                </w14:solidFill>
              </w14:textFill>
            </w:rPr>
          </w:pPr>
          <w:r>
            <w:rPr>
              <w:rFonts w:hint="eastAsia" w:ascii="宋体" w:hAnsi="宋体"/>
            </w:rPr>
            <w:t>境外经营的资产负债表中的资产和负债项目，采用资产负债表日的即期汇率折算，股东权益项目除未分配利润项目外，其他项目采用发生时的即期汇率折算。境外经营的利润表中的收入和费用项目，采用年平均汇率折算。上述折算产生的外币报表折算差额，在其他综合收益中单独列示。</w:t>
          </w:r>
        </w:p>
      </w:sdtContent>
    </w:sdt>
    <w:p w14:paraId="39784A6B">
      <w:pPr>
        <w:rPr>
          <w:color w:val="000000" w:themeColor="text1"/>
          <w14:textFill>
            <w14:solidFill>
              <w14:schemeClr w14:val="tx1"/>
            </w14:solidFill>
          </w14:textFill>
        </w:rPr>
      </w:pPr>
    </w:p>
    <w:p w14:paraId="0EF22058">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金融工具</w:t>
      </w:r>
    </w:p>
    <w:sdt>
      <w:sdtPr>
        <w:rPr>
          <w:rFonts w:hint="eastAsia"/>
          <w:color w:val="000000" w:themeColor="text1"/>
          <w14:textFill>
            <w14:solidFill>
              <w14:schemeClr w14:val="tx1"/>
            </w14:solidFill>
          </w14:textFill>
        </w:rPr>
        <w:alias w:val="是否适用：金融工具_重要会计政策和估计[双击切换]"/>
        <w:tag w:val="_GBC_285bdf73a629411f9c5d05731712b876"/>
        <w:id w:val="91516476"/>
        <w:placeholder>
          <w:docPart w:val="GBC22222222222222222222222222222"/>
        </w:placeholder>
      </w:sdtPr>
      <w:sdtEndPr>
        <w:rPr>
          <w:rFonts w:hint="eastAsia"/>
          <w:color w:val="000000" w:themeColor="text1"/>
          <w14:textFill>
            <w14:solidFill>
              <w14:schemeClr w14:val="tx1"/>
            </w14:solidFill>
          </w14:textFill>
        </w:rPr>
      </w:sdtEndPr>
      <w:sdtContent>
        <w:p w14:paraId="563E88A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金融资产和金融负债的核算方法"/>
        <w:tag w:val="_GBC_b358067bbe2a49bf880c383a5db50d8a"/>
        <w:id w:val="1207381285"/>
        <w:placeholder>
          <w:docPart w:val="GBC22222222222222222222222222222"/>
        </w:placeholder>
      </w:sdtPr>
      <w:sdtEndPr>
        <w:rPr>
          <w:rFonts w:hint="eastAsia"/>
          <w:color w:val="000000" w:themeColor="text1"/>
          <w14:textFill>
            <w14:solidFill>
              <w14:schemeClr w14:val="tx1"/>
            </w14:solidFill>
          </w14:textFill>
        </w:rPr>
      </w:sdtEndPr>
      <w:sdtContent>
        <w:p w14:paraId="0DCF6BA6">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金融工具是指形成一方的金融资产并形成其他方的金融负债或权益工具的合同。</w:t>
          </w:r>
        </w:p>
        <w:p w14:paraId="0F834FB9">
          <w:pPr>
            <w:spacing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金融工具的确认和终止确认</w:t>
          </w:r>
        </w:p>
        <w:p w14:paraId="01C7D47A">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当本公司成为金融工具合同的一方时，确认一项金融资产或金融负债。</w:t>
          </w:r>
        </w:p>
        <w:p w14:paraId="311EE216">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金融资产满足下列条件之一的，应当终止确认：（1）收取该金融资产现金流量的合同权利终止。（2）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14:paraId="7DF42259">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金融负债（或其一部分）的现时义务已经解除的，终止确认该金融负债（或该部分金融负债）。</w:t>
          </w:r>
        </w:p>
        <w:p w14:paraId="4792E801">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对于以常规方式购买或出售金融资产的，公司在交易日确认将收到的资产和为此将承担的负债，或者在交易日终止确认已出售的资产。</w:t>
          </w:r>
        </w:p>
        <w:p w14:paraId="41612E7F">
          <w:pPr>
            <w:spacing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金融资产分类和计量</w:t>
          </w:r>
        </w:p>
        <w:p w14:paraId="298B57EF">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初始确认金融资产时本公司根据管理金融资产的业务模式和金融资产的合同现金流量特征，将金融资产划分为：以摊余成本计量的金融资产；以公允价值计量且其变动计入其他综合收益的金融资产；以公允价值计量且其变动计入当期损益的金融资产。</w:t>
          </w:r>
        </w:p>
        <w:p w14:paraId="0466ADB6">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（1）金融资产的初始计量：</w:t>
          </w:r>
        </w:p>
        <w:p w14:paraId="6DB1815F">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款，本公司按照预期有权收取的对价初始计量。</w:t>
          </w:r>
        </w:p>
        <w:p w14:paraId="629C2973">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（2）金融资产的后续计量：</w:t>
          </w:r>
        </w:p>
        <w:p w14:paraId="5F2F2EBF">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1）以摊余成本计量的债务工具投资</w:t>
          </w:r>
        </w:p>
        <w:p w14:paraId="224CF5F7">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金融资产的合同现金流量特征与基本借贷安排相一致，即在特定日期产生的现金流量，仅为对本金和以未偿付本金金额为基础的利息的支付，且公司管理此类金融资产的业务模式为以收取合同现金流量为目标的，本公司将其分类为以摊余成本计量的金融资产。该金融资产采用实际利率法，按照摊余成本进行后续计量，其摊销、减值及终止确认产生的利得或损失，计入当期损益。</w:t>
          </w:r>
        </w:p>
        <w:p w14:paraId="5BF78056">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2）以公允价值计量且其变动计入其他综合收益的债务工具投资</w:t>
          </w:r>
        </w:p>
        <w:p w14:paraId="08FE09D4">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金融资产的合同现金流量特征与基本借贷安排相一致，即在特定日期产生的现金流量，仅为对本金和以未偿付本金金额为基础的利息的支付，且公司管理此类金融资产的业务模式为既以收取合同现金流量为目标又以出售为目标的，本公司将其分类为以公允价值计量且其变动计入其他综合收益的金融资产。该金融资产采用实际利率法确认的利息收入、减值损失及汇兑差额确认为当期损益，其余公允价值变动计入其他综合收益。终止确认时，之前计入其他综合收益的累计利得或损失从其他综合收益转出，计入当期损益。</w:t>
          </w:r>
        </w:p>
        <w:p w14:paraId="3FEEA293">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3）指定为以公允价值计量且其变动计入其他综合收益的权益工具投资</w:t>
          </w:r>
        </w:p>
        <w:p w14:paraId="7F8BBC73">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初始确认时，本公司将部分非交易性权益工具投资指定为以公允价值计量且其变动计入其他综合收益的金融资产。本公司将其相关股利收入计入当期损益，其公允价值变动计入其他综合收益。该金融资产终止确认时，之前计入其他综合收益的累计利得或损失将从其他综合收益转入留存收益，不计入当期损益。</w:t>
          </w:r>
        </w:p>
        <w:p w14:paraId="36F9AC0A">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4）以公允价值计量且其变动计入当期损益的金融资产</w:t>
          </w:r>
        </w:p>
        <w:p w14:paraId="4BF75D64">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包括分类为以公允价值计量且其变动计入当期损益的金融资产和指定为以公允价值计量且其变动计入当期损益的金融资产。</w:t>
          </w:r>
        </w:p>
        <w:p w14:paraId="62C7DCB2">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本公司将持有的未划分为以摊余成本计量和以公允价值计量且其变动计入其他综合收益的金融资产，分类为以公允价值计量且其变动计入当期损益的金融资产。</w:t>
          </w:r>
        </w:p>
        <w:p w14:paraId="7667BB5F">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在初始确认时，为消除或显著减少会计错配，本公司可将金融资产指定为以公允价值计量且其变动计入当期损益的金融资产。</w:t>
          </w:r>
        </w:p>
        <w:p w14:paraId="0E1C2FC0">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3．金融资产转移的确认依据和计量方法</w:t>
          </w:r>
        </w:p>
        <w:p w14:paraId="1B336381">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本公司已将金融资产所有权上几乎所有的风险和报酬转移给转入方的，终止确认该金融资产；保留了金融资产所有权上几乎所有的风险和报酬的，不终止确认该金融资产。</w:t>
          </w:r>
        </w:p>
        <w:p w14:paraId="4B6B048C">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既没有转移也没有保留金融资产所有权上几乎所有的风险和报酬，未保留对该金融资产控制的，终止确认该金融资产并将转移中产生或保留的权利和义务单独确认为资产或负债；保留了对该金融资产控制的，按照继续涉入被转移金融资产的程度继续确认有关金融资产，并相应确认相关负债。</w:t>
          </w:r>
        </w:p>
        <w:p w14:paraId="706BD15D">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4．金融负债的分类和计量</w:t>
          </w:r>
        </w:p>
        <w:p w14:paraId="6E61CACE">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金融负债于初始确认时分类为以公允价值计量且其变动计入当期损益的金融负债和其他金融负债。</w:t>
          </w:r>
        </w:p>
        <w:p w14:paraId="10EA9D48">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（1）金融负债的初始计量</w:t>
          </w:r>
        </w:p>
        <w:p w14:paraId="392FB458">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金融负债在初始确认时以公允价值计量。对于以公允价值计量且其变动计入当期损益的金融负债，相关交易费用直接计入当期损益；对于以摊余成本计量的金融负债，相关交易费用计入初始确认金额。</w:t>
          </w:r>
        </w:p>
        <w:p w14:paraId="39DEA1CC">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（2）金融负债的后续计量</w:t>
          </w:r>
        </w:p>
        <w:p w14:paraId="5CB4FA10">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1）以公允价值计量且其变动计入当期损益的金融负债</w:t>
          </w:r>
        </w:p>
        <w:p w14:paraId="5E651191">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包括交易性金融负债（含属于金融负债的衍生工具）和初始确认时指定为以公允价值计量且其变动计入当期损益的金融负债。</w:t>
          </w:r>
        </w:p>
        <w:p w14:paraId="3EC2F3E8">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交易性金融负债（含属于金融负债的衍生工具），按照公允价值进行后续计量，除与套期会计有关外，公允价值变动计入当期损益。</w:t>
          </w:r>
        </w:p>
        <w:p w14:paraId="395D19B4">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指定为以公允价值计量且其变动计入当期损益的金融负债，由本公司自身信用风险变动引起的公允价值变动计入其他综合收益；终止确认时，之前计入其他综合收益的累计利得或损失从其他综合收益中转出，计入留存收益。其余公允价值变动计入当期损益。如果前述会计处理会造成或扩大损益中的会计错配，将该金融负债的全部利得或损失（包括企业自身信用风险变动的影响金额）计入当期损益。</w:t>
          </w:r>
        </w:p>
        <w:p w14:paraId="3E349F23">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2）其他金融负债</w:t>
          </w:r>
        </w:p>
        <w:p w14:paraId="63ACE1AD">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除金融资产转移不符合终止确认条件或继续涉入被转移金融资产所形成的金融负债、财务担保合同外的其他金融负债分类为以摊余成本计量的金融负债，按摊余成本进行后续计量，终止确认或摊销产生的利得或损失计入当期损益。</w:t>
          </w:r>
        </w:p>
        <w:p w14:paraId="13CAAB71">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5．金融资产和金融负债的抵销</w:t>
          </w:r>
        </w:p>
        <w:p w14:paraId="680DB9E1">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同时满足下列条件的，金融资产和金融负债以相互抵销后的净额在资产负债表内列示：具有抵销已确认金额的法定权利，且该种法定权利是当前可执行的；计划以净额结算，或同时变现该金融资产和清偿该金融负债。</w:t>
          </w:r>
        </w:p>
        <w:p w14:paraId="40C4FBA9">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6．金融工具的公允价值确定</w:t>
          </w:r>
        </w:p>
        <w:p w14:paraId="1D97E0CA">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14:paraId="68EB69A5">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7．金融工具减值（不含应收款项）</w:t>
          </w:r>
        </w:p>
        <w:p w14:paraId="4822E4C8">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本公司以预期信用损失为基础，对以摊余成本计量的金融资产、以公允价值计量且其变动计入其他综合收益的债务工具投资、财务担保合同等计提减值准备并确认信用减值损失。</w:t>
          </w:r>
        </w:p>
        <w:p w14:paraId="604329E0">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本公司在评估预期信用损失时，考虑所有合理且有依据的信息，包括前瞻性信息。</w:t>
          </w:r>
        </w:p>
        <w:p w14:paraId="7460D5EB">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w:t>
          </w:r>
        </w:p>
        <w:p w14:paraId="509FEEFD">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如果信用风险自初始确认后未显著增加，处于第一阶段，本公司按照未来12个月内预期信用损失的金额计量损失准备；如果信用风险自初始确认后已显著增加但尚未发生信用减值，处于第二阶段，本公司按照相当于整个存续期内预期信用损失的金额计量损失准备；金融工具自初始确认后已发生信用减值的，处于第三阶段，本公司按照整个存续期的预期信用损失计量损失准备。对于在资产负债表日具有较低信用风险的金融工具，本公司假设其信用风险自初始确认后并未显著增加，按照未来 12 个月内的预期信用损失计量损失准备。</w:t>
          </w:r>
        </w:p>
        <w:p w14:paraId="122E5336">
          <w:pPr>
            <w:rPr>
              <w:color w:val="000000" w:themeColor="text1"/>
              <w14:textFill>
                <w14:solidFill>
                  <w14:schemeClr w14:val="tx1"/>
                </w14:solidFill>
              </w14:textFill>
            </w:rPr>
          </w:pPr>
        </w:p>
      </w:sdtContent>
    </w:sdt>
    <w:p w14:paraId="507DF71D">
      <w:pPr>
        <w:rPr>
          <w:color w:val="000000" w:themeColor="text1"/>
          <w14:textFill>
            <w14:solidFill>
              <w14:schemeClr w14:val="tx1"/>
            </w14:solidFill>
          </w14:textFill>
        </w:rPr>
      </w:pPr>
    </w:p>
    <w:p w14:paraId="436677F3">
      <w:pPr>
        <w:pStyle w:val="4"/>
        <w:numPr>
          <w:ilvl w:val="0"/>
          <w:numId w:val="33"/>
        </w:numPr>
        <w:rPr>
          <w:rFonts w:ascii="宋体" w:hAnsi="宋体"/>
          <w:color w:val="000000" w:themeColor="text1"/>
          <w14:textFill>
            <w14:solidFill>
              <w14:schemeClr w14:val="tx1"/>
            </w14:solidFill>
          </w14:textFill>
        </w:rPr>
      </w:pPr>
      <w:bookmarkStart w:id="122" w:name="_Hlk533667757"/>
      <w:bookmarkStart w:id="123" w:name="_Hlk167809825"/>
      <w:r>
        <w:rPr>
          <w:rFonts w:ascii="宋体" w:hAnsi="宋体"/>
          <w:color w:val="000000" w:themeColor="text1"/>
          <w14:textFill>
            <w14:solidFill>
              <w14:schemeClr w14:val="tx1"/>
            </w14:solidFill>
          </w14:textFill>
        </w:rPr>
        <w:t>应收票据</w:t>
      </w:r>
    </w:p>
    <w:sdt>
      <w:sdtPr>
        <w:rPr>
          <w:color w:val="000000" w:themeColor="text1"/>
          <w14:textFill>
            <w14:solidFill>
              <w14:schemeClr w14:val="tx1"/>
            </w14:solidFill>
          </w14:textFill>
        </w:rPr>
        <w:alias w:val="是否适用：应收票据_重要会计政策和估计[双击切换]"/>
        <w:tag w:val="_GBC_aefda35d1a7148f0844e33d721703cda"/>
        <w:id w:val="996076114"/>
        <w:placeholder>
          <w:docPart w:val="GBC22222222222222222222222222222"/>
        </w:placeholder>
      </w:sdtPr>
      <w:sdtEndPr>
        <w:rPr>
          <w:color w:val="000000" w:themeColor="text1"/>
          <w14:textFill>
            <w14:solidFill>
              <w14:schemeClr w14:val="tx1"/>
            </w14:solidFill>
          </w14:textFill>
        </w:rPr>
      </w:sdtEndPr>
      <w:sdtContent>
        <w:p w14:paraId="4853E6F7">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22"/>
    <w:p w14:paraId="2F80B0A1">
      <w:pPr>
        <w:spacing w:line="360" w:lineRule="auto"/>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按照信用风险特征组合计提坏账准备的组合类别及确定依据</w:t>
      </w:r>
    </w:p>
    <w:sdt>
      <w:sdtPr>
        <w:rPr>
          <w:color w:val="000000" w:themeColor="text1"/>
          <w14:textFill>
            <w14:solidFill>
              <w14:schemeClr w14:val="tx1"/>
            </w14:solidFill>
          </w14:textFill>
        </w:rPr>
        <w:alias w:val="是否适用：应收票据按照信用风险特征组合计提坏账准备的组合类别及确定依据[双击切换]"/>
        <w:tag w:val="_GBC_6949617b516947f48c32672b1d486a5b"/>
        <w:id w:val="-1105880016"/>
        <w:placeholder>
          <w:docPart w:val="GBC22222222222222222222222222222"/>
        </w:placeholder>
      </w:sdtPr>
      <w:sdtEndPr>
        <w:rPr>
          <w:color w:val="000000" w:themeColor="text1"/>
          <w14:textFill>
            <w14:solidFill>
              <w14:schemeClr w14:val="tx1"/>
            </w14:solidFill>
          </w14:textFill>
        </w:rPr>
      </w:sdtEndPr>
      <w:sdtContent>
        <w:p w14:paraId="0354A8B0">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1317DAD">
      <w:pPr>
        <w:spacing w:line="360" w:lineRule="auto"/>
        <w:rPr>
          <w:rFonts w:cs="Times New Roman"/>
          <w:b/>
          <w:bCs/>
          <w:color w:val="000000" w:themeColor="text1"/>
          <w:kern w:val="2"/>
          <w:szCs w:val="28"/>
          <w14:textFill>
            <w14:solidFill>
              <w14:schemeClr w14:val="tx1"/>
            </w14:solidFill>
          </w14:textFill>
        </w:rPr>
      </w:pPr>
    </w:p>
    <w:p w14:paraId="7BF51F10">
      <w:pPr>
        <w:spacing w:line="360" w:lineRule="auto"/>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基于账龄确认信用风险特征组合的账龄计算方法</w:t>
      </w:r>
    </w:p>
    <w:sdt>
      <w:sdtPr>
        <w:rPr>
          <w:color w:val="000000" w:themeColor="text1"/>
          <w14:textFill>
            <w14:solidFill>
              <w14:schemeClr w14:val="tx1"/>
            </w14:solidFill>
          </w14:textFill>
        </w:rPr>
        <w:alias w:val="是否适用：应收票据基于账龄确认信用风险特征组合的账龄计算方法[双击切换]"/>
        <w:tag w:val="_GBC_65e77abc757c44a39f32a7fae1f5da22"/>
        <w:id w:val="1122196946"/>
        <w:placeholder>
          <w:docPart w:val="GBC22222222222222222222222222222"/>
        </w:placeholder>
      </w:sdtPr>
      <w:sdtEndPr>
        <w:rPr>
          <w:color w:val="000000" w:themeColor="text1"/>
          <w14:textFill>
            <w14:solidFill>
              <w14:schemeClr w14:val="tx1"/>
            </w14:solidFill>
          </w14:textFill>
        </w:rPr>
      </w:sdtEndPr>
      <w:sdtContent>
        <w:p w14:paraId="0F76204F">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699EA7">
      <w:pPr>
        <w:spacing w:line="360" w:lineRule="auto"/>
        <w:rPr>
          <w:rFonts w:cs="Times New Roman"/>
          <w:b/>
          <w:bCs/>
          <w:color w:val="000000" w:themeColor="text1"/>
          <w:kern w:val="2"/>
          <w:szCs w:val="28"/>
          <w14:textFill>
            <w14:solidFill>
              <w14:schemeClr w14:val="tx1"/>
            </w14:solidFill>
          </w14:textFill>
        </w:rPr>
      </w:pPr>
    </w:p>
    <w:p w14:paraId="691D0B9A">
      <w:pPr>
        <w:spacing w:line="360" w:lineRule="auto"/>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按照单项计提坏账准备的单项计提判断标准</w:t>
      </w:r>
    </w:p>
    <w:sdt>
      <w:sdtPr>
        <w:rPr>
          <w:color w:val="000000" w:themeColor="text1"/>
          <w14:textFill>
            <w14:solidFill>
              <w14:schemeClr w14:val="tx1"/>
            </w14:solidFill>
          </w14:textFill>
        </w:rPr>
        <w:alias w:val="是否适用：应收票据按照单项计提坏账准备的单项计提判断标准[双击切换]"/>
        <w:tag w:val="_GBC_1bf4baad09e74a3fb93e3d4c5a63530e"/>
        <w:id w:val="-1435745811"/>
        <w:placeholder>
          <w:docPart w:val="GBC22222222222222222222222222222"/>
        </w:placeholder>
      </w:sdtPr>
      <w:sdtEndPr>
        <w:rPr>
          <w:color w:val="000000" w:themeColor="text1"/>
          <w14:textFill>
            <w14:solidFill>
              <w14:schemeClr w14:val="tx1"/>
            </w14:solidFill>
          </w14:textFill>
        </w:rPr>
      </w:sdtEndPr>
      <w:sdtContent>
        <w:p w14:paraId="5FB80B76">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4583DD">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详见本报告第八节财务报告五、重要会计政策及会计估计13.应收账款。</w:t>
      </w:r>
    </w:p>
    <w:p w14:paraId="0D918DF5">
      <w:pPr>
        <w:spacing w:line="360" w:lineRule="auto"/>
        <w:rPr>
          <w:color w:val="000000" w:themeColor="text1"/>
          <w14:textFill>
            <w14:solidFill>
              <w14:schemeClr w14:val="tx1"/>
            </w14:solidFill>
          </w14:textFill>
        </w:rPr>
      </w:pPr>
    </w:p>
    <w:p w14:paraId="4A20B873">
      <w:pPr>
        <w:pStyle w:val="4"/>
        <w:numPr>
          <w:ilvl w:val="0"/>
          <w:numId w:val="33"/>
        </w:numPr>
        <w:spacing w:line="360" w:lineRule="auto"/>
        <w:rPr>
          <w:rFonts w:ascii="宋体" w:hAnsi="宋体"/>
          <w:color w:val="000000" w:themeColor="text1"/>
          <w14:textFill>
            <w14:solidFill>
              <w14:schemeClr w14:val="tx1"/>
            </w14:solidFill>
          </w14:textFill>
        </w:rPr>
      </w:pPr>
      <w:bookmarkStart w:id="124" w:name="_Hlk533667783"/>
      <w:bookmarkStart w:id="125" w:name="_Hlk152690378"/>
      <w:r>
        <w:rPr>
          <w:rFonts w:ascii="宋体" w:hAnsi="宋体"/>
          <w:color w:val="000000" w:themeColor="text1"/>
          <w14:textFill>
            <w14:solidFill>
              <w14:schemeClr w14:val="tx1"/>
            </w14:solidFill>
          </w14:textFill>
        </w:rPr>
        <w:t>应收账款</w:t>
      </w:r>
    </w:p>
    <w:sdt>
      <w:sdtPr>
        <w:rPr>
          <w:rFonts w:hint="eastAsia"/>
          <w:color w:val="000000" w:themeColor="text1"/>
          <w14:textFill>
            <w14:solidFill>
              <w14:schemeClr w14:val="tx1"/>
            </w14:solidFill>
          </w14:textFill>
        </w:rPr>
        <w:alias w:val="是否适用：应收账款_重要会计政策和估计[双击切换]"/>
        <w:tag w:val="_GBC_9bb0ad4fd90e4860a048c5c1b42cdc17"/>
        <w:id w:val="2027059883"/>
        <w:placeholder>
          <w:docPart w:val="GBC22222222222222222222222222222"/>
        </w:placeholder>
      </w:sdtPr>
      <w:sdtEndPr>
        <w:rPr>
          <w:rFonts w:hint="eastAsia"/>
          <w:color w:val="000000" w:themeColor="text1"/>
          <w14:textFill>
            <w14:solidFill>
              <w14:schemeClr w14:val="tx1"/>
            </w14:solidFill>
          </w14:textFill>
        </w:rPr>
      </w:sdtEndPr>
      <w:sdtContent>
        <w:p w14:paraId="70DDFAD7">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24"/>
    <w:bookmarkEnd w:id="125"/>
    <w:p w14:paraId="126E27B4">
      <w:pPr>
        <w:spacing w:line="360" w:lineRule="auto"/>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按照信用风险特征组合计提坏账准备的组合类别及确定依据</w:t>
      </w:r>
    </w:p>
    <w:sdt>
      <w:sdtPr>
        <w:rPr>
          <w:color w:val="000000" w:themeColor="text1"/>
          <w14:textFill>
            <w14:solidFill>
              <w14:schemeClr w14:val="tx1"/>
            </w14:solidFill>
          </w14:textFill>
        </w:rPr>
        <w:alias w:val="是否适用：应收账款按照信用风险特征组合计提坏账准备的组合类别及确定依据[双击切换]"/>
        <w:tag w:val="_GBC_e449a3926afc4ff1a9407716d384d444"/>
        <w:id w:val="1306816122"/>
        <w:placeholder>
          <w:docPart w:val="GBC22222222222222222222222222222"/>
        </w:placeholder>
      </w:sdtPr>
      <w:sdtEndPr>
        <w:rPr>
          <w:color w:val="000000" w:themeColor="text1"/>
          <w14:textFill>
            <w14:solidFill>
              <w14:schemeClr w14:val="tx1"/>
            </w14:solidFill>
          </w14:textFill>
        </w:rPr>
      </w:sdtEndPr>
      <w:sdtContent>
        <w:p w14:paraId="661EBE95">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账款按照信用风险特征组合计提坏账准备的组合类别及确定依据"/>
        <w:tag w:val="_GBC_16b22a4b7b8c483dac42f07fc6ac4bc2"/>
        <w:id w:val="-1840766189"/>
        <w:placeholder>
          <w:docPart w:val="GBC22222222222222222222222222222"/>
        </w:placeholder>
      </w:sdtPr>
      <w:sdtEndPr>
        <w:rPr>
          <w:color w:val="000000" w:themeColor="text1"/>
          <w14:textFill>
            <w14:solidFill>
              <w14:schemeClr w14:val="tx1"/>
            </w14:solidFill>
          </w14:textFill>
        </w:rPr>
      </w:sdtEndPr>
      <w:sdtContent>
        <w:p w14:paraId="6628C48B">
          <w:pPr>
            <w:spacing w:before="120" w:beforeLines="50" w:after="120" w:afterLines="50" w:line="360" w:lineRule="exact"/>
            <w:ind w:firstLine="420" w:firstLineChars="200"/>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本公司应收款项主要包括应收票据、应收账款、应收款项融资、其他应收款、债权投资、其他债权投资和长期应收款。</w:t>
          </w:r>
        </w:p>
        <w:p w14:paraId="0587C129">
          <w:pPr>
            <w:widowControl w:val="0"/>
            <w:spacing w:before="120" w:beforeLines="50" w:after="120" w:afterLines="50" w:line="380" w:lineRule="exact"/>
            <w:ind w:firstLine="420" w:firstLineChars="200"/>
            <w:jc w:val="both"/>
            <w:rPr>
              <w:rFonts w:cs="Times New Roman" w:asciiTheme="minorEastAsia" w:hAnsiTheme="minorEastAsia" w:eastAsiaTheme="minorEastAsia"/>
              <w:bCs/>
              <w:kern w:val="2"/>
            </w:rPr>
          </w:pPr>
          <w:r>
            <w:rPr>
              <w:rFonts w:hint="eastAsia" w:cs="Times New Roman" w:asciiTheme="minorEastAsia" w:hAnsiTheme="minorEastAsia" w:eastAsiaTheme="minorEastAsia"/>
              <w:bCs/>
              <w:kern w:val="2"/>
            </w:rPr>
            <w:t>对于因销售产品或提供劳务而产生的应收款项及租赁应收款，本公司按照相当于整个存续期内的预期信用损失金额计量损失准备。</w:t>
          </w:r>
        </w:p>
        <w:p w14:paraId="39F3F2D8">
          <w:pPr>
            <w:widowControl w:val="0"/>
            <w:spacing w:before="120" w:beforeLines="50" w:after="120" w:afterLines="50" w:line="38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对其他类别的应收款项，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通常情况下，如果逾期超过30日，则表明应收款项的信用风险已经显著增加。</w:t>
          </w:r>
        </w:p>
        <w:p w14:paraId="4AF0D1BD">
          <w:pPr>
            <w:widowControl w:val="0"/>
            <w:spacing w:before="120" w:beforeLines="50" w:after="120" w:afterLines="50" w:line="38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如果信用风险自初始确认后未显著增加，处于第一阶段，本公司按照未来12个月内预期信用损失的金额计量损失准备；如果信用风险自初始确认后已显著增加但尚未发生信用减值，处于第二阶段，本公司按照相当于整个存续期内预期信用损失的金额计量损失准备；应收款项自初始确认后已发生信用减值的，处于第三阶段，本公司按照整个存续期的预期信用损失计量损失准备。</w:t>
          </w:r>
        </w:p>
        <w:p w14:paraId="2B0655EE">
          <w:pPr>
            <w:widowControl w:val="0"/>
            <w:spacing w:before="120" w:beforeLines="50" w:after="120" w:afterLines="50" w:line="38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对于在资产负债表日具有较低信用风险的应收款项，本公司假设其信用风险自初始确认后并未显著增加，按照未来12个月内的预期信用损失计量损失准备。</w:t>
          </w:r>
        </w:p>
        <w:p w14:paraId="1C4A2ED3">
          <w:pPr>
            <w:spacing w:before="120" w:beforeLines="50" w:after="120" w:afterLines="50" w:line="380" w:lineRule="exact"/>
            <w:ind w:firstLine="420" w:firstLineChars="200"/>
            <w:rPr>
              <w:rFonts w:asciiTheme="minorEastAsia" w:hAnsiTheme="minorEastAsia" w:eastAsiaTheme="minorEastAsia"/>
            </w:rPr>
          </w:pPr>
          <w:r>
            <w:rPr>
              <w:rFonts w:hint="eastAsia" w:asciiTheme="minorEastAsia" w:hAnsiTheme="minorEastAsia" w:eastAsiaTheme="minorEastAsia"/>
            </w:rPr>
            <w:t>除单独评估信用风险的应收款项外，本公司根据信用风险特征将其他应收款项划分为若干组合，在组合基础上计算预期信用损失：</w:t>
          </w:r>
        </w:p>
      </w:sdtContent>
    </w:sdt>
    <w:p w14:paraId="4DE1641D">
      <w:pPr>
        <w:rPr>
          <w:rFonts w:cs="Times New Roman"/>
          <w:b/>
          <w:bCs/>
          <w:color w:val="000000" w:themeColor="text1"/>
          <w:kern w:val="2"/>
          <w:szCs w:val="28"/>
          <w14:textFill>
            <w14:solidFill>
              <w14:schemeClr w14:val="tx1"/>
            </w14:solidFill>
          </w14:textFill>
        </w:rPr>
      </w:pPr>
    </w:p>
    <w:p w14:paraId="5268CCEC">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基于账龄确认信用风险特征组合的账龄计算方法</w:t>
      </w:r>
    </w:p>
    <w:sdt>
      <w:sdtPr>
        <w:rPr>
          <w:color w:val="000000" w:themeColor="text1"/>
          <w14:textFill>
            <w14:solidFill>
              <w14:schemeClr w14:val="tx1"/>
            </w14:solidFill>
          </w14:textFill>
        </w:rPr>
        <w:alias w:val="是否适用：应收账款基于账龄确认信用风险特征组合的账龄计算方法[双击切换]"/>
        <w:tag w:val="_GBC_a30f82acbfab40128924b158366b4a73"/>
        <w:id w:val="-1172639817"/>
        <w:placeholder>
          <w:docPart w:val="GBC22222222222222222222222222222"/>
        </w:placeholder>
      </w:sdtPr>
      <w:sdtEndPr>
        <w:rPr>
          <w:color w:val="000000" w:themeColor="text1"/>
          <w14:textFill>
            <w14:solidFill>
              <w14:schemeClr w14:val="tx1"/>
            </w14:solidFill>
          </w14:textFill>
        </w:rPr>
      </w:sdtEndPr>
      <w:sdtContent>
        <w:p w14:paraId="34FFFD3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账款基于账龄确认信用风险特征组合的账龄计算方法"/>
        <w:tag w:val="_GBC_b5bf8a2c04eb4b5b905005b0fbc7b697"/>
        <w:id w:val="-1565336606"/>
        <w:placeholder>
          <w:docPart w:val="GBC22222222222222222222222222222"/>
        </w:placeholder>
      </w:sdtPr>
      <w:sdtEndPr>
        <w:rPr>
          <w:color w:val="000000" w:themeColor="text1"/>
          <w14:textFill>
            <w14:solidFill>
              <w14:schemeClr w14:val="tx1"/>
            </w14:solidFill>
          </w14:textFill>
        </w:rPr>
      </w:sdtEndPr>
      <w:sdtContent>
        <w:p w14:paraId="5D67097D">
          <w:pPr>
            <w:spacing w:before="120" w:beforeLines="50" w:after="120" w:afterLines="50" w:line="380" w:lineRule="exact"/>
            <w:ind w:firstLine="420" w:firstLineChars="200"/>
            <w:rPr>
              <w:rFonts w:asciiTheme="minorEastAsia" w:hAnsiTheme="minorEastAsia" w:eastAsiaTheme="minorEastAsia"/>
            </w:rPr>
          </w:pPr>
          <w:r>
            <w:rPr>
              <w:rFonts w:hint="eastAsia" w:asciiTheme="minorEastAsia" w:hAnsiTheme="minorEastAsia" w:eastAsiaTheme="minorEastAsia"/>
            </w:rPr>
            <w:t>除了单独评估信用风险的应收款项外，本公司基于共同风险特征将应收款项划分为不同的组别，在组合的基础上评估信用风险。不同组合的确定依据：</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3289"/>
            <w:gridCol w:w="4263"/>
          </w:tblGrid>
          <w:tr w14:paraId="04C4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26" w:type="pct"/>
                <w:vAlign w:val="center"/>
              </w:tcPr>
              <w:p w14:paraId="127C5663">
                <w:pPr>
                  <w:widowControl w:val="0"/>
                  <w:tabs>
                    <w:tab w:val="left" w:pos="196"/>
                    <w:tab w:val="left" w:pos="426"/>
                  </w:tabs>
                  <w:adjustRightInd w:val="0"/>
                  <w:snapToGrid w:val="0"/>
                  <w:spacing w:line="360" w:lineRule="exact"/>
                  <w:jc w:val="center"/>
                  <w:rPr>
                    <w:rFonts w:ascii="Arial Narrow" w:hAnsi="Arial Narrow" w:cs="Times New Roman"/>
                    <w:b/>
                    <w:bCs/>
                    <w:snapToGrid w:val="0"/>
                    <w:sz w:val="18"/>
                    <w:szCs w:val="20"/>
                  </w:rPr>
                </w:pPr>
                <w:r>
                  <w:rPr>
                    <w:rFonts w:ascii="Arial Narrow" w:hAnsi="Arial Narrow" w:cs="Times New Roman"/>
                    <w:b/>
                    <w:bCs/>
                    <w:snapToGrid w:val="0"/>
                    <w:sz w:val="18"/>
                    <w:szCs w:val="20"/>
                  </w:rPr>
                  <w:t>组合名称</w:t>
                </w:r>
              </w:p>
            </w:tc>
            <w:tc>
              <w:tcPr>
                <w:tcW w:w="1817" w:type="pct"/>
                <w:vAlign w:val="center"/>
              </w:tcPr>
              <w:p w14:paraId="05171F98">
                <w:pPr>
                  <w:widowControl w:val="0"/>
                  <w:tabs>
                    <w:tab w:val="left" w:pos="196"/>
                    <w:tab w:val="left" w:pos="426"/>
                  </w:tabs>
                  <w:adjustRightInd w:val="0"/>
                  <w:snapToGrid w:val="0"/>
                  <w:spacing w:line="360" w:lineRule="exact"/>
                  <w:jc w:val="center"/>
                  <w:rPr>
                    <w:rFonts w:ascii="Arial Narrow" w:hAnsi="Arial Narrow" w:cs="Times New Roman"/>
                    <w:b/>
                    <w:bCs/>
                    <w:snapToGrid w:val="0"/>
                    <w:sz w:val="18"/>
                    <w:szCs w:val="20"/>
                  </w:rPr>
                </w:pPr>
                <w:r>
                  <w:rPr>
                    <w:rFonts w:ascii="Arial Narrow" w:hAnsi="Arial Narrow" w:cs="Times New Roman"/>
                    <w:b/>
                    <w:bCs/>
                    <w:snapToGrid w:val="0"/>
                    <w:sz w:val="18"/>
                    <w:szCs w:val="20"/>
                  </w:rPr>
                  <w:t>确定组合的依据</w:t>
                </w:r>
              </w:p>
            </w:tc>
            <w:tc>
              <w:tcPr>
                <w:tcW w:w="2356" w:type="pct"/>
                <w:vAlign w:val="center"/>
              </w:tcPr>
              <w:p w14:paraId="251A1A36">
                <w:pPr>
                  <w:widowControl w:val="0"/>
                  <w:tabs>
                    <w:tab w:val="left" w:pos="196"/>
                    <w:tab w:val="left" w:pos="426"/>
                  </w:tabs>
                  <w:adjustRightInd w:val="0"/>
                  <w:snapToGrid w:val="0"/>
                  <w:spacing w:line="360" w:lineRule="exact"/>
                  <w:jc w:val="center"/>
                  <w:rPr>
                    <w:rFonts w:ascii="Arial Narrow" w:hAnsi="Arial Narrow" w:cs="Times New Roman"/>
                    <w:b/>
                    <w:bCs/>
                    <w:snapToGrid w:val="0"/>
                    <w:sz w:val="18"/>
                    <w:szCs w:val="20"/>
                  </w:rPr>
                </w:pPr>
                <w:r>
                  <w:rPr>
                    <w:rFonts w:ascii="Arial Narrow" w:hAnsi="Arial Narrow" w:cs="Times New Roman"/>
                    <w:b/>
                    <w:bCs/>
                    <w:snapToGrid w:val="0"/>
                    <w:sz w:val="18"/>
                    <w:szCs w:val="20"/>
                  </w:rPr>
                  <w:t>计提方法</w:t>
                </w:r>
              </w:p>
            </w:tc>
          </w:tr>
          <w:tr w14:paraId="19AF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6" w:type="pct"/>
                <w:vAlign w:val="center"/>
              </w:tcPr>
              <w:p w14:paraId="7103AA70">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应收票据-银行承兑汇票组合</w:t>
                </w:r>
              </w:p>
            </w:tc>
            <w:tc>
              <w:tcPr>
                <w:tcW w:w="1817" w:type="pct"/>
                <w:vAlign w:val="center"/>
              </w:tcPr>
              <w:p w14:paraId="2AA54613">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银行承兑汇票</w:t>
                </w:r>
              </w:p>
            </w:tc>
            <w:tc>
              <w:tcPr>
                <w:tcW w:w="2356" w:type="pct"/>
                <w:vAlign w:val="center"/>
              </w:tcPr>
              <w:p w14:paraId="15810BA0">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按照整个存续期逾期信用损失计量损失准备。参考历史信用损失经验，公司持有的银行承兑汇票不存在重大信用风险，逾期信用损失金额不重大</w:t>
                </w:r>
              </w:p>
            </w:tc>
          </w:tr>
          <w:tr w14:paraId="566E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6" w:type="pct"/>
                <w:vAlign w:val="center"/>
              </w:tcPr>
              <w:p w14:paraId="4CB37B47">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应收票据-商业承兑汇票组合</w:t>
                </w:r>
              </w:p>
            </w:tc>
            <w:tc>
              <w:tcPr>
                <w:tcW w:w="1817" w:type="pct"/>
                <w:vAlign w:val="center"/>
              </w:tcPr>
              <w:p w14:paraId="1EDD899F">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商业承兑汇票</w:t>
                </w:r>
              </w:p>
            </w:tc>
            <w:tc>
              <w:tcPr>
                <w:tcW w:w="2356" w:type="pct"/>
                <w:vAlign w:val="center"/>
              </w:tcPr>
              <w:p w14:paraId="726670CE">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按照整个存续期逾期信用损失计量损失准备。参考历史信用损失经验， 结合出票人状况</w:t>
                </w:r>
                <w:r>
                  <w:rPr>
                    <w:rFonts w:hint="eastAsia" w:ascii="Arial Narrow" w:hAnsi="Arial Narrow" w:cs="Times New Roman"/>
                    <w:bCs/>
                    <w:snapToGrid w:val="0"/>
                  </w:rPr>
                  <w:t>及对未来经济状况的预测计算预期信用损失</w:t>
                </w:r>
              </w:p>
            </w:tc>
          </w:tr>
          <w:tr w14:paraId="67B6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6" w:type="pct"/>
                <w:vAlign w:val="center"/>
              </w:tcPr>
              <w:p w14:paraId="5A0E36E1">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应收款项-低风险组合</w:t>
                </w:r>
              </w:p>
            </w:tc>
            <w:tc>
              <w:tcPr>
                <w:tcW w:w="1817" w:type="pct"/>
                <w:vAlign w:val="center"/>
              </w:tcPr>
              <w:p w14:paraId="5CA96741">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根据业务性质，认定低信用风险，主要包括应收政府部门的款项、应收利息、合并范围内关联方等</w:t>
                </w:r>
              </w:p>
            </w:tc>
            <w:tc>
              <w:tcPr>
                <w:tcW w:w="2356" w:type="pct"/>
                <w:vAlign w:val="center"/>
              </w:tcPr>
              <w:p w14:paraId="15A4B230">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不存在重大信用风险，逾期信用损失金额不重大</w:t>
                </w:r>
                <w:r>
                  <w:rPr>
                    <w:rFonts w:hint="eastAsia" w:ascii="Arial Narrow" w:hAnsi="Arial Narrow" w:cs="Times New Roman"/>
                    <w:bCs/>
                    <w:snapToGrid w:val="0"/>
                  </w:rPr>
                  <w:t>，不计提</w:t>
                </w:r>
              </w:p>
            </w:tc>
          </w:tr>
          <w:tr w14:paraId="58EB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6" w:type="pct"/>
                <w:vAlign w:val="center"/>
              </w:tcPr>
              <w:p w14:paraId="5D9FEC23">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应收款项-账龄组合</w:t>
                </w:r>
              </w:p>
            </w:tc>
            <w:tc>
              <w:tcPr>
                <w:tcW w:w="1817" w:type="pct"/>
                <w:vAlign w:val="center"/>
              </w:tcPr>
              <w:p w14:paraId="42ACEF5C">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除上述组合之外的应收款项</w:t>
                </w:r>
              </w:p>
            </w:tc>
            <w:tc>
              <w:tcPr>
                <w:tcW w:w="2356" w:type="pct"/>
                <w:vAlign w:val="center"/>
              </w:tcPr>
              <w:p w14:paraId="0817518C">
                <w:pPr>
                  <w:widowControl w:val="0"/>
                  <w:tabs>
                    <w:tab w:val="left" w:pos="196"/>
                    <w:tab w:val="left" w:pos="426"/>
                  </w:tabs>
                  <w:adjustRightInd w:val="0"/>
                  <w:snapToGrid w:val="0"/>
                  <w:spacing w:line="360" w:lineRule="exact"/>
                  <w:jc w:val="both"/>
                  <w:rPr>
                    <w:rFonts w:ascii="Arial Narrow" w:hAnsi="Arial Narrow" w:cs="Times New Roman"/>
                    <w:bCs/>
                    <w:snapToGrid w:val="0"/>
                  </w:rPr>
                </w:pPr>
                <w:r>
                  <w:rPr>
                    <w:rFonts w:ascii="Arial Narrow" w:hAnsi="Arial Narrow" w:cs="Times New Roman"/>
                    <w:bCs/>
                    <w:snapToGrid w:val="0"/>
                  </w:rPr>
                  <w:t>参考历史信用损失经验，结合当前状况以及对未来经济状况的预测，编制应收账款账龄与整个存续期预期信用损失率对照表，计算预期信用损失</w:t>
                </w:r>
              </w:p>
            </w:tc>
          </w:tr>
        </w:tbl>
        <w:p w14:paraId="70744A3D">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对于划分为账龄组合的应收款项，本公司参考历史信用损失经验，结合当前状况以及对未来经济状况的预测，编制应收款项账龄与整个存续期预期信用损失率对照表，计算预期信用损失。</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4"/>
            <w:gridCol w:w="5885"/>
          </w:tblGrid>
          <w:tr w14:paraId="3B8A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48" w:type="pct"/>
                <w:vAlign w:val="center"/>
              </w:tcPr>
              <w:p w14:paraId="0BB259BE">
                <w:pPr>
                  <w:widowControl w:val="0"/>
                  <w:tabs>
                    <w:tab w:val="left" w:pos="196"/>
                    <w:tab w:val="left" w:pos="426"/>
                  </w:tabs>
                  <w:adjustRightInd w:val="0"/>
                  <w:snapToGrid w:val="0"/>
                  <w:spacing w:line="360" w:lineRule="exact"/>
                  <w:jc w:val="center"/>
                  <w:rPr>
                    <w:rFonts w:ascii="Arial Narrow" w:hAnsi="Arial Narrow" w:cs="Times New Roman"/>
                    <w:b/>
                    <w:bCs/>
                    <w:snapToGrid w:val="0"/>
                    <w:sz w:val="18"/>
                    <w:szCs w:val="20"/>
                  </w:rPr>
                </w:pPr>
                <w:r>
                  <w:rPr>
                    <w:rFonts w:hint="eastAsia" w:ascii="Arial Narrow" w:hAnsi="Arial Narrow" w:cs="Times New Roman"/>
                    <w:b/>
                    <w:bCs/>
                    <w:snapToGrid w:val="0"/>
                    <w:sz w:val="18"/>
                    <w:szCs w:val="20"/>
                  </w:rPr>
                  <w:t>账    龄</w:t>
                </w:r>
              </w:p>
            </w:tc>
            <w:tc>
              <w:tcPr>
                <w:tcW w:w="3252" w:type="pct"/>
                <w:vAlign w:val="center"/>
              </w:tcPr>
              <w:p w14:paraId="50886A3F">
                <w:pPr>
                  <w:widowControl w:val="0"/>
                  <w:tabs>
                    <w:tab w:val="left" w:pos="196"/>
                    <w:tab w:val="left" w:pos="426"/>
                  </w:tabs>
                  <w:adjustRightInd w:val="0"/>
                  <w:snapToGrid w:val="0"/>
                  <w:spacing w:line="360" w:lineRule="exact"/>
                  <w:jc w:val="center"/>
                  <w:rPr>
                    <w:rFonts w:ascii="Arial Narrow" w:hAnsi="Arial Narrow" w:cs="Times New Roman"/>
                    <w:b/>
                    <w:bCs/>
                    <w:snapToGrid w:val="0"/>
                    <w:sz w:val="18"/>
                    <w:szCs w:val="20"/>
                  </w:rPr>
                </w:pPr>
                <w:r>
                  <w:rPr>
                    <w:rFonts w:hint="eastAsia" w:ascii="Arial Narrow" w:hAnsi="Arial Narrow" w:cs="Times New Roman"/>
                    <w:b/>
                    <w:bCs/>
                    <w:snapToGrid w:val="0"/>
                    <w:sz w:val="18"/>
                    <w:szCs w:val="20"/>
                  </w:rPr>
                  <w:t>应收款项计提比例（%）</w:t>
                </w:r>
              </w:p>
            </w:tc>
          </w:tr>
          <w:tr w14:paraId="77C7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8" w:type="pct"/>
                <w:vAlign w:val="center"/>
              </w:tcPr>
              <w:p w14:paraId="389DEBD8">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0—6个月</w:t>
                </w:r>
              </w:p>
            </w:tc>
            <w:tc>
              <w:tcPr>
                <w:tcW w:w="3252" w:type="pct"/>
                <w:vAlign w:val="center"/>
              </w:tcPr>
              <w:p w14:paraId="48E231DF">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0.00</w:t>
                </w:r>
              </w:p>
            </w:tc>
          </w:tr>
          <w:tr w14:paraId="3CBE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8" w:type="pct"/>
                <w:vAlign w:val="center"/>
              </w:tcPr>
              <w:p w14:paraId="01814329">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6个月—1年</w:t>
                </w:r>
              </w:p>
            </w:tc>
            <w:tc>
              <w:tcPr>
                <w:tcW w:w="3252" w:type="pct"/>
                <w:vAlign w:val="center"/>
              </w:tcPr>
              <w:p w14:paraId="1F673C03">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5.00</w:t>
                </w:r>
              </w:p>
            </w:tc>
          </w:tr>
          <w:tr w14:paraId="4D4C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8" w:type="pct"/>
                <w:vAlign w:val="center"/>
              </w:tcPr>
              <w:p w14:paraId="06CD2C3C">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1—2年</w:t>
                </w:r>
              </w:p>
            </w:tc>
            <w:tc>
              <w:tcPr>
                <w:tcW w:w="3252" w:type="pct"/>
                <w:vAlign w:val="center"/>
              </w:tcPr>
              <w:p w14:paraId="257C861D">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10.00</w:t>
                </w:r>
              </w:p>
            </w:tc>
          </w:tr>
          <w:tr w14:paraId="0E21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8" w:type="pct"/>
                <w:vAlign w:val="center"/>
              </w:tcPr>
              <w:p w14:paraId="1111E5BE">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2—3年</w:t>
                </w:r>
              </w:p>
            </w:tc>
            <w:tc>
              <w:tcPr>
                <w:tcW w:w="3252" w:type="pct"/>
                <w:vAlign w:val="center"/>
              </w:tcPr>
              <w:p w14:paraId="2144408C">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30.00</w:t>
                </w:r>
              </w:p>
            </w:tc>
          </w:tr>
          <w:tr w14:paraId="6A99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8" w:type="pct"/>
                <w:vAlign w:val="center"/>
              </w:tcPr>
              <w:p w14:paraId="67D5EDF7">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3—4年</w:t>
                </w:r>
              </w:p>
            </w:tc>
            <w:tc>
              <w:tcPr>
                <w:tcW w:w="3252" w:type="pct"/>
                <w:vAlign w:val="center"/>
              </w:tcPr>
              <w:p w14:paraId="3BD9276B">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50.00</w:t>
                </w:r>
              </w:p>
            </w:tc>
          </w:tr>
          <w:tr w14:paraId="0E34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8" w:type="pct"/>
                <w:vAlign w:val="center"/>
              </w:tcPr>
              <w:p w14:paraId="6EA111F7">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4—5年</w:t>
                </w:r>
              </w:p>
            </w:tc>
            <w:tc>
              <w:tcPr>
                <w:tcW w:w="3252" w:type="pct"/>
                <w:vAlign w:val="center"/>
              </w:tcPr>
              <w:p w14:paraId="2AE29AEE">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80.00</w:t>
                </w:r>
              </w:p>
            </w:tc>
          </w:tr>
          <w:tr w14:paraId="1A46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48" w:type="pct"/>
                <w:vAlign w:val="center"/>
              </w:tcPr>
              <w:p w14:paraId="65DA0E36">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5年以上</w:t>
                </w:r>
              </w:p>
            </w:tc>
            <w:tc>
              <w:tcPr>
                <w:tcW w:w="3252" w:type="pct"/>
                <w:vAlign w:val="center"/>
              </w:tcPr>
              <w:p w14:paraId="19AEC21D">
                <w:pPr>
                  <w:widowControl w:val="0"/>
                  <w:tabs>
                    <w:tab w:val="left" w:pos="196"/>
                    <w:tab w:val="left" w:pos="426"/>
                  </w:tabs>
                  <w:adjustRightInd w:val="0"/>
                  <w:snapToGrid w:val="0"/>
                  <w:spacing w:line="360" w:lineRule="exact"/>
                  <w:jc w:val="center"/>
                  <w:rPr>
                    <w:rFonts w:cs="Times New Roman" w:asciiTheme="minorEastAsia" w:hAnsiTheme="minorEastAsia" w:eastAsiaTheme="minorEastAsia"/>
                    <w:bCs/>
                    <w:snapToGrid w:val="0"/>
                  </w:rPr>
                </w:pPr>
                <w:r>
                  <w:rPr>
                    <w:rFonts w:cs="Times New Roman" w:asciiTheme="minorEastAsia" w:hAnsiTheme="minorEastAsia" w:eastAsiaTheme="minorEastAsia"/>
                    <w:bCs/>
                    <w:snapToGrid w:val="0"/>
                  </w:rPr>
                  <w:t>100.00</w:t>
                </w:r>
              </w:p>
            </w:tc>
          </w:tr>
        </w:tbl>
        <w:p w14:paraId="4B09B888">
          <w:pPr>
            <w:rPr>
              <w:color w:val="000000" w:themeColor="text1"/>
              <w14:textFill>
                <w14:solidFill>
                  <w14:schemeClr w14:val="tx1"/>
                </w14:solidFill>
              </w14:textFill>
            </w:rPr>
          </w:pPr>
        </w:p>
      </w:sdtContent>
    </w:sdt>
    <w:p w14:paraId="695F7ACD">
      <w:pPr>
        <w:rPr>
          <w:rFonts w:cs="Times New Roman"/>
          <w:b/>
          <w:bCs/>
          <w:color w:val="000000" w:themeColor="text1"/>
          <w:kern w:val="2"/>
          <w:szCs w:val="28"/>
          <w14:textFill>
            <w14:solidFill>
              <w14:schemeClr w14:val="tx1"/>
            </w14:solidFill>
          </w14:textFill>
        </w:rPr>
      </w:pPr>
    </w:p>
    <w:p w14:paraId="022BFA1C">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按照单项计提坏账准备的认定单项计提判断标准</w:t>
      </w:r>
    </w:p>
    <w:sdt>
      <w:sdtPr>
        <w:rPr>
          <w:color w:val="000000" w:themeColor="text1"/>
          <w14:textFill>
            <w14:solidFill>
              <w14:schemeClr w14:val="tx1"/>
            </w14:solidFill>
          </w14:textFill>
        </w:rPr>
        <w:alias w:val="是否适用：应收账款按照单项计提坏账准备的单项计提判断标准[双击切换]"/>
        <w:tag w:val="_GBC_ee9e87b79c8a492885f71b93a5fcd48d"/>
        <w:id w:val="-394433403"/>
        <w:placeholder>
          <w:docPart w:val="GBC22222222222222222222222222222"/>
        </w:placeholder>
      </w:sdtPr>
      <w:sdtEndPr>
        <w:rPr>
          <w:color w:val="000000" w:themeColor="text1"/>
          <w14:textFill>
            <w14:solidFill>
              <w14:schemeClr w14:val="tx1"/>
            </w14:solidFill>
          </w14:textFill>
        </w:rPr>
      </w:sdtEndPr>
      <w:sdtContent>
        <w:p w14:paraId="31B20C1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应收账款按照单项计提坏账准备的单项计提判断标准"/>
        <w:tag w:val="_GBC_b895356990fa48cc8b1ad33cc5cda698"/>
        <w:id w:val="2069304280"/>
        <w:placeholder>
          <w:docPart w:val="GBC22222222222222222222222222222"/>
        </w:placeholder>
      </w:sdtPr>
      <w:sdtEndPr>
        <w:rPr>
          <w:color w:val="000000" w:themeColor="text1"/>
          <w14:textFill>
            <w14:solidFill>
              <w14:schemeClr w14:val="tx1"/>
            </w14:solidFill>
          </w14:textFill>
        </w:rPr>
      </w:sdtEndPr>
      <w:sdtContent>
        <w:p w14:paraId="4B8E1FF6">
          <w:pPr>
            <w:spacing w:before="120" w:beforeLines="50" w:after="120" w:afterLines="50" w:line="380" w:lineRule="exact"/>
            <w:ind w:firstLine="420" w:firstLineChars="200"/>
            <w:rPr>
              <w:rFonts w:asciiTheme="minorEastAsia" w:hAnsiTheme="minorEastAsia" w:eastAsiaTheme="minorEastAsia"/>
            </w:rPr>
          </w:pPr>
          <w:r>
            <w:rPr>
              <w:rFonts w:hint="eastAsia" w:asciiTheme="minorEastAsia" w:hAnsiTheme="minorEastAsia" w:eastAsiaTheme="minorEastAsia"/>
            </w:rPr>
            <w:t>单独评估信用风险的应收款项如：与对方存在争议或涉及诉讼、仲裁的应收款项；已有明显迹象表明债务人很可能无法履行还款义务的应收款项等。</w:t>
          </w:r>
        </w:p>
      </w:sdtContent>
    </w:sdt>
    <w:p w14:paraId="1E0035B5">
      <w:pPr>
        <w:rPr>
          <w:color w:val="000000" w:themeColor="text1"/>
          <w14:textFill>
            <w14:solidFill>
              <w14:schemeClr w14:val="tx1"/>
            </w14:solidFill>
          </w14:textFill>
        </w:rPr>
      </w:pPr>
    </w:p>
    <w:p w14:paraId="6568A833">
      <w:pPr>
        <w:pStyle w:val="4"/>
        <w:numPr>
          <w:ilvl w:val="0"/>
          <w:numId w:val="33"/>
        </w:numPr>
        <w:rPr>
          <w:rFonts w:ascii="宋体" w:hAnsi="宋体"/>
          <w:color w:val="000000" w:themeColor="text1"/>
          <w14:textFill>
            <w14:solidFill>
              <w14:schemeClr w14:val="tx1"/>
            </w14:solidFill>
          </w14:textFill>
        </w:rPr>
      </w:pPr>
      <w:bookmarkStart w:id="126" w:name="_Hlk24102310"/>
      <w:bookmarkStart w:id="127" w:name="_Hlk152690443"/>
      <w:r>
        <w:rPr>
          <w:rFonts w:ascii="宋体" w:hAnsi="宋体"/>
          <w:color w:val="000000" w:themeColor="text1"/>
          <w14:textFill>
            <w14:solidFill>
              <w14:schemeClr w14:val="tx1"/>
            </w14:solidFill>
          </w14:textFill>
        </w:rPr>
        <w:t>应收款项融资</w:t>
      </w:r>
    </w:p>
    <w:sdt>
      <w:sdtPr>
        <w:rPr>
          <w:color w:val="000000" w:themeColor="text1"/>
          <w14:textFill>
            <w14:solidFill>
              <w14:schemeClr w14:val="tx1"/>
            </w14:solidFill>
          </w14:textFill>
        </w:rPr>
        <w:alias w:val="是否适用：应收款项融资_重要会计政策和估计[双击切换]"/>
        <w:tag w:val="_GBC_47906a8d31c54a72891112f417e1058d"/>
        <w:id w:val="-1581365306"/>
        <w:placeholder>
          <w:docPart w:val="GBC22222222222222222222222222222"/>
        </w:placeholder>
      </w:sdtPr>
      <w:sdtEndPr>
        <w:rPr>
          <w:color w:val="000000" w:themeColor="text1"/>
          <w14:textFill>
            <w14:solidFill>
              <w14:schemeClr w14:val="tx1"/>
            </w14:solidFill>
          </w14:textFill>
        </w:rPr>
      </w:sdtEndPr>
      <w:sdtContent>
        <w:p w14:paraId="354C87A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26"/>
    <w:bookmarkEnd w:id="127"/>
    <w:p w14:paraId="440ABA0C">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对于合同现金流量特征与基本借贷安排相一致，且公司管理此类金融资产的业务模式为既以收取合同现金流量为目标又以出售为目标的应收票据及应收账款，本公司将其分类为应收款项融资，以公允价值计量且其变动计入其他综合收益。应收款项融资采用实际利率法确认的利息收入、减值损失及汇兑差额确认为当期损益，其余公允价值变动计入其他综合收益。终止确认时，之前计入其他综合收益的累计利得或损失从其他综合收益转出，计入当期损益。</w:t>
      </w:r>
    </w:p>
    <w:p w14:paraId="4D51B3F5">
      <w:pPr>
        <w:rPr>
          <w:rFonts w:cs="Times New Roman"/>
          <w:b/>
          <w:color w:val="000000" w:themeColor="text1"/>
          <w:kern w:val="2"/>
          <w:szCs w:val="28"/>
          <w14:textFill>
            <w14:solidFill>
              <w14:schemeClr w14:val="tx1"/>
            </w14:solidFill>
          </w14:textFill>
        </w:rPr>
      </w:pPr>
    </w:p>
    <w:p w14:paraId="4B7D2257">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按照信用风险特征组合计提坏账准备的组合类别及确定依据</w:t>
      </w:r>
    </w:p>
    <w:sdt>
      <w:sdtPr>
        <w:rPr>
          <w:color w:val="000000" w:themeColor="text1"/>
          <w14:textFill>
            <w14:solidFill>
              <w14:schemeClr w14:val="tx1"/>
            </w14:solidFill>
          </w14:textFill>
        </w:rPr>
        <w:alias w:val="是否适用：应收款项融资按照信用风险特征组合计提坏账准备的组合类别及确定依据[双击切换]"/>
        <w:tag w:val="_GBC_991c72bbcc9e4545985776851a67e9f5"/>
        <w:id w:val="-712729890"/>
        <w:placeholder>
          <w:docPart w:val="GBC22222222222222222222222222222"/>
        </w:placeholder>
      </w:sdtPr>
      <w:sdtEndPr>
        <w:rPr>
          <w:color w:val="000000" w:themeColor="text1"/>
          <w14:textFill>
            <w14:solidFill>
              <w14:schemeClr w14:val="tx1"/>
            </w14:solidFill>
          </w14:textFill>
        </w:rPr>
      </w:sdtEndPr>
      <w:sdtContent>
        <w:p w14:paraId="0438558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DFBE863">
      <w:pPr>
        <w:rPr>
          <w:rFonts w:cs="Times New Roman"/>
          <w:b/>
          <w:bCs/>
          <w:color w:val="000000" w:themeColor="text1"/>
          <w:kern w:val="2"/>
          <w:szCs w:val="28"/>
          <w14:textFill>
            <w14:solidFill>
              <w14:schemeClr w14:val="tx1"/>
            </w14:solidFill>
          </w14:textFill>
        </w:rPr>
      </w:pPr>
    </w:p>
    <w:p w14:paraId="6C80B1F1">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基于账龄确认信用风险特征组合的账龄计算方法</w:t>
      </w:r>
    </w:p>
    <w:sdt>
      <w:sdtPr>
        <w:rPr>
          <w:color w:val="000000" w:themeColor="text1"/>
          <w14:textFill>
            <w14:solidFill>
              <w14:schemeClr w14:val="tx1"/>
            </w14:solidFill>
          </w14:textFill>
        </w:rPr>
        <w:alias w:val="是否适用：应收款项融资基于账龄确认信用风险特征组合的账龄计算方法[双击切换]"/>
        <w:tag w:val="_GBC_ed4ac302bc6f4dee85e2b543d38e4b3e"/>
        <w:id w:val="-1621454105"/>
        <w:placeholder>
          <w:docPart w:val="GBC22222222222222222222222222222"/>
        </w:placeholder>
      </w:sdtPr>
      <w:sdtEndPr>
        <w:rPr>
          <w:color w:val="000000" w:themeColor="text1"/>
          <w14:textFill>
            <w14:solidFill>
              <w14:schemeClr w14:val="tx1"/>
            </w14:solidFill>
          </w14:textFill>
        </w:rPr>
      </w:sdtEndPr>
      <w:sdtContent>
        <w:p w14:paraId="560718D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10AC81">
      <w:pPr>
        <w:rPr>
          <w:rFonts w:cs="Times New Roman"/>
          <w:b/>
          <w:bCs/>
          <w:color w:val="000000" w:themeColor="text1"/>
          <w:kern w:val="2"/>
          <w:szCs w:val="28"/>
          <w14:textFill>
            <w14:solidFill>
              <w14:schemeClr w14:val="tx1"/>
            </w14:solidFill>
          </w14:textFill>
        </w:rPr>
      </w:pPr>
    </w:p>
    <w:p w14:paraId="2C956BDB">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按照单项计提坏账准备的单项计提判断标准</w:t>
      </w:r>
    </w:p>
    <w:sdt>
      <w:sdtPr>
        <w:rPr>
          <w:color w:val="000000" w:themeColor="text1"/>
          <w14:textFill>
            <w14:solidFill>
              <w14:schemeClr w14:val="tx1"/>
            </w14:solidFill>
          </w14:textFill>
        </w:rPr>
        <w:alias w:val="是否适用：应收款项融资按照单项计提坏账准备的单项计提判断标准[双击切换]"/>
        <w:tag w:val="_GBC_da1ff8ccd2084f059e028af496d67278"/>
        <w:id w:val="-8376074"/>
        <w:placeholder>
          <w:docPart w:val="GBC22222222222222222222222222222"/>
        </w:placeholder>
      </w:sdtPr>
      <w:sdtEndPr>
        <w:rPr>
          <w:color w:val="000000" w:themeColor="text1"/>
          <w14:textFill>
            <w14:solidFill>
              <w14:schemeClr w14:val="tx1"/>
            </w14:solidFill>
          </w14:textFill>
        </w:rPr>
      </w:sdtEndPr>
      <w:sdtContent>
        <w:p w14:paraId="60A81B2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6D38E9">
      <w:pPr>
        <w:rPr>
          <w:color w:val="000000" w:themeColor="text1"/>
          <w14:textFill>
            <w14:solidFill>
              <w14:schemeClr w14:val="tx1"/>
            </w14:solidFill>
          </w14:textFill>
        </w:rPr>
      </w:pPr>
    </w:p>
    <w:p w14:paraId="0B492E48">
      <w:pPr>
        <w:pStyle w:val="4"/>
        <w:numPr>
          <w:ilvl w:val="0"/>
          <w:numId w:val="33"/>
        </w:numPr>
        <w:rPr>
          <w:rFonts w:ascii="宋体" w:hAnsi="宋体"/>
          <w:color w:val="000000" w:themeColor="text1"/>
          <w14:textFill>
            <w14:solidFill>
              <w14:schemeClr w14:val="tx1"/>
            </w14:solidFill>
          </w14:textFill>
        </w:rPr>
      </w:pPr>
      <w:bookmarkStart w:id="128" w:name="_Hlk533667836"/>
      <w:r>
        <w:rPr>
          <w:rFonts w:ascii="宋体" w:hAnsi="宋体"/>
          <w:color w:val="000000" w:themeColor="text1"/>
          <w14:textFill>
            <w14:solidFill>
              <w14:schemeClr w14:val="tx1"/>
            </w14:solidFill>
          </w14:textFill>
        </w:rPr>
        <w:t>其他应收款</w:t>
      </w:r>
    </w:p>
    <w:sdt>
      <w:sdtPr>
        <w:rPr>
          <w:rFonts w:hint="eastAsia"/>
          <w:color w:val="000000" w:themeColor="text1"/>
          <w14:textFill>
            <w14:solidFill>
              <w14:schemeClr w14:val="tx1"/>
            </w14:solidFill>
          </w14:textFill>
        </w:rPr>
        <w:alias w:val="是否适用：其他应收款_重要会计政策和估计[双击切换]"/>
        <w:tag w:val="_GBC_dfe58b09048a4951b32b48ce6a3930aa"/>
        <w:id w:val="-1536426160"/>
        <w:placeholder>
          <w:docPart w:val="GBC22222222222222222222222222222"/>
        </w:placeholder>
      </w:sdtPr>
      <w:sdtEndPr>
        <w:rPr>
          <w:rFonts w:hint="eastAsia"/>
          <w:color w:val="000000" w:themeColor="text1"/>
          <w14:textFill>
            <w14:solidFill>
              <w14:schemeClr w14:val="tx1"/>
            </w14:solidFill>
          </w14:textFill>
        </w:rPr>
      </w:sdtEndPr>
      <w:sdtContent>
        <w:p w14:paraId="1228F22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28"/>
    <w:p w14:paraId="0DC87F8B">
      <w:pPr>
        <w:rPr>
          <w:color w:val="000000" w:themeColor="text1"/>
          <w14:textFill>
            <w14:solidFill>
              <w14:schemeClr w14:val="tx1"/>
            </w14:solidFill>
          </w14:textFill>
        </w:rPr>
      </w:pPr>
    </w:p>
    <w:p w14:paraId="4CE515C2">
      <w:pPr>
        <w:rPr>
          <w:color w:val="000000" w:themeColor="text1"/>
          <w14:textFill>
            <w14:solidFill>
              <w14:schemeClr w14:val="tx1"/>
            </w14:solidFill>
          </w14:textFill>
        </w:rPr>
      </w:pPr>
      <w:r>
        <w:rPr>
          <w:rFonts w:hint="eastAsia"/>
          <w:color w:val="000000" w:themeColor="text1"/>
          <w14:textFill>
            <w14:solidFill>
              <w14:schemeClr w14:val="tx1"/>
            </w14:solidFill>
          </w14:textFill>
        </w:rPr>
        <w:t>详见本报告第八节财务报告五、重要会计政策及会计估计13.应收账款。</w:t>
      </w:r>
    </w:p>
    <w:p w14:paraId="751F4A2E">
      <w:pPr>
        <w:rPr>
          <w:color w:val="000000" w:themeColor="text1"/>
          <w14:textFill>
            <w14:solidFill>
              <w14:schemeClr w14:val="tx1"/>
            </w14:solidFill>
          </w14:textFill>
        </w:rPr>
      </w:pPr>
    </w:p>
    <w:p w14:paraId="73DE8BA2">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存货</w:t>
      </w:r>
    </w:p>
    <w:sdt>
      <w:sdtPr>
        <w:rPr>
          <w:rFonts w:hint="eastAsia"/>
          <w:color w:val="000000" w:themeColor="text1"/>
          <w14:textFill>
            <w14:solidFill>
              <w14:schemeClr w14:val="tx1"/>
            </w14:solidFill>
          </w14:textFill>
        </w:rPr>
        <w:alias w:val="是否适用：存货_重要会计政策和估计[双击切换]"/>
        <w:tag w:val="_GBC_517cddca0e1f4d4bb5ef2c4a3d049269"/>
        <w:id w:val="237909970"/>
        <w:placeholder>
          <w:docPart w:val="GBC22222222222222222222222222222"/>
        </w:placeholder>
      </w:sdtPr>
      <w:sdtEndPr>
        <w:rPr>
          <w:rFonts w:hint="eastAsia"/>
          <w:color w:val="000000" w:themeColor="text1"/>
          <w14:textFill>
            <w14:solidFill>
              <w14:schemeClr w14:val="tx1"/>
            </w14:solidFill>
          </w14:textFill>
        </w:rPr>
      </w:sdtEndPr>
      <w:sdtContent>
        <w:p w14:paraId="647B73E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F0EE62">
      <w:pPr>
        <w:rPr>
          <w:rFonts w:cs="Times New Roman"/>
          <w:b/>
          <w:color w:val="000000" w:themeColor="text1"/>
          <w:kern w:val="2"/>
          <w:szCs w:val="28"/>
          <w14:textFill>
            <w14:solidFill>
              <w14:schemeClr w14:val="tx1"/>
            </w14:solidFill>
          </w14:textFill>
        </w:rPr>
      </w:pPr>
      <w:bookmarkStart w:id="129" w:name="_Hlk152678121"/>
      <w:r>
        <w:rPr>
          <w:rFonts w:cs="Times New Roman"/>
          <w:b/>
          <w:color w:val="000000" w:themeColor="text1"/>
          <w:kern w:val="2"/>
          <w:szCs w:val="28"/>
          <w14:textFill>
            <w14:solidFill>
              <w14:schemeClr w14:val="tx1"/>
            </w14:solidFill>
          </w14:textFill>
        </w:rPr>
        <w:t>存货</w:t>
      </w:r>
      <w:r>
        <w:rPr>
          <w:rFonts w:hint="eastAsia" w:cs="Times New Roman"/>
          <w:b/>
          <w:color w:val="000000" w:themeColor="text1"/>
          <w:kern w:val="2"/>
          <w:szCs w:val="28"/>
          <w14:textFill>
            <w14:solidFill>
              <w14:schemeClr w14:val="tx1"/>
            </w14:solidFill>
          </w14:textFill>
        </w:rPr>
        <w:t>类别、发出计价方法、盘存制度、低值易耗品和包装物的摊销方法</w:t>
      </w:r>
    </w:p>
    <w:bookmarkEnd w:id="129"/>
    <w:sdt>
      <w:sdtPr>
        <w:rPr>
          <w:color w:val="000000" w:themeColor="text1"/>
          <w14:textFill>
            <w14:solidFill>
              <w14:schemeClr w14:val="tx1"/>
            </w14:solidFill>
          </w14:textFill>
        </w:rPr>
        <w:alias w:val="是否适用：存货类别、发出计价方法、盘存制度、低值易耗品和包装物的摊销方法[双击切换]"/>
        <w:tag w:val="_GBC_a0dd59db9daa43019390412c5246a774"/>
        <w:id w:val="-1042365094"/>
        <w:placeholder>
          <w:docPart w:val="GBC22222222222222222222222222222"/>
        </w:placeholder>
      </w:sdtPr>
      <w:sdtEndPr>
        <w:rPr>
          <w:color w:val="000000" w:themeColor="text1"/>
          <w14:textFill>
            <w14:solidFill>
              <w14:schemeClr w14:val="tx1"/>
            </w14:solidFill>
          </w14:textFill>
        </w:rPr>
      </w:sdtEndPr>
      <w:sdtContent>
        <w:p w14:paraId="2F9BE39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存货类别、发出计价方法、盘存制度、低值易耗品和包装物的摊销方法"/>
        <w:tag w:val="_GBC_4c0ac6dfbfb04e56bc0dd3a35b636c52"/>
        <w:id w:val="1676376085"/>
        <w:placeholder>
          <w:docPart w:val="GBC22222222222222222222222222222"/>
        </w:placeholder>
      </w:sdtPr>
      <w:sdtEndPr>
        <w:rPr>
          <w:color w:val="000000" w:themeColor="text1"/>
          <w14:textFill>
            <w14:solidFill>
              <w14:schemeClr w14:val="tx1"/>
            </w14:solidFill>
          </w14:textFill>
        </w:rPr>
      </w:sdtEndPr>
      <w:sdtContent>
        <w:p w14:paraId="6ED797AA">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1．存货的分类</w:t>
          </w:r>
        </w:p>
        <w:p w14:paraId="3C90579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存货是指本公司在日常活动中持有以备出售的产成品或商品、处在生产过程中的在产品、在生产过程或提供劳务过程中耗用的材料和物料等。主要包括原材料、周转材料、委托加工材料、在产品、自制半成品、产成品（库存商品）、发出商品、开发成本、开发产品等。</w:t>
          </w:r>
        </w:p>
        <w:p w14:paraId="03160F6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2．存货的计价方法</w:t>
          </w:r>
        </w:p>
        <w:p w14:paraId="70CC6C4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存货在取得时，按成本进行初始计量，包括采购成本、加工成本和其他成本。存货发出时按月末一次加权平均法计价。</w:t>
          </w:r>
        </w:p>
        <w:p w14:paraId="1466CE4B">
          <w:pPr>
            <w:spacing w:before="120" w:beforeLines="50"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．存货的盘存制度</w:t>
          </w:r>
        </w:p>
        <w:p w14:paraId="6A4236BD">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采用永续盘存制。</w:t>
          </w:r>
        </w:p>
        <w:p w14:paraId="7CF42B7F">
          <w:pPr>
            <w:spacing w:before="120" w:beforeLines="50"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．低值易耗品和包装物的摊销方法</w:t>
          </w:r>
        </w:p>
        <w:p w14:paraId="0F6B140E">
          <w:pPr>
            <w:ind w:firstLine="420" w:firstLineChars="200"/>
            <w:rPr>
              <w:color w:val="000000" w:themeColor="text1"/>
              <w14:textFill>
                <w14:solidFill>
                  <w14:schemeClr w14:val="tx1"/>
                </w14:solidFill>
              </w14:textFill>
            </w:rPr>
          </w:pPr>
          <w:r>
            <w:rPr>
              <w:rFonts w:hint="eastAsia" w:asciiTheme="minorEastAsia" w:hAnsiTheme="minorEastAsia" w:eastAsiaTheme="minorEastAsia"/>
            </w:rPr>
            <w:t>周转材料包括低值易耗品和包装物等，在领用时采用一次转销法进行摊销。</w:t>
          </w:r>
        </w:p>
      </w:sdtContent>
    </w:sdt>
    <w:p w14:paraId="20494333">
      <w:pPr>
        <w:rPr>
          <w:rFonts w:cs="Times New Roman"/>
          <w:color w:val="000000" w:themeColor="text1"/>
          <w14:textFill>
            <w14:solidFill>
              <w14:schemeClr w14:val="tx1"/>
            </w14:solidFill>
          </w14:textFill>
        </w:rPr>
      </w:pPr>
    </w:p>
    <w:p w14:paraId="2054FFDF">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存货跌价准备的确认标准和计提方法</w:t>
      </w:r>
    </w:p>
    <w:sdt>
      <w:sdtPr>
        <w:rPr>
          <w:color w:val="000000" w:themeColor="text1"/>
          <w14:textFill>
            <w14:solidFill>
              <w14:schemeClr w14:val="tx1"/>
            </w14:solidFill>
          </w14:textFill>
        </w:rPr>
        <w:alias w:val="是否适用：存货跌价准备的确认标准和计提方法[双击切换]"/>
        <w:tag w:val="_GBC_193ccfcb63424273902a6a08c94807b7"/>
        <w:id w:val="266513440"/>
        <w:placeholder>
          <w:docPart w:val="GBC22222222222222222222222222222"/>
        </w:placeholder>
      </w:sdtPr>
      <w:sdtEndPr>
        <w:rPr>
          <w:color w:val="000000" w:themeColor="text1"/>
          <w14:textFill>
            <w14:solidFill>
              <w14:schemeClr w14:val="tx1"/>
            </w14:solidFill>
          </w14:textFill>
        </w:rPr>
      </w:sdtEndPr>
      <w:sdtContent>
        <w:p w14:paraId="4F9C52F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存货跌价准备的确认标准和计提方法"/>
        <w:tag w:val="_GBC_d61a6b98d0f44b4a8162d7dd318ee8d8"/>
        <w:id w:val="-1499418818"/>
        <w:placeholder>
          <w:docPart w:val="GBC22222222222222222222222222222"/>
        </w:placeholder>
      </w:sdtPr>
      <w:sdtEndPr>
        <w:rPr>
          <w:color w:val="000000" w:themeColor="text1"/>
          <w14:textFill>
            <w14:solidFill>
              <w14:schemeClr w14:val="tx1"/>
            </w14:solidFill>
          </w14:textFill>
        </w:rPr>
      </w:sdtEndPr>
      <w:sdtContent>
        <w:p w14:paraId="6D21BD7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存货可变现净值的确定依据及存货跌价准备的计提方法</w:t>
          </w:r>
        </w:p>
        <w:p w14:paraId="4071273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存货可变现净值按存货的估计售价减去至完工时估计将要发生的成本、估计的销售费用以及相关税费后的金额确定。</w:t>
          </w:r>
        </w:p>
        <w:p w14:paraId="4E9E05C4">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期末，按照单个存货成本高于可变现净值的差额计提存货跌价准备，计入当期损益；以前减记存货价值的影响因素已经消失的，减记的金额应当予以恢复，并在原已计提的存货跌价准备金额内转回，转回的金额计入当期损益。对于数量繁多、单价较低的存货，按存货类别计提存货跌价准备。</w:t>
          </w:r>
        </w:p>
        <w:p w14:paraId="5E156096">
          <w:pPr>
            <w:rPr>
              <w:color w:val="000000" w:themeColor="text1"/>
              <w14:textFill>
                <w14:solidFill>
                  <w14:schemeClr w14:val="tx1"/>
                </w14:solidFill>
              </w14:textFill>
            </w:rPr>
          </w:pPr>
        </w:p>
      </w:sdtContent>
    </w:sdt>
    <w:p w14:paraId="44CEF6A5">
      <w:pPr>
        <w:rPr>
          <w:rFonts w:cs="Times New Roman"/>
          <w:b/>
          <w:color w:val="000000" w:themeColor="text1"/>
          <w:kern w:val="2"/>
          <w:szCs w:val="28"/>
          <w14:textFill>
            <w14:solidFill>
              <w14:schemeClr w14:val="tx1"/>
            </w14:solidFill>
          </w14:textFill>
        </w:rPr>
      </w:pPr>
    </w:p>
    <w:p w14:paraId="7EFBD6D0">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按照组合计提存货跌价准备的组合类别及确定依据</w:t>
      </w:r>
      <w:r>
        <w:rPr>
          <w:rFonts w:hint="eastAsia" w:cs="Times New Roman"/>
          <w:b/>
          <w:color w:val="000000" w:themeColor="text1"/>
          <w:kern w:val="2"/>
          <w:szCs w:val="28"/>
          <w14:textFill>
            <w14:solidFill>
              <w14:schemeClr w14:val="tx1"/>
            </w14:solidFill>
          </w14:textFill>
        </w:rPr>
        <w:t>、</w:t>
      </w:r>
      <w:r>
        <w:rPr>
          <w:rFonts w:hint="eastAsia"/>
          <w:b/>
          <w:color w:val="000000" w:themeColor="text1"/>
          <w14:textFill>
            <w14:solidFill>
              <w14:schemeClr w14:val="tx1"/>
            </w14:solidFill>
          </w14:textFill>
        </w:rPr>
        <w:t>不同类别存货可变现净值的确定依据</w:t>
      </w:r>
    </w:p>
    <w:sdt>
      <w:sdtPr>
        <w:rPr>
          <w:color w:val="000000" w:themeColor="text1"/>
          <w14:textFill>
            <w14:solidFill>
              <w14:schemeClr w14:val="tx1"/>
            </w14:solidFill>
          </w14:textFill>
        </w:rPr>
        <w:alias w:val="是否适用：按照组合计提存货跌价准备的组合类别及确定依据、不同类别存货可变现净值的确定依据[双击切换]"/>
        <w:tag w:val="_GBC_6fb7683a95e64eb590d6d510a9774226"/>
        <w:id w:val="1036785938"/>
        <w:placeholder>
          <w:docPart w:val="GBC22222222222222222222222222222"/>
        </w:placeholder>
      </w:sdtPr>
      <w:sdtEndPr>
        <w:rPr>
          <w:color w:val="000000" w:themeColor="text1"/>
          <w14:textFill>
            <w14:solidFill>
              <w14:schemeClr w14:val="tx1"/>
            </w14:solidFill>
          </w14:textFill>
        </w:rPr>
      </w:sdtEndPr>
      <w:sdtContent>
        <w:p w14:paraId="00BBF44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19DDD0">
      <w:pPr>
        <w:rPr>
          <w:rFonts w:cs="Times New Roman"/>
          <w:b/>
          <w:color w:val="000000" w:themeColor="text1"/>
          <w:kern w:val="2"/>
          <w:szCs w:val="28"/>
          <w14:textFill>
            <w14:solidFill>
              <w14:schemeClr w14:val="tx1"/>
            </w14:solidFill>
          </w14:textFill>
        </w:rPr>
      </w:pPr>
    </w:p>
    <w:p w14:paraId="494B32D1">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基于库龄确认存货可变现净值的各库龄组合可变现净值的计算方法和确定依据</w:t>
      </w:r>
    </w:p>
    <w:sdt>
      <w:sdtPr>
        <w:rPr>
          <w:color w:val="000000" w:themeColor="text1"/>
          <w14:textFill>
            <w14:solidFill>
              <w14:schemeClr w14:val="tx1"/>
            </w14:solidFill>
          </w14:textFill>
        </w:rPr>
        <w:alias w:val="是否适用：基于库龄确认存货可变现净值的各库龄组合可变现净值的计算方法和确定依据[双击切换]"/>
        <w:tag w:val="_GBC_16ecfef990ce404c873906cd3cd4dea4"/>
        <w:id w:val="177318228"/>
        <w:placeholder>
          <w:docPart w:val="GBC22222222222222222222222222222"/>
        </w:placeholder>
      </w:sdtPr>
      <w:sdtEndPr>
        <w:rPr>
          <w:color w:val="000000" w:themeColor="text1"/>
          <w14:textFill>
            <w14:solidFill>
              <w14:schemeClr w14:val="tx1"/>
            </w14:solidFill>
          </w14:textFill>
        </w:rPr>
      </w:sdtEndPr>
      <w:sdtContent>
        <w:p w14:paraId="5C8A28E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3DA7D1C">
      <w:pPr>
        <w:rPr>
          <w:rFonts w:cs="Times New Roman"/>
          <w:color w:val="000000" w:themeColor="text1"/>
          <w14:textFill>
            <w14:solidFill>
              <w14:schemeClr w14:val="tx1"/>
            </w14:solidFill>
          </w14:textFill>
        </w:rPr>
      </w:pPr>
    </w:p>
    <w:p w14:paraId="701431AE">
      <w:pPr>
        <w:pStyle w:val="4"/>
        <w:numPr>
          <w:ilvl w:val="0"/>
          <w:numId w:val="33"/>
        </w:numPr>
        <w:rPr>
          <w:rFonts w:ascii="宋体" w:hAnsi="宋体"/>
          <w:color w:val="000000" w:themeColor="text1"/>
          <w14:textFill>
            <w14:solidFill>
              <w14:schemeClr w14:val="tx1"/>
            </w14:solidFill>
          </w14:textFill>
        </w:rPr>
      </w:pPr>
      <w:bookmarkStart w:id="130" w:name="_Hlk533667851"/>
      <w:r>
        <w:rPr>
          <w:rFonts w:ascii="宋体" w:hAnsi="宋体"/>
          <w:color w:val="000000" w:themeColor="text1"/>
          <w14:textFill>
            <w14:solidFill>
              <w14:schemeClr w14:val="tx1"/>
            </w14:solidFill>
          </w14:textFill>
        </w:rPr>
        <w:t>合同资产</w:t>
      </w:r>
    </w:p>
    <w:sdt>
      <w:sdtPr>
        <w:rPr>
          <w:rFonts w:hint="eastAsia"/>
          <w:color w:val="000000" w:themeColor="text1"/>
          <w14:textFill>
            <w14:solidFill>
              <w14:schemeClr w14:val="tx1"/>
            </w14:solidFill>
          </w14:textFill>
        </w:rPr>
        <w:alias w:val="是否适用：合同资产_重要会计政策和估计[双击切换]"/>
        <w:tag w:val="_GBC_2975adaf2d6646238ccae8f732c465f0"/>
        <w:id w:val="1567763168"/>
        <w:placeholder>
          <w:docPart w:val="GBC22222222222222222222222222222"/>
        </w:placeholder>
      </w:sdtPr>
      <w:sdtEndPr>
        <w:rPr>
          <w:rFonts w:hint="eastAsia"/>
          <w:color w:val="000000" w:themeColor="text1"/>
          <w14:textFill>
            <w14:solidFill>
              <w14:schemeClr w14:val="tx1"/>
            </w14:solidFill>
          </w14:textFill>
        </w:rPr>
      </w:sdtEndPr>
      <w:sdtContent>
        <w:p w14:paraId="0C531E2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49EC7C5">
      <w:pPr>
        <w:rPr>
          <w:rFonts w:cs="Times New Roman"/>
          <w:b/>
          <w:color w:val="000000" w:themeColor="text1"/>
          <w:kern w:val="2"/>
          <w:szCs w:val="28"/>
          <w14:textFill>
            <w14:solidFill>
              <w14:schemeClr w14:val="tx1"/>
            </w14:solidFill>
          </w14:textFill>
        </w:rPr>
      </w:pPr>
      <w:r>
        <w:rPr>
          <w:rFonts w:hint="eastAsia" w:cs="Times New Roman"/>
          <w:b/>
          <w:color w:val="000000" w:themeColor="text1"/>
          <w:kern w:val="2"/>
          <w:szCs w:val="28"/>
          <w14:textFill>
            <w14:solidFill>
              <w14:schemeClr w14:val="tx1"/>
            </w14:solidFill>
          </w14:textFill>
        </w:rPr>
        <w:t>合同资产的确认方法及标准</w:t>
      </w:r>
    </w:p>
    <w:sdt>
      <w:sdtPr>
        <w:rPr>
          <w:color w:val="000000" w:themeColor="text1"/>
          <w14:textFill>
            <w14:solidFill>
              <w14:schemeClr w14:val="tx1"/>
            </w14:solidFill>
          </w14:textFill>
        </w:rPr>
        <w:alias w:val="是否适用：合同资产的确定方法、摊销方法和减值测试方法[双击切换]"/>
        <w:tag w:val="_GBC_4c4f86076daf4596b0ff34199b55a09a"/>
        <w:id w:val="353612825"/>
        <w:placeholder>
          <w:docPart w:val="GBC22222222222222222222222222222"/>
        </w:placeholder>
      </w:sdtPr>
      <w:sdtEndPr>
        <w:rPr>
          <w:color w:val="000000" w:themeColor="text1"/>
          <w14:textFill>
            <w14:solidFill>
              <w14:schemeClr w14:val="tx1"/>
            </w14:solidFill>
          </w14:textFill>
        </w:rPr>
      </w:sdtEndPr>
      <w:sdtContent>
        <w:p w14:paraId="13BF7EE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资产的确定方法、摊销方法和减值测试方法"/>
        <w:tag w:val="_GBC_3a321460bd2944c9b8bfb3131a9e1b86"/>
        <w:id w:val="2018490188"/>
        <w:placeholder>
          <w:docPart w:val="GBC22222222222222222222222222222"/>
        </w:placeholder>
      </w:sdtPr>
      <w:sdtEndPr>
        <w:rPr>
          <w:color w:val="000000" w:themeColor="text1"/>
          <w14:textFill>
            <w14:solidFill>
              <w14:schemeClr w14:val="tx1"/>
            </w14:solidFill>
          </w14:textFill>
        </w:rPr>
      </w:sdtEndPr>
      <w:sdtContent>
        <w:p w14:paraId="4E2685FA">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合同资产是指本公司已向客户转让商品或服务而有权收取对价的权利，且该权利取决于时间流逝之外的其他因素。本公司拥有的无条件(即仅取决于时间流逝)向客户收取对价的权利作为应收款项单独列示。</w:t>
          </w:r>
        </w:p>
      </w:sdtContent>
    </w:sdt>
    <w:p w14:paraId="79116708">
      <w:pPr>
        <w:rPr>
          <w:color w:val="000000" w:themeColor="text1"/>
          <w14:textFill>
            <w14:solidFill>
              <w14:schemeClr w14:val="tx1"/>
            </w14:solidFill>
          </w14:textFill>
        </w:rPr>
      </w:pPr>
    </w:p>
    <w:bookmarkEnd w:id="130"/>
    <w:p w14:paraId="4610E6BC">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按照信用风险特征组合计提坏账准备的组合类别及确定依据</w:t>
      </w:r>
    </w:p>
    <w:sdt>
      <w:sdtPr>
        <w:rPr>
          <w:color w:val="000000" w:themeColor="text1"/>
          <w14:textFill>
            <w14:solidFill>
              <w14:schemeClr w14:val="tx1"/>
            </w14:solidFill>
          </w14:textFill>
        </w:rPr>
        <w:alias w:val="是否适用：合同资产按照信用风险特征组合计提坏账准备的组合类别及确定依据[双击切换]"/>
        <w:tag w:val="_GBC_88801ad04a564fb2b7e709fd757fcda3"/>
        <w:id w:val="1256711177"/>
        <w:placeholder>
          <w:docPart w:val="GBC22222222222222222222222222222"/>
        </w:placeholder>
      </w:sdtPr>
      <w:sdtEndPr>
        <w:rPr>
          <w:color w:val="000000" w:themeColor="text1"/>
          <w14:textFill>
            <w14:solidFill>
              <w14:schemeClr w14:val="tx1"/>
            </w14:solidFill>
          </w14:textFill>
        </w:rPr>
      </w:sdtEndPr>
      <w:sdtContent>
        <w:p w14:paraId="229844C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资产按照信用风险特征组合计提坏账准备的组合类别及确定依据"/>
        <w:tag w:val="_GBC_39a27b872e8747698a9fdd2eb76f8126"/>
        <w:id w:val="-1551600896"/>
        <w:placeholder>
          <w:docPart w:val="GBC22222222222222222222222222222"/>
        </w:placeholder>
      </w:sdtPr>
      <w:sdtEndPr>
        <w:rPr>
          <w:color w:val="000000" w:themeColor="text1"/>
          <w14:textFill>
            <w14:solidFill>
              <w14:schemeClr w14:val="tx1"/>
            </w14:solidFill>
          </w14:textFill>
        </w:rPr>
      </w:sdtEndPr>
      <w:sdtContent>
        <w:p w14:paraId="43323358">
          <w:p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合同资产预期信用损失的确定方法及会计处理方法，与第八节财务报告五、重要会计政策及会计估计13.应收账款的预期信用损失的确定方法及会计处理方法一致。</w:t>
          </w:r>
        </w:p>
      </w:sdtContent>
    </w:sdt>
    <w:p w14:paraId="1D7B1CCA">
      <w:pPr>
        <w:rPr>
          <w:rFonts w:cs="Times New Roman"/>
          <w:b/>
          <w:bCs/>
          <w:color w:val="000000" w:themeColor="text1"/>
          <w:kern w:val="2"/>
          <w:szCs w:val="28"/>
          <w14:textFill>
            <w14:solidFill>
              <w14:schemeClr w14:val="tx1"/>
            </w14:solidFill>
          </w14:textFill>
        </w:rPr>
      </w:pPr>
    </w:p>
    <w:p w14:paraId="453D855A">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基于账龄确认信用风险特征组合的账龄计算方法</w:t>
      </w:r>
    </w:p>
    <w:sdt>
      <w:sdtPr>
        <w:rPr>
          <w:color w:val="000000" w:themeColor="text1"/>
          <w14:textFill>
            <w14:solidFill>
              <w14:schemeClr w14:val="tx1"/>
            </w14:solidFill>
          </w14:textFill>
        </w:rPr>
        <w:alias w:val="是否适用：合同资产基于账龄确认信用风险特征组合的账龄计算方法[双击切换]"/>
        <w:tag w:val="_GBC_59be362629844c15946a32547bc25926"/>
        <w:id w:val="350220668"/>
        <w:placeholder>
          <w:docPart w:val="GBC22222222222222222222222222222"/>
        </w:placeholder>
      </w:sdtPr>
      <w:sdtEndPr>
        <w:rPr>
          <w:color w:val="000000" w:themeColor="text1"/>
          <w14:textFill>
            <w14:solidFill>
              <w14:schemeClr w14:val="tx1"/>
            </w14:solidFill>
          </w14:textFill>
        </w:rPr>
      </w:sdtEndPr>
      <w:sdtContent>
        <w:p w14:paraId="1C516F4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D94305">
      <w:pPr>
        <w:rPr>
          <w:rFonts w:cs="Times New Roman"/>
          <w:b/>
          <w:bCs/>
          <w:color w:val="000000" w:themeColor="text1"/>
          <w:kern w:val="2"/>
          <w:szCs w:val="28"/>
          <w14:textFill>
            <w14:solidFill>
              <w14:schemeClr w14:val="tx1"/>
            </w14:solidFill>
          </w14:textFill>
        </w:rPr>
      </w:pPr>
    </w:p>
    <w:p w14:paraId="424EF777">
      <w:pPr>
        <w:rPr>
          <w:rFonts w:cs="Times New Roman"/>
          <w:b/>
          <w:color w:val="000000" w:themeColor="text1"/>
          <w:kern w:val="2"/>
          <w:szCs w:val="28"/>
          <w14:textFill>
            <w14:solidFill>
              <w14:schemeClr w14:val="tx1"/>
            </w14:solidFill>
          </w14:textFill>
        </w:rPr>
      </w:pPr>
      <w:r>
        <w:rPr>
          <w:rFonts w:cs="Times New Roman"/>
          <w:b/>
          <w:color w:val="000000" w:themeColor="text1"/>
          <w:kern w:val="2"/>
          <w:szCs w:val="28"/>
          <w14:textFill>
            <w14:solidFill>
              <w14:schemeClr w14:val="tx1"/>
            </w14:solidFill>
          </w14:textFill>
        </w:rPr>
        <w:t>按照单项计提坏账准备的认定单项计提判断标准</w:t>
      </w:r>
    </w:p>
    <w:sdt>
      <w:sdtPr>
        <w:rPr>
          <w:color w:val="000000" w:themeColor="text1"/>
          <w14:textFill>
            <w14:solidFill>
              <w14:schemeClr w14:val="tx1"/>
            </w14:solidFill>
          </w14:textFill>
        </w:rPr>
        <w:alias w:val="是否适用：合同资产按照单项计提坏账准备的单项计提判断标准[双击切换]"/>
        <w:tag w:val="_GBC_0ad2d10f39624b3486cf825e91aa1d85"/>
        <w:id w:val="-2019679545"/>
        <w:placeholder>
          <w:docPart w:val="GBC22222222222222222222222222222"/>
        </w:placeholder>
      </w:sdtPr>
      <w:sdtEndPr>
        <w:rPr>
          <w:color w:val="000000" w:themeColor="text1"/>
          <w14:textFill>
            <w14:solidFill>
              <w14:schemeClr w14:val="tx1"/>
            </w14:solidFill>
          </w14:textFill>
        </w:rPr>
      </w:sdtEndPr>
      <w:sdtContent>
        <w:p w14:paraId="342D03A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D75614">
      <w:pPr>
        <w:rPr>
          <w:color w:val="000000" w:themeColor="text1"/>
          <w14:textFill>
            <w14:solidFill>
              <w14:schemeClr w14:val="tx1"/>
            </w14:solidFill>
          </w14:textFill>
        </w:rPr>
      </w:pPr>
    </w:p>
    <w:p w14:paraId="2E4847BD">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持有待售的非流动资产或处置组</w:t>
      </w:r>
    </w:p>
    <w:sdt>
      <w:sdtPr>
        <w:rPr>
          <w:color w:val="000000" w:themeColor="text1"/>
          <w14:textFill>
            <w14:solidFill>
              <w14:schemeClr w14:val="tx1"/>
            </w14:solidFill>
          </w14:textFill>
        </w:rPr>
        <w:alias w:val="是否适用：持有待售的非流动资产或处置组[双击切换]"/>
        <w:tag w:val="_GBC_f1f73a9983444ce2a24c3a748aa6178f"/>
        <w:id w:val="1862312586"/>
        <w:placeholder>
          <w:docPart w:val="GBC22222222222222222222222222222"/>
        </w:placeholder>
      </w:sdtPr>
      <w:sdtEndPr>
        <w:rPr>
          <w:color w:val="000000" w:themeColor="text1"/>
          <w14:textFill>
            <w14:solidFill>
              <w14:schemeClr w14:val="tx1"/>
            </w14:solidFill>
          </w14:textFill>
        </w:rPr>
      </w:sdtEndPr>
      <w:sdtContent>
        <w:p w14:paraId="2CC8E761">
          <w:pPr>
            <w:rPr>
              <w:color w:val="000000" w:themeColor="text1"/>
              <w14:textFill>
                <w14:solidFill>
                  <w14:schemeClr w14:val="tx1"/>
                </w14:solidFill>
              </w14:textFill>
            </w:rPr>
          </w:pPr>
          <w:bookmarkStart w:id="131" w:name="_Hlk533151067"/>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持有待售的非流动资产或处置组"/>
        <w:tag w:val="_GBC_f73ce57cdf2f499aadf2d1abe9773623"/>
        <w:id w:val="-109519976"/>
        <w:placeholder>
          <w:docPart w:val="GBC22222222222222222222222222222"/>
        </w:placeholder>
      </w:sdtPr>
      <w:sdtEndPr>
        <w:rPr>
          <w:color w:val="000000" w:themeColor="text1"/>
          <w14:textFill>
            <w14:solidFill>
              <w14:schemeClr w14:val="tx1"/>
            </w14:solidFill>
          </w14:textFill>
        </w:rPr>
      </w:sdtEndPr>
      <w:sdtContent>
        <w:p w14:paraId="587D1B56">
          <w:pPr>
            <w:rPr>
              <w:color w:val="000000" w:themeColor="text1"/>
              <w14:textFill>
                <w14:solidFill>
                  <w14:schemeClr w14:val="tx1"/>
                </w14:solidFill>
              </w14:textFill>
            </w:rPr>
          </w:pPr>
          <w:r>
            <w:rPr>
              <w:rFonts w:hint="eastAsia"/>
              <w:color w:val="000000" w:themeColor="text1"/>
              <w14:textFill>
                <w14:solidFill>
                  <w14:schemeClr w14:val="tx1"/>
                </w14:solidFill>
              </w14:textFill>
            </w:rPr>
            <w:t>详见下划分为持有待售的非流动资产或处置组的确认标准和会计处理方法。</w:t>
          </w:r>
        </w:p>
      </w:sdtContent>
    </w:sdt>
    <w:p w14:paraId="5DE443AE">
      <w:pPr>
        <w:rPr>
          <w:color w:val="000000" w:themeColor="text1"/>
          <w14:textFill>
            <w14:solidFill>
              <w14:schemeClr w14:val="tx1"/>
            </w14:solidFill>
          </w14:textFill>
        </w:rPr>
      </w:pPr>
    </w:p>
    <w:bookmarkEnd w:id="131"/>
    <w:p w14:paraId="7B0B72ED">
      <w:pPr>
        <w:rPr>
          <w:rFonts w:cs="Times New Roman"/>
          <w:b/>
          <w:color w:val="000000" w:themeColor="text1"/>
          <w:kern w:val="2"/>
          <w14:textFill>
            <w14:solidFill>
              <w14:schemeClr w14:val="tx1"/>
            </w14:solidFill>
          </w14:textFill>
        </w:rPr>
      </w:pPr>
      <w:r>
        <w:rPr>
          <w:rFonts w:hint="eastAsia" w:cs="Times New Roman"/>
          <w:b/>
          <w:color w:val="000000" w:themeColor="text1"/>
          <w:kern w:val="2"/>
          <w14:textFill>
            <w14:solidFill>
              <w14:schemeClr w14:val="tx1"/>
            </w14:solidFill>
          </w14:textFill>
        </w:rPr>
        <w:t>划分为持有待售的非流动资产或处置组的确认标准和会计处理方法</w:t>
      </w:r>
    </w:p>
    <w:sdt>
      <w:sdtPr>
        <w:rPr>
          <w:color w:val="000000" w:themeColor="text1"/>
          <w14:textFill>
            <w14:solidFill>
              <w14:schemeClr w14:val="tx1"/>
            </w14:solidFill>
          </w14:textFill>
        </w:rPr>
        <w:alias w:val="是否适用：划分为持有待售的非流动资产或处置组的确认标准和会计处理方法[双击切换]"/>
        <w:tag w:val="_GBC_6c531b0531914ce08b0f9e9ff03b4e9c"/>
        <w:id w:val="-909314871"/>
        <w:placeholder>
          <w:docPart w:val="GBC22222222222222222222222222222"/>
        </w:placeholder>
      </w:sdtPr>
      <w:sdtEndPr>
        <w:rPr>
          <w:color w:val="000000" w:themeColor="text1"/>
          <w14:textFill>
            <w14:solidFill>
              <w14:schemeClr w14:val="tx1"/>
            </w14:solidFill>
          </w14:textFill>
        </w:rPr>
      </w:sdtEndPr>
      <w:sdtContent>
        <w:p w14:paraId="7E73D4E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划分为持有待售的非流动资产或处置组的确认标准和会计处理方法"/>
        <w:tag w:val="_GBC_b7191fb064a643b298159d5d171b0856"/>
        <w:id w:val="998857241"/>
        <w:placeholder>
          <w:docPart w:val="GBC22222222222222222222222222222"/>
        </w:placeholder>
      </w:sdtPr>
      <w:sdtEndPr>
        <w:rPr>
          <w:rFonts w:ascii="宋体" w:hAnsi="宋体"/>
          <w:color w:val="auto"/>
        </w:rPr>
      </w:sdtEndPr>
      <w:sdtContent>
        <w:p w14:paraId="5365BAD3">
          <w:pPr>
            <w:pStyle w:val="20"/>
            <w:tabs>
              <w:tab w:val="left" w:pos="3828"/>
              <w:tab w:val="left" w:pos="4320"/>
            </w:tabs>
            <w:spacing w:after="120" w:afterLines="50" w:line="360" w:lineRule="exact"/>
            <w:ind w:firstLine="420" w:firstLineChars="200"/>
            <w:rPr>
              <w:rFonts w:ascii="宋体" w:hAnsi="宋体"/>
            </w:rPr>
          </w:pPr>
          <w:r>
            <w:rPr>
              <w:rFonts w:hint="eastAsia" w:ascii="宋体" w:hAnsi="宋体"/>
            </w:rPr>
            <w:t>本公司将同时满足下列条件的集团组成部分（或非流动资产）划分为持有待售：（1）根据类似交易中出售此类资产或处置组的惯例，在当前状况下即可立即出售；（2）出售极可能发生，已经就一项出售计划作出决议且获得确定的购买承诺（确定的购买承诺，是指企业与其他方签订的具有法律约束力的购买协议，该协议包含交易价格、时间和足够严厉的违约惩罚等重要条款，使协议出现重大调整或者撤销的可能性极小。预计出售将在一年内完成。已经获得按照有关规定需得到相关权力机构或者监管部门的批准。</w:t>
          </w:r>
        </w:p>
        <w:p w14:paraId="2CDDEB86">
          <w:pPr>
            <w:pStyle w:val="20"/>
            <w:tabs>
              <w:tab w:val="left" w:pos="4320"/>
            </w:tabs>
            <w:spacing w:after="120" w:afterLines="50" w:line="360" w:lineRule="exact"/>
            <w:ind w:firstLine="420" w:firstLineChars="200"/>
            <w:rPr>
              <w:rFonts w:ascii="宋体" w:hAnsi="宋体"/>
            </w:rPr>
          </w:pPr>
          <w:r>
            <w:rPr>
              <w:rFonts w:hint="eastAsia" w:ascii="宋体" w:hAnsi="宋体"/>
            </w:rPr>
            <w:t>本公司将持有待售的预计净残值调整为反映其公允价值减去出售费用后的净额（但不得超过该项持有待售的原账面价值），原账面价值高于调整后预计净残值的差额，作为资产减值损失计入当期损益，同时计提持有待售资产减值准备。对于持有待售的处置组确认的资产减值损失金额，应当先抵减处置组中商誉的账面价值，再根据处置组中适用《企业会计准则第42号——持有待售的非流动资产、处置组和终止经营》计量规定的各项非流动资产账面价值所占比重，按比例抵减其账面价值。</w:t>
          </w:r>
        </w:p>
        <w:p w14:paraId="5CF5FFAB">
          <w:pPr>
            <w:pStyle w:val="20"/>
            <w:tabs>
              <w:tab w:val="left" w:pos="4320"/>
            </w:tabs>
            <w:spacing w:after="120" w:afterLines="50" w:line="360" w:lineRule="exact"/>
            <w:ind w:firstLine="420" w:firstLineChars="200"/>
            <w:rPr>
              <w:rFonts w:ascii="宋体" w:hAnsi="宋体"/>
            </w:rPr>
          </w:pPr>
          <w:r>
            <w:rPr>
              <w:rFonts w:hint="eastAsia" w:ascii="宋体" w:hAnsi="宋体"/>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后续资产负债表日持有待售的处置组公允价值减去出售费用后的净额增加的，以前减记的金额应当予以恢复，并在划分为持有待售类别后适用《企业会计准则第42号——持有待售的非流动资产、处置组和终止经营》计量规定的非流动资产确认的资产减值损失金额内转回，转回金额计入当期损益。已抵减的商誉账面价值，以及适用《企业会计准则第42号——持有待售的非流动资产、处置组和终止经营》计量规定的非流动资产在划分为持有待售类别前确认的资产减值损失不得转回。持有待售的处置组确认的资产减值损失后续转回金额， 应当根据处置组中除商誉外适用《企业会计准则第42号——持有待售的非流动资产、处置组和终止经营》计量规定的各项非流动资产账面价值所占比重，按比例增加其账面价值。企业因出售对子公司的投资等原因导致其丧失对子公司控制权的，无论出售后企业是否保留部分权益性投资，应当在拟出售的对子公司投资满足持有待售类别划分条件时，在母公司个别财务报表中将对子公司投资整体划分为持有待售类别，在合并财务报表中将子公司所有资产和负债划分为持有待售类别。</w:t>
          </w:r>
        </w:p>
      </w:sdtContent>
    </w:sdt>
    <w:p w14:paraId="0C42C419">
      <w:pPr>
        <w:rPr>
          <w:color w:val="000000" w:themeColor="text1"/>
          <w14:textFill>
            <w14:solidFill>
              <w14:schemeClr w14:val="tx1"/>
            </w14:solidFill>
          </w14:textFill>
        </w:rPr>
      </w:pPr>
    </w:p>
    <w:p w14:paraId="3FD9DF13">
      <w:pPr>
        <w:rPr>
          <w:rFonts w:cs="Times New Roman"/>
          <w:b/>
          <w:color w:val="000000" w:themeColor="text1"/>
          <w:kern w:val="2"/>
          <w14:textFill>
            <w14:solidFill>
              <w14:schemeClr w14:val="tx1"/>
            </w14:solidFill>
          </w14:textFill>
        </w:rPr>
      </w:pPr>
      <w:r>
        <w:rPr>
          <w:rFonts w:cs="Times New Roman"/>
          <w:b/>
          <w:color w:val="000000" w:themeColor="text1"/>
          <w:kern w:val="2"/>
          <w14:textFill>
            <w14:solidFill>
              <w14:schemeClr w14:val="tx1"/>
            </w14:solidFill>
          </w14:textFill>
        </w:rPr>
        <w:t>终止经营的认定标准和列报方法</w:t>
      </w:r>
    </w:p>
    <w:sdt>
      <w:sdtPr>
        <w:rPr>
          <w:color w:val="000000" w:themeColor="text1"/>
          <w14:textFill>
            <w14:solidFill>
              <w14:schemeClr w14:val="tx1"/>
            </w14:solidFill>
          </w14:textFill>
        </w:rPr>
        <w:alias w:val="是否适用：终止经营的认定标准和列报方法[双击切换]"/>
        <w:tag w:val="_GBC_4c502276dc0f4c08a09a2a83a4203533"/>
        <w:id w:val="-801758465"/>
        <w:placeholder>
          <w:docPart w:val="GBC22222222222222222222222222222"/>
        </w:placeholder>
      </w:sdtPr>
      <w:sdtEndPr>
        <w:rPr>
          <w:color w:val="000000" w:themeColor="text1"/>
          <w14:textFill>
            <w14:solidFill>
              <w14:schemeClr w14:val="tx1"/>
            </w14:solidFill>
          </w14:textFill>
        </w:rPr>
      </w:sdtEndPr>
      <w:sdtContent>
        <w:p w14:paraId="2E45191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终止经营的认定标准和列报方法"/>
        <w:tag w:val="_GBC_58f57a3b282d431a8ee5234e168d1b89"/>
        <w:id w:val="-812704725"/>
        <w:placeholder>
          <w:docPart w:val="GBC22222222222222222222222222222"/>
        </w:placeholder>
      </w:sdtPr>
      <w:sdtEndPr>
        <w:rPr>
          <w:rFonts w:ascii="宋体" w:hAnsi="宋体"/>
          <w:color w:val="auto"/>
        </w:rPr>
      </w:sdtEndPr>
      <w:sdtContent>
        <w:p w14:paraId="181DE44E">
          <w:pPr>
            <w:pStyle w:val="20"/>
            <w:tabs>
              <w:tab w:val="left" w:pos="4320"/>
            </w:tabs>
            <w:spacing w:after="120" w:afterLines="50" w:line="360" w:lineRule="exact"/>
            <w:ind w:firstLine="420" w:firstLineChars="200"/>
            <w:rPr>
              <w:rFonts w:ascii="宋体" w:hAnsi="宋体"/>
            </w:rPr>
          </w:pPr>
          <w:r>
            <w:rPr>
              <w:rFonts w:hint="eastAsia" w:ascii="宋体" w:hAnsi="宋体"/>
            </w:rPr>
            <w:t>终止经营，是指企业满足下列条件之一的、能够单独区分的组成部分，且该组成部分已经处置或划分为持有待售类别：（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14:paraId="1496BEE5">
          <w:pPr>
            <w:pStyle w:val="20"/>
            <w:tabs>
              <w:tab w:val="left" w:pos="4320"/>
            </w:tabs>
            <w:spacing w:after="120" w:afterLines="50" w:line="360" w:lineRule="exact"/>
            <w:ind w:firstLine="420" w:firstLineChars="200"/>
            <w:rPr>
              <w:rFonts w:ascii="宋体" w:hAnsi="宋体"/>
            </w:rPr>
          </w:pPr>
          <w:r>
            <w:rPr>
              <w:rFonts w:hint="eastAsia" w:ascii="宋体" w:hAnsi="宋体"/>
            </w:rPr>
            <w:t>终止经营的定义包含以下三方面含义：</w:t>
          </w:r>
        </w:p>
        <w:p w14:paraId="775116F3">
          <w:pPr>
            <w:pStyle w:val="20"/>
            <w:tabs>
              <w:tab w:val="left" w:pos="4320"/>
            </w:tabs>
            <w:spacing w:after="120" w:afterLines="50" w:line="360" w:lineRule="exact"/>
            <w:ind w:firstLine="420" w:firstLineChars="200"/>
            <w:rPr>
              <w:rFonts w:ascii="宋体" w:hAnsi="宋体"/>
            </w:rPr>
          </w:pPr>
          <w:r>
            <w:rPr>
              <w:rFonts w:hint="eastAsia" w:ascii="宋体" w:hAnsi="宋体"/>
            </w:rPr>
            <w:t>（1）终止经营应当是企业能够单独区分的组成部分。该组成部分的经营和现金流量在企业经营和编制财务报表时是能够与企业的其他部分清楚区分的。</w:t>
          </w:r>
        </w:p>
        <w:p w14:paraId="348A15A5">
          <w:pPr>
            <w:pStyle w:val="20"/>
            <w:tabs>
              <w:tab w:val="left" w:pos="4320"/>
            </w:tabs>
            <w:spacing w:after="120" w:afterLines="50" w:line="360" w:lineRule="exact"/>
            <w:ind w:firstLine="420" w:firstLineChars="200"/>
            <w:rPr>
              <w:rFonts w:ascii="宋体" w:hAnsi="宋体"/>
            </w:rPr>
          </w:pPr>
          <w:r>
            <w:rPr>
              <w:rFonts w:hint="eastAsia" w:ascii="宋体" w:hAnsi="宋体"/>
            </w:rPr>
            <w:t>（2）终止经营应当具有一定的规模。终止经营应当代表一项独立的主要业务或一个单独的主要经营地区，或者是拟对一项独立的主要业务或一个单独的主要经营地区进行处置的一项相关联计划的一部分。</w:t>
          </w:r>
        </w:p>
        <w:p w14:paraId="7AFBF8D7">
          <w:pPr>
            <w:pStyle w:val="20"/>
            <w:tabs>
              <w:tab w:val="left" w:pos="4320"/>
            </w:tabs>
            <w:spacing w:after="120" w:afterLines="50" w:line="360" w:lineRule="exact"/>
            <w:ind w:firstLine="420" w:firstLineChars="200"/>
            <w:rPr>
              <w:rFonts w:ascii="宋体" w:hAnsi="宋体"/>
            </w:rPr>
          </w:pPr>
          <w:r>
            <w:rPr>
              <w:rFonts w:hint="eastAsia" w:ascii="宋体" w:hAnsi="宋体"/>
            </w:rPr>
            <w:t>（3）终止经营应当满足一定的时点要求。符合终止经营定义的组成部分应当属于以下两种情况之一，该组成部分在资产负债表日之前已经处置，包括已经出售和结束使用（如关停或报废等）；该组成部分在资产负债表日之前已经划分为持有待售类别。</w:t>
          </w:r>
        </w:p>
      </w:sdtContent>
    </w:sdt>
    <w:p w14:paraId="2115DDE1">
      <w:pPr>
        <w:rPr>
          <w:color w:val="000000" w:themeColor="text1"/>
          <w14:textFill>
            <w14:solidFill>
              <w14:schemeClr w14:val="tx1"/>
            </w14:solidFill>
          </w14:textFill>
        </w:rPr>
      </w:pPr>
    </w:p>
    <w:bookmarkEnd w:id="123"/>
    <w:p w14:paraId="29F19C6B">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长期股权投资</w:t>
      </w:r>
    </w:p>
    <w:sdt>
      <w:sdtPr>
        <w:rPr>
          <w:color w:val="000000" w:themeColor="text1"/>
          <w14:textFill>
            <w14:solidFill>
              <w14:schemeClr w14:val="tx1"/>
            </w14:solidFill>
          </w14:textFill>
        </w:rPr>
        <w:alias w:val="是否适用：长期股权投资_重要会计政策和估计[双击切换]"/>
        <w:tag w:val="_GBC_a2b657853ac547afaaad118dec96d0e1"/>
        <w:id w:val="-376933016"/>
        <w:placeholder>
          <w:docPart w:val="GBC22222222222222222222222222222"/>
        </w:placeholder>
      </w:sdtPr>
      <w:sdtEndPr>
        <w:rPr>
          <w:color w:val="000000" w:themeColor="text1"/>
          <w14:textFill>
            <w14:solidFill>
              <w14:schemeClr w14:val="tx1"/>
            </w14:solidFill>
          </w14:textFill>
        </w:rPr>
      </w:sdtEndPr>
      <w:sdtContent>
        <w:p w14:paraId="4A8D30A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长期股权投资的核算方法"/>
        <w:tag w:val="_GBC_3e77074cd50946b1bccdff9bc1c9556f"/>
        <w:id w:val="1730034376"/>
        <w:placeholder>
          <w:docPart w:val="GBC22222222222222222222222222222"/>
        </w:placeholder>
      </w:sdtPr>
      <w:sdtEndPr>
        <w:rPr>
          <w:color w:val="000000" w:themeColor="text1"/>
          <w14:textFill>
            <w14:solidFill>
              <w14:schemeClr w14:val="tx1"/>
            </w14:solidFill>
          </w14:textFill>
        </w:rPr>
      </w:sdtEndPr>
      <w:sdtContent>
        <w:p w14:paraId="7543392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1.重大影响、共同控制的判断标准</w:t>
          </w:r>
        </w:p>
        <w:p w14:paraId="224AA97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本公司结合以下情形综合考虑是否对被投资单位具有重大影响：是否在被投资单位董事会或类似权力机构中派有代表；是否参与被投资单位财务和经营政策制定过程;是否与被投资单位之间发生重要交易；是否向被投资单位派出管理人员；是否向被投资单位提供关键技术资料。</w:t>
          </w:r>
        </w:p>
        <w:p w14:paraId="447CF9BD">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（2）若本公司与其他参与方均受某合营安排的约束，任何一个参与方不能单独控制该安排，任何一个参与方均能够阻止其他参与方或参与方组合单独控制该安排，本公司判断对该项合营安排具有共同控制。</w:t>
          </w:r>
        </w:p>
        <w:p w14:paraId="3CAAD7C6">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2.投资成本的确定</w:t>
          </w:r>
        </w:p>
        <w:p w14:paraId="273A0BB4">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（1）企业合并形成的长期股权投资，按以下方法确定投资成本：</w:t>
          </w:r>
        </w:p>
        <w:p w14:paraId="1099E51D">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1）对于同一控制下企业合并形成的对子公司投资，以在合并日取得被合并方所有者权益在最终控制方合并财务报表中账面价值的份额作为长期股权投资的投资成本。</w:t>
          </w:r>
        </w:p>
        <w:p w14:paraId="5D5EE45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分步实现的同一控制下企业合并,在合并日根据合并后应享有被合并方净资产在最终控制方合并财务报表中的账面价值的份额，确定长期股权投资的初始投资成本；初始投资成本与达到合并前长期股权投资账面价值加上合并日进一步取得股份新支付对价的账面价值之和的差额，调整资本公积(资本/股本溢价)，资本公积不足冲减的，冲减留存收益。合并日之前持有的股权投资,因采用权益法核算或金融工具确认和计量准则核算而确认的其他综合收益暂不进行会计处理,直至处置该项投资时采用与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其中，处置后的剩余股权根据本准则采用成本法或权益法核算的，其他综合收益和其他所有者权益应按比例结转,处置后的剩余股权改按金融工具确认和计量准则进行会计处理的，其他综合收益和其他所有者权益应全部结转。采用权益法时,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14:paraId="4C0AF193">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2）对于非同一控制下企业合并形成的对子公司投资，以企业合并成本作为投资成本。</w:t>
          </w:r>
        </w:p>
        <w:p w14:paraId="2AA2276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追加投资能够对非同一控制下的被投资单位实施控制的,以购买日之前所持被购买方的股权投资的账面价值与购买日新增投资成本之和，作为改按成本法核算的初始投资成本;购买日之前持有的被购买方的股权投资因采用权益法核算而确认的其他综合收益,在处置该项投资时采用与被投资单位直接处置相关资产或负债相同的基础进行会计处理。购买日之前持有的股权投资按照《企业会计准则第22号--金融工具确认和计量》有关规定进行会计处理的，原计入其他综合收益的累计公允价值变动应当在改按成本法核算时转入留存收益。</w:t>
          </w:r>
        </w:p>
        <w:p w14:paraId="318757B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（2）除企业合并形成的长期股权投资以外，其他方式取得的长期股权投资，按以下方法确定投资成本：</w:t>
          </w:r>
        </w:p>
        <w:p w14:paraId="0CC05D3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1）以支付现金取得的长期股权投资，按实际支付的购买价款作为投资成本；</w:t>
          </w:r>
        </w:p>
        <w:p w14:paraId="1872949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2）以发行权益性证券取得的长期股权投资，按发行权益性证券的公允价值作为投资成本。</w:t>
          </w:r>
        </w:p>
        <w:p w14:paraId="6653606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（3）因追加投资等原因，能够对被投资单位施加重大影响或实施共同控制但不构成控制的，应当按照《企业会计准则第 22号--金融工具确认和计量》确定的原持有股权的公允价值加上新增投资成本之和，作为改按权益法核算的初始投资成本。原持有的股权投资分类为其他权益工具投资的，其公允价值与账面价值之间的差额，以及原计入其他综合收益的累计公允价值变动应当转入改按权益法核算的留存收益。</w:t>
          </w:r>
        </w:p>
        <w:p w14:paraId="7FE3DD8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3.后续计量及损益确认方法</w:t>
          </w:r>
        </w:p>
        <w:p w14:paraId="1271D9A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（1）对子公司投资</w:t>
          </w:r>
        </w:p>
        <w:p w14:paraId="694538ED">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在合并财务报表中，对子公司投资详见本报告第八节财务报告五、“重要会计政策及会计估计 7、控制的判断标准和合并财务报表的编制方法”</w:t>
          </w:r>
        </w:p>
        <w:p w14:paraId="70D6CB6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在母公司财务报表中，对子公司投资采用成本法核算，在被投资单位宣告分派的现金股利或利润时，确认投资收益。</w:t>
          </w:r>
        </w:p>
        <w:p w14:paraId="1E424E7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）对合营企业投资和对联营企业投资</w:t>
          </w:r>
        </w:p>
        <w:p w14:paraId="6F1233D9">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对合营企业投资和对联营企业投资采用权益法核算，具体会计处理包括：</w:t>
          </w:r>
        </w:p>
        <w:p w14:paraId="456312A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对于初始投资成本大于投资时应享有被投资单位可辨认净资产公允价值份额的,其差额包含在长期股权投资成本中；对于初始投资成本小于投资时应享有被投资单位可辨认净资产公允价值份额的，其差额计入当期损益，同时调整长期股权投资成本。</w:t>
          </w:r>
        </w:p>
        <w:p w14:paraId="04131E4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取得对合营企业投资和对联营企业投资后,按照应享有或应分担的被投资单位实现的净损益和其他综合收益的份额,分别确认投资损益和其他综合收益并调整长期股权投资的账面价值；按照被投资单位宣告分派的现金股利或利润应分得的部分，相应减少长期股权投资的账面价值。</w:t>
          </w:r>
        </w:p>
        <w:p w14:paraId="7637F3E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计算应享有或应分担的被投资单位实现的净损益的份额时,以取得投资时被投资单位可辨认净资产的公允价值为基础确定,对于被投资单位的会计政策或会计期间与本公司不同的,权益法核算时按照本公司的会计政策或会计期间对被投资单位的财务报表进行必要调整，与合营企业和联营企业之间内部交易产生的未实现损益按照持股比例计算归属于本公司的部分，在权益法核算时予以抵消。内部交易产生的未实现损失，有证据表明该损失是相关资产减值损失的，则全额确认该损失。</w:t>
          </w:r>
        </w:p>
        <w:p w14:paraId="5E129264">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对合营企业或联营企业发生的净亏损，除本公司负有承担额外损失义务外，以长期股权投资的账面价值以及其他实质上构成对被投资单位净投资的长期权益减记至零为限。被投资企业以后实现净利润的，在收益分享额弥补未确认的亏损分担额后，恢复确认收益分享额。</w:t>
          </w:r>
        </w:p>
        <w:p w14:paraId="559022B0">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对于被投资单位除净损益、其他综合收益和利润分配以外所有者权益的其他变动，调整长期股权投资的账面价值并计入资本公积。处置该项投资时，将原计入资本公积的部分按相应比例转入当期损益。</w:t>
          </w:r>
        </w:p>
        <w:p w14:paraId="79DEDBD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4.长期股权投资的处置</w:t>
          </w:r>
        </w:p>
        <w:p w14:paraId="2F725845">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处置长期股权投资，其账面价值与实际取得价款的差额计入当期损益，采用权益法核算的长期股权投资，处置时，采用与被投资单位直接处置相关资产或负债相同的基础，按相应比例对原计入其他综合收益的部分进行会计处理。</w:t>
          </w:r>
        </w:p>
        <w:p w14:paraId="6466C88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因处置部分权益性投资等原因丧失了对被投资单位共同控制或重大影响的,处置后的剩余股权按《企业会计准则第 22号--金融工具确认和计量》核算，其在丧失共同控制或重大影响之日的公允价值与账面价值间的差额计入当期损益。原股权投资因采用权益法核算而确认的其他综合收益,应当在终止采用权益法核算时采用与被投资单位直接处置相关资产或负债相同的基础进行会计处理。</w:t>
          </w:r>
        </w:p>
        <w:p w14:paraId="49F16335">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因处置部分权益性投资等原因丧失了对被投资单位控制的，在编制个别财务报表时，处置后的剩余股权能够对被投资单位实施共同控制或重大影响的，改按权益法核算，并对剩余股权视同自取得时即采用权益法核算进行调整。处置后剩余股权不能对被投资单位实施共同控制或重大影响的，按《企业会计准则第22号--金融工具确认和计量》的有关规定进行会计处理，其在丧失控制权之日的公允价值与账面价值间的差额计入当期损益。</w:t>
          </w:r>
        </w:p>
        <w:p w14:paraId="5E5C985C">
          <w:pPr>
            <w:rPr>
              <w:color w:val="000000" w:themeColor="text1"/>
              <w14:textFill>
                <w14:solidFill>
                  <w14:schemeClr w14:val="tx1"/>
                </w14:solidFill>
              </w14:textFill>
            </w:rPr>
          </w:pPr>
        </w:p>
      </w:sdtContent>
    </w:sdt>
    <w:p w14:paraId="3356B452">
      <w:pPr>
        <w:rPr>
          <w:color w:val="000000" w:themeColor="text1"/>
          <w14:textFill>
            <w14:solidFill>
              <w14:schemeClr w14:val="tx1"/>
            </w14:solidFill>
          </w14:textFill>
        </w:rPr>
      </w:pPr>
    </w:p>
    <w:p w14:paraId="5F478295">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投资性房地产</w:t>
      </w:r>
    </w:p>
    <w:p w14:paraId="79C58E23">
      <w:pPr>
        <w:pStyle w:val="5"/>
        <w:numPr>
          <w:ilvl w:val="0"/>
          <w:numId w:val="34"/>
        </w:numPr>
        <w:rPr>
          <w:rFonts w:ascii="宋体" w:hAnsi="宋体"/>
          <w:color w:val="000000" w:themeColor="text1"/>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如果</w:t>
      </w:r>
      <w:r>
        <w:rPr>
          <w:rFonts w:hint="eastAsia" w:ascii="宋体" w:hAnsi="宋体"/>
          <w:color w:val="000000" w:themeColor="text1"/>
          <w14:textFill>
            <w14:solidFill>
              <w14:schemeClr w14:val="tx1"/>
            </w14:solidFill>
          </w14:textFill>
        </w:rPr>
        <w:t>采用公允价值计量模式的</w:t>
      </w:r>
    </w:p>
    <w:p w14:paraId="46E09822">
      <w:pPr>
        <w:rPr>
          <w:color w:val="000000" w:themeColor="text1"/>
          <w14:textFill>
            <w14:solidFill>
              <w14:schemeClr w14:val="tx1"/>
            </w14:solidFill>
          </w14:textFill>
        </w:rPr>
      </w:pPr>
      <w:r>
        <w:rPr>
          <w:rFonts w:hint="eastAsia"/>
          <w:color w:val="000000" w:themeColor="text1"/>
          <w14:textFill>
            <w14:solidFill>
              <w14:schemeClr w14:val="tx1"/>
            </w14:solidFill>
          </w14:textFill>
        </w:rPr>
        <w:t>选择公允价值计量的依据</w:t>
      </w:r>
    </w:p>
    <w:sdt>
      <w:sdtPr>
        <w:rPr>
          <w:color w:val="000000" w:themeColor="text1"/>
          <w14:textFill>
            <w14:solidFill>
              <w14:schemeClr w14:val="tx1"/>
            </w14:solidFill>
          </w14:textFill>
        </w:rPr>
        <w:alias w:val="采用公允价值计量模式的选择依据"/>
        <w:tag w:val="_GBC_3923e55fa36348df898ac65ec0c9f5a3"/>
        <w:id w:val="1560218083"/>
        <w:placeholder>
          <w:docPart w:val="GBC22222222222222222222222222222"/>
        </w:placeholder>
      </w:sdtPr>
      <w:sdtEndPr>
        <w:rPr>
          <w:rFonts w:asciiTheme="minorEastAsia" w:hAnsiTheme="minorEastAsia" w:eastAsiaTheme="minorEastAsia"/>
          <w:color w:val="auto"/>
        </w:rPr>
      </w:sdtEndPr>
      <w:sdtContent>
        <w:p w14:paraId="5E818EAE">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采用公允价值模式对投资性房地产进行后续计量，不对投资性房地产计提折旧或进行摊销，在资产负债表日以投资性房地产的公允价值为基础调整其账面价值，公允价值与原账面价值之间的差额计入当期损益。</w:t>
          </w:r>
        </w:p>
        <w:p w14:paraId="135D3008">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投资性房地产采用公允价值模式进行后续计量的依据为：</w:t>
          </w:r>
          <w:r>
            <w:rPr>
              <w:rFonts w:hint="eastAsia"/>
            </w:rPr>
            <w:t>①</w:t>
          </w:r>
          <w:r>
            <w:rPr>
              <w:rFonts w:hint="eastAsia" w:asciiTheme="minorEastAsia" w:hAnsiTheme="minorEastAsia" w:eastAsiaTheme="minorEastAsia"/>
            </w:rPr>
            <w:t>投资性房地产所在地有活跃的房地产交易市场。②本公司能够从房地产交易市场上取得同类或类似房地产的市场价格及其他相关信息，从而对投资性房地产的公允价值作出合理的估计。</w:t>
          </w:r>
        </w:p>
        <w:p w14:paraId="5F2593A9">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确定投资性房地产的公允价值时，参照活跃市场上同类或类似房地产的现行市场价格；无法取得同类或类似房地产的现行市场价格的，参照活跃市场上同类或类似房地产的最近交易价格，并考虑资产状况、所在位置、交易情况、交易日期等因素，从而对投资性房地产的公允价值作出合理的估计；或基于预计未来获得的租金收益和有关现金流量的现值确定其公允价值。</w:t>
          </w:r>
        </w:p>
        <w:p w14:paraId="1EFD52AB">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14:paraId="72AA5713">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p w14:paraId="3888D0B8">
      <w:pPr>
        <w:rPr>
          <w:color w:val="000000" w:themeColor="text1"/>
          <w14:textFill>
            <w14:solidFill>
              <w14:schemeClr w14:val="tx1"/>
            </w14:solidFill>
          </w14:textFill>
        </w:rPr>
      </w:pPr>
    </w:p>
    <w:p w14:paraId="7CF9EBA1">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固定资产</w:t>
      </w:r>
    </w:p>
    <w:p w14:paraId="7613F9C6">
      <w:pPr>
        <w:pStyle w:val="5"/>
        <w:numPr>
          <w:ilvl w:val="0"/>
          <w:numId w:val="3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确认条件</w:t>
      </w:r>
    </w:p>
    <w:sdt>
      <w:sdtPr>
        <w:rPr>
          <w:color w:val="000000" w:themeColor="text1"/>
          <w14:textFill>
            <w14:solidFill>
              <w14:schemeClr w14:val="tx1"/>
            </w14:solidFill>
          </w14:textFill>
        </w:rPr>
        <w:alias w:val="是否适用：固定资产确认条件[双击切换]"/>
        <w:tag w:val="_GBC_45cce032cd1f43bfad18a80dd94e9cc4"/>
        <w:id w:val="-1643573861"/>
        <w:placeholder>
          <w:docPart w:val="GBC22222222222222222222222222222"/>
        </w:placeholder>
      </w:sdtPr>
      <w:sdtEndPr>
        <w:rPr>
          <w:color w:val="000000" w:themeColor="text1"/>
          <w14:textFill>
            <w14:solidFill>
              <w14:schemeClr w14:val="tx1"/>
            </w14:solidFill>
          </w14:textFill>
        </w:rPr>
      </w:sdtEndPr>
      <w:sdtContent>
        <w:p w14:paraId="0EB6796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Ansi="Times New Roman" w:cs="宋体"/>
          <w:bCs/>
          <w:color w:val="000000" w:themeColor="text1"/>
          <w:kern w:val="0"/>
          <w:szCs w:val="21"/>
          <w14:textFill>
            <w14:solidFill>
              <w14:schemeClr w14:val="tx1"/>
            </w14:solidFill>
          </w14:textFill>
        </w:rPr>
        <w:alias w:val="固定资产确认条件"/>
        <w:tag w:val="_GBC_3044d53470b143fa9477fa34b85d4ec5"/>
        <w:id w:val="1255930073"/>
        <w:placeholder>
          <w:docPart w:val="GBC22222222222222222222222222222"/>
        </w:placeholder>
      </w:sdtPr>
      <w:sdtEndPr>
        <w:rPr>
          <w:rFonts w:hAnsi="Times New Roman" w:cs="宋体"/>
          <w:b/>
          <w:bCs/>
          <w:color w:val="000000" w:themeColor="text1"/>
          <w:kern w:val="0"/>
          <w:szCs w:val="21"/>
          <w14:textFill>
            <w14:solidFill>
              <w14:schemeClr w14:val="tx1"/>
            </w14:solidFill>
          </w14:textFill>
        </w:rPr>
      </w:sdtEndPr>
      <w:sdtContent>
        <w:p w14:paraId="1D12DB6D">
          <w:pPr>
            <w:pStyle w:val="20"/>
            <w:spacing w:line="360" w:lineRule="exact"/>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固定资产是指为生产商品、提供劳务、出租或经营管理而持有的，使用寿命超过一个会计年度的有形资产。固定资产仅在与其有关的经济利益很可能流入本公司，且其成本能够可靠地计量时才予以确认。固定资产按成本并考虑预计弃置费用因素的影响进行初始计量。</w:t>
          </w:r>
        </w:p>
        <w:p w14:paraId="7FF76DF5">
          <w:pPr>
            <w:rPr>
              <w:b/>
              <w:bCs/>
              <w:color w:val="000000" w:themeColor="text1"/>
              <w14:textFill>
                <w14:solidFill>
                  <w14:schemeClr w14:val="tx1"/>
                </w14:solidFill>
              </w14:textFill>
            </w:rPr>
          </w:pPr>
        </w:p>
      </w:sdtContent>
    </w:sdt>
    <w:p w14:paraId="1C289AB6">
      <w:pPr>
        <w:pStyle w:val="5"/>
        <w:numPr>
          <w:ilvl w:val="0"/>
          <w:numId w:val="35"/>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折旧方法</w:t>
      </w:r>
    </w:p>
    <w:p w14:paraId="581D715F">
      <w:r>
        <w:rPr>
          <w:rFonts w:hint="eastAsia"/>
        </w:rPr>
        <w:t>本公司各类固定资产折旧方法、使用寿命、预计净残值率和年折旧率如下：</w:t>
      </w:r>
    </w:p>
    <w:sdt>
      <w:sdtPr>
        <w:rPr>
          <w:color w:val="000000" w:themeColor="text1"/>
          <w14:textFill>
            <w14:solidFill>
              <w14:schemeClr w14:val="tx1"/>
            </w14:solidFill>
          </w14:textFill>
        </w:rPr>
        <w:alias w:val="是否适用：固定资产折旧方法[双击切换]"/>
        <w:tag w:val="_GBC_c221ef38ff6a4242aab725946697311c"/>
        <w:id w:val="254634781"/>
        <w:placeholder>
          <w:docPart w:val="GBC22222222222222222222222222222"/>
        </w:placeholder>
      </w:sdtPr>
      <w:sdtEndPr>
        <w:rPr>
          <w:color w:val="000000" w:themeColor="text1"/>
          <w14:textFill>
            <w14:solidFill>
              <w14:schemeClr w14:val="tx1"/>
            </w14:solidFill>
          </w14:textFill>
        </w:rPr>
      </w:sdtEndPr>
      <w:sdtContent>
        <w:p w14:paraId="5006573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832"/>
        <w:gridCol w:w="1833"/>
        <w:gridCol w:w="1833"/>
        <w:gridCol w:w="1833"/>
      </w:tblGrid>
      <w:tr w14:paraId="656B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9db65ac15c4d7583d7fe75cb893517"/>
            <w:id w:val="-1643649877"/>
          </w:sdtPr>
          <w:sdtContent>
            <w:tc>
              <w:tcPr>
                <w:tcW w:w="949" w:type="pct"/>
                <w:vAlign w:val="center"/>
              </w:tcPr>
              <w:p w14:paraId="628F1AC4">
                <w:pPr>
                  <w:jc w:val="center"/>
                  <w:rPr>
                    <w:color w:val="000000" w:themeColor="text1"/>
                    <w14:textFill>
                      <w14:solidFill>
                        <w14:schemeClr w14:val="tx1"/>
                      </w14:solidFill>
                    </w14:textFill>
                  </w:rPr>
                </w:pPr>
                <w:r>
                  <w:rPr>
                    <w:color w:val="000000" w:themeColor="text1"/>
                    <w14:textFill>
                      <w14:solidFill>
                        <w14:schemeClr w14:val="tx1"/>
                      </w14:solidFill>
                    </w14:textFill>
                  </w:rPr>
                  <w:t>类别</w:t>
                </w:r>
              </w:p>
            </w:tc>
          </w:sdtContent>
        </w:sdt>
        <w:sdt>
          <w:sdtPr>
            <w:tag w:val="_PLD_1b5147121b9948e5a115c7a4d6c95995"/>
            <w:id w:val="-380400103"/>
          </w:sdtPr>
          <w:sdtContent>
            <w:tc>
              <w:tcPr>
                <w:tcW w:w="1012" w:type="pct"/>
                <w:vAlign w:val="center"/>
              </w:tcPr>
              <w:p w14:paraId="2B70F8A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折旧方法</w:t>
                </w:r>
              </w:p>
            </w:tc>
          </w:sdtContent>
        </w:sdt>
        <w:sdt>
          <w:sdtPr>
            <w:tag w:val="_PLD_65441224aa3f4fd3be4ca0650b16b1aa"/>
            <w:id w:val="-1482849389"/>
          </w:sdtPr>
          <w:sdtContent>
            <w:tc>
              <w:tcPr>
                <w:tcW w:w="1013" w:type="pct"/>
                <w:vAlign w:val="center"/>
              </w:tcPr>
              <w:p w14:paraId="0DECACF6">
                <w:pPr>
                  <w:jc w:val="center"/>
                  <w:rPr>
                    <w:color w:val="000000" w:themeColor="text1"/>
                    <w14:textFill>
                      <w14:solidFill>
                        <w14:schemeClr w14:val="tx1"/>
                      </w14:solidFill>
                    </w14:textFill>
                  </w:rPr>
                </w:pPr>
                <w:r>
                  <w:rPr>
                    <w:color w:val="000000" w:themeColor="text1"/>
                    <w14:textFill>
                      <w14:solidFill>
                        <w14:schemeClr w14:val="tx1"/>
                      </w14:solidFill>
                    </w14:textFill>
                  </w:rPr>
                  <w:t>折旧年限（年）</w:t>
                </w:r>
              </w:p>
            </w:tc>
          </w:sdtContent>
        </w:sdt>
        <w:sdt>
          <w:sdtPr>
            <w:tag w:val="_PLD_1c82a37539a842289bf80f2937f33bee"/>
            <w:id w:val="40866591"/>
          </w:sdtPr>
          <w:sdtContent>
            <w:tc>
              <w:tcPr>
                <w:tcW w:w="1013" w:type="pct"/>
                <w:vAlign w:val="center"/>
              </w:tcPr>
              <w:p w14:paraId="05EB7D69">
                <w:pPr>
                  <w:jc w:val="center"/>
                  <w:rPr>
                    <w:color w:val="000000" w:themeColor="text1"/>
                    <w14:textFill>
                      <w14:solidFill>
                        <w14:schemeClr w14:val="tx1"/>
                      </w14:solidFill>
                    </w14:textFill>
                  </w:rPr>
                </w:pPr>
                <w:r>
                  <w:rPr>
                    <w:color w:val="000000" w:themeColor="text1"/>
                    <w14:textFill>
                      <w14:solidFill>
                        <w14:schemeClr w14:val="tx1"/>
                      </w14:solidFill>
                    </w14:textFill>
                  </w:rPr>
                  <w:t>残值率</w:t>
                </w:r>
                <w:r>
                  <w:rPr>
                    <w:rFonts w:hint="eastAsia"/>
                    <w:color w:val="000000" w:themeColor="text1"/>
                    <w14:textFill>
                      <w14:solidFill>
                        <w14:schemeClr w14:val="tx1"/>
                      </w14:solidFill>
                    </w14:textFill>
                  </w:rPr>
                  <w:t>（%）</w:t>
                </w:r>
              </w:p>
            </w:tc>
          </w:sdtContent>
        </w:sdt>
        <w:sdt>
          <w:sdtPr>
            <w:tag w:val="_PLD_a67e8338c181496fa22b9944b63ec82c"/>
            <w:id w:val="2041012772"/>
          </w:sdtPr>
          <w:sdtContent>
            <w:tc>
              <w:tcPr>
                <w:tcW w:w="1013" w:type="pct"/>
                <w:vAlign w:val="center"/>
              </w:tcPr>
              <w:p w14:paraId="5CD0A300">
                <w:pPr>
                  <w:jc w:val="center"/>
                  <w:rPr>
                    <w:color w:val="000000" w:themeColor="text1"/>
                    <w14:textFill>
                      <w14:solidFill>
                        <w14:schemeClr w14:val="tx1"/>
                      </w14:solidFill>
                    </w14:textFill>
                  </w:rPr>
                </w:pPr>
                <w:r>
                  <w:rPr>
                    <w:color w:val="000000" w:themeColor="text1"/>
                    <w14:textFill>
                      <w14:solidFill>
                        <w14:schemeClr w14:val="tx1"/>
                      </w14:solidFill>
                    </w14:textFill>
                  </w:rPr>
                  <w:t>年折旧率</w:t>
                </w:r>
                <w:r>
                  <w:rPr>
                    <w:rFonts w:hint="eastAsia"/>
                    <w:color w:val="000000" w:themeColor="text1"/>
                    <w14:textFill>
                      <w14:solidFill>
                        <w14:schemeClr w14:val="tx1"/>
                      </w14:solidFill>
                    </w14:textFill>
                  </w:rPr>
                  <w:t>（%）</w:t>
                </w:r>
              </w:p>
            </w:tc>
          </w:sdtContent>
        </w:sdt>
      </w:tr>
      <w:tr w14:paraId="3F64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14:paraId="392F2443">
            <w:r>
              <w:t>房屋及建筑物</w:t>
            </w:r>
          </w:p>
        </w:tc>
        <w:tc>
          <w:tcPr>
            <w:tcW w:w="1012" w:type="pct"/>
          </w:tcPr>
          <w:p w14:paraId="3D365D65">
            <w:r>
              <w:t>直线法</w:t>
            </w:r>
          </w:p>
        </w:tc>
        <w:tc>
          <w:tcPr>
            <w:tcW w:w="1013" w:type="pct"/>
          </w:tcPr>
          <w:p w14:paraId="6D2FAAB3">
            <w:pPr>
              <w:jc w:val="center"/>
            </w:pPr>
            <w:r>
              <w:t>8-30</w:t>
            </w:r>
          </w:p>
        </w:tc>
        <w:tc>
          <w:tcPr>
            <w:tcW w:w="1013" w:type="pct"/>
          </w:tcPr>
          <w:p w14:paraId="23128C07">
            <w:r>
              <w:t>0.00、3.00、5.00</w:t>
            </w:r>
          </w:p>
        </w:tc>
        <w:tc>
          <w:tcPr>
            <w:tcW w:w="1013" w:type="pct"/>
          </w:tcPr>
          <w:p w14:paraId="7C81F619">
            <w:pPr>
              <w:jc w:val="right"/>
            </w:pPr>
            <w:r>
              <w:t>3.17-12.50</w:t>
            </w:r>
          </w:p>
        </w:tc>
      </w:tr>
      <w:tr w14:paraId="5B14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14:paraId="127F6AA3">
            <w:r>
              <w:t>机器设备</w:t>
            </w:r>
          </w:p>
        </w:tc>
        <w:tc>
          <w:tcPr>
            <w:tcW w:w="1012" w:type="pct"/>
          </w:tcPr>
          <w:p w14:paraId="63149EF5">
            <w:r>
              <w:t>直线法</w:t>
            </w:r>
          </w:p>
        </w:tc>
        <w:tc>
          <w:tcPr>
            <w:tcW w:w="1013" w:type="pct"/>
          </w:tcPr>
          <w:p w14:paraId="4A84D484">
            <w:pPr>
              <w:jc w:val="center"/>
            </w:pPr>
            <w:r>
              <w:t>2-15</w:t>
            </w:r>
          </w:p>
        </w:tc>
        <w:tc>
          <w:tcPr>
            <w:tcW w:w="1013" w:type="pct"/>
          </w:tcPr>
          <w:p w14:paraId="294881A3">
            <w:r>
              <w:t>3.00、5.00</w:t>
            </w:r>
          </w:p>
        </w:tc>
        <w:tc>
          <w:tcPr>
            <w:tcW w:w="1013" w:type="pct"/>
          </w:tcPr>
          <w:p w14:paraId="639C14EC">
            <w:pPr>
              <w:jc w:val="right"/>
            </w:pPr>
            <w:r>
              <w:t>6.33-48.50</w:t>
            </w:r>
          </w:p>
        </w:tc>
      </w:tr>
      <w:tr w14:paraId="1054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14:paraId="31FF85C9">
            <w:r>
              <w:t>运输工具</w:t>
            </w:r>
          </w:p>
        </w:tc>
        <w:tc>
          <w:tcPr>
            <w:tcW w:w="1012" w:type="pct"/>
          </w:tcPr>
          <w:p w14:paraId="4B5A092B">
            <w:r>
              <w:t>直线法</w:t>
            </w:r>
          </w:p>
        </w:tc>
        <w:tc>
          <w:tcPr>
            <w:tcW w:w="1013" w:type="pct"/>
          </w:tcPr>
          <w:p w14:paraId="75E76A82">
            <w:pPr>
              <w:jc w:val="center"/>
            </w:pPr>
            <w:r>
              <w:t>2-10</w:t>
            </w:r>
          </w:p>
        </w:tc>
        <w:tc>
          <w:tcPr>
            <w:tcW w:w="1013" w:type="pct"/>
          </w:tcPr>
          <w:p w14:paraId="2A3184BD">
            <w:r>
              <w:t>3.00、5.00</w:t>
            </w:r>
          </w:p>
        </w:tc>
        <w:tc>
          <w:tcPr>
            <w:tcW w:w="1013" w:type="pct"/>
          </w:tcPr>
          <w:p w14:paraId="7B98D727">
            <w:pPr>
              <w:jc w:val="right"/>
            </w:pPr>
            <w:r>
              <w:t>9.50-48.50</w:t>
            </w:r>
          </w:p>
        </w:tc>
      </w:tr>
      <w:tr w14:paraId="0A917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14:paraId="7BAD6191">
            <w:r>
              <w:t>办公设备</w:t>
            </w:r>
          </w:p>
        </w:tc>
        <w:tc>
          <w:tcPr>
            <w:tcW w:w="1012" w:type="pct"/>
          </w:tcPr>
          <w:p w14:paraId="5A333DFA">
            <w:r>
              <w:t>直线法</w:t>
            </w:r>
          </w:p>
        </w:tc>
        <w:tc>
          <w:tcPr>
            <w:tcW w:w="1013" w:type="pct"/>
          </w:tcPr>
          <w:p w14:paraId="1E8F6928">
            <w:pPr>
              <w:jc w:val="center"/>
            </w:pPr>
            <w:r>
              <w:t>3-10</w:t>
            </w:r>
          </w:p>
        </w:tc>
        <w:tc>
          <w:tcPr>
            <w:tcW w:w="1013" w:type="pct"/>
          </w:tcPr>
          <w:p w14:paraId="637ECCB6">
            <w:r>
              <w:t>5.00</w:t>
            </w:r>
          </w:p>
        </w:tc>
        <w:tc>
          <w:tcPr>
            <w:tcW w:w="1013" w:type="pct"/>
          </w:tcPr>
          <w:p w14:paraId="4ECCEFA3">
            <w:pPr>
              <w:jc w:val="right"/>
            </w:pPr>
            <w:r>
              <w:t>9.50-31.67</w:t>
            </w:r>
          </w:p>
        </w:tc>
      </w:tr>
    </w:tbl>
    <w:p w14:paraId="097ABC7B">
      <w:r>
        <w:rPr>
          <w:rFonts w:hint="eastAsia"/>
        </w:rPr>
        <w:t>本公司至少在每年年度终了对固定资产的使用寿命、预计净残值和折旧方法进行复核。</w:t>
      </w:r>
    </w:p>
    <w:p w14:paraId="488D0AB2"/>
    <w:p w14:paraId="4C08D9AC">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在建工程</w:t>
      </w:r>
    </w:p>
    <w:p w14:paraId="456CA0B9">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在建工程_重要会计政策和估计[双击切换]"/>
          <w:tag w:val="_GBC_d9803b41f65e4a7fbebb412a259d9bf9"/>
          <w:id w:val="1150486004"/>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sdt>
      <w:sdtPr>
        <w:rPr>
          <w:rFonts w:hint="eastAsia"/>
          <w:color w:val="000000" w:themeColor="text1"/>
          <w14:textFill>
            <w14:solidFill>
              <w14:schemeClr w14:val="tx1"/>
            </w14:solidFill>
          </w14:textFill>
        </w:rPr>
        <w:alias w:val="在建工程核算方法"/>
        <w:tag w:val="_GBC_ed79f983df814c58add61776fe84c76e"/>
        <w:id w:val="-1486538016"/>
        <w:placeholder>
          <w:docPart w:val="GBC22222222222222222222222222222"/>
        </w:placeholder>
      </w:sdtPr>
      <w:sdtEndPr>
        <w:rPr>
          <w:rFonts w:hint="eastAsia"/>
          <w:color w:val="000000" w:themeColor="text1"/>
          <w14:textFill>
            <w14:solidFill>
              <w14:schemeClr w14:val="tx1"/>
            </w14:solidFill>
          </w14:textFill>
        </w:rPr>
      </w:sdtEndPr>
      <w:sdtContent>
        <w:p w14:paraId="490A60A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在建工程成本按实际工程支出确定，包括在建期间发生的各项工程支出以及其他相关费用等。在建工程在达到预定可使用状态后结转为固定资产。</w:t>
          </w:r>
        </w:p>
        <w:p w14:paraId="6817C91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达到预定可使用状态前产出的产品或副产品对外销售的，按照《企业会计准则第14号—收入》、《企业会计准则第1号—存货》等规定，对试运行销售相关的收入和成本分别进行会计处理，计入当期损益。</w:t>
          </w:r>
        </w:p>
        <w:p w14:paraId="09E7F381">
          <w:pPr>
            <w:rPr>
              <w:color w:val="000000" w:themeColor="text1"/>
              <w14:textFill>
                <w14:solidFill>
                  <w14:schemeClr w14:val="tx1"/>
                </w14:solidFill>
              </w14:textFill>
            </w:rPr>
          </w:pPr>
        </w:p>
      </w:sdtContent>
    </w:sdt>
    <w:p w14:paraId="6D6AE091">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借款费用</w:t>
      </w:r>
    </w:p>
    <w:sdt>
      <w:sdtPr>
        <w:rPr>
          <w:rFonts w:hint="eastAsia"/>
          <w:color w:val="000000" w:themeColor="text1"/>
          <w14:textFill>
            <w14:solidFill>
              <w14:schemeClr w14:val="tx1"/>
            </w14:solidFill>
          </w14:textFill>
        </w:rPr>
        <w:alias w:val="是否适用：借款费用_重要会计政策和估计[双击切换]"/>
        <w:tag w:val="_GBC_3f3db73e5cb247009b3840143b5e6627"/>
        <w:id w:val="-366836223"/>
        <w:placeholder>
          <w:docPart w:val="GBC22222222222222222222222222222"/>
        </w:placeholder>
      </w:sdtPr>
      <w:sdtEndPr>
        <w:rPr>
          <w:rFonts w:hint="eastAsia"/>
          <w:color w:val="000000" w:themeColor="text1"/>
          <w14:textFill>
            <w14:solidFill>
              <w14:schemeClr w14:val="tx1"/>
            </w14:solidFill>
          </w14:textFill>
        </w:rPr>
      </w:sdtEndPr>
      <w:sdtContent>
        <w:p w14:paraId="1D0F7A0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借款费用的会计处理方法"/>
        <w:tag w:val="_GBC_2101c32d32c64f39a8b8fcd2b72dbb0a"/>
        <w:id w:val="608318377"/>
        <w:placeholder>
          <w:docPart w:val="GBC22222222222222222222222222222"/>
        </w:placeholder>
      </w:sdtPr>
      <w:sdtEndPr>
        <w:rPr>
          <w:rFonts w:hint="eastAsia"/>
          <w:color w:val="000000" w:themeColor="text1"/>
          <w14:textFill>
            <w14:solidFill>
              <w14:schemeClr w14:val="tx1"/>
            </w14:solidFill>
          </w14:textFill>
        </w:rPr>
      </w:sdtEndPr>
      <w:sdtContent>
        <w:p w14:paraId="4360CC2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借款费用包括借款利息、折价或溢价的摊销、辅助费用以及因外币借款而发生的汇兑差额等。可直接归属于符合资本化条件的资产的购建或者生产的借款费用，予以资本化，计入相关资产成本；其他借款费用计入当期损益。</w:t>
          </w:r>
        </w:p>
        <w:p w14:paraId="7B87D91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1.借款费用资本化的确认原则</w:t>
          </w:r>
        </w:p>
        <w:p w14:paraId="7600506A">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当资产支出已经发生、借款费用已经发生且为使资产达到预定可使用或者可销售状态所必要的购建或者生产活动已经开始时，开始借款费用的资本化。符合资本化条件的资产在购建或者生产过程中发生非正常中断且中断时间连续超过3个月的，暂停借款费用的资本化。当所购建或者生产的资产达到预定可使用或者可销售状态时，停止借款费用的资本化，以后发生的借款费用计入当期损益。</w:t>
          </w:r>
        </w:p>
        <w:p w14:paraId="0C3CEACE">
          <w:pPr>
            <w:spacing w:before="120" w:beforeLines="50"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借款费用资本化金额的计算方法</w:t>
          </w:r>
        </w:p>
        <w:p w14:paraId="5679579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为购建或者生产符合资本化条件的资产而借入的专门借款所发生的借款费用(包括借款利息、折价或溢价的摊销、辅助费用、外币专门借款本金和利息的汇兑差额)，其资本化金额为在资本化期间内专门借款实际发生的借款费用减去尚未动用的借款资金存入银行取得的利息收入或进行暂时性投资取得的投资收益后的金额。</w:t>
          </w:r>
        </w:p>
        <w:p w14:paraId="6DCFB11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为购建或者生产符合资本化条件的资产而占用的一般借款所发生的借款费用(包括借款利息、折价或溢价的摊销)，其资本化金额根据在资本化期间内累计资产支出超过专门借款部分的资产支出加权平均数乘以所占用一般借款的资本化率计算确定。</w:t>
          </w:r>
        </w:p>
        <w:p w14:paraId="057F46CB">
          <w:pPr>
            <w:rPr>
              <w:color w:val="000000" w:themeColor="text1"/>
              <w14:textFill>
                <w14:solidFill>
                  <w14:schemeClr w14:val="tx1"/>
                </w14:solidFill>
              </w14:textFill>
            </w:rPr>
          </w:pPr>
        </w:p>
      </w:sdtContent>
    </w:sdt>
    <w:p w14:paraId="4351FAAA">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生物资产</w:t>
      </w:r>
    </w:p>
    <w:sdt>
      <w:sdtPr>
        <w:rPr>
          <w:rFonts w:hint="eastAsia"/>
          <w:color w:val="000000" w:themeColor="text1"/>
          <w14:textFill>
            <w14:solidFill>
              <w14:schemeClr w14:val="tx1"/>
            </w14:solidFill>
          </w14:textFill>
        </w:rPr>
        <w:alias w:val="是否适用：生物资产_重要会计政策和估计[双击切换]"/>
        <w:tag w:val="_GBC_3c525bb9dd0340978b83e74317a40315"/>
        <w:id w:val="423226929"/>
        <w:placeholder>
          <w:docPart w:val="GBC22222222222222222222222222222"/>
        </w:placeholder>
      </w:sdtPr>
      <w:sdtEndPr>
        <w:rPr>
          <w:rFonts w:hint="eastAsia"/>
          <w:color w:val="000000" w:themeColor="text1"/>
          <w14:textFill>
            <w14:solidFill>
              <w14:schemeClr w14:val="tx1"/>
            </w14:solidFill>
          </w14:textFill>
        </w:rPr>
      </w:sdtEndPr>
      <w:sdtContent>
        <w:p w14:paraId="1FAEE99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9E0B36">
      <w:pPr>
        <w:rPr>
          <w:color w:val="000000" w:themeColor="text1"/>
          <w14:textFill>
            <w14:solidFill>
              <w14:schemeClr w14:val="tx1"/>
            </w14:solidFill>
          </w14:textFill>
        </w:rPr>
      </w:pPr>
    </w:p>
    <w:p w14:paraId="6CE1ABED">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油气资产</w:t>
      </w:r>
    </w:p>
    <w:sdt>
      <w:sdtPr>
        <w:rPr>
          <w:rFonts w:hint="eastAsia"/>
          <w:color w:val="000000" w:themeColor="text1"/>
          <w14:textFill>
            <w14:solidFill>
              <w14:schemeClr w14:val="tx1"/>
            </w14:solidFill>
          </w14:textFill>
        </w:rPr>
        <w:alias w:val="是否适用：油气资产_重要会计政策和估计[双击切换]"/>
        <w:tag w:val="_GBC_60d99a70431c4b868b6e953077cbfe88"/>
        <w:id w:val="1195031824"/>
        <w:placeholder>
          <w:docPart w:val="GBC22222222222222222222222222222"/>
        </w:placeholder>
      </w:sdtPr>
      <w:sdtEndPr>
        <w:rPr>
          <w:rFonts w:hint="eastAsia"/>
          <w:color w:val="000000" w:themeColor="text1"/>
          <w14:textFill>
            <w14:solidFill>
              <w14:schemeClr w14:val="tx1"/>
            </w14:solidFill>
          </w14:textFill>
        </w:rPr>
      </w:sdtEndPr>
      <w:sdtContent>
        <w:p w14:paraId="6EAB016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CE39AA0">
      <w:pPr>
        <w:rPr>
          <w:rFonts w:cs="Times New Roman"/>
          <w:color w:val="000000" w:themeColor="text1"/>
          <w:kern w:val="2"/>
          <w14:textFill>
            <w14:solidFill>
              <w14:schemeClr w14:val="tx1"/>
            </w14:solidFill>
          </w14:textFill>
        </w:rPr>
      </w:pPr>
    </w:p>
    <w:p w14:paraId="6E9B32D4">
      <w:pPr>
        <w:pStyle w:val="4"/>
        <w:numPr>
          <w:ilvl w:val="0"/>
          <w:numId w:val="33"/>
        </w:numPr>
        <w:rPr>
          <w:rFonts w:ascii="宋体" w:hAnsi="宋体"/>
          <w:color w:val="000000" w:themeColor="text1"/>
          <w14:textFill>
            <w14:solidFill>
              <w14:schemeClr w14:val="tx1"/>
            </w14:solidFill>
          </w14:textFill>
        </w:rPr>
      </w:pPr>
      <w:bookmarkStart w:id="132" w:name="_Hlk169007443"/>
      <w:r>
        <w:rPr>
          <w:rFonts w:ascii="宋体" w:hAnsi="宋体"/>
          <w:color w:val="000000" w:themeColor="text1"/>
          <w14:textFill>
            <w14:solidFill>
              <w14:schemeClr w14:val="tx1"/>
            </w14:solidFill>
          </w14:textFill>
        </w:rPr>
        <w:t>无形资产</w:t>
      </w:r>
    </w:p>
    <w:p w14:paraId="7A1918B9">
      <w:pPr>
        <w:pStyle w:val="5"/>
        <w:numPr>
          <w:ilvl w:val="3"/>
          <w:numId w:val="36"/>
        </w:numPr>
        <w:tabs>
          <w:tab w:val="left" w:pos="44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使用寿命及其确定依据、估计情况、摊销方法</w:t>
      </w:r>
      <w:r>
        <w:rPr>
          <w:rFonts w:hint="eastAsia"/>
          <w:color w:val="000000" w:themeColor="text1"/>
          <w14:textFill>
            <w14:solidFill>
              <w14:schemeClr w14:val="tx1"/>
            </w14:solidFill>
          </w14:textFill>
        </w:rPr>
        <w:t>或复核程序</w:t>
      </w:r>
    </w:p>
    <w:sdt>
      <w:sdtPr>
        <w:rPr>
          <w:rFonts w:hint="eastAsia"/>
          <w:color w:val="000000" w:themeColor="text1"/>
          <w14:textFill>
            <w14:solidFill>
              <w14:schemeClr w14:val="tx1"/>
            </w14:solidFill>
          </w14:textFill>
        </w:rPr>
        <w:alias w:val="是否适用：无形资产计价方法、使用寿命、减值测试[双击切换]"/>
        <w:tag w:val="_GBC_a82698fb1ffd4e75b46a9c35938b4cf4"/>
        <w:id w:val="1932934573"/>
        <w:placeholder>
          <w:docPart w:val="GBC22222222222222222222222222222"/>
        </w:placeholder>
      </w:sdtPr>
      <w:sdtEndPr>
        <w:rPr>
          <w:rFonts w:hint="eastAsia"/>
          <w:color w:val="000000" w:themeColor="text1"/>
          <w14:textFill>
            <w14:solidFill>
              <w14:schemeClr w14:val="tx1"/>
            </w14:solidFill>
          </w14:textFill>
        </w:rPr>
      </w:sdtEndPr>
      <w:sdtContent>
        <w:p w14:paraId="392FA65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无形资产计价方法、使用寿命、减值测试"/>
        <w:tag w:val="_GBC_a9e64b18f452482eb6674ec605618dcc"/>
        <w:id w:val="2005622933"/>
        <w:placeholder>
          <w:docPart w:val="GBC22222222222222222222222222222"/>
        </w:placeholder>
      </w:sdtPr>
      <w:sdtEndPr>
        <w:rPr>
          <w:rFonts w:cs="宋体" w:asciiTheme="minorEastAsia" w:hAnsiTheme="minorEastAsia" w:eastAsiaTheme="minorEastAsia"/>
          <w:color w:val="auto"/>
          <w:kern w:val="0"/>
          <w:szCs w:val="21"/>
        </w:rPr>
      </w:sdtEndPr>
      <w:sdtContent>
        <w:p w14:paraId="48807639">
          <w:pPr>
            <w:pStyle w:val="20"/>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无形资产的初始计量</w:t>
          </w:r>
        </w:p>
        <w:p w14:paraId="1405A54B">
          <w:pPr>
            <w:pStyle w:val="20"/>
            <w:spacing w:line="360" w:lineRule="exact"/>
            <w:ind w:firstLine="420" w:firstLineChars="200"/>
          </w:pPr>
          <w:r>
            <w:rPr>
              <w:rFonts w:hint="eastAsia"/>
            </w:rPr>
            <w:t>无形资产按照取得时的成本进行初始计量。</w:t>
          </w:r>
        </w:p>
        <w:p w14:paraId="2BD5554C">
          <w:pPr>
            <w:pStyle w:val="20"/>
            <w:spacing w:line="360" w:lineRule="exact"/>
            <w:ind w:firstLine="420" w:firstLineChars="200"/>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无形资产的摊销方法</w:t>
          </w:r>
        </w:p>
        <w:p w14:paraId="3883EC2B">
          <w:pPr>
            <w:pStyle w:val="20"/>
            <w:spacing w:line="360" w:lineRule="exact"/>
            <w:ind w:firstLine="420" w:firstLineChars="200"/>
          </w:pPr>
          <w:r>
            <w:rPr>
              <w:rFonts w:hint="eastAsia"/>
            </w:rPr>
            <w:t>本公司在取得无形资产时分析判断其使用寿命,划分为使用寿命有限和使用寿命不确定的无形资产。</w:t>
          </w:r>
        </w:p>
        <w:p w14:paraId="369AA8BC">
          <w:pPr>
            <w:pStyle w:val="20"/>
            <w:spacing w:line="360" w:lineRule="exact"/>
            <w:ind w:firstLine="420" w:firstLineChars="200"/>
          </w:pPr>
          <w:r>
            <w:rPr>
              <w:rFonts w:hint="eastAsia" w:asciiTheme="minorEastAsia" w:hAnsiTheme="minorEastAsia" w:eastAsiaTheme="minorEastAsia"/>
            </w:rPr>
            <w:t>(1)</w:t>
          </w:r>
          <w:r>
            <w:rPr>
              <w:rFonts w:hint="eastAsia"/>
            </w:rPr>
            <w:t>对于使用寿命有限的无形资产，在使用寿命期限内，采用直线法摊销。</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5"/>
            <w:gridCol w:w="3479"/>
            <w:gridCol w:w="2786"/>
          </w:tblGrid>
          <w:tr w14:paraId="5159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9" w:type="pct"/>
                <w:vAlign w:val="center"/>
              </w:tcPr>
              <w:p w14:paraId="19176782">
                <w:pPr>
                  <w:widowControl w:val="0"/>
                  <w:adjustRightInd w:val="0"/>
                  <w:snapToGrid w:val="0"/>
                  <w:spacing w:line="360" w:lineRule="exact"/>
                  <w:jc w:val="center"/>
                  <w:rPr>
                    <w:rFonts w:cs="Times New Roman" w:asciiTheme="minorEastAsia" w:hAnsiTheme="minorEastAsia" w:eastAsiaTheme="minorEastAsia"/>
                    <w:b/>
                    <w:bCs/>
                    <w:snapToGrid w:val="0"/>
                  </w:rPr>
                </w:pPr>
                <w:r>
                  <w:rPr>
                    <w:rFonts w:hint="eastAsia" w:cs="Times New Roman" w:asciiTheme="minorEastAsia" w:hAnsiTheme="minorEastAsia" w:eastAsiaTheme="minorEastAsia"/>
                    <w:b/>
                    <w:bCs/>
                    <w:snapToGrid w:val="0"/>
                  </w:rPr>
                  <w:t>项</w:t>
                </w:r>
                <w:r>
                  <w:rPr>
                    <w:rFonts w:cs="Times New Roman" w:asciiTheme="minorEastAsia" w:hAnsiTheme="minorEastAsia" w:eastAsiaTheme="minorEastAsia"/>
                    <w:b/>
                    <w:bCs/>
                    <w:snapToGrid w:val="0"/>
                  </w:rPr>
                  <w:t xml:space="preserve">  </w:t>
                </w:r>
                <w:r>
                  <w:rPr>
                    <w:rFonts w:hint="eastAsia" w:cs="Times New Roman" w:asciiTheme="minorEastAsia" w:hAnsiTheme="minorEastAsia" w:eastAsiaTheme="minorEastAsia"/>
                    <w:b/>
                    <w:bCs/>
                    <w:snapToGrid w:val="0"/>
                  </w:rPr>
                  <w:t>目</w:t>
                </w:r>
              </w:p>
            </w:tc>
            <w:tc>
              <w:tcPr>
                <w:tcW w:w="1922" w:type="pct"/>
                <w:vAlign w:val="center"/>
              </w:tcPr>
              <w:p w14:paraId="20AC8900">
                <w:pPr>
                  <w:widowControl w:val="0"/>
                  <w:adjustRightInd w:val="0"/>
                  <w:snapToGrid w:val="0"/>
                  <w:spacing w:line="360" w:lineRule="exact"/>
                  <w:jc w:val="center"/>
                  <w:rPr>
                    <w:rFonts w:cs="Times New Roman" w:asciiTheme="minorEastAsia" w:hAnsiTheme="minorEastAsia" w:eastAsiaTheme="minorEastAsia"/>
                    <w:b/>
                    <w:bCs/>
                    <w:snapToGrid w:val="0"/>
                  </w:rPr>
                </w:pPr>
                <w:r>
                  <w:rPr>
                    <w:rFonts w:hint="eastAsia" w:cs="Times New Roman" w:asciiTheme="minorEastAsia" w:hAnsiTheme="minorEastAsia" w:eastAsiaTheme="minorEastAsia"/>
                    <w:b/>
                    <w:bCs/>
                    <w:snapToGrid w:val="0"/>
                  </w:rPr>
                  <w:t>预计使用寿命（年）</w:t>
                </w:r>
              </w:p>
            </w:tc>
            <w:tc>
              <w:tcPr>
                <w:tcW w:w="1539" w:type="pct"/>
                <w:vAlign w:val="center"/>
              </w:tcPr>
              <w:p w14:paraId="163F1700">
                <w:pPr>
                  <w:widowControl w:val="0"/>
                  <w:adjustRightInd w:val="0"/>
                  <w:snapToGrid w:val="0"/>
                  <w:spacing w:line="360" w:lineRule="exact"/>
                  <w:jc w:val="center"/>
                  <w:rPr>
                    <w:rFonts w:cs="Times New Roman" w:asciiTheme="minorEastAsia" w:hAnsiTheme="minorEastAsia" w:eastAsiaTheme="minorEastAsia"/>
                    <w:b/>
                    <w:bCs/>
                    <w:snapToGrid w:val="0"/>
                  </w:rPr>
                </w:pPr>
                <w:r>
                  <w:rPr>
                    <w:rFonts w:hint="eastAsia" w:cs="Times New Roman" w:asciiTheme="minorEastAsia" w:hAnsiTheme="minorEastAsia" w:eastAsiaTheme="minorEastAsia"/>
                    <w:b/>
                    <w:bCs/>
                    <w:snapToGrid w:val="0"/>
                  </w:rPr>
                  <w:t>依据</w:t>
                </w:r>
              </w:p>
            </w:tc>
          </w:tr>
          <w:tr w14:paraId="15BD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9" w:type="pct"/>
                <w:vAlign w:val="center"/>
              </w:tcPr>
              <w:p w14:paraId="07D7968E">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土地使用权</w:t>
                </w:r>
              </w:p>
            </w:tc>
            <w:tc>
              <w:tcPr>
                <w:tcW w:w="1922" w:type="pct"/>
                <w:vAlign w:val="center"/>
              </w:tcPr>
              <w:p w14:paraId="2D851CD3">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4</w:t>
                </w:r>
                <w:r>
                  <w:rPr>
                    <w:rFonts w:asciiTheme="minorEastAsia" w:hAnsiTheme="minorEastAsia" w:eastAsiaTheme="minorEastAsia"/>
                    <w:bCs/>
                    <w:snapToGrid w:val="0"/>
                    <w:szCs w:val="21"/>
                  </w:rPr>
                  <w:t>5-50</w:t>
                </w:r>
              </w:p>
            </w:tc>
            <w:tc>
              <w:tcPr>
                <w:tcW w:w="1539" w:type="pct"/>
                <w:vAlign w:val="center"/>
              </w:tcPr>
              <w:p w14:paraId="5EF39077">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法律规定的年限</w:t>
                </w:r>
              </w:p>
            </w:tc>
          </w:tr>
          <w:tr w14:paraId="12AD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9" w:type="pct"/>
                <w:vAlign w:val="center"/>
              </w:tcPr>
              <w:p w14:paraId="5532B213">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专利权、商标权</w:t>
                </w:r>
              </w:p>
            </w:tc>
            <w:tc>
              <w:tcPr>
                <w:tcW w:w="1922" w:type="pct"/>
                <w:vAlign w:val="center"/>
              </w:tcPr>
              <w:p w14:paraId="6DB4C3F9">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5</w:t>
                </w:r>
                <w:r>
                  <w:rPr>
                    <w:rFonts w:asciiTheme="minorEastAsia" w:hAnsiTheme="minorEastAsia" w:eastAsiaTheme="minorEastAsia"/>
                    <w:bCs/>
                    <w:snapToGrid w:val="0"/>
                    <w:szCs w:val="21"/>
                  </w:rPr>
                  <w:t>-10</w:t>
                </w:r>
              </w:p>
            </w:tc>
            <w:tc>
              <w:tcPr>
                <w:tcW w:w="1539" w:type="pct"/>
                <w:vAlign w:val="center"/>
              </w:tcPr>
              <w:p w14:paraId="3EB8884B">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估计使用年限</w:t>
                </w:r>
              </w:p>
            </w:tc>
          </w:tr>
          <w:tr w14:paraId="2B52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9" w:type="pct"/>
                <w:vAlign w:val="center"/>
              </w:tcPr>
              <w:p w14:paraId="053F2CCB">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软件</w:t>
                </w:r>
              </w:p>
            </w:tc>
            <w:tc>
              <w:tcPr>
                <w:tcW w:w="1922" w:type="pct"/>
                <w:vAlign w:val="center"/>
              </w:tcPr>
              <w:p w14:paraId="21E2F18B">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5</w:t>
                </w:r>
                <w:r>
                  <w:rPr>
                    <w:rFonts w:asciiTheme="minorEastAsia" w:hAnsiTheme="minorEastAsia" w:eastAsiaTheme="minorEastAsia"/>
                    <w:bCs/>
                    <w:snapToGrid w:val="0"/>
                    <w:szCs w:val="21"/>
                  </w:rPr>
                  <w:t>-10</w:t>
                </w:r>
              </w:p>
            </w:tc>
            <w:tc>
              <w:tcPr>
                <w:tcW w:w="1539" w:type="pct"/>
                <w:vAlign w:val="center"/>
              </w:tcPr>
              <w:p w14:paraId="1DB347D1">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估计使用年限</w:t>
                </w:r>
              </w:p>
            </w:tc>
          </w:tr>
          <w:tr w14:paraId="394B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9" w:type="pct"/>
                <w:vAlign w:val="center"/>
              </w:tcPr>
              <w:p w14:paraId="6CEFE075">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整车设计开发费</w:t>
                </w:r>
              </w:p>
            </w:tc>
            <w:tc>
              <w:tcPr>
                <w:tcW w:w="1922" w:type="pct"/>
                <w:vAlign w:val="center"/>
              </w:tcPr>
              <w:p w14:paraId="7626849E">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3</w:t>
                </w:r>
                <w:r>
                  <w:rPr>
                    <w:rFonts w:asciiTheme="minorEastAsia" w:hAnsiTheme="minorEastAsia" w:eastAsiaTheme="minorEastAsia"/>
                    <w:bCs/>
                    <w:snapToGrid w:val="0"/>
                    <w:szCs w:val="21"/>
                  </w:rPr>
                  <w:t>-10</w:t>
                </w:r>
              </w:p>
            </w:tc>
            <w:tc>
              <w:tcPr>
                <w:tcW w:w="1539" w:type="pct"/>
                <w:vAlign w:val="center"/>
              </w:tcPr>
              <w:p w14:paraId="5356D38B">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估计使用年限</w:t>
                </w:r>
              </w:p>
            </w:tc>
          </w:tr>
          <w:tr w14:paraId="5F46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39" w:type="pct"/>
                <w:vAlign w:val="center"/>
              </w:tcPr>
              <w:p w14:paraId="1967F0A1">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其他</w:t>
                </w:r>
              </w:p>
            </w:tc>
            <w:tc>
              <w:tcPr>
                <w:tcW w:w="1922" w:type="pct"/>
                <w:vAlign w:val="center"/>
              </w:tcPr>
              <w:p w14:paraId="16D040FC">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2</w:t>
                </w:r>
                <w:r>
                  <w:rPr>
                    <w:rFonts w:asciiTheme="minorEastAsia" w:hAnsiTheme="minorEastAsia" w:eastAsiaTheme="minorEastAsia"/>
                    <w:bCs/>
                    <w:snapToGrid w:val="0"/>
                    <w:szCs w:val="21"/>
                  </w:rPr>
                  <w:t>-10</w:t>
                </w:r>
              </w:p>
            </w:tc>
            <w:tc>
              <w:tcPr>
                <w:tcW w:w="1539" w:type="pct"/>
                <w:vAlign w:val="center"/>
              </w:tcPr>
              <w:p w14:paraId="41F66206">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估计使用年限</w:t>
                </w:r>
              </w:p>
            </w:tc>
          </w:tr>
        </w:tbl>
        <w:p w14:paraId="08F396E3">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本公司至少于每年年度终了对无形资产的使用寿命及摊销方法进行复核。</w:t>
          </w:r>
        </w:p>
        <w:p w14:paraId="4DB9452B">
          <w:pPr>
            <w:pStyle w:val="20"/>
            <w:spacing w:line="360" w:lineRule="auto"/>
            <w:ind w:firstLine="420" w:firstLineChars="200"/>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(2)对于使用寿命不确定的无形资产不摊销。于每年年度终了对使用寿命不确定的无形资产的使用寿命进行复核,如果有证据表明其使用寿命是有限的则估计其使用寿命，并按其使用寿命进行摊销。</w:t>
          </w:r>
        </w:p>
      </w:sdtContent>
    </w:sdt>
    <w:p w14:paraId="22FA4754">
      <w:pPr>
        <w:pStyle w:val="5"/>
        <w:numPr>
          <w:ilvl w:val="3"/>
          <w:numId w:val="36"/>
        </w:numPr>
        <w:tabs>
          <w:tab w:val="left" w:pos="44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研发支出的归集范围及相关会计处理方法</w:t>
      </w:r>
    </w:p>
    <w:sdt>
      <w:sdtPr>
        <w:rPr>
          <w:rFonts w:hint="eastAsia"/>
          <w:color w:val="000000" w:themeColor="text1"/>
          <w14:textFill>
            <w14:solidFill>
              <w14:schemeClr w14:val="tx1"/>
            </w14:solidFill>
          </w14:textFill>
        </w:rPr>
        <w:alias w:val="是否适用：无形资产内部研究开发支出会计政策[双击切换]"/>
        <w:tag w:val="_GBC_c3cef4c9f19749b8a53b7f49d3b7bac3"/>
        <w:id w:val="-2091848317"/>
        <w:placeholder>
          <w:docPart w:val="GBC22222222222222222222222222222"/>
        </w:placeholder>
      </w:sdtPr>
      <w:sdtEndPr>
        <w:rPr>
          <w:rFonts w:hint="eastAsia"/>
          <w:color w:val="000000" w:themeColor="text1"/>
          <w14:textFill>
            <w14:solidFill>
              <w14:schemeClr w14:val="tx1"/>
            </w14:solidFill>
          </w14:textFill>
        </w:rPr>
      </w:sdtEndPr>
      <w:sdtContent>
        <w:p w14:paraId="3FE41BF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无形资产内部研究、开发支出会计政策"/>
        <w:tag w:val="_GBC_af7b1338d88344dfb8cd34ed66bfe672"/>
        <w:id w:val="560073009"/>
        <w:placeholder>
          <w:docPart w:val="GBC22222222222222222222222222222"/>
        </w:placeholder>
      </w:sdtPr>
      <w:sdtEndPr>
        <w:rPr>
          <w:color w:val="000000" w:themeColor="text1"/>
          <w14:textFill>
            <w14:solidFill>
              <w14:schemeClr w14:val="tx1"/>
            </w14:solidFill>
          </w14:textFill>
        </w:rPr>
      </w:sdtEndPr>
      <w:sdtContent>
        <w:p w14:paraId="23EAA476">
          <w:pPr>
            <w:spacing w:before="120" w:beforeLines="50" w:after="120" w:afterLines="50" w:line="360" w:lineRule="exact"/>
            <w:ind w:firstLine="420" w:firstLineChars="200"/>
            <w:rPr>
              <w:rFonts w:asciiTheme="minorEastAsia" w:hAnsiTheme="minorEastAsia" w:eastAsiaTheme="minorEastAsia"/>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rFonts w:hint="eastAsia" w:asciiTheme="minorEastAsia" w:hAnsiTheme="minorEastAsia" w:eastAsiaTheme="minorEastAsia"/>
            </w:rPr>
            <w:t>研发支出的归集范围</w:t>
          </w:r>
        </w:p>
        <w:p w14:paraId="55A32BD3">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 人员人工费用</w:t>
          </w:r>
        </w:p>
        <w:p w14:paraId="18F0BE90">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人员人工费用包括公司研发人员的工资薪金、基本养老保险费、基本医疗保险费、失业保险费、工伤保险费、生育保险费和住房公积金，以及外聘研发人员的劳务费用。</w:t>
          </w:r>
        </w:p>
        <w:p w14:paraId="5B18E8C0">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研发人员同时服务于多个研究开发项目的，人工费用的确认依据公司各研究开发项目研发人员申报的工时记录，在不同研究开发项目间按比例分配。</w:t>
          </w:r>
        </w:p>
        <w:p w14:paraId="31E0746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直接从事研发活动的人员、外聘研发人员同时从事非研发活动的，公司根据研发人员在不同岗位的工时记录，将其实际发生的人员人工费用，按实际工时占比等合理方法在研发费用和生产经营费用间分配。</w:t>
          </w:r>
        </w:p>
        <w:p w14:paraId="6E61A256">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 直接投入费用</w:t>
          </w:r>
        </w:p>
        <w:p w14:paraId="669BEDE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直接投入费用是指公司为实施研究开发活动而实际发生的相关支出。包括：1) 直接消耗的材料、燃料和动力费用；2) 用于试制产品专用的模夹检具，不构成固定资产的样品、样机及一般测试手段购置费；3) 用于研究开发活动的仪器、设备的运行维护、调整、检验、检测、维修等费用。</w:t>
          </w:r>
        </w:p>
        <w:p w14:paraId="0D67863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(3) 折旧费用与长期待摊费用</w:t>
          </w:r>
        </w:p>
        <w:p w14:paraId="0EA1F96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折旧费用是指用于研究开发活动的仪器、设备和在用建筑物的折旧费。</w:t>
          </w:r>
        </w:p>
        <w:p w14:paraId="7C9021A6">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用于研发活动的仪器、设备及在用建筑物，同时又用于非研发活动的，对该类仪器、设备、在用建筑物使用情况做必要记录，并将其实际发生的折旧费按实际工时和使用面积等因素，采用合理方法在研发费用和生产经营费用间分配。</w:t>
          </w:r>
        </w:p>
        <w:p w14:paraId="43C59C9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长期待摊费用是指研发设施的改建、改装、装修和修理过程中发生的长期待摊费用，按实际支出进行归集，在规定的期限内分期平均摊销。</w:t>
          </w:r>
        </w:p>
        <w:p w14:paraId="6DD3F4E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(4) 无形资产摊销费用</w:t>
          </w:r>
        </w:p>
        <w:p w14:paraId="13A8210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无形资产摊销费用是指用于研究开发活动的软件、知识产权、非专利技术（专有技术、许可证、设计和计算方法等）的摊销费用。</w:t>
          </w:r>
        </w:p>
        <w:p w14:paraId="45226DD0">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(5) 设计费用</w:t>
          </w:r>
        </w:p>
        <w:p w14:paraId="12C654AD">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设计费用是指为新产品和新工艺进行构思、开发和制造，进行工序、技术规范、规程制定、操作特性方面的设计等发生的费用，包括为获得创新性、创意性、突破性产品进行的创意设计活动发生的相关费用。</w:t>
          </w:r>
        </w:p>
        <w:p w14:paraId="7636F5B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(6) 试验费用</w:t>
          </w:r>
        </w:p>
        <w:p w14:paraId="258BB4F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试验费用包括量产前产品验证、检测、认证费等。</w:t>
          </w:r>
        </w:p>
        <w:p w14:paraId="248A35A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(7) 委托外部研究开发费用</w:t>
          </w:r>
        </w:p>
        <w:p w14:paraId="73AB029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委托外部研究开发费用是指公司委托境内外其他机构或个人进行研究开发活动所发生的费用（研究开发活动成果为公司所拥有，且与公司的主要经营业务紧密相关）。</w:t>
          </w:r>
        </w:p>
        <w:p w14:paraId="6B614BC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(8) 其他费用</w:t>
          </w:r>
        </w:p>
        <w:p w14:paraId="66D03ACD">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其他费用是指上述费用之外与研究开发活动直接相关的其他费用，包括技术图书资料费、资料翻译费、专家咨询费、高新科技研发保险费，研发成果的检索、论证、评审、鉴定、验收费用、知识产权的申请费、注册费、代理费、会议费、差旅费、通讯费等。</w:t>
          </w:r>
        </w:p>
        <w:p w14:paraId="69F4552E">
          <w:pPr>
            <w:spacing w:before="120" w:beforeLines="50"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.内部研究开发项目</w:t>
          </w:r>
        </w:p>
        <w:p w14:paraId="29EEA83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（1）划分公司内部研究开发项目研究阶段和开发阶段的具体标准</w:t>
          </w:r>
        </w:p>
        <w:p w14:paraId="41442F6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研究阶段：为获得车型技术而进行有计划的前期调研、技术研究、初步评估等研究活动的阶段。</w:t>
          </w:r>
        </w:p>
        <w:p w14:paraId="7A3BE06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开发阶段：根据研究阶段的结果，明确新技术具体的定义、定位和商务目标，签发明确的项目计划，根据项目计划进行造型设计、工程设计、零部件开发、试验开发、样车样件和上市保障等，开发出新的车型技术，将其运用至车型的生产的阶段。</w:t>
          </w:r>
        </w:p>
        <w:p w14:paraId="10936E8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（2）开发阶段支出符合资本化的具体标准</w:t>
          </w:r>
        </w:p>
        <w:p w14:paraId="1E3B8AE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研究阶段的支出，于发生时计入当期损益。开发阶段的支出，同时满足下列条件的，予以资本化：</w:t>
          </w:r>
        </w:p>
        <w:p w14:paraId="428084AF">
          <w:pPr>
            <w:spacing w:before="120" w:beforeLines="50"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完成该无形资产以使其能够使用或出售在技术上具有可行性；</w:t>
          </w:r>
        </w:p>
        <w:p w14:paraId="48FD4275">
          <w:pPr>
            <w:spacing w:before="120" w:beforeLines="50"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具有完成该无形资产并使用或出售的意图；</w:t>
          </w:r>
        </w:p>
        <w:p w14:paraId="4433FADD">
          <w:pPr>
            <w:spacing w:before="120" w:beforeLines="50"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无形资产产生经济利益的方式，包括能够证明运用该无形资产生产的产品存在市场或无形资产自身存在市场，无形资产将在内部使用的，应当证明其有用性；</w:t>
          </w:r>
        </w:p>
        <w:p w14:paraId="05E30C76">
          <w:pPr>
            <w:spacing w:before="120" w:beforeLines="50"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）有足够的技术、财务资源和其他资源支持，以完成该无形资产的开发，并有能力使用或出售该无形资产；</w:t>
          </w:r>
        </w:p>
        <w:p w14:paraId="710BC66F">
          <w:pPr>
            <w:spacing w:before="120" w:beforeLines="50" w:after="120" w:afterLines="50" w:line="360" w:lineRule="exact"/>
            <w:ind w:firstLine="420" w:firstLineChars="20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）归属于该无形资产开发阶段的支出能够可靠地计量。</w:t>
          </w:r>
        </w:p>
        <w:p w14:paraId="4F4C83E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本公司研究开发项目在满足上述条件，通过技术可行性及经济可行性研究，形成项目立项后，进入开发阶段。</w:t>
          </w:r>
        </w:p>
        <w:p w14:paraId="36BD647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已资本化的开发阶段的支出在资产负债表上列示为开发支出，自该项目达到预定用途之日转为无形资产。</w:t>
          </w:r>
        </w:p>
        <w:p w14:paraId="2558027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）研发过程中产出的产品或副产品对外销售的，按照《企业会计准则第14号-</w:t>
          </w:r>
          <w:r>
            <w:rPr>
              <w:rFonts w:asciiTheme="minorEastAsia" w:hAnsiTheme="minorEastAsia" w:eastAsiaTheme="minorEastAsia"/>
            </w:rPr>
            <w:t>-</w:t>
          </w:r>
          <w:r>
            <w:rPr>
              <w:rFonts w:hint="eastAsia" w:asciiTheme="minorEastAsia" w:hAnsiTheme="minorEastAsia" w:eastAsiaTheme="minorEastAsia"/>
            </w:rPr>
            <w:t>收入》、《企业会计准则第1号--存货》等规定，对试运行销售相关的收入和成本分别进行会计处理，计入当期损益。</w:t>
          </w:r>
        </w:p>
        <w:p w14:paraId="446CBAD8">
          <w:pPr>
            <w:rPr>
              <w:color w:val="000000" w:themeColor="text1"/>
              <w14:textFill>
                <w14:solidFill>
                  <w14:schemeClr w14:val="tx1"/>
                </w14:solidFill>
              </w14:textFill>
            </w:rPr>
          </w:pPr>
        </w:p>
      </w:sdtContent>
    </w:sdt>
    <w:bookmarkEnd w:id="132"/>
    <w:p w14:paraId="6B8FA55A">
      <w:pPr>
        <w:pStyle w:val="4"/>
        <w:numPr>
          <w:ilvl w:val="0"/>
          <w:numId w:val="33"/>
        </w:numPr>
        <w:rPr>
          <w:rFonts w:ascii="宋体" w:hAnsi="宋体"/>
          <w:color w:val="000000" w:themeColor="text1"/>
          <w14:textFill>
            <w14:solidFill>
              <w14:schemeClr w14:val="tx1"/>
            </w14:solidFill>
          </w14:textFill>
        </w:rPr>
      </w:pPr>
      <w:bookmarkStart w:id="133" w:name="_Hlk44405424"/>
      <w:r>
        <w:rPr>
          <w:rFonts w:ascii="宋体" w:hAnsi="宋体"/>
          <w:color w:val="000000" w:themeColor="text1"/>
          <w14:textFill>
            <w14:solidFill>
              <w14:schemeClr w14:val="tx1"/>
            </w14:solidFill>
          </w14:textFill>
        </w:rPr>
        <w:t>长期资产减值</w:t>
      </w:r>
    </w:p>
    <w:sdt>
      <w:sdtPr>
        <w:rPr>
          <w:rFonts w:hint="eastAsia"/>
          <w:color w:val="000000" w:themeColor="text1"/>
          <w14:textFill>
            <w14:solidFill>
              <w14:schemeClr w14:val="tx1"/>
            </w14:solidFill>
          </w14:textFill>
        </w:rPr>
        <w:alias w:val="是否适用：长期资产减值_重要会计政策和估计[双击切换]"/>
        <w:tag w:val="_GBC_d0feb744f96144ffa5335cd194c6cdf9"/>
        <w:id w:val="-298147622"/>
        <w:placeholder>
          <w:docPart w:val="GBC22222222222222222222222222222"/>
        </w:placeholder>
      </w:sdtPr>
      <w:sdtEndPr>
        <w:rPr>
          <w:rFonts w:hint="eastAsia"/>
          <w:color w:val="000000" w:themeColor="text1"/>
          <w14:textFill>
            <w14:solidFill>
              <w14:schemeClr w14:val="tx1"/>
            </w14:solidFill>
          </w14:textFill>
        </w:rPr>
      </w:sdtEndPr>
      <w:sdtContent>
        <w:p w14:paraId="5F054F2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非金融长期资产减值测试方法及会计处理方法"/>
        <w:tag w:val="_GBC_e8cb396d7101453b9e9cd1bc11b8633e"/>
        <w:id w:val="725494015"/>
        <w:placeholder>
          <w:docPart w:val="GBC22222222222222222222222222222"/>
        </w:placeholder>
      </w:sdtPr>
      <w:sdtEndPr>
        <w:rPr>
          <w:rFonts w:hint="eastAsia"/>
          <w:color w:val="000000" w:themeColor="text1"/>
          <w14:textFill>
            <w14:solidFill>
              <w14:schemeClr w14:val="tx1"/>
            </w14:solidFill>
          </w14:textFill>
        </w:rPr>
      </w:sdtEndPr>
      <w:sdtContent>
        <w:p w14:paraId="2AF5E89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在资产负债表日根据内部及外部信息以确定长期股权投资、采用成本模式计量的投资性房地产、固定资产、在建工程、采用成本模式计量的生产性生物资产、油气资产、使用权资产、无形资产等长期资产是否存在减值的迹象，对存在减值迹象的长期资产进行减值测试，估计其可收回金额。此外，无论是否存在减值迹象，本公司至少于每年年度终了对商誉、使用寿命不确定的无形资产以及尚未达到可使用状态的无形资产进行减值测试，估计其可收回金额。</w:t>
          </w:r>
        </w:p>
        <w:p w14:paraId="4BDCB04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可收回金额的估计结果表明上述长期资产可收回金额低于其账面价值的，其账面价值会减记至可收回金额，减记的金额确认为资产减值损失，计入当期损益，同时计提相应的减值准备。</w:t>
          </w:r>
        </w:p>
        <w:p w14:paraId="187D5B5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可收回金额是指资产(或资产组、资产组组合，下同)的公允价值减去处置费用后的净额与资产预计未来现金流量的现值两者之间较高者。</w:t>
          </w:r>
        </w:p>
        <w:p w14:paraId="3DE5540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资产组是可以认定的最小资产组合，其产生的现金流入基本上独立于其他资产或者资产组。资产组由创造现金流入相关的资产组成。在认定资产组时，主要考虑该资产组能否独立产生现金流入，同时考虑管理层对生产经营活动的管理方式、以及对资产使用或者处置的决策方式等。</w:t>
          </w:r>
        </w:p>
        <w:p w14:paraId="774DBA73">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资产的公允价值减去处置费用后的净额，是根据市场参与者在计量日发生的有序交易中，出售一项资产所能收到或者转移一项负债所需支付的价格减去可直接归属于该资产处置费用的金额确定。资产预计未来现金流量的现值，按照资产在持续使用过程中和最终处置时所产生的预计未来现金流量，选择恰当的税前折现率对其进行折现后的金额加以确定。</w:t>
          </w:r>
        </w:p>
        <w:p w14:paraId="75A86FAA">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与资产组或者资产组组合相关的减值损失，先抵减分摊至该资产组或者资产组组合中商誉的账面价值，再根据资产组或者资产组组合中除商誉之外的其他各项资产的账面价值所占比重，按比例抵减其他各项资产的账面价值，但抵减后的各资产的账面价值不得低于该资产的公允价值减去处置费用后的净额(如可确定的)、该资产预计未来现金流量的现值(如可确定的)和零三者之中最高者。</w:t>
          </w:r>
        </w:p>
        <w:p w14:paraId="473D3E03">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前述长期资产减值损失一经确认，在以后会计期间不得转回。</w:t>
          </w:r>
        </w:p>
        <w:p w14:paraId="1EB22EDD">
          <w:pPr>
            <w:rPr>
              <w:color w:val="000000" w:themeColor="text1"/>
              <w14:textFill>
                <w14:solidFill>
                  <w14:schemeClr w14:val="tx1"/>
                </w14:solidFill>
              </w14:textFill>
            </w:rPr>
          </w:pPr>
        </w:p>
      </w:sdtContent>
    </w:sdt>
    <w:bookmarkEnd w:id="133"/>
    <w:p w14:paraId="62EB0890">
      <w:pPr>
        <w:pStyle w:val="4"/>
        <w:numPr>
          <w:ilvl w:val="0"/>
          <w:numId w:val="33"/>
        </w:numPr>
        <w:rPr>
          <w:rFonts w:ascii="宋体" w:hAnsi="宋体"/>
          <w:color w:val="000000" w:themeColor="text1"/>
          <w14:textFill>
            <w14:solidFill>
              <w14:schemeClr w14:val="tx1"/>
            </w14:solidFill>
          </w14:textFill>
        </w:rPr>
      </w:pPr>
      <w:bookmarkStart w:id="134" w:name="_Hlk44405475"/>
      <w:r>
        <w:rPr>
          <w:rFonts w:ascii="宋体" w:hAnsi="宋体"/>
          <w:color w:val="000000" w:themeColor="text1"/>
          <w14:textFill>
            <w14:solidFill>
              <w14:schemeClr w14:val="tx1"/>
            </w14:solidFill>
          </w14:textFill>
        </w:rPr>
        <w:t>长期待摊费用</w:t>
      </w:r>
    </w:p>
    <w:sdt>
      <w:sdtPr>
        <w:rPr>
          <w:rFonts w:hint="eastAsia"/>
          <w:color w:val="000000" w:themeColor="text1"/>
          <w14:textFill>
            <w14:solidFill>
              <w14:schemeClr w14:val="tx1"/>
            </w14:solidFill>
          </w14:textFill>
        </w:rPr>
        <w:alias w:val="是否适用：长期待摊费用_重要会计政策和估计[双击切换]"/>
        <w:tag w:val="_GBC_75739ccc62204f0490525060b33e330f"/>
        <w:id w:val="175618610"/>
        <w:placeholder>
          <w:docPart w:val="GBC22222222222222222222222222222"/>
        </w:placeholder>
      </w:sdtPr>
      <w:sdtEndPr>
        <w:rPr>
          <w:rFonts w:hint="eastAsia"/>
          <w:color w:val="000000" w:themeColor="text1"/>
          <w14:textFill>
            <w14:solidFill>
              <w14:schemeClr w14:val="tx1"/>
            </w14:solidFill>
          </w14:textFill>
        </w:rPr>
      </w:sdtEndPr>
      <w:sdtContent>
        <w:p w14:paraId="0640D92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开办费、长期待摊费用摊销方法"/>
        <w:tag w:val="_GBC_e4e695ce4aea4c878acb6f8ad7190139"/>
        <w:id w:val="-2047205196"/>
        <w:placeholder>
          <w:docPart w:val="GBC22222222222222222222222222222"/>
        </w:placeholder>
      </w:sdtPr>
      <w:sdtEndPr>
        <w:rPr>
          <w:rFonts w:hint="eastAsia"/>
          <w:color w:val="000000" w:themeColor="text1"/>
          <w14:textFill>
            <w14:solidFill>
              <w14:schemeClr w14:val="tx1"/>
            </w14:solidFill>
          </w14:textFill>
        </w:rPr>
      </w:sdtEndPr>
      <w:sdtContent>
        <w:p w14:paraId="68B26326">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长期待摊费用在收益期内采用直线法摊销</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2"/>
            <w:gridCol w:w="4463"/>
            <w:gridCol w:w="1984"/>
          </w:tblGrid>
          <w:tr w14:paraId="7D54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438" w:type="pct"/>
                <w:vAlign w:val="center"/>
              </w:tcPr>
              <w:p w14:paraId="7E78B766">
                <w:pPr>
                  <w:widowControl w:val="0"/>
                  <w:adjustRightInd w:val="0"/>
                  <w:snapToGrid w:val="0"/>
                  <w:spacing w:line="360" w:lineRule="exact"/>
                  <w:jc w:val="center"/>
                  <w:rPr>
                    <w:rFonts w:cs="Times New Roman" w:asciiTheme="minorEastAsia" w:hAnsiTheme="minorEastAsia" w:eastAsiaTheme="minorEastAsia"/>
                    <w:b/>
                    <w:bCs/>
                    <w:snapToGrid w:val="0"/>
                  </w:rPr>
                </w:pPr>
                <w:r>
                  <w:rPr>
                    <w:rFonts w:hint="eastAsia" w:cs="Times New Roman" w:asciiTheme="minorEastAsia" w:hAnsiTheme="minorEastAsia" w:eastAsiaTheme="minorEastAsia"/>
                    <w:b/>
                    <w:bCs/>
                    <w:snapToGrid w:val="0"/>
                  </w:rPr>
                  <w:t>类</w:t>
                </w:r>
                <w:r>
                  <w:rPr>
                    <w:rFonts w:cs="Times New Roman" w:asciiTheme="minorEastAsia" w:hAnsiTheme="minorEastAsia" w:eastAsiaTheme="minorEastAsia"/>
                    <w:b/>
                    <w:bCs/>
                    <w:snapToGrid w:val="0"/>
                  </w:rPr>
                  <w:t xml:space="preserve">  </w:t>
                </w:r>
                <w:r>
                  <w:rPr>
                    <w:rFonts w:hint="eastAsia" w:cs="Times New Roman" w:asciiTheme="minorEastAsia" w:hAnsiTheme="minorEastAsia" w:eastAsiaTheme="minorEastAsia"/>
                    <w:b/>
                    <w:bCs/>
                    <w:snapToGrid w:val="0"/>
                  </w:rPr>
                  <w:t>别</w:t>
                </w:r>
              </w:p>
            </w:tc>
            <w:tc>
              <w:tcPr>
                <w:tcW w:w="2466" w:type="pct"/>
                <w:vAlign w:val="center"/>
              </w:tcPr>
              <w:p w14:paraId="0E05B4BA">
                <w:pPr>
                  <w:widowControl w:val="0"/>
                  <w:adjustRightInd w:val="0"/>
                  <w:snapToGrid w:val="0"/>
                  <w:spacing w:line="360" w:lineRule="exact"/>
                  <w:jc w:val="center"/>
                  <w:rPr>
                    <w:rFonts w:cs="Times New Roman" w:asciiTheme="minorEastAsia" w:hAnsiTheme="minorEastAsia" w:eastAsiaTheme="minorEastAsia"/>
                    <w:b/>
                    <w:bCs/>
                    <w:snapToGrid w:val="0"/>
                  </w:rPr>
                </w:pPr>
                <w:r>
                  <w:rPr>
                    <w:rFonts w:hint="eastAsia" w:cs="Times New Roman" w:asciiTheme="minorEastAsia" w:hAnsiTheme="minorEastAsia" w:eastAsiaTheme="minorEastAsia"/>
                    <w:b/>
                    <w:bCs/>
                    <w:snapToGrid w:val="0"/>
                  </w:rPr>
                  <w:t>收益期（年）</w:t>
                </w:r>
              </w:p>
            </w:tc>
            <w:tc>
              <w:tcPr>
                <w:tcW w:w="1096" w:type="pct"/>
                <w:vAlign w:val="center"/>
              </w:tcPr>
              <w:p w14:paraId="1EB8B822">
                <w:pPr>
                  <w:widowControl w:val="0"/>
                  <w:adjustRightInd w:val="0"/>
                  <w:snapToGrid w:val="0"/>
                  <w:spacing w:line="360" w:lineRule="exact"/>
                  <w:jc w:val="center"/>
                  <w:rPr>
                    <w:rFonts w:cs="Times New Roman" w:asciiTheme="minorEastAsia" w:hAnsiTheme="minorEastAsia" w:eastAsiaTheme="minorEastAsia"/>
                    <w:b/>
                    <w:bCs/>
                    <w:snapToGrid w:val="0"/>
                  </w:rPr>
                </w:pPr>
                <w:r>
                  <w:rPr>
                    <w:rFonts w:hint="eastAsia" w:cs="Times New Roman" w:asciiTheme="minorEastAsia" w:hAnsiTheme="minorEastAsia" w:eastAsiaTheme="minorEastAsia"/>
                    <w:b/>
                    <w:bCs/>
                    <w:snapToGrid w:val="0"/>
                  </w:rPr>
                  <w:t>备注</w:t>
                </w:r>
              </w:p>
            </w:tc>
          </w:tr>
          <w:tr w14:paraId="534A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8" w:type="pct"/>
                <w:vAlign w:val="center"/>
              </w:tcPr>
              <w:p w14:paraId="2923116D">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标准件</w:t>
                </w:r>
              </w:p>
            </w:tc>
            <w:tc>
              <w:tcPr>
                <w:tcW w:w="2466" w:type="pct"/>
                <w:vAlign w:val="center"/>
              </w:tcPr>
              <w:p w14:paraId="0CAF708E">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3</w:t>
                </w:r>
              </w:p>
            </w:tc>
            <w:tc>
              <w:tcPr>
                <w:tcW w:w="1096" w:type="pct"/>
                <w:vAlign w:val="center"/>
              </w:tcPr>
              <w:p w14:paraId="193DC379">
                <w:pPr>
                  <w:pStyle w:val="20"/>
                  <w:spacing w:line="360" w:lineRule="exact"/>
                  <w:jc w:val="center"/>
                  <w:rPr>
                    <w:rFonts w:asciiTheme="minorEastAsia" w:hAnsiTheme="minorEastAsia" w:eastAsiaTheme="minorEastAsia"/>
                    <w:bCs/>
                    <w:snapToGrid w:val="0"/>
                    <w:szCs w:val="21"/>
                  </w:rPr>
                </w:pPr>
              </w:p>
            </w:tc>
          </w:tr>
          <w:tr w14:paraId="32ED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8" w:type="pct"/>
                <w:vAlign w:val="center"/>
              </w:tcPr>
              <w:p w14:paraId="19382573">
                <w:pPr>
                  <w:pStyle w:val="20"/>
                  <w:spacing w:line="360" w:lineRule="exact"/>
                  <w:jc w:val="center"/>
                  <w:rPr>
                    <w:rFonts w:asciiTheme="minorEastAsia" w:hAnsiTheme="minorEastAsia" w:eastAsiaTheme="minorEastAsia"/>
                    <w:bCs/>
                    <w:snapToGrid w:val="0"/>
                    <w:szCs w:val="21"/>
                  </w:rPr>
                </w:pPr>
                <w:r>
                  <w:rPr>
                    <w:rFonts w:hint="eastAsia" w:asciiTheme="minorEastAsia" w:hAnsiTheme="minorEastAsia" w:eastAsiaTheme="minorEastAsia"/>
                    <w:bCs/>
                    <w:snapToGrid w:val="0"/>
                    <w:szCs w:val="21"/>
                  </w:rPr>
                  <w:t>生产线改造</w:t>
                </w:r>
              </w:p>
            </w:tc>
            <w:tc>
              <w:tcPr>
                <w:tcW w:w="2466" w:type="pct"/>
                <w:vAlign w:val="center"/>
              </w:tcPr>
              <w:p w14:paraId="40BE8AC3">
                <w:pPr>
                  <w:pStyle w:val="20"/>
                  <w:spacing w:line="360" w:lineRule="exact"/>
                  <w:jc w:val="center"/>
                  <w:rPr>
                    <w:rFonts w:asciiTheme="minorEastAsia" w:hAnsiTheme="minorEastAsia" w:eastAsiaTheme="minorEastAsia"/>
                    <w:bCs/>
                    <w:snapToGrid w:val="0"/>
                    <w:szCs w:val="21"/>
                  </w:rPr>
                </w:pPr>
                <w:r>
                  <w:rPr>
                    <w:rFonts w:asciiTheme="minorEastAsia" w:hAnsiTheme="minorEastAsia" w:eastAsiaTheme="minorEastAsia"/>
                    <w:bCs/>
                    <w:snapToGrid w:val="0"/>
                    <w:szCs w:val="21"/>
                  </w:rPr>
                  <w:t>5</w:t>
                </w:r>
              </w:p>
            </w:tc>
            <w:tc>
              <w:tcPr>
                <w:tcW w:w="1096" w:type="pct"/>
                <w:vAlign w:val="center"/>
              </w:tcPr>
              <w:p w14:paraId="04E3207E">
                <w:pPr>
                  <w:pStyle w:val="20"/>
                  <w:spacing w:line="360" w:lineRule="exact"/>
                  <w:jc w:val="center"/>
                  <w:rPr>
                    <w:rFonts w:asciiTheme="minorEastAsia" w:hAnsiTheme="minorEastAsia" w:eastAsiaTheme="minorEastAsia"/>
                    <w:bCs/>
                    <w:snapToGrid w:val="0"/>
                    <w:szCs w:val="21"/>
                  </w:rPr>
                </w:pPr>
              </w:p>
            </w:tc>
          </w:tr>
        </w:tbl>
        <w:p w14:paraId="17A6C2A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如果长期待摊的费用项目不能使以后会计期间受益的,将尚未摊销的该项目的摊余价值全部转入当期损益。</w:t>
          </w:r>
        </w:p>
      </w:sdtContent>
    </w:sdt>
    <w:p w14:paraId="6F54A156">
      <w:pPr>
        <w:rPr>
          <w:color w:val="000000" w:themeColor="text1"/>
          <w14:textFill>
            <w14:solidFill>
              <w14:schemeClr w14:val="tx1"/>
            </w14:solidFill>
          </w14:textFill>
        </w:rPr>
      </w:pPr>
    </w:p>
    <w:bookmarkEnd w:id="134"/>
    <w:p w14:paraId="1C10936F">
      <w:pPr>
        <w:pStyle w:val="4"/>
        <w:numPr>
          <w:ilvl w:val="0"/>
          <w:numId w:val="33"/>
        </w:numPr>
        <w:rPr>
          <w:rFonts w:ascii="宋体" w:hAnsi="宋体"/>
          <w:color w:val="000000" w:themeColor="text1"/>
          <w14:textFill>
            <w14:solidFill>
              <w14:schemeClr w14:val="tx1"/>
            </w14:solidFill>
          </w14:textFill>
        </w:rPr>
      </w:pPr>
      <w:bookmarkStart w:id="135" w:name="_Hlk10465482"/>
      <w:r>
        <w:rPr>
          <w:rFonts w:ascii="宋体" w:hAnsi="宋体"/>
          <w:color w:val="000000" w:themeColor="text1"/>
          <w14:textFill>
            <w14:solidFill>
              <w14:schemeClr w14:val="tx1"/>
            </w14:solidFill>
          </w14:textFill>
        </w:rPr>
        <w:t>合同负债</w:t>
      </w:r>
    </w:p>
    <w:sdt>
      <w:sdtPr>
        <w:rPr>
          <w:color w:val="000000" w:themeColor="text1"/>
          <w14:textFill>
            <w14:solidFill>
              <w14:schemeClr w14:val="tx1"/>
            </w14:solidFill>
          </w14:textFill>
        </w:rPr>
        <w:alias w:val="是否适用：合同负债的确定方法、摊销方法和减值测试方法[双击切换]"/>
        <w:tag w:val="_GBC_f210968f2ea04a338a3253827b172c25"/>
        <w:id w:val="-699776774"/>
        <w:placeholder>
          <w:docPart w:val="GBC22222222222222222222222222222"/>
        </w:placeholder>
      </w:sdtPr>
      <w:sdtEndPr>
        <w:rPr>
          <w:color w:val="000000" w:themeColor="text1"/>
          <w14:textFill>
            <w14:solidFill>
              <w14:schemeClr w14:val="tx1"/>
            </w14:solidFill>
          </w14:textFill>
        </w:rPr>
      </w:sdtEndPr>
      <w:sdtContent>
        <w:p w14:paraId="34F0DB5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负债的确定方法、摊销方法和减值测试方法"/>
        <w:tag w:val="_GBC_adbfb902bae348178906cb42c1932267"/>
        <w:id w:val="43344570"/>
        <w:placeholder>
          <w:docPart w:val="GBC22222222222222222222222222222"/>
        </w:placeholder>
      </w:sdtPr>
      <w:sdtEndPr>
        <w:rPr>
          <w:color w:val="000000" w:themeColor="text1"/>
          <w14:textFill>
            <w14:solidFill>
              <w14:schemeClr w14:val="tx1"/>
            </w14:solidFill>
          </w14:textFill>
        </w:rPr>
      </w:sdtEndPr>
      <w:sdtContent>
        <w:p w14:paraId="509F2717">
          <w:pPr>
            <w:spacing w:before="120" w:beforeLines="50" w:after="120" w:afterLines="50" w:line="360" w:lineRule="exact"/>
            <w:ind w:firstLine="420" w:firstLineChars="200"/>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合同负债是指本公司已收或应收客户对价而应向客户转让商品或服务的义务。同一合同下的合同资产和合同负债以净额列示。</w:t>
          </w:r>
        </w:p>
        <w:p w14:paraId="2AE4DEBB">
          <w:pPr>
            <w:rPr>
              <w:color w:val="000000" w:themeColor="text1"/>
              <w14:textFill>
                <w14:solidFill>
                  <w14:schemeClr w14:val="tx1"/>
                </w14:solidFill>
              </w14:textFill>
            </w:rPr>
          </w:pPr>
        </w:p>
      </w:sdtContent>
    </w:sdt>
    <w:bookmarkEnd w:id="135"/>
    <w:p w14:paraId="66EDA2DD">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职工薪酬</w:t>
      </w:r>
    </w:p>
    <w:p w14:paraId="089329BA">
      <w:pPr>
        <w:spacing w:line="360" w:lineRule="exact"/>
      </w:pPr>
      <w:r>
        <w:rPr>
          <w:rFonts w:hint="eastAsia"/>
        </w:rPr>
        <w:t>职工薪酬包括短期薪酬、离职后福利、辞退福利和其他长期职工福利。</w:t>
      </w:r>
    </w:p>
    <w:p w14:paraId="1EB5EBB7">
      <w:pPr>
        <w:pStyle w:val="5"/>
        <w:numPr>
          <w:ilvl w:val="0"/>
          <w:numId w:val="37"/>
        </w:numPr>
        <w:spacing w:line="3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短期薪酬的会计处理方法</w:t>
      </w:r>
    </w:p>
    <w:sdt>
      <w:sdtPr>
        <w:rPr>
          <w:color w:val="000000" w:themeColor="text1"/>
          <w14:textFill>
            <w14:solidFill>
              <w14:schemeClr w14:val="tx1"/>
            </w14:solidFill>
          </w14:textFill>
        </w:rPr>
        <w:alias w:val="是否适用：短期薪酬的会计处理方法[双击切换]"/>
        <w:tag w:val="_GBC_eefed2a465e349b6a35598930bd9541d"/>
        <w:id w:val="-569269387"/>
        <w:placeholder>
          <w:docPart w:val="GBC22222222222222222222222222222"/>
        </w:placeholder>
      </w:sdtPr>
      <w:sdtEndPr>
        <w:rPr>
          <w:color w:val="000000" w:themeColor="text1"/>
          <w14:textFill>
            <w14:solidFill>
              <w14:schemeClr w14:val="tx1"/>
            </w14:solidFill>
          </w14:textFill>
        </w:rPr>
      </w:sdtEndPr>
      <w:sdtContent>
        <w:p w14:paraId="1EFE838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短期薪酬的会计处理方法"/>
        <w:tag w:val="_GBC_8fdf44b194ac45fb945d36b9896df796"/>
        <w:id w:val="795187391"/>
        <w:placeholder>
          <w:docPart w:val="GBC22222222222222222222222222222"/>
        </w:placeholder>
      </w:sdtPr>
      <w:sdtEndPr>
        <w:rPr>
          <w:color w:val="000000" w:themeColor="text1"/>
          <w14:textFill>
            <w14:solidFill>
              <w14:schemeClr w14:val="tx1"/>
            </w14:solidFill>
          </w14:textFill>
        </w:rPr>
      </w:sdtEndPr>
      <w:sdtContent>
        <w:p w14:paraId="0884E429">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短期薪酬主要包括工资、奖金、津贴和补贴、职工福利费、医疗保险费、生育保险费、工伤保险费、住房公积金、工会经费和职工教育经费、非货币性福利等。本公司在职工为本公司提供服务的会计期间将实际发生的短期职工薪酬确认为负债,并计入当期损益或相关资产成本。其中非货币性福利按公允价值计量。</w:t>
          </w:r>
        </w:p>
        <w:p w14:paraId="160E842B">
          <w:pPr>
            <w:rPr>
              <w:color w:val="000000" w:themeColor="text1"/>
              <w14:textFill>
                <w14:solidFill>
                  <w14:schemeClr w14:val="tx1"/>
                </w14:solidFill>
              </w14:textFill>
            </w:rPr>
          </w:pPr>
        </w:p>
      </w:sdtContent>
    </w:sdt>
    <w:p w14:paraId="0A5E270D">
      <w:pPr>
        <w:pStyle w:val="5"/>
        <w:numPr>
          <w:ilvl w:val="0"/>
          <w:numId w:val="37"/>
        </w:numPr>
        <w:spacing w:line="3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离职后福利的会计处理方法</w:t>
      </w:r>
    </w:p>
    <w:sdt>
      <w:sdtPr>
        <w:rPr>
          <w:rFonts w:hint="eastAsia"/>
          <w:color w:val="000000" w:themeColor="text1"/>
          <w14:textFill>
            <w14:solidFill>
              <w14:schemeClr w14:val="tx1"/>
            </w14:solidFill>
          </w14:textFill>
        </w:rPr>
        <w:alias w:val="是否适用：离职后福利的会计处理方法[双击切换]"/>
        <w:tag w:val="_GBC_35bbae299fda438d9e595058bbecbcdc"/>
        <w:id w:val="759558491"/>
        <w:placeholder>
          <w:docPart w:val="GBC22222222222222222222222222222"/>
        </w:placeholder>
      </w:sdtPr>
      <w:sdtEndPr>
        <w:rPr>
          <w:rFonts w:hint="eastAsia"/>
          <w:color w:val="000000" w:themeColor="text1"/>
          <w14:textFill>
            <w14:solidFill>
              <w14:schemeClr w14:val="tx1"/>
            </w14:solidFill>
          </w14:textFill>
        </w:rPr>
      </w:sdtEndPr>
      <w:sdtContent>
        <w:p w14:paraId="199C692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离职后福利的会计处理方法"/>
        <w:tag w:val="_GBC_3b0bafa6ef784ba99c829e2f60cf828e"/>
        <w:id w:val="-1599944978"/>
        <w:placeholder>
          <w:docPart w:val="GBC22222222222222222222222222222"/>
        </w:placeholder>
      </w:sdtPr>
      <w:sdtEndPr>
        <w:rPr>
          <w:color w:val="000000" w:themeColor="text1"/>
          <w14:textFill>
            <w14:solidFill>
              <w14:schemeClr w14:val="tx1"/>
            </w14:solidFill>
          </w14:textFill>
        </w:rPr>
      </w:sdtEndPr>
      <w:sdtContent>
        <w:p w14:paraId="05A6ACB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本公司的离职后福利计划全部为设定提存计划。</w:t>
          </w:r>
        </w:p>
        <w:p w14:paraId="05FE402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离职后福利设定提存计划主要为参加由各地劳动及社会保障机构组织实施的社会基本养老保险、失业保险等，相应的支出于发生时计入相关资产成本或当期损益。</w:t>
          </w:r>
        </w:p>
      </w:sdtContent>
    </w:sdt>
    <w:p w14:paraId="1AE7B59B">
      <w:pPr>
        <w:rPr>
          <w:color w:val="000000" w:themeColor="text1"/>
          <w14:textFill>
            <w14:solidFill>
              <w14:schemeClr w14:val="tx1"/>
            </w14:solidFill>
          </w14:textFill>
        </w:rPr>
      </w:pPr>
    </w:p>
    <w:p w14:paraId="37AEA3B7">
      <w:pPr>
        <w:pStyle w:val="5"/>
        <w:numPr>
          <w:ilvl w:val="0"/>
          <w:numId w:val="37"/>
        </w:numPr>
        <w:spacing w:line="3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辞退福利的会计处理方法</w:t>
      </w:r>
    </w:p>
    <w:sdt>
      <w:sdtPr>
        <w:rPr>
          <w:rFonts w:hint="eastAsia"/>
          <w:color w:val="000000" w:themeColor="text1"/>
          <w14:textFill>
            <w14:solidFill>
              <w14:schemeClr w14:val="tx1"/>
            </w14:solidFill>
          </w14:textFill>
        </w:rPr>
        <w:alias w:val="是否适用：辞退福利的会计处理方法[双击切换]"/>
        <w:tag w:val="_GBC_b6be1c30b6144d54b0e20b3cb9d3a691"/>
        <w:id w:val="-241339278"/>
        <w:placeholder>
          <w:docPart w:val="GBC22222222222222222222222222222"/>
        </w:placeholder>
      </w:sdtPr>
      <w:sdtEndPr>
        <w:rPr>
          <w:rFonts w:hint="eastAsia"/>
          <w:color w:val="000000" w:themeColor="text1"/>
          <w14:textFill>
            <w14:solidFill>
              <w14:schemeClr w14:val="tx1"/>
            </w14:solidFill>
          </w14:textFill>
        </w:rPr>
      </w:sdtEndPr>
      <w:sdtContent>
        <w:p w14:paraId="226513C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辞退福利的会计处理方法"/>
        <w:tag w:val="_GBC_a93705fb60b24bceb25c88a68ed87432"/>
        <w:id w:val="-1641407489"/>
        <w:placeholder>
          <w:docPart w:val="GBC22222222222222222222222222222"/>
        </w:placeholder>
      </w:sdtPr>
      <w:sdtEndPr>
        <w:rPr>
          <w:color w:val="000000" w:themeColor="text1"/>
          <w14:textFill>
            <w14:solidFill>
              <w14:schemeClr w14:val="tx1"/>
            </w14:solidFill>
          </w14:textFill>
        </w:rPr>
      </w:sdtEndPr>
      <w:sdtContent>
        <w:p w14:paraId="1FC3DE86">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职工劳动合同到期之前解除与职工的劳动关系,或为鼓励职工自愿接受裁减而提出给予补偿的建议，本公司在下列两者孰早日确认辞退福利产生的职工薪酬负债，并计入当期损益；本公司不能单方面撤回因解除劳动关系计划或裁减建议所提供的辞退福利时；本公司确认与涉及支付辞退福利的重组相关的成本或费用时。</w:t>
          </w:r>
        </w:p>
        <w:p w14:paraId="63F64271">
          <w:pPr>
            <w:rPr>
              <w:color w:val="000000" w:themeColor="text1"/>
              <w14:textFill>
                <w14:solidFill>
                  <w14:schemeClr w14:val="tx1"/>
                </w14:solidFill>
              </w14:textFill>
            </w:rPr>
          </w:pPr>
        </w:p>
      </w:sdtContent>
    </w:sdt>
    <w:p w14:paraId="1EDE7D35">
      <w:pPr>
        <w:pStyle w:val="5"/>
        <w:numPr>
          <w:ilvl w:val="0"/>
          <w:numId w:val="37"/>
        </w:numPr>
        <w:spacing w:line="3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其他长期职工福利的会计处理方法</w:t>
      </w:r>
    </w:p>
    <w:sdt>
      <w:sdtPr>
        <w:rPr>
          <w:rFonts w:hint="eastAsia"/>
          <w:color w:val="000000" w:themeColor="text1"/>
          <w14:textFill>
            <w14:solidFill>
              <w14:schemeClr w14:val="tx1"/>
            </w14:solidFill>
          </w14:textFill>
        </w:rPr>
        <w:alias w:val="是否适用：其他长期职工福利的会计处理方法[双击切换]"/>
        <w:tag w:val="_GBC_6650f3bc6a474b318e05b9d60314cb7f"/>
        <w:id w:val="1337814324"/>
        <w:placeholder>
          <w:docPart w:val="GBC22222222222222222222222222222"/>
        </w:placeholder>
      </w:sdtPr>
      <w:sdtEndPr>
        <w:rPr>
          <w:rFonts w:hint="eastAsia"/>
          <w:color w:val="000000" w:themeColor="text1"/>
          <w14:textFill>
            <w14:solidFill>
              <w14:schemeClr w14:val="tx1"/>
            </w14:solidFill>
          </w14:textFill>
        </w:rPr>
      </w:sdtEndPr>
      <w:sdtContent>
        <w:p w14:paraId="1416579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其他长期职工福利的会计处理方法"/>
        <w:tag w:val="_GBC_0e549e9400284de7b64ddf6ecc255dea"/>
        <w:id w:val="-1128852330"/>
        <w:placeholder>
          <w:docPart w:val="GBC22222222222222222222222222222"/>
        </w:placeholder>
      </w:sdtPr>
      <w:sdtEndPr>
        <w:rPr>
          <w:color w:val="000000" w:themeColor="text1"/>
          <w14:textFill>
            <w14:solidFill>
              <w14:schemeClr w14:val="tx1"/>
            </w14:solidFill>
          </w14:textFill>
        </w:rPr>
      </w:sdtEndPr>
      <w:sdtContent>
        <w:p w14:paraId="6CA83F39">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本公司向职工提供的其他长期职工福利，符合设定提存计划的，按照设定提存计划进行会计处理，除此之外按照设定受益计划进行会计处理。</w:t>
          </w:r>
        </w:p>
        <w:p w14:paraId="56C43528">
          <w:pPr>
            <w:rPr>
              <w:rFonts w:cs="Times New Roman"/>
              <w:color w:val="000000" w:themeColor="text1"/>
              <w14:textFill>
                <w14:solidFill>
                  <w14:schemeClr w14:val="tx1"/>
                </w14:solidFill>
              </w14:textFill>
            </w:rPr>
          </w:pPr>
        </w:p>
      </w:sdtContent>
    </w:sdt>
    <w:p w14:paraId="40D2DCA8">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预计负债</w:t>
      </w:r>
    </w:p>
    <w:sdt>
      <w:sdtPr>
        <w:rPr>
          <w:rFonts w:hint="eastAsia"/>
          <w:color w:val="000000" w:themeColor="text1"/>
          <w14:textFill>
            <w14:solidFill>
              <w14:schemeClr w14:val="tx1"/>
            </w14:solidFill>
          </w14:textFill>
        </w:rPr>
        <w:alias w:val="是否适用：预计负债_重要会计政策和估计[双击切换]"/>
        <w:tag w:val="_GBC_60f7f598e5d5458986c0f06775dc38fd"/>
        <w:id w:val="222800917"/>
        <w:placeholder>
          <w:docPart w:val="GBC22222222222222222222222222222"/>
        </w:placeholder>
      </w:sdtPr>
      <w:sdtEndPr>
        <w:rPr>
          <w:rFonts w:hint="eastAsia"/>
          <w:color w:val="000000" w:themeColor="text1"/>
          <w14:textFill>
            <w14:solidFill>
              <w14:schemeClr w14:val="tx1"/>
            </w14:solidFill>
          </w14:textFill>
        </w:rPr>
      </w:sdtEndPr>
      <w:sdtContent>
        <w:p w14:paraId="4F1BBD9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预计负债的核算方法"/>
        <w:tag w:val="_GBC_d6934772e41e485d9e00e349486f9d7e"/>
        <w:id w:val="307759075"/>
        <w:placeholder>
          <w:docPart w:val="GBC22222222222222222222222222222"/>
        </w:placeholder>
      </w:sdtPr>
      <w:sdtEndPr>
        <w:rPr>
          <w:rFonts w:hint="eastAsia"/>
          <w:color w:val="000000" w:themeColor="text1"/>
          <w14:textFill>
            <w14:solidFill>
              <w14:schemeClr w14:val="tx1"/>
            </w14:solidFill>
          </w14:textFill>
        </w:rPr>
      </w:sdtEndPr>
      <w:sdtContent>
        <w:p w14:paraId="348E64C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1.预计负债确认的标准</w:t>
          </w:r>
        </w:p>
        <w:p w14:paraId="163D8F5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与或有事项相关的义务同时满足下列条件的，应当确认为预计负债：</w:t>
          </w:r>
        </w:p>
        <w:p w14:paraId="32445D1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（1）该义务是企业承担的现时义务；</w:t>
          </w:r>
        </w:p>
        <w:p w14:paraId="12C0B41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（2）履行该义务很可能导致经济利益流出企业；</w:t>
          </w:r>
        </w:p>
        <w:p w14:paraId="69FDBE6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（3）该义务的金额能够可靠地计量。</w:t>
          </w:r>
        </w:p>
        <w:p w14:paraId="79A98CF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2.预计负债按照履行相关现时义务所需支出的最佳估计数进行初始计量</w:t>
          </w:r>
        </w:p>
        <w:p w14:paraId="30DB96B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如所需支出存在一个连续范围，且该范围内各种结果发生的可能性相同的，最佳估计数按照该范围内的中间值确定。</w:t>
          </w:r>
        </w:p>
        <w:p w14:paraId="23933DFA">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在其他情况下，最佳估计数分别按下列情况处理：</w:t>
          </w:r>
        </w:p>
        <w:p w14:paraId="45F0802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（1）或有事项涉及单个项目的，按照最可能发生金额确定。</w:t>
          </w:r>
        </w:p>
        <w:p w14:paraId="4B573C32">
          <w:pPr>
            <w:ind w:firstLine="420" w:firstLineChars="200"/>
            <w:rPr>
              <w:color w:val="000000" w:themeColor="text1"/>
              <w14:textFill>
                <w14:solidFill>
                  <w14:schemeClr w14:val="tx1"/>
                </w14:solidFill>
              </w14:textFill>
            </w:rPr>
          </w:pPr>
          <w:r>
            <w:rPr>
              <w:rFonts w:hint="eastAsia" w:asciiTheme="minorEastAsia" w:hAnsiTheme="minorEastAsia" w:eastAsiaTheme="minorEastAsia"/>
            </w:rPr>
            <w:t>（2）或有事项涉及多个项目的，按照各种可能结果及相关概率计算确定。</w:t>
          </w:r>
        </w:p>
      </w:sdtContent>
    </w:sdt>
    <w:p w14:paraId="35E17860">
      <w:pPr>
        <w:rPr>
          <w:color w:val="000000" w:themeColor="text1"/>
          <w14:textFill>
            <w14:solidFill>
              <w14:schemeClr w14:val="tx1"/>
            </w14:solidFill>
          </w14:textFill>
        </w:rPr>
      </w:pPr>
    </w:p>
    <w:p w14:paraId="2C00D147">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股份支付</w:t>
      </w:r>
    </w:p>
    <w:sdt>
      <w:sdtPr>
        <w:rPr>
          <w:rFonts w:hint="eastAsia"/>
          <w:color w:val="000000" w:themeColor="text1"/>
          <w14:textFill>
            <w14:solidFill>
              <w14:schemeClr w14:val="tx1"/>
            </w14:solidFill>
          </w14:textFill>
        </w:rPr>
        <w:alias w:val="是否适用：股份支付_重要会计政策和估计[双击切换]"/>
        <w:tag w:val="_GBC_cfe00a6b35f24950855f2412f34bcf7a"/>
        <w:id w:val="-919559429"/>
        <w:placeholder>
          <w:docPart w:val="GBC22222222222222222222222222222"/>
        </w:placeholder>
      </w:sdtPr>
      <w:sdtEndPr>
        <w:rPr>
          <w:rFonts w:hint="eastAsia"/>
          <w:color w:val="000000" w:themeColor="text1"/>
          <w14:textFill>
            <w14:solidFill>
              <w14:schemeClr w14:val="tx1"/>
            </w14:solidFill>
          </w14:textFill>
        </w:rPr>
      </w:sdtEndPr>
      <w:sdtContent>
        <w:p w14:paraId="3A992BC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股份支付的核算方法"/>
        <w:tag w:val="_GBC_99e197c555ed4cf8aa00bbd5da2fe98b"/>
        <w:id w:val="-886574812"/>
        <w:placeholder>
          <w:docPart w:val="GBC22222222222222222222222222222"/>
        </w:placeholder>
      </w:sdtPr>
      <w:sdtEndPr>
        <w:rPr>
          <w:rFonts w:asciiTheme="minorEastAsia" w:hAnsiTheme="minorEastAsia" w:eastAsiaTheme="minorEastAsia"/>
          <w:color w:val="auto"/>
        </w:rPr>
      </w:sdtEndPr>
      <w:sdtContent>
        <w:p w14:paraId="7F4367D3">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1.股份支付的种类</w:t>
          </w:r>
        </w:p>
        <w:p w14:paraId="183565C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股份支付是为了获取职工或其他方提供服务而授予权益工具或者承担以权益工具为基础确定的负债的交易。股份支付分为以权益结算的股份支付和以现金结算的股份支付。</w:t>
          </w:r>
        </w:p>
        <w:p w14:paraId="30AE41A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（1）以权益结算的股份支付</w:t>
          </w:r>
        </w:p>
        <w:p w14:paraId="57D51F3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在授予后立即可行权时，在授予日计入相关成本或费用，相应增加资本公积。</w:t>
          </w:r>
        </w:p>
        <w:p w14:paraId="668EA4AD">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股东权益。</w:t>
          </w:r>
        </w:p>
        <w:p w14:paraId="22AA8BB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（2）以现金结算的股份支付</w:t>
          </w:r>
        </w:p>
        <w:p w14:paraId="5418FA2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权情况的最佳估计为基础，按照本公司承担负债的公允价值金额，将当期取得的服务计入成本或费用，相应增加负债。</w:t>
          </w:r>
        </w:p>
        <w:p w14:paraId="167A317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在相关负债结算前的每个资产负债表日以及结算日，对负债的公允价值重新计量，其变动计入当期损益。</w:t>
          </w:r>
        </w:p>
        <w:p w14:paraId="358DABB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 实施、修改、终止股份支付计划的相关会计处理</w:t>
          </w:r>
        </w:p>
        <w:p w14:paraId="76E1E2A5">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全部已授予的权益工具。修改以现金结算的股份支付协议中的条款和条件使其成为以权益结算的股份支付的，如果由于修改延长或缩短了等待期，按照修改后的等待期进行会计处理，无需考虑不利修改的有关会计处理规定。</w:t>
          </w:r>
        </w:p>
        <w:p w14:paraId="2839F22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等待期内，如果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p w14:paraId="1677D696">
      <w:pPr>
        <w:rPr>
          <w:color w:val="000000" w:themeColor="text1"/>
          <w14:textFill>
            <w14:solidFill>
              <w14:schemeClr w14:val="tx1"/>
            </w14:solidFill>
          </w14:textFill>
        </w:rPr>
      </w:pPr>
    </w:p>
    <w:p w14:paraId="40FD81CB">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优先股、永续债等其他金融工具</w:t>
      </w:r>
    </w:p>
    <w:sdt>
      <w:sdtPr>
        <w:rPr>
          <w:rFonts w:hint="eastAsia"/>
          <w:color w:val="000000" w:themeColor="text1"/>
          <w14:textFill>
            <w14:solidFill>
              <w14:schemeClr w14:val="tx1"/>
            </w14:solidFill>
          </w14:textFill>
        </w:rPr>
        <w:alias w:val="是否适用：优先股、永续债等其他金融工具[双击切换]"/>
        <w:tag w:val="_GBC_34eb80e2168144958293aa1351780303"/>
        <w:id w:val="1415209934"/>
        <w:placeholder>
          <w:docPart w:val="GBC22222222222222222222222222222"/>
        </w:placeholder>
      </w:sdtPr>
      <w:sdtEndPr>
        <w:rPr>
          <w:rFonts w:hint="eastAsia"/>
          <w:color w:val="000000" w:themeColor="text1"/>
          <w14:textFill>
            <w14:solidFill>
              <w14:schemeClr w14:val="tx1"/>
            </w14:solidFill>
          </w14:textFill>
        </w:rPr>
      </w:sdtEndPr>
      <w:sdtContent>
        <w:p w14:paraId="2F941C0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076731F">
      <w:pPr>
        <w:rPr>
          <w:color w:val="000000" w:themeColor="text1"/>
          <w14:textFill>
            <w14:solidFill>
              <w14:schemeClr w14:val="tx1"/>
            </w14:solidFill>
          </w14:textFill>
        </w:rPr>
      </w:pPr>
    </w:p>
    <w:p w14:paraId="4CC7382A">
      <w:pPr>
        <w:pStyle w:val="4"/>
        <w:numPr>
          <w:ilvl w:val="0"/>
          <w:numId w:val="33"/>
        </w:numPr>
        <w:rPr>
          <w:rFonts w:ascii="宋体" w:hAnsi="宋体"/>
          <w:color w:val="000000" w:themeColor="text1"/>
          <w14:textFill>
            <w14:solidFill>
              <w14:schemeClr w14:val="tx1"/>
            </w14:solidFill>
          </w14:textFill>
        </w:rPr>
      </w:pPr>
      <w:bookmarkStart w:id="136" w:name="_Hlk10465559"/>
      <w:r>
        <w:rPr>
          <w:rFonts w:ascii="宋体" w:hAnsi="宋体"/>
          <w:color w:val="000000" w:themeColor="text1"/>
          <w14:textFill>
            <w14:solidFill>
              <w14:schemeClr w14:val="tx1"/>
            </w14:solidFill>
          </w14:textFill>
        </w:rPr>
        <w:t>收入</w:t>
      </w:r>
    </w:p>
    <w:p w14:paraId="5F3DDE13">
      <w:pPr>
        <w:pStyle w:val="5"/>
        <w:numPr>
          <w:ilvl w:val="3"/>
          <w:numId w:val="38"/>
        </w:numPr>
        <w:ind w:left="426" w:hanging="426"/>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按照业务类型披露收入确认和计量所采用的会计政策</w:t>
      </w:r>
    </w:p>
    <w:sdt>
      <w:sdtPr>
        <w:rPr>
          <w:color w:val="000000" w:themeColor="text1"/>
          <w14:textFill>
            <w14:solidFill>
              <w14:schemeClr w14:val="tx1"/>
            </w14:solidFill>
          </w14:textFill>
        </w:rPr>
        <w:alias w:val="是否适用：收入确认和计量所采用的会计政策[双击切换]"/>
        <w:tag w:val="_GBC_b6eb71cc057645f3b05fb68d8273c681"/>
        <w:id w:val="616257384"/>
        <w:placeholder>
          <w:docPart w:val="GBC22222222222222222222222222222"/>
        </w:placeholder>
      </w:sdtPr>
      <w:sdtEndPr>
        <w:rPr>
          <w:color w:val="000000" w:themeColor="text1"/>
          <w14:textFill>
            <w14:solidFill>
              <w14:schemeClr w14:val="tx1"/>
            </w14:solidFill>
          </w14:textFill>
        </w:rPr>
      </w:sdtEndPr>
      <w:sdtContent>
        <w:p w14:paraId="6FE5228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收入确认和计量所采用的会计政策"/>
        <w:tag w:val="_GBC_c9c2b3029c08405387c460d2d7eacc7d"/>
        <w:id w:val="-1763294428"/>
        <w:placeholder>
          <w:docPart w:val="GBC22222222222222222222222222222"/>
        </w:placeholder>
      </w:sdtPr>
      <w:sdtEndPr>
        <w:rPr>
          <w:rFonts w:asciiTheme="minorEastAsia" w:hAnsiTheme="minorEastAsia" w:eastAsiaTheme="minorEastAsia"/>
          <w:color w:val="auto"/>
        </w:rPr>
      </w:sdtEndPr>
      <w:sdtContent>
        <w:p w14:paraId="363CA96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本公司在履行了合同中的履约义务，即在客户取得相关商品或服务控制权时，按照分摊至该项履约义务的交易价格确认收入。</w:t>
          </w:r>
        </w:p>
        <w:p w14:paraId="20094A3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合同中包含两项或多项履约义务的，本公司在合同开始日，按照各单项履约义务所承诺商品或服务的单独售价的相对比例,将交易价格分摊至各单项履约义务。对于附有质量保证条款的销售,如果该质量保证在向客户保证所销售商品或服务符合既定标准之外提供了一项单独的服务，该质量保证构成单项履约义务。否则，本公司按照《企业会计准则第13号</w:t>
          </w:r>
          <w:r>
            <w:rPr>
              <w:rFonts w:asciiTheme="minorEastAsia" w:hAnsiTheme="minorEastAsia" w:eastAsiaTheme="minorEastAsia"/>
            </w:rPr>
            <w:t>--</w:t>
          </w:r>
          <w:r>
            <w:rPr>
              <w:rFonts w:hint="eastAsia" w:asciiTheme="minorEastAsia" w:hAnsiTheme="minorEastAsia" w:eastAsiaTheme="minorEastAsia"/>
            </w:rPr>
            <w:t>或有事项》规定对质量保证责任进行会计处理。</w:t>
          </w:r>
        </w:p>
        <w:p w14:paraId="0E0D00E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交易价格，是指本公司因向客户转让商品或服务而预期有权收取的对价金额，但不包含代第三方收取的款项以及本公司预期将退还给客户的款项。合同中存在可变对价的，本公司按照期望值或最可能发生金额确定可变对价的最佳估计数。包含可变对价的交易价格，不超过在相关不确定性消除时累计已确认收入极可能不会发生重大转回的金额。合同中存在应付客户对价的，除非该对价是为了向客户取得其他可明确区分商品或服务的，本公司将该应付对价冲减交易价格,并在确认相关收入与支付(或承诺支付)客户对价二者孰晚的时点冲减当期收入。合同中如果存在重大融资成分，本公司将根据合同中的融资成分调整交易价格；对于控制权转移与客户支付价款间隔未超过一年的，本公司不考虑其中的融资成分。</w:t>
          </w:r>
        </w:p>
        <w:p w14:paraId="7E6DD75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根据在向客户转让商品或服务前是否拥有对该商品或服务的控制权,来判断从事交易时本公司的身份是主要责任人还是代理人。本公司在向客户转让商品或服务前能够控制该商品或服务的，本公司为主要责任人，按照已收或应收对价总额确认收入；否则，本公司为代理人，按照预期有权收取的佣金或手续费的金额确认收入，该金额按照已收或应收对价总额扣除应支付给其他相关方的价款后的净额确定。</w:t>
          </w:r>
        </w:p>
        <w:p w14:paraId="50623DA5">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收入主要来源于销售汽车、摩托车、发动机、通机、商品房等产品。公司与客户之间的商品销售合同通常仅包含转让汽车、摩托车、发动机、商品房等产品的单项履约义务。本公司通常在综合考虑了下列因素的基础上以货物控制权转移给购买方时确认收入。</w:t>
          </w:r>
        </w:p>
        <w:p w14:paraId="3B654A94">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内销产品收入确认需满足以下条件：公司已根据合同约定完成产品交付，取得商品的现时收款权利、商品控制权转移时确认收入。外销产品收入确认需满足以下条件：公司已根据合同约定将产品报关，取得报关单，取得商品的现时收款权利、商品控制权转移时确认收入。商品房收入确认需满足以下条件：房地产开发项目已经竣工并验收合格，达到合同约定的完工开发产品移交条件，已按合同约定办理完开发产品的实物移交手续，客户取得商品房的控制权。</w:t>
          </w:r>
        </w:p>
      </w:sdtContent>
    </w:sdt>
    <w:p w14:paraId="56631006">
      <w:pPr>
        <w:rPr>
          <w:color w:val="000000" w:themeColor="text1"/>
          <w14:textFill>
            <w14:solidFill>
              <w14:schemeClr w14:val="tx1"/>
            </w14:solidFill>
          </w14:textFill>
        </w:rPr>
      </w:pPr>
    </w:p>
    <w:bookmarkEnd w:id="136"/>
    <w:p w14:paraId="5B6E8CC6">
      <w:pPr>
        <w:pStyle w:val="5"/>
        <w:numPr>
          <w:ilvl w:val="3"/>
          <w:numId w:val="38"/>
        </w:numPr>
        <w:ind w:left="426" w:hanging="426"/>
        <w:rPr>
          <w:rFonts w:ascii="宋体" w:hAnsi="宋体"/>
          <w:color w:val="000000" w:themeColor="text1"/>
          <w:szCs w:val="21"/>
          <w14:textFill>
            <w14:solidFill>
              <w14:schemeClr w14:val="tx1"/>
            </w14:solidFill>
          </w14:textFill>
        </w:rPr>
      </w:pPr>
      <w:bookmarkStart w:id="137" w:name="_Hlk10465594"/>
      <w:r>
        <w:rPr>
          <w:rFonts w:hint="eastAsia" w:ascii="宋体" w:hAnsi="宋体"/>
          <w:color w:val="000000" w:themeColor="text1"/>
          <w:szCs w:val="21"/>
          <w14:textFill>
            <w14:solidFill>
              <w14:schemeClr w14:val="tx1"/>
            </w14:solidFill>
          </w14:textFill>
        </w:rPr>
        <w:t>同类业务采用不同经营模式涉及不同收入确认方式及计量方法</w:t>
      </w:r>
    </w:p>
    <w:sdt>
      <w:sdtPr>
        <w:rPr>
          <w:color w:val="000000" w:themeColor="text1"/>
          <w14:textFill>
            <w14:solidFill>
              <w14:schemeClr w14:val="tx1"/>
            </w14:solidFill>
          </w14:textFill>
        </w:rPr>
        <w:alias w:val="是否适用：同类业务采用不同经营模式导致收入确认会计政策存在差异的情况[双击切换]"/>
        <w:tag w:val="_GBC_f4f4337356c44180a833322bec4248a8"/>
        <w:id w:val="401808307"/>
        <w:placeholder>
          <w:docPart w:val="GBC22222222222222222222222222222"/>
        </w:placeholder>
      </w:sdtPr>
      <w:sdtEndPr>
        <w:rPr>
          <w:color w:val="000000" w:themeColor="text1"/>
          <w14:textFill>
            <w14:solidFill>
              <w14:schemeClr w14:val="tx1"/>
            </w14:solidFill>
          </w14:textFill>
        </w:rPr>
      </w:sdtEndPr>
      <w:sdtContent>
        <w:p w14:paraId="551DDAC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897C99C">
      <w:pPr>
        <w:rPr>
          <w:color w:val="000000" w:themeColor="text1"/>
          <w14:textFill>
            <w14:solidFill>
              <w14:schemeClr w14:val="tx1"/>
            </w14:solidFill>
          </w14:textFill>
        </w:rPr>
      </w:pPr>
    </w:p>
    <w:bookmarkEnd w:id="137"/>
    <w:p w14:paraId="54BCF538">
      <w:pPr>
        <w:pStyle w:val="4"/>
        <w:numPr>
          <w:ilvl w:val="0"/>
          <w:numId w:val="33"/>
        </w:numPr>
        <w:rPr>
          <w:rFonts w:ascii="宋体" w:hAnsi="宋体"/>
          <w:color w:val="000000" w:themeColor="text1"/>
          <w14:textFill>
            <w14:solidFill>
              <w14:schemeClr w14:val="tx1"/>
            </w14:solidFill>
          </w14:textFill>
        </w:rPr>
      </w:pPr>
      <w:bookmarkStart w:id="138" w:name="_Hlk10465679"/>
      <w:r>
        <w:rPr>
          <w:rFonts w:ascii="宋体" w:hAnsi="宋体"/>
          <w:color w:val="000000" w:themeColor="text1"/>
          <w14:textFill>
            <w14:solidFill>
              <w14:schemeClr w14:val="tx1"/>
            </w14:solidFill>
          </w14:textFill>
        </w:rPr>
        <w:t>合同成本</w:t>
      </w:r>
    </w:p>
    <w:sdt>
      <w:sdtPr>
        <w:rPr>
          <w:color w:val="000000" w:themeColor="text1"/>
          <w14:textFill>
            <w14:solidFill>
              <w14:schemeClr w14:val="tx1"/>
            </w14:solidFill>
          </w14:textFill>
        </w:rPr>
        <w:alias w:val="是否适用：合同成本_重要会计政策和估计[双击切换]"/>
        <w:tag w:val="_GBC_d7752b20e4914f04bf87bad019929fe8"/>
        <w:id w:val="-428970502"/>
        <w:placeholder>
          <w:docPart w:val="GBC22222222222222222222222222222"/>
        </w:placeholder>
      </w:sdtPr>
      <w:sdtEndPr>
        <w:rPr>
          <w:color w:val="000000" w:themeColor="text1"/>
          <w14:textFill>
            <w14:solidFill>
              <w14:schemeClr w14:val="tx1"/>
            </w14:solidFill>
          </w14:textFill>
        </w:rPr>
      </w:sdtEndPr>
      <w:sdtContent>
        <w:p w14:paraId="2FEEB30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合同成本_重要会计政策和估计"/>
        <w:tag w:val="_GBC_6936a4a013d94bae8da35405dbef11fd"/>
        <w:id w:val="1843120668"/>
        <w:placeholder>
          <w:docPart w:val="GBC22222222222222222222222222222"/>
        </w:placeholder>
      </w:sdtPr>
      <w:sdtEndPr>
        <w:rPr>
          <w:color w:val="000000" w:themeColor="text1"/>
          <w14:textFill>
            <w14:solidFill>
              <w14:schemeClr w14:val="tx1"/>
            </w14:solidFill>
          </w14:textFill>
        </w:rPr>
      </w:sdtEndPr>
      <w:sdtContent>
        <w:p w14:paraId="5E35EC1D">
          <w:pPr>
            <w:spacing w:before="120" w:beforeLines="50" w:after="120" w:afterLines="50" w:line="360" w:lineRule="exact"/>
            <w:ind w:firstLine="420" w:firstLineChars="200"/>
          </w:pPr>
          <w:r>
            <w:rPr>
              <w:rFonts w:hint="eastAsia"/>
            </w:rPr>
            <w:t>1.合同取得成本</w:t>
          </w:r>
        </w:p>
        <w:p w14:paraId="0B6D7092">
          <w:pPr>
            <w:spacing w:before="120" w:beforeLines="50" w:after="120" w:afterLines="50" w:line="360" w:lineRule="exact"/>
            <w:ind w:firstLine="420" w:firstLineChars="200"/>
          </w:pPr>
          <w:r>
            <w:rPr>
              <w:rFonts w:hint="eastAsia"/>
            </w:rPr>
            <w:t>本公司为取得合同发生的增量成本(即不取得合同就不会发生的成本)预期能够收回的，确认为一项资产，并采用与该资产相关的商品或服务收入确认相同的基础进行摊销，计入当期损益。若该项资产摊销期限不超过一年的，在发生时计入当期损益。本公司为取得合同发生的其他支出，在发生时计入当期损益，明确由客户承担的除外。</w:t>
          </w:r>
        </w:p>
        <w:p w14:paraId="59ADF847">
          <w:pPr>
            <w:spacing w:before="120" w:beforeLines="50" w:after="120" w:afterLines="50" w:line="360" w:lineRule="exact"/>
            <w:ind w:firstLine="420" w:firstLineChars="200"/>
          </w:pPr>
          <w:r>
            <w:rPr>
              <w:rFonts w:hint="eastAsia"/>
            </w:rPr>
            <w:t>2.履行合同的成本</w:t>
          </w:r>
        </w:p>
        <w:p w14:paraId="1B3EBB5E">
          <w:pPr>
            <w:spacing w:before="120" w:beforeLines="50" w:after="120" w:afterLines="50" w:line="360" w:lineRule="exact"/>
            <w:ind w:firstLine="420" w:firstLineChars="200"/>
          </w:pPr>
          <w:r>
            <w:rPr>
              <w:rFonts w:hint="eastAsia"/>
            </w:rPr>
            <w:t>本公司为履行合同发生的成本,不属于除收入准则外的其他企业会计准则范围且同时满足下列条件的，确认为一项资产：(1)该成本与一份当前或预期取得的合同直接相关；(2)该成本增加了本公司未来用于履行履约义务的资源；(3)该成本预期能够收回。确认的资产采用与该资产相关的商品或服务收入确认相同的基础进行摊销，计入当期损益。</w:t>
          </w:r>
        </w:p>
        <w:p w14:paraId="41B37634">
          <w:pPr>
            <w:spacing w:before="120" w:beforeLines="50" w:after="120" w:afterLines="50" w:line="360" w:lineRule="exact"/>
            <w:ind w:firstLine="420" w:firstLineChars="200"/>
          </w:pPr>
          <w:r>
            <w:rPr>
              <w:rFonts w:hint="eastAsia"/>
            </w:rPr>
            <w:t>3.合同成本减值</w:t>
          </w:r>
        </w:p>
        <w:p w14:paraId="2E9E28EA">
          <w:pPr>
            <w:spacing w:before="120" w:beforeLines="50" w:after="120" w:afterLines="50" w:line="360" w:lineRule="exact"/>
            <w:ind w:firstLine="420" w:firstLineChars="200"/>
          </w:pPr>
          <w:r>
            <w:rPr>
              <w:rFonts w:hint="eastAsia"/>
            </w:rPr>
            <w:t>合同成本账面价值高于下列两项的差额的,计提减值准备,并确认为资产减值损失：（1）因转让与该资产相关的商品预期能够取得的剩余对价；（2）为转让该相关商品估计将要发生的成本。</w:t>
          </w:r>
        </w:p>
        <w:p w14:paraId="158ACAAE">
          <w:pPr>
            <w:spacing w:before="120" w:beforeLines="50" w:after="120" w:afterLines="50" w:line="360" w:lineRule="exact"/>
            <w:ind w:firstLine="420" w:firstLineChars="200"/>
            <w:rPr>
              <w:rFonts w:ascii="宋体" w:hAnsi="宋体"/>
            </w:rPr>
          </w:pPr>
          <w:r>
            <w:rPr>
              <w:rFonts w:hint="eastAsia"/>
            </w:rPr>
            <w:t>以前期间减值的因素之后发生变化，使得前款（1）减（2）的差额高于合同成本账面价值的，应当转回原已计提的资产减值准备，并计入当期损益，但转回后的合同成本账面价值不应超过假定不计提减值准备情况下该资产在转回日的账面价值。</w:t>
          </w:r>
        </w:p>
        <w:p w14:paraId="3AB29515">
          <w:pPr>
            <w:rPr>
              <w:color w:val="000000" w:themeColor="text1"/>
              <w14:textFill>
                <w14:solidFill>
                  <w14:schemeClr w14:val="tx1"/>
                </w14:solidFill>
              </w14:textFill>
            </w:rPr>
          </w:pPr>
        </w:p>
      </w:sdtContent>
    </w:sdt>
    <w:p w14:paraId="117E1AE6">
      <w:pPr>
        <w:rPr>
          <w:color w:val="000000" w:themeColor="text1"/>
          <w14:textFill>
            <w14:solidFill>
              <w14:schemeClr w14:val="tx1"/>
            </w14:solidFill>
          </w14:textFill>
        </w:rPr>
      </w:pPr>
    </w:p>
    <w:bookmarkEnd w:id="138"/>
    <w:p w14:paraId="4DDF0C72">
      <w:pPr>
        <w:pStyle w:val="4"/>
        <w:numPr>
          <w:ilvl w:val="0"/>
          <w:numId w:val="33"/>
        </w:numPr>
        <w:rPr>
          <w:rFonts w:ascii="宋体" w:hAnsi="宋体"/>
          <w:color w:val="000000" w:themeColor="text1"/>
          <w14:textFill>
            <w14:solidFill>
              <w14:schemeClr w14:val="tx1"/>
            </w14:solidFill>
          </w14:textFill>
        </w:rPr>
      </w:pPr>
      <w:bookmarkStart w:id="139" w:name="_Hlk10465775"/>
      <w:r>
        <w:rPr>
          <w:rFonts w:ascii="宋体" w:hAnsi="宋体"/>
          <w:color w:val="000000" w:themeColor="text1"/>
          <w14:textFill>
            <w14:solidFill>
              <w14:schemeClr w14:val="tx1"/>
            </w14:solidFill>
          </w14:textFill>
        </w:rPr>
        <w:t>政府补助</w:t>
      </w:r>
    </w:p>
    <w:sdt>
      <w:sdtPr>
        <w:rPr>
          <w:color w:val="000000" w:themeColor="text1"/>
          <w14:textFill>
            <w14:solidFill>
              <w14:schemeClr w14:val="tx1"/>
            </w14:solidFill>
          </w14:textFill>
        </w:rPr>
        <w:alias w:val="是否适用：政府补助_重要会计政策和估计[双击切换]"/>
        <w:tag w:val="_GBC_09d5ec3540ea4d9a8e10c93326c490a0"/>
        <w:id w:val="70861197"/>
        <w:placeholder>
          <w:docPart w:val="GBC22222222222222222222222222222"/>
        </w:placeholder>
      </w:sdtPr>
      <w:sdtEndPr>
        <w:rPr>
          <w:color w:val="000000" w:themeColor="text1"/>
          <w14:textFill>
            <w14:solidFill>
              <w14:schemeClr w14:val="tx1"/>
            </w14:solidFill>
          </w14:textFill>
        </w:rPr>
      </w:sdtEndPr>
      <w:sdtContent>
        <w:p w14:paraId="74203E9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政府补助_重要会计政策和估计"/>
        <w:tag w:val="_GBC_f313a7b8b81b4ed0845a3af1ac57e5e8"/>
        <w:id w:val="455306094"/>
        <w:placeholder>
          <w:docPart w:val="GBC22222222222222222222222222222"/>
        </w:placeholder>
      </w:sdtPr>
      <w:sdtEndPr>
        <w:rPr>
          <w:color w:val="000000" w:themeColor="text1"/>
          <w14:textFill>
            <w14:solidFill>
              <w14:schemeClr w14:val="tx1"/>
            </w14:solidFill>
          </w14:textFill>
        </w:rPr>
      </w:sdtEndPr>
      <w:sdtContent>
        <w:p w14:paraId="0D2F1B13">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政府补助是指本公司从政府无偿取得货币性资产和非货币性资产，不包括政府作为所有者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14:paraId="1E8D44C2">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政府补助为货币性资产的，按照收到或应收的金额计量。政府补助为非货币性资产的，按照公允价值计量；公允价值不能够可靠取得的，按照名义金额计量。</w:t>
          </w:r>
        </w:p>
        <w:p w14:paraId="076BC54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政府补助同时满足下列条件的，予以确认：(</w:t>
          </w:r>
          <w:r>
            <w:rPr>
              <w:rFonts w:asciiTheme="minorEastAsia" w:hAnsiTheme="minorEastAsia" w:eastAsiaTheme="minorEastAsia"/>
            </w:rPr>
            <w:t>1)</w:t>
          </w:r>
          <w:r>
            <w:rPr>
              <w:rFonts w:hint="eastAsia" w:asciiTheme="minorEastAsia" w:hAnsiTheme="minorEastAsia" w:eastAsiaTheme="minorEastAsia"/>
            </w:rPr>
            <w:t>企业能够满足政府补助所附条件；（2）企业能够收到政府补助。与企业日常活动相关的政府补助，按照经济业务实质，计入其他收益或冲减相关成本费用。与企业日常活动无关的政府补助，计入营业外收入。</w:t>
          </w:r>
        </w:p>
        <w:p w14:paraId="3AB28E7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与收益相关的政府补助，用于补偿企业以后期间的相关成本费用或损失的，确认为递延收益，并在确认相关成本费用或损失的期间，计入当期损益；用于补偿企业已发生的相关成本费用或损失的，直接计入当期损益。</w:t>
          </w:r>
        </w:p>
        <w:p w14:paraId="04CD7B1A">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与资产相关的政府补助，确认为递延收益。递延收益在相关资产使用寿命内按照资产使用寿命平均分配方法分期计入损益。按照名义金额计量的政府补助，直接计入当期损益。相关资产在使用寿命结束前被出售、转让、报废或发生毁损的，应当将尚未分配的相关递延收益余额转入资产处置当期的损益。</w:t>
          </w:r>
        </w:p>
        <w:p w14:paraId="42F67F40">
          <w:pPr>
            <w:rPr>
              <w:color w:val="000000" w:themeColor="text1"/>
              <w14:textFill>
                <w14:solidFill>
                  <w14:schemeClr w14:val="tx1"/>
                </w14:solidFill>
              </w14:textFill>
            </w:rPr>
          </w:pPr>
        </w:p>
      </w:sdtContent>
    </w:sdt>
    <w:bookmarkEnd w:id="139"/>
    <w:p w14:paraId="48F286CF">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递延所得税资产/递延所得税负债</w:t>
      </w:r>
    </w:p>
    <w:sdt>
      <w:sdtPr>
        <w:rPr>
          <w:rFonts w:hint="eastAsia"/>
          <w:color w:val="000000" w:themeColor="text1"/>
          <w14:textFill>
            <w14:solidFill>
              <w14:schemeClr w14:val="tx1"/>
            </w14:solidFill>
          </w14:textFill>
        </w:rPr>
        <w:alias w:val="是否适用：所得税的会计处理方法[双击切换]"/>
        <w:tag w:val="_GBC_3e4bb828d17944599248216201e65683"/>
        <w:id w:val="-1131629413"/>
        <w:placeholder>
          <w:docPart w:val="GBC22222222222222222222222222222"/>
        </w:placeholder>
      </w:sdtPr>
      <w:sdtEndPr>
        <w:rPr>
          <w:rFonts w:hint="eastAsia"/>
          <w:color w:val="000000" w:themeColor="text1"/>
          <w14:textFill>
            <w14:solidFill>
              <w14:schemeClr w14:val="tx1"/>
            </w14:solidFill>
          </w14:textFill>
        </w:rPr>
      </w:sdtEndPr>
      <w:sdtContent>
        <w:p w14:paraId="74EBCDD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所得税的会计处理方法"/>
        <w:tag w:val="_GBC_545dd84ed2b9458fa5e2b87aa1e1cc1c"/>
        <w:id w:val="357784193"/>
        <w:placeholder>
          <w:docPart w:val="GBC22222222222222222222222222222"/>
        </w:placeholder>
      </w:sdtPr>
      <w:sdtEndPr>
        <w:rPr>
          <w:rFonts w:hint="eastAsia"/>
          <w:color w:val="000000" w:themeColor="text1"/>
          <w14:textFill>
            <w14:solidFill>
              <w14:schemeClr w14:val="tx1"/>
            </w14:solidFill>
          </w14:textFill>
        </w:rPr>
      </w:sdtEndPr>
      <w:sdtContent>
        <w:p w14:paraId="5D3304E6">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除与直接计入股东权益的交易或事项有关的所得税影响计入股东权益外,当期所得税费用和递延所得税费用(或收益)计入当期损益。</w:t>
          </w:r>
        </w:p>
        <w:p w14:paraId="66A82164">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当期所得税费用是按本年度应纳税所得额和税法规定的税率计算的预期应交所得税,加上对以前年度应交所得税的调整。</w:t>
          </w:r>
        </w:p>
        <w:p w14:paraId="5EDAC2E9">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资产负债表日,如果纳税主体拥有以净额结算的法定权利并且意图以净额结算或取得资产清偿负债同时进行时，那么当期所得税资产及当期所得税负债以抵销后的净额列示。</w:t>
          </w:r>
        </w:p>
        <w:p w14:paraId="3578418B">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递延所得税资产以很可能取得用来抵扣暂时性差异的应纳税所得额为限,根据可抵扣暂时性差异和能够结转以后年度的可抵扣亏损和税款抵减确定,按照预期收回资产或清偿债务期间的适用税率计量。递延所得税负债根据应纳税暂时性差异确定，按照预期收回资产或清偿债务期间的适用税率计量。</w:t>
          </w:r>
        </w:p>
        <w:p w14:paraId="6F309EF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对于既不影响会计利润也不影响应纳税所得额(或可抵扣亏损)的非企业合并交易中产生的资产或负债初始确认形成的暂时性差异，不确认递延所得税。商誉的初始确认导致的暂时性差异也不产生递延所得税。</w:t>
          </w:r>
        </w:p>
        <w:p w14:paraId="4A843A1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资产负债表日，根据递延所得税资产和负债的预期收回或结算方式，依据已颁布的税法规定,按照预期收回该资产或清偿该负债期间的适用税率计量该递延所得税资产和负债的账面金额。</w:t>
          </w:r>
        </w:p>
        <w:p w14:paraId="01EFEB7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资产负债表日,递延所得税资产及递延所得税负债在同时满足以下条件时以抵销后的净额列示：</w:t>
          </w:r>
        </w:p>
        <w:p w14:paraId="34A06FC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（1）纳税主体拥有以净额结算当期所得税资产及当期所得税负债的法定权利；</w:t>
          </w:r>
        </w:p>
        <w:p w14:paraId="0FE8C99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p w14:paraId="29DACA52">
      <w:pPr>
        <w:rPr>
          <w:color w:val="000000" w:themeColor="text1"/>
          <w14:textFill>
            <w14:solidFill>
              <w14:schemeClr w14:val="tx1"/>
            </w14:solidFill>
          </w14:textFill>
        </w:rPr>
      </w:pPr>
    </w:p>
    <w:p w14:paraId="5D6A2994">
      <w:pPr>
        <w:pStyle w:val="4"/>
        <w:numPr>
          <w:ilvl w:val="0"/>
          <w:numId w:val="33"/>
        </w:numPr>
        <w:rPr>
          <w:rFonts w:ascii="宋体" w:hAnsi="宋体"/>
          <w:color w:val="000000" w:themeColor="text1"/>
          <w14:textFill>
            <w14:solidFill>
              <w14:schemeClr w14:val="tx1"/>
            </w14:solidFill>
          </w14:textFill>
        </w:rPr>
      </w:pPr>
      <w:bookmarkStart w:id="140" w:name="_Hlk167884177"/>
      <w:bookmarkStart w:id="141" w:name="_Hlk169007779"/>
      <w:r>
        <w:rPr>
          <w:rFonts w:ascii="宋体" w:hAnsi="宋体"/>
          <w:color w:val="000000" w:themeColor="text1"/>
          <w14:textFill>
            <w14:solidFill>
              <w14:schemeClr w14:val="tx1"/>
            </w14:solidFill>
          </w14:textFill>
        </w:rPr>
        <w:t>租赁</w:t>
      </w:r>
    </w:p>
    <w:sdt>
      <w:sdtPr>
        <w:rPr>
          <w:color w:val="000000" w:themeColor="text1"/>
          <w14:textFill>
            <w14:solidFill>
              <w14:schemeClr w14:val="tx1"/>
            </w14:solidFill>
          </w14:textFill>
        </w:rPr>
        <w:alias w:val="是否适用：租赁_重要会计政策和估计[双击切换]"/>
        <w:tag w:val="_GBC_7f954ee357264e2c946d2c530d8787c5"/>
        <w:id w:val="1678853803"/>
        <w:placeholder>
          <w:docPart w:val="GBC22222222222222222222222222222"/>
        </w:placeholder>
      </w:sdtPr>
      <w:sdtEndPr>
        <w:rPr>
          <w:color w:val="000000" w:themeColor="text1"/>
          <w14:textFill>
            <w14:solidFill>
              <w14:schemeClr w14:val="tx1"/>
            </w14:solidFill>
          </w14:textFill>
        </w:rPr>
      </w:sdtEndPr>
      <w:sdtContent>
        <w:p w14:paraId="65FA557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CC58DEF">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1.租赁的识别</w:t>
      </w:r>
    </w:p>
    <w:p w14:paraId="05AB4C71">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在合同开始日，本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本公司评估合同中的客户是否有权获得在使用期间内因使用已识别资产所产生的几乎全部经济利益，并有权在该使用期间主导已识别资产的使用。</w:t>
      </w:r>
    </w:p>
    <w:p w14:paraId="5ADA2450">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2</w:t>
      </w:r>
      <w:r>
        <w:rPr>
          <w:rFonts w:cs="Times New Roman" w:asciiTheme="minorEastAsia" w:hAnsiTheme="minorEastAsia" w:eastAsiaTheme="minorEastAsia"/>
          <w:kern w:val="2"/>
        </w:rPr>
        <w:t>.</w:t>
      </w:r>
      <w:r>
        <w:rPr>
          <w:rFonts w:hint="eastAsia" w:cs="Times New Roman" w:asciiTheme="minorEastAsia" w:hAnsiTheme="minorEastAsia" w:eastAsiaTheme="minorEastAsia"/>
          <w:kern w:val="2"/>
        </w:rPr>
        <w:t>租赁期</w:t>
      </w:r>
    </w:p>
    <w:p w14:paraId="387B3B44">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租赁期是本公司有权使用租赁资产且不可撤销的期间。有续租选择权，即有权选择续租该资产，且合理确定将行使该选择权的，租赁期还包含续租选择权涵盖的期间。本公司有终止租赁选择权，即有权选择终止租赁该资产，但合理确定将不会行使该选择权的，租赁期包含终止租赁选择权涵盖的期间。发生本公司可控范围内的重大事件或变化，且影响是否合理确定将行使相应选择权的，本公司对其是否合理确定将行使续租选择权、购买选择权或不行使终止租赁选择权进行重新评估。</w:t>
      </w:r>
    </w:p>
    <w:p w14:paraId="42A82644">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3</w:t>
      </w:r>
      <w:r>
        <w:rPr>
          <w:rFonts w:cs="Times New Roman" w:asciiTheme="minorEastAsia" w:hAnsiTheme="minorEastAsia" w:eastAsiaTheme="minorEastAsia"/>
          <w:kern w:val="2"/>
        </w:rPr>
        <w:t>.</w:t>
      </w:r>
      <w:r>
        <w:rPr>
          <w:rFonts w:hint="eastAsia" w:cs="Times New Roman" w:asciiTheme="minorEastAsia" w:hAnsiTheme="minorEastAsia" w:eastAsiaTheme="minorEastAsia"/>
          <w:kern w:val="2"/>
        </w:rPr>
        <w:t>租赁变更</w:t>
      </w:r>
    </w:p>
    <w:p w14:paraId="009D0BE5">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租赁变更是原合同条款之外的租赁范围、租赁对价、租赁期限的变更，包括增加或终止一项或多项租赁资产的使用权，延长或缩短合同规定的租赁期等。</w:t>
      </w:r>
    </w:p>
    <w:p w14:paraId="24A8917A">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租赁发生变更且同时符合下列条件的，将该租赁变更作为一项单独租赁进行会计处理：</w:t>
      </w:r>
    </w:p>
    <w:p w14:paraId="5D6E1676">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（1）该租赁变更通过增加一项或多项租赁资产的使用权而扩大了租赁范围；</w:t>
      </w:r>
    </w:p>
    <w:p w14:paraId="173FFC84">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（2）增加的对价与租赁范围扩大部分的单独价格按该合同情况调整后的金额相当。</w:t>
      </w:r>
    </w:p>
    <w:p w14:paraId="3FFD7F4E">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租赁变更未作为一项单独租赁进行会计处理的，在租赁变更生效日，重新确定租赁期，并采用修订后的折现率对变更后的租赁付款额进行折现，以重新计量租赁负债。</w:t>
      </w:r>
    </w:p>
    <w:p w14:paraId="14605B4A">
      <w:pPr>
        <w:widowControl w:val="0"/>
        <w:spacing w:before="120" w:beforeLines="50" w:after="120" w:afterLines="50" w:line="360" w:lineRule="exact"/>
        <w:ind w:firstLine="420" w:firstLineChars="200"/>
        <w:jc w:val="both"/>
        <w:rPr>
          <w:rFonts w:cs="Times New Roman" w:asciiTheme="minorEastAsia" w:hAnsiTheme="minorEastAsia" w:eastAsiaTheme="minorEastAsia"/>
          <w:kern w:val="2"/>
        </w:rPr>
      </w:pPr>
      <w:r>
        <w:rPr>
          <w:rFonts w:hint="eastAsia" w:cs="Times New Roman" w:asciiTheme="minorEastAsia" w:hAnsiTheme="minorEastAsia" w:eastAsiaTheme="minorEastAsia"/>
          <w:kern w:val="2"/>
        </w:rPr>
        <w:t>租赁变更导致租赁范围缩小或租赁期缩短的，应当相应调减使用权资产的账面价值，并将部分终止或完全终止租赁的相关利得或损失计入当期损益。其他租赁变更导致租赁负债重新计量的，承租人应当相应调整使用权资产的账面价值。</w:t>
      </w:r>
    </w:p>
    <w:p w14:paraId="7362C26E">
      <w:pPr>
        <w:rPr>
          <w:rFonts w:ascii="Calibri" w:hAnsi="Calibri" w:cs="Times New Roman"/>
          <w:b/>
          <w:color w:val="000000" w:themeColor="text1"/>
          <w:kern w:val="2"/>
          <w:szCs w:val="32"/>
          <w14:textFill>
            <w14:solidFill>
              <w14:schemeClr w14:val="tx1"/>
            </w14:solidFill>
          </w14:textFill>
        </w:rPr>
      </w:pPr>
    </w:p>
    <w:p w14:paraId="690F14AC">
      <w:pPr>
        <w:rPr>
          <w:rFonts w:ascii="Calibri" w:hAnsi="Calibri" w:cs="Times New Roman"/>
          <w:b/>
          <w:color w:val="000000" w:themeColor="text1"/>
          <w:kern w:val="2"/>
          <w:szCs w:val="32"/>
          <w14:textFill>
            <w14:solidFill>
              <w14:schemeClr w14:val="tx1"/>
            </w14:solidFill>
          </w14:textFill>
        </w:rPr>
      </w:pPr>
      <w:r>
        <w:rPr>
          <w:rFonts w:ascii="Calibri" w:hAnsi="Calibri" w:cs="Times New Roman"/>
          <w:b/>
          <w:color w:val="000000" w:themeColor="text1"/>
          <w:kern w:val="2"/>
          <w:szCs w:val="32"/>
          <w14:textFill>
            <w14:solidFill>
              <w14:schemeClr w14:val="tx1"/>
            </w14:solidFill>
          </w14:textFill>
        </w:rPr>
        <w:t>作为承租方对短期租赁和低价值资产租赁进行简化处理的判断依据和会计处理方法</w:t>
      </w:r>
    </w:p>
    <w:sdt>
      <w:sdtPr>
        <w:rPr>
          <w:color w:val="000000" w:themeColor="text1"/>
          <w14:textFill>
            <w14:solidFill>
              <w14:schemeClr w14:val="tx1"/>
            </w14:solidFill>
          </w14:textFill>
        </w:rPr>
        <w:alias w:val="是否适用：作为承租方对短期租赁和低价值资产租赁进行简化处理的判断依据和会计处理方法[双击切换]"/>
        <w:tag w:val="_GBC_7bcaad3acb7c40ecbe59ad19b127555f"/>
        <w:id w:val="1521357252"/>
        <w:placeholder>
          <w:docPart w:val="GBC22222222222222222222222222222"/>
        </w:placeholder>
      </w:sdtPr>
      <w:sdtEndPr>
        <w:rPr>
          <w:color w:val="000000" w:themeColor="text1"/>
          <w14:textFill>
            <w14:solidFill>
              <w14:schemeClr w14:val="tx1"/>
            </w14:solidFill>
          </w14:textFill>
        </w:rPr>
      </w:sdtEndPr>
      <w:sdtContent>
        <w:p w14:paraId="1927764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作为承租方对短期租赁和低价值资产租赁进行简化处理的判断依据和会计处理方法"/>
        <w:tag w:val="_GBC_83c59a0eb4ac4ef2afb783bc5dd4efb6"/>
        <w:id w:val="-572739786"/>
        <w:placeholder>
          <w:docPart w:val="GBC22222222222222222222222222222"/>
        </w:placeholder>
      </w:sdtPr>
      <w:sdtEndPr>
        <w:rPr>
          <w:color w:val="000000" w:themeColor="text1"/>
          <w14:textFill>
            <w14:solidFill>
              <w14:schemeClr w14:val="tx1"/>
            </w14:solidFill>
          </w14:textFill>
        </w:rPr>
      </w:sdtEndPr>
      <w:sdtContent>
        <w:p w14:paraId="553CCDF0">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将在租赁期开始日，租赁期不超过12个月，且不包含购买选择权的租赁认定为短期租赁;将单项租赁资产为全新资产时价值较低(不超过人民币40,000元)的租赁认定为低价值资产租赁。转租或预期转租租赁资产的，原租赁不认定为低价值资产租赁。本公司对短期租赁和低价值资产租赁选择不确认使用权资产和租赁负债。在租赁期内各个期间按照直线法计入相关的资产成本或当期损益。</w:t>
          </w:r>
        </w:p>
        <w:p w14:paraId="1E2D5B9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除上述简化处理的短期租赁和低价值资产租赁外，本公司对已识别租赁确认使用权资产和租赁负债。使用权资产和租赁负债的初始及后续计量见</w:t>
          </w:r>
          <w:r>
            <w:rPr>
              <w:rFonts w:asciiTheme="minorEastAsia" w:hAnsiTheme="minorEastAsia" w:eastAsiaTheme="minorEastAsia"/>
            </w:rPr>
            <w:t>本报告第</w:t>
          </w:r>
          <w:r>
            <w:rPr>
              <w:rFonts w:hint="eastAsia" w:asciiTheme="minorEastAsia" w:hAnsiTheme="minorEastAsia" w:eastAsiaTheme="minorEastAsia"/>
            </w:rPr>
            <w:t>八</w:t>
          </w:r>
          <w:r>
            <w:rPr>
              <w:rFonts w:asciiTheme="minorEastAsia" w:hAnsiTheme="minorEastAsia" w:eastAsiaTheme="minorEastAsia"/>
            </w:rPr>
            <w:t>节财务报告、五“重要会计政策及会计估计39.其他重要的会计政策和会计估计（2）和（3）”。</w:t>
          </w:r>
        </w:p>
      </w:sdtContent>
    </w:sdt>
    <w:p w14:paraId="742D1BF7">
      <w:pPr>
        <w:rPr>
          <w:rFonts w:ascii="Calibri" w:hAnsi="Calibri" w:cs="Times New Roman"/>
          <w:color w:val="000000" w:themeColor="text1"/>
          <w:kern w:val="2"/>
          <w:szCs w:val="32"/>
          <w14:textFill>
            <w14:solidFill>
              <w14:schemeClr w14:val="tx1"/>
            </w14:solidFill>
          </w14:textFill>
        </w:rPr>
      </w:pPr>
    </w:p>
    <w:p w14:paraId="44EEE6F9">
      <w:pPr>
        <w:rPr>
          <w:rFonts w:ascii="Calibri" w:hAnsi="Calibri" w:cs="Times New Roman"/>
          <w:b/>
          <w:color w:val="000000" w:themeColor="text1"/>
          <w:kern w:val="2"/>
          <w:szCs w:val="32"/>
          <w14:textFill>
            <w14:solidFill>
              <w14:schemeClr w14:val="tx1"/>
            </w14:solidFill>
          </w14:textFill>
        </w:rPr>
      </w:pPr>
      <w:r>
        <w:rPr>
          <w:rFonts w:ascii="Calibri" w:hAnsi="Calibri" w:cs="Times New Roman"/>
          <w:b/>
          <w:color w:val="000000" w:themeColor="text1"/>
          <w:kern w:val="2"/>
          <w:szCs w:val="32"/>
          <w14:textFill>
            <w14:solidFill>
              <w14:schemeClr w14:val="tx1"/>
            </w14:solidFill>
          </w14:textFill>
        </w:rPr>
        <w:t>作为出租方的租赁分类标准和会计处理方法</w:t>
      </w:r>
    </w:p>
    <w:sdt>
      <w:sdtPr>
        <w:rPr>
          <w:color w:val="000000" w:themeColor="text1"/>
          <w14:textFill>
            <w14:solidFill>
              <w14:schemeClr w14:val="tx1"/>
            </w14:solidFill>
          </w14:textFill>
        </w:rPr>
        <w:alias w:val="是否适用：作为出租方的租赁分类标准和会计处理方法[双击切换]"/>
        <w:tag w:val="_GBC_5f67d3c5f08047cab6976824f73e97e9"/>
        <w:id w:val="296885123"/>
        <w:placeholder>
          <w:docPart w:val="GBC22222222222222222222222222222"/>
        </w:placeholder>
      </w:sdtPr>
      <w:sdtEndPr>
        <w:rPr>
          <w:color w:val="000000" w:themeColor="text1"/>
          <w14:textFill>
            <w14:solidFill>
              <w14:schemeClr w14:val="tx1"/>
            </w14:solidFill>
          </w14:textFill>
        </w:rPr>
      </w:sdtEndPr>
      <w:sdtContent>
        <w:p w14:paraId="230D9E0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作为出租方的租赁分类标准和会计处理方法"/>
        <w:tag w:val="_GBC_32ac25e0a5c442ef8da612bad391098d"/>
        <w:id w:val="-1390259626"/>
        <w:placeholder>
          <w:docPart w:val="GBC22222222222222222222222222222"/>
        </w:placeholder>
      </w:sdtPr>
      <w:sdtEndPr>
        <w:rPr>
          <w:color w:val="000000" w:themeColor="text1"/>
          <w14:textFill>
            <w14:solidFill>
              <w14:schemeClr w14:val="tx1"/>
            </w14:solidFill>
          </w14:textFill>
        </w:rPr>
      </w:sdtEndPr>
      <w:sdtContent>
        <w:p w14:paraId="5C81B933">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本公司在租赁开始日将租赁分为融资租赁和经营租赁。</w:t>
          </w:r>
        </w:p>
        <w:p w14:paraId="59B58038">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融资租赁，是指实质上转移了与租赁资产所有权有关的几乎全部风险和报酬的租赁，其所有权最终可能转移，也可能不转移。经营租赁，是指除融资租赁以外的其他租赁。本公司作为转租出租人时，基于原租赁产生的使用权资产对转租赁进行分类。但原租赁为短期租赁，且转租出租人对原租赁进行简化处理的，本公司将该转租赁分类为经营租赁。</w:t>
          </w:r>
        </w:p>
        <w:p w14:paraId="56FD25CA">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租赁期开始日，本公司对融资租赁确认应收融资租赁款，并终止确认融资租赁资产。对应收融资租赁款进行初始计量时，以租赁投资净额作为应收融资租赁款的入账价值。租赁投资净额为未担保余值和租赁期开始日尚未收到的租赁收款额按照租赁内含利率折现的现值之和。未实现融资收益在租赁期内采用固定的周期性利率计算确认当期利息收入。取得的未纳入租赁投资净额计量的可变租赁付款额，在实际发生时计入当期损益。</w:t>
          </w:r>
        </w:p>
        <w:p w14:paraId="671BBFE7">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在租赁期内各个期间，本公司采用直线法将经营租赁的租赁收款额确认为租金收入。取得的未计入租赁收款额的可变租赁付款额，在实际发生时计入当期损益。</w:t>
          </w:r>
        </w:p>
      </w:sdtContent>
    </w:sdt>
    <w:p w14:paraId="54ACC2D4">
      <w:pPr>
        <w:rPr>
          <w:color w:val="000000" w:themeColor="text1"/>
          <w14:textFill>
            <w14:solidFill>
              <w14:schemeClr w14:val="tx1"/>
            </w14:solidFill>
          </w14:textFill>
        </w:rPr>
      </w:pPr>
    </w:p>
    <w:bookmarkEnd w:id="140"/>
    <w:bookmarkEnd w:id="141"/>
    <w:p w14:paraId="0B07F217">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其他重要的会计政策和会计估计</w:t>
      </w:r>
    </w:p>
    <w:sdt>
      <w:sdtPr>
        <w:rPr>
          <w:color w:val="000000" w:themeColor="text1"/>
          <w14:textFill>
            <w14:solidFill>
              <w14:schemeClr w14:val="tx1"/>
            </w14:solidFill>
          </w14:textFill>
        </w:rPr>
        <w:alias w:val="是否适用：其他重要的会计政策和会计估计[双击切换]"/>
        <w:tag w:val="_GBC_b4281f4538de4623a036697d3903e1f8"/>
        <w:id w:val="-75355734"/>
        <w:placeholder>
          <w:docPart w:val="GBC22222222222222222222222222222"/>
        </w:placeholder>
      </w:sdtPr>
      <w:sdtEndPr>
        <w:rPr>
          <w:color w:val="000000" w:themeColor="text1"/>
          <w14:textFill>
            <w14:solidFill>
              <w14:schemeClr w14:val="tx1"/>
            </w14:solidFill>
          </w14:textFill>
        </w:rPr>
      </w:sdtEndPr>
      <w:sdtContent>
        <w:p w14:paraId="75CA5B7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rPr>
        <w:alias w:val="其他主要会计政策会计估计和会计报表的编制方法"/>
        <w:tag w:val="_GBC_5cf318d9d3d148c4af010cce77bc955d"/>
        <w:id w:val="-1205947022"/>
        <w:placeholder>
          <w:docPart w:val="GBC22222222222222222222222222222"/>
        </w:placeholder>
      </w:sdtPr>
      <w:sdtEndPr>
        <w:rPr>
          <w:rFonts w:hint="eastAsia"/>
        </w:rPr>
      </w:sdtEndPr>
      <w:sdtContent>
        <w:p w14:paraId="0BC152B6">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（1）计量属性在本期发生变化的报表项目及其本期采用的计量属性</w:t>
          </w:r>
        </w:p>
        <w:p w14:paraId="60AB334A">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本公司采用的计量属性包括历史成本、重置成本、可变现净值、现值和公允价值。</w:t>
          </w:r>
        </w:p>
        <w:p w14:paraId="608375DB">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asciiTheme="minorEastAsia" w:hAnsiTheme="minorEastAsia" w:eastAsiaTheme="minorEastAsia"/>
            </w:rPr>
            <w:t>使用权资产</w:t>
          </w:r>
        </w:p>
        <w:p w14:paraId="737356E1">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使用权资产是指承租人可在租赁期内使用租赁资产的权利。</w:t>
          </w:r>
        </w:p>
        <w:p w14:paraId="39C6E30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按照成本对使用权资产进行初始计量，该成本包括：1)租赁负债的初始计量金额；2)在租赁期开始日或之前支付的租赁付款额，存在租赁激励的，扣除已享受的和租赁激励相关金额；3)承租人发生的初始直接费用；4)承租人为拆卸及移除租赁资产复原租赁资产所在场地或将租赁资产恢复至租赁条款约定状态预计将发生的成本。</w:t>
          </w:r>
        </w:p>
        <w:p w14:paraId="6B3646FC">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参照《企业会计准则第4号--固定资产》有关折旧规定，对使用权资产计提折旧。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6C061713">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本公司按照变动后的租赁付款额的现值重新计量租赁负债,并相应调整使用权资产的账面价值时，如使用权资产账面价值已调减至零，但租赁负债仍需进一步调减的，将剩余金额计入当期损益。</w:t>
          </w:r>
        </w:p>
        <w:p w14:paraId="3A918B97">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asciiTheme="minorEastAsia" w:hAnsiTheme="minorEastAsia" w:eastAsiaTheme="minorEastAsia"/>
            </w:rPr>
            <w:t>租赁负债</w:t>
          </w:r>
        </w:p>
        <w:p w14:paraId="4DAE1145">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租赁期开始日，本公司将尚未支付的租赁付款额的现值确认为租赁负债(短期租赁和低价值资产租赁除外)。在计算租赁付款额的现值时，采用租赁内含利率作为折现率;无法确定租赁内含利率的，采用承租人增量借款利率作为折现率。未纳入租赁负债计量的可变租赁付款额于实际发生时计入当期损益。</w:t>
          </w:r>
        </w:p>
        <w:p w14:paraId="00299ACF">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按照固定的周期性利率计算租赁负债在租赁期内利息费用，并计入当期损益，按照其他准则规定应当计入相关资产成本的，从其规定。未纳入租赁负债计量的可变租赁付款额于实际发生时计入当期损益，按照其他准则规定应当计入相关资产成本的，从其规定。租赁期开始日后，因续租选择权、终止租赁选择权或购买选择权的评估结果或实际行使情况发生变化的，重新确定租赁付款额，并按变动后租赁付款额和修订后的折现率计算的现值重新计量租赁负债。</w:t>
          </w:r>
        </w:p>
        <w:p w14:paraId="7AD71DA6">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租赁期开始日后，根据担保余值预计的应付金额发生变动，或者因用于确定租赁付款额的指数或比率变动而导致未来租赁付款额发生变动的,按照变动后租赁付款额的现值重新计量租赁负债。</w:t>
          </w:r>
        </w:p>
        <w:p w14:paraId="4D462DCE">
          <w:pPr>
            <w:spacing w:before="120" w:beforeLines="50"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在针对上述原因或因实质固定付款额变动重新计量租赁负债时,相应调整使用权资产的账面价值。使用权资产的账面价值已调减至零，但租赁负债仍需进一步调减的，将剩余金额计入当期损益。</w:t>
          </w:r>
        </w:p>
      </w:sdtContent>
    </w:sdt>
    <w:p w14:paraId="677F6992">
      <w:pPr>
        <w:rPr>
          <w:color w:val="000000" w:themeColor="text1"/>
          <w14:textFill>
            <w14:solidFill>
              <w14:schemeClr w14:val="tx1"/>
            </w14:solidFill>
          </w14:textFill>
        </w:rPr>
      </w:pPr>
    </w:p>
    <w:p w14:paraId="246F010E">
      <w:pPr>
        <w:pStyle w:val="4"/>
        <w:numPr>
          <w:ilvl w:val="0"/>
          <w:numId w:val="33"/>
        </w:numPr>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重要会计政策和会计估计的变更</w:t>
      </w:r>
    </w:p>
    <w:p w14:paraId="03F21055">
      <w:pPr>
        <w:pStyle w:val="5"/>
        <w:numPr>
          <w:ilvl w:val="3"/>
          <w:numId w:val="39"/>
        </w:numPr>
        <w:ind w:left="426" w:hanging="426"/>
        <w:rPr>
          <w:rFonts w:ascii="宋体" w:hAnsi="宋体"/>
          <w:color w:val="000000" w:themeColor="text1"/>
          <w14:textFill>
            <w14:solidFill>
              <w14:schemeClr w14:val="tx1"/>
            </w14:solidFill>
          </w14:textFill>
        </w:rPr>
      </w:pPr>
      <w:bookmarkStart w:id="142" w:name="_Hlk169007887"/>
      <w:r>
        <w:rPr>
          <w:rFonts w:hint="eastAsia" w:ascii="宋体" w:hAnsi="宋体"/>
          <w:color w:val="000000" w:themeColor="text1"/>
          <w14:textFill>
            <w14:solidFill>
              <w14:schemeClr w14:val="tx1"/>
            </w14:solidFill>
          </w14:textFill>
        </w:rPr>
        <w:t>重要</w:t>
      </w:r>
      <w:r>
        <w:rPr>
          <w:rFonts w:ascii="宋体" w:hAnsi="宋体"/>
          <w:color w:val="000000" w:themeColor="text1"/>
          <w14:textFill>
            <w14:solidFill>
              <w14:schemeClr w14:val="tx1"/>
            </w14:solidFill>
          </w14:textFill>
        </w:rPr>
        <w:t>会计政策变更</w:t>
      </w:r>
    </w:p>
    <w:sdt>
      <w:sdtPr>
        <w:rPr>
          <w:color w:val="000000" w:themeColor="text1"/>
          <w14:textFill>
            <w14:solidFill>
              <w14:schemeClr w14:val="tx1"/>
            </w14:solidFill>
          </w14:textFill>
        </w:rPr>
        <w:alias w:val="是否适用：重要会计政策变更[双击切换]"/>
        <w:tag w:val="_GBC_f1ebc580f60c4d30a80747190ffbec4f"/>
        <w:id w:val="1221794740"/>
        <w:placeholder>
          <w:docPart w:val="GBC22222222222222222222222222222"/>
        </w:placeholder>
      </w:sdtPr>
      <w:sdtEndPr>
        <w:rPr>
          <w:color w:val="000000" w:themeColor="text1"/>
          <w14:textFill>
            <w14:solidFill>
              <w14:schemeClr w14:val="tx1"/>
            </w14:solidFill>
          </w14:textFill>
        </w:rPr>
      </w:sdtEndPr>
      <w:sdtContent>
        <w:p w14:paraId="642F1575">
          <w:pPr>
            <w:rPr>
              <w:rFonts w:cs="Times New Roman"/>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CB5B9A4">
      <w:pPr>
        <w:rPr>
          <w:color w:val="000000" w:themeColor="text1"/>
          <w14:textFill>
            <w14:solidFill>
              <w14:schemeClr w14:val="tx1"/>
            </w14:solidFill>
          </w14:textFill>
        </w:rPr>
      </w:pPr>
    </w:p>
    <w:p w14:paraId="30088A99">
      <w:pPr>
        <w:pStyle w:val="5"/>
        <w:numPr>
          <w:ilvl w:val="3"/>
          <w:numId w:val="39"/>
        </w:numPr>
        <w:ind w:left="426" w:hanging="42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重要会计估计变更</w:t>
      </w:r>
    </w:p>
    <w:sdt>
      <w:sdtPr>
        <w:rPr>
          <w:color w:val="000000" w:themeColor="text1"/>
          <w14:textFill>
            <w14:solidFill>
              <w14:schemeClr w14:val="tx1"/>
            </w14:solidFill>
          </w14:textFill>
        </w:rPr>
        <w:alias w:val="是否适用：重要会计估计变更[双击切换]"/>
        <w:tag w:val="_GBC_902f08bd36774074945386d2d1f9b67d"/>
        <w:id w:val="419767958"/>
        <w:placeholder>
          <w:docPart w:val="GBC22222222222222222222222222222"/>
        </w:placeholder>
      </w:sdtPr>
      <w:sdtEndPr>
        <w:rPr>
          <w:color w:val="000000" w:themeColor="text1"/>
          <w14:textFill>
            <w14:solidFill>
              <w14:schemeClr w14:val="tx1"/>
            </w14:solidFill>
          </w14:textFill>
        </w:rPr>
      </w:sdtEndPr>
      <w:sdtContent>
        <w:p w14:paraId="6EC43AFA">
          <w:pPr>
            <w:rPr>
              <w:rFonts w:cs="Times New Roman"/>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9BB61FB">
      <w:pPr>
        <w:rPr>
          <w:color w:val="000000" w:themeColor="text1"/>
          <w14:textFill>
            <w14:solidFill>
              <w14:schemeClr w14:val="tx1"/>
            </w14:solidFill>
          </w14:textFill>
        </w:rPr>
      </w:pPr>
    </w:p>
    <w:bookmarkEnd w:id="142"/>
    <w:p w14:paraId="79660D7B">
      <w:pPr>
        <w:pStyle w:val="5"/>
        <w:numPr>
          <w:ilvl w:val="3"/>
          <w:numId w:val="39"/>
        </w:numPr>
        <w:ind w:left="426" w:hanging="426"/>
        <w:rPr>
          <w:rFonts w:ascii="宋体" w:hAnsi="宋体"/>
          <w:color w:val="000000" w:themeColor="text1"/>
          <w14:textFill>
            <w14:solidFill>
              <w14:schemeClr w14:val="tx1"/>
            </w14:solidFill>
          </w14:textFill>
        </w:rPr>
      </w:pPr>
      <w:bookmarkStart w:id="143" w:name="_Hlk10465969"/>
      <w:bookmarkEnd w:id="143"/>
      <w:bookmarkStart w:id="144" w:name="_Hlk137050657"/>
      <w:bookmarkStart w:id="145" w:name="_Hlk24100246"/>
      <w:r>
        <w:rPr>
          <w:rFonts w:hint="eastAsia" w:ascii="宋体" w:hAnsi="宋体"/>
          <w:color w:val="000000" w:themeColor="text1"/>
          <w14:textFill>
            <w14:solidFill>
              <w14:schemeClr w14:val="tx1"/>
            </w14:solidFill>
          </w14:textFill>
        </w:rPr>
        <w:t>2025年起首次执行新会计准则或准则解释等涉及调整首次执行当年年初的财务报表</w:t>
      </w:r>
    </w:p>
    <w:sdt>
      <w:sdtPr>
        <w:rPr>
          <w:rFonts w:hint="eastAsia"/>
          <w:color w:val="000000" w:themeColor="text1"/>
          <w14:textFill>
            <w14:solidFill>
              <w14:schemeClr w14:val="tx1"/>
            </w14:solidFill>
          </w14:textFill>
        </w:rPr>
        <w:alias w:val="是否适用：首次执行新金融工具准则或新收入准则调整首次执行当年年初财务报表相关项目情况[双击切换]"/>
        <w:tag w:val="_GBC_8608c1ec447d48978e05546e78cb2ffc"/>
        <w:id w:val="-1690523697"/>
        <w:placeholder>
          <w:docPart w:val="GBC22222222222222222222222222222"/>
        </w:placeholder>
      </w:sdtPr>
      <w:sdtEndPr>
        <w:rPr>
          <w:rFonts w:hint="eastAsia"/>
          <w:color w:val="000000" w:themeColor="text1"/>
          <w14:textFill>
            <w14:solidFill>
              <w14:schemeClr w14:val="tx1"/>
            </w14:solidFill>
          </w14:textFill>
        </w:rPr>
      </w:sdtEndPr>
      <w:sdtContent>
        <w:p w14:paraId="078590A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B25FC21">
      <w:pPr>
        <w:rPr>
          <w:color w:val="000000" w:themeColor="text1"/>
          <w14:textFill>
            <w14:solidFill>
              <w14:schemeClr w14:val="tx1"/>
            </w14:solidFill>
          </w14:textFill>
        </w:rPr>
      </w:pPr>
    </w:p>
    <w:bookmarkEnd w:id="144"/>
    <w:bookmarkEnd w:id="145"/>
    <w:p w14:paraId="2A8953D8">
      <w:pPr>
        <w:pStyle w:val="4"/>
        <w:numPr>
          <w:ilvl w:val="0"/>
          <w:numId w:val="33"/>
        </w:numPr>
        <w:rPr>
          <w:rFonts w:ascii="宋体" w:hAnsi="宋体"/>
          <w:color w:val="000000" w:themeColor="text1"/>
          <w14:textFill>
            <w14:solidFill>
              <w14:schemeClr w14:val="tx1"/>
            </w14:solidFill>
          </w14:textFill>
        </w:rPr>
      </w:pPr>
      <w:bookmarkStart w:id="146" w:name="_Hlk24100423"/>
      <w:bookmarkEnd w:id="146"/>
      <w:bookmarkStart w:id="147" w:name="_Hlk137051084"/>
      <w:bookmarkEnd w:id="147"/>
      <w:r>
        <w:rPr>
          <w:rFonts w:ascii="宋体" w:hAnsi="宋体"/>
          <w:color w:val="000000" w:themeColor="text1"/>
          <w14:textFill>
            <w14:solidFill>
              <w14:schemeClr w14:val="tx1"/>
            </w14:solidFill>
          </w14:textFill>
        </w:rPr>
        <w:t>其他</w:t>
      </w:r>
    </w:p>
    <w:sdt>
      <w:sdtPr>
        <w:rPr>
          <w:rFonts w:hint="eastAsia"/>
          <w:color w:val="000000" w:themeColor="text1"/>
          <w14:textFill>
            <w14:solidFill>
              <w14:schemeClr w14:val="tx1"/>
            </w14:solidFill>
          </w14:textFill>
        </w:rPr>
        <w:alias w:val="是否适用：公司主要会计政策、会计估计和前期差错的其他说明[双击切换]"/>
        <w:tag w:val="_GBC_6deb29735f384e0d9a2b017d4265a493"/>
        <w:id w:val="255795662"/>
        <w:placeholder>
          <w:docPart w:val="GBC22222222222222222222222222222"/>
        </w:placeholder>
      </w:sdtPr>
      <w:sdtEndPr>
        <w:rPr>
          <w:rFonts w:hint="eastAsia"/>
          <w:color w:val="000000" w:themeColor="text1"/>
          <w14:textFill>
            <w14:solidFill>
              <w14:schemeClr w14:val="tx1"/>
            </w14:solidFill>
          </w14:textFill>
        </w:rPr>
      </w:sdtEndPr>
      <w:sdtContent>
        <w:p w14:paraId="1762031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E73ED5">
      <w:pPr>
        <w:rPr>
          <w:color w:val="000000" w:themeColor="text1"/>
          <w14:textFill>
            <w14:solidFill>
              <w14:schemeClr w14:val="tx1"/>
            </w14:solidFill>
          </w14:textFill>
        </w:rPr>
      </w:pPr>
    </w:p>
    <w:p w14:paraId="32D88426">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税项</w:t>
      </w:r>
    </w:p>
    <w:p w14:paraId="57F4CBA9">
      <w:pPr>
        <w:pStyle w:val="4"/>
        <w:numPr>
          <w:ilvl w:val="0"/>
          <w:numId w:val="40"/>
        </w:numPr>
        <w:tabs>
          <w:tab w:val="left" w:pos="546"/>
        </w:tabs>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主要税种及税率</w:t>
      </w:r>
    </w:p>
    <w:p w14:paraId="4153AADD">
      <w:pPr>
        <w:rPr>
          <w:color w:val="000000" w:themeColor="text1"/>
          <w14:textFill>
            <w14:solidFill>
              <w14:schemeClr w14:val="tx1"/>
            </w14:solidFill>
          </w14:textFill>
        </w:rPr>
      </w:pPr>
      <w:r>
        <w:rPr>
          <w:rFonts w:hint="eastAsia"/>
          <w:color w:val="000000" w:themeColor="text1"/>
          <w14:textFill>
            <w14:solidFill>
              <w14:schemeClr w14:val="tx1"/>
            </w14:solidFill>
          </w14:textFill>
        </w:rPr>
        <w:t>主要税种及税率情况</w:t>
      </w:r>
    </w:p>
    <w:sdt>
      <w:sdtPr>
        <w:rPr>
          <w:color w:val="000000" w:themeColor="text1"/>
          <w14:textFill>
            <w14:solidFill>
              <w14:schemeClr w14:val="tx1"/>
            </w14:solidFill>
          </w14:textFill>
        </w:rPr>
        <w:alias w:val="是否适用：主要税种及税率情况 [双击切换]"/>
        <w:tag w:val="_GBC_fd47fa4fd9aa499c8903795268a25582"/>
        <w:id w:val="938797559"/>
        <w:placeholder>
          <w:docPart w:val="GBC22222222222222222222222222222"/>
        </w:placeholder>
      </w:sdtPr>
      <w:sdtEndPr>
        <w:rPr>
          <w:color w:val="000000" w:themeColor="text1"/>
          <w14:textFill>
            <w14:solidFill>
              <w14:schemeClr w14:val="tx1"/>
            </w14:solidFill>
          </w14:textFill>
        </w:rPr>
      </w:sdtEndPr>
      <w:sdtContent>
        <w:p w14:paraId="5E3ABB5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7"/>
        <w:gridCol w:w="3372"/>
        <w:gridCol w:w="3120"/>
      </w:tblGrid>
      <w:tr w14:paraId="514C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7d49d0412b143bf84fec865b918065a"/>
            <w:id w:val="427932979"/>
          </w:sdtPr>
          <w:sdtContent>
            <w:tc>
              <w:tcPr>
                <w:tcW w:w="1413" w:type="pct"/>
                <w:vAlign w:val="center"/>
              </w:tcPr>
              <w:p w14:paraId="4AC56554">
                <w:pPr>
                  <w:jc w:val="center"/>
                  <w:rPr>
                    <w:color w:val="000000" w:themeColor="text1"/>
                    <w14:textFill>
                      <w14:solidFill>
                        <w14:schemeClr w14:val="tx1"/>
                      </w14:solidFill>
                    </w14:textFill>
                  </w:rPr>
                </w:pPr>
                <w:r>
                  <w:rPr>
                    <w:color w:val="000000" w:themeColor="text1"/>
                    <w14:textFill>
                      <w14:solidFill>
                        <w14:schemeClr w14:val="tx1"/>
                      </w14:solidFill>
                    </w14:textFill>
                  </w:rPr>
                  <w:t>税种</w:t>
                </w:r>
              </w:p>
            </w:tc>
          </w:sdtContent>
        </w:sdt>
        <w:sdt>
          <w:sdtPr>
            <w:tag w:val="_PLD_e42202809983483baa812ed26e1b27a2"/>
            <w:id w:val="-1146196919"/>
          </w:sdtPr>
          <w:sdtContent>
            <w:tc>
              <w:tcPr>
                <w:tcW w:w="1863" w:type="pct"/>
                <w:vAlign w:val="center"/>
              </w:tcPr>
              <w:p w14:paraId="41D655EE">
                <w:pPr>
                  <w:jc w:val="center"/>
                  <w:rPr>
                    <w:color w:val="000000" w:themeColor="text1"/>
                    <w14:textFill>
                      <w14:solidFill>
                        <w14:schemeClr w14:val="tx1"/>
                      </w14:solidFill>
                    </w14:textFill>
                  </w:rPr>
                </w:pPr>
                <w:r>
                  <w:rPr>
                    <w:color w:val="000000" w:themeColor="text1"/>
                    <w14:textFill>
                      <w14:solidFill>
                        <w14:schemeClr w14:val="tx1"/>
                      </w14:solidFill>
                    </w14:textFill>
                  </w:rPr>
                  <w:t>计税依据</w:t>
                </w:r>
              </w:p>
            </w:tc>
          </w:sdtContent>
        </w:sdt>
        <w:sdt>
          <w:sdtPr>
            <w:tag w:val="_PLD_0cebc7a4c62844c6b35146cd64cd4277"/>
            <w:id w:val="-2105867711"/>
          </w:sdtPr>
          <w:sdtContent>
            <w:tc>
              <w:tcPr>
                <w:tcW w:w="1724" w:type="pct"/>
                <w:vAlign w:val="center"/>
              </w:tcPr>
              <w:p w14:paraId="0AF2CBC0">
                <w:pPr>
                  <w:jc w:val="center"/>
                  <w:rPr>
                    <w:color w:val="000000" w:themeColor="text1"/>
                    <w14:textFill>
                      <w14:solidFill>
                        <w14:schemeClr w14:val="tx1"/>
                      </w14:solidFill>
                    </w14:textFill>
                  </w:rPr>
                </w:pPr>
                <w:r>
                  <w:rPr>
                    <w:color w:val="000000" w:themeColor="text1"/>
                    <w14:textFill>
                      <w14:solidFill>
                        <w14:schemeClr w14:val="tx1"/>
                      </w14:solidFill>
                    </w14:textFill>
                  </w:rPr>
                  <w:t>税率</w:t>
                </w:r>
              </w:p>
            </w:tc>
          </w:sdtContent>
        </w:sdt>
      </w:tr>
      <w:tr w14:paraId="3EDA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pct"/>
          </w:tcPr>
          <w:p w14:paraId="1A2C08CE">
            <w:r>
              <w:t>增值税</w:t>
            </w:r>
          </w:p>
        </w:tc>
        <w:tc>
          <w:tcPr>
            <w:tcW w:w="1863" w:type="pct"/>
          </w:tcPr>
          <w:p w14:paraId="3280D627">
            <w:r>
              <w:t>销售货物或提供应税劳务</w:t>
            </w:r>
          </w:p>
        </w:tc>
        <w:tc>
          <w:tcPr>
            <w:tcW w:w="1724" w:type="pct"/>
          </w:tcPr>
          <w:p w14:paraId="4A20A115">
            <w:r>
              <w:t>3%、5%、6%、9%、13%</w:t>
            </w:r>
          </w:p>
        </w:tc>
      </w:tr>
      <w:tr w14:paraId="4B71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pct"/>
          </w:tcPr>
          <w:p w14:paraId="6396CE71">
            <w:r>
              <w:t>消费税</w:t>
            </w:r>
          </w:p>
        </w:tc>
        <w:tc>
          <w:tcPr>
            <w:tcW w:w="1863" w:type="pct"/>
          </w:tcPr>
          <w:p w14:paraId="3E96F197">
            <w:r>
              <w:t>应纳税销售额（量）</w:t>
            </w:r>
          </w:p>
        </w:tc>
        <w:tc>
          <w:tcPr>
            <w:tcW w:w="1724" w:type="pct"/>
          </w:tcPr>
          <w:p w14:paraId="674965E1">
            <w:r>
              <w:t>3%、 5%、10%</w:t>
            </w:r>
          </w:p>
        </w:tc>
      </w:tr>
      <w:tr w14:paraId="1F87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pct"/>
          </w:tcPr>
          <w:p w14:paraId="557CB8D1">
            <w:r>
              <w:t>城市维护建设税</w:t>
            </w:r>
          </w:p>
        </w:tc>
        <w:tc>
          <w:tcPr>
            <w:tcW w:w="1863" w:type="pct"/>
          </w:tcPr>
          <w:p w14:paraId="3D2582B2">
            <w:r>
              <w:t>实缴流转税税额</w:t>
            </w:r>
          </w:p>
        </w:tc>
        <w:tc>
          <w:tcPr>
            <w:tcW w:w="1724" w:type="pct"/>
          </w:tcPr>
          <w:p w14:paraId="584FAA22">
            <w:r>
              <w:t>5%、7%</w:t>
            </w:r>
          </w:p>
        </w:tc>
      </w:tr>
      <w:tr w14:paraId="7F9F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pct"/>
          </w:tcPr>
          <w:p w14:paraId="6173803A">
            <w:r>
              <w:t>房产税</w:t>
            </w:r>
          </w:p>
        </w:tc>
        <w:tc>
          <w:tcPr>
            <w:tcW w:w="1863" w:type="pct"/>
          </w:tcPr>
          <w:p w14:paraId="549CE960">
            <w:r>
              <w:t>房产原值的 70%（或租金收入）</w:t>
            </w:r>
          </w:p>
        </w:tc>
        <w:tc>
          <w:tcPr>
            <w:tcW w:w="1724" w:type="pct"/>
          </w:tcPr>
          <w:p w14:paraId="20B01946">
            <w:r>
              <w:t>1.2%、12%</w:t>
            </w:r>
          </w:p>
        </w:tc>
      </w:tr>
      <w:tr w14:paraId="1F41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pct"/>
          </w:tcPr>
          <w:p w14:paraId="216988E9">
            <w:r>
              <w:t>企业所得税</w:t>
            </w:r>
          </w:p>
        </w:tc>
        <w:tc>
          <w:tcPr>
            <w:tcW w:w="1863" w:type="pct"/>
          </w:tcPr>
          <w:p w14:paraId="1F0C78D1">
            <w:r>
              <w:t>应纳税所得额</w:t>
            </w:r>
          </w:p>
        </w:tc>
        <w:tc>
          <w:tcPr>
            <w:tcW w:w="1724" w:type="pct"/>
          </w:tcPr>
          <w:p w14:paraId="63063A39">
            <w:r>
              <w:t>15%、 20%、25%、 30%</w:t>
            </w:r>
          </w:p>
        </w:tc>
      </w:tr>
      <w:tr w14:paraId="24F5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pct"/>
          </w:tcPr>
          <w:p w14:paraId="62434640">
            <w:r>
              <w:t>教育费附加</w:t>
            </w:r>
          </w:p>
        </w:tc>
        <w:tc>
          <w:tcPr>
            <w:tcW w:w="1863" w:type="pct"/>
          </w:tcPr>
          <w:p w14:paraId="6B2276B2">
            <w:r>
              <w:t>实缴流转税税额</w:t>
            </w:r>
          </w:p>
        </w:tc>
        <w:tc>
          <w:tcPr>
            <w:tcW w:w="1724" w:type="pct"/>
          </w:tcPr>
          <w:p w14:paraId="2E0D31C8">
            <w:r>
              <w:t>3%</w:t>
            </w:r>
          </w:p>
        </w:tc>
      </w:tr>
      <w:tr w14:paraId="2772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pct"/>
          </w:tcPr>
          <w:p w14:paraId="17696A77">
            <w:r>
              <w:t>地方教育费附加</w:t>
            </w:r>
          </w:p>
        </w:tc>
        <w:tc>
          <w:tcPr>
            <w:tcW w:w="1863" w:type="pct"/>
          </w:tcPr>
          <w:p w14:paraId="297CDE77">
            <w:r>
              <w:t>实缴流转税税额</w:t>
            </w:r>
          </w:p>
        </w:tc>
        <w:tc>
          <w:tcPr>
            <w:tcW w:w="1724" w:type="pct"/>
          </w:tcPr>
          <w:p w14:paraId="469128EF">
            <w:r>
              <w:t>2%</w:t>
            </w:r>
          </w:p>
        </w:tc>
      </w:tr>
    </w:tbl>
    <w:p w14:paraId="65026879">
      <w:pPr>
        <w:ind w:firstLine="420" w:firstLineChars="200"/>
      </w:pPr>
      <w:r>
        <w:t>消费税说明：摩托车气缸容量 250 毫升和 250 毫升（不含）以上的摩托车分别按 3%和 10%的税率征收消费税；乘用车气缸容量在1000-1500 （&gt;1000&lt;=1500）毫升之间的按 3%计征消费税、气缸容量在 1500-2000（&gt;1500&lt;=2000）毫升之间的按 5%计征消费税。本公司出口货物实行消费税“免、退”税收管理办法，按原生产环节征 税额全额退税。</w:t>
      </w:r>
    </w:p>
    <w:p w14:paraId="0B1FDAAC"/>
    <w:p w14:paraId="38BF05D6">
      <w:pPr>
        <w:rPr>
          <w:color w:val="000000" w:themeColor="text1"/>
          <w14:textFill>
            <w14:solidFill>
              <w14:schemeClr w14:val="tx1"/>
            </w14:solidFill>
          </w14:textFill>
        </w:rPr>
      </w:pPr>
      <w:r>
        <w:rPr>
          <w:rFonts w:hint="eastAsia"/>
          <w:color w:val="000000" w:themeColor="text1"/>
          <w14:textFill>
            <w14:solidFill>
              <w14:schemeClr w14:val="tx1"/>
            </w14:solidFill>
          </w14:textFill>
        </w:rPr>
        <w:t>存在不同企业所得税税率纳税主体的，披露情况说明</w:t>
      </w:r>
    </w:p>
    <w:sdt>
      <w:sdtPr>
        <w:rPr>
          <w:color w:val="000000" w:themeColor="text1"/>
          <w14:textFill>
            <w14:solidFill>
              <w14:schemeClr w14:val="tx1"/>
            </w14:solidFill>
          </w14:textFill>
        </w:rPr>
        <w:alias w:val="是否适用：存在不同企业所得税税率纳税主体的，披露情况说明[双击切换]"/>
        <w:tag w:val="_GBC_848dc0d1182048ccb5485f3b0d7d1d70"/>
        <w:id w:val="-1276170043"/>
        <w:placeholder>
          <w:docPart w:val="GBC22222222222222222222222222222"/>
        </w:placeholder>
      </w:sdtPr>
      <w:sdtEndPr>
        <w:rPr>
          <w:color w:val="000000" w:themeColor="text1"/>
          <w14:textFill>
            <w14:solidFill>
              <w14:schemeClr w14:val="tx1"/>
            </w14:solidFill>
          </w14:textFill>
        </w:rPr>
      </w:sdtEndPr>
      <w:sdtContent>
        <w:p w14:paraId="22D3B7A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602"/>
        <w:gridCol w:w="4447"/>
      </w:tblGrid>
      <w:tr w14:paraId="4BF05B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440a50b0d3fa4b22b061006e717665d8"/>
            <w:id w:val="1455674170"/>
          </w:sdtPr>
          <w:sdtContent>
            <w:tc>
              <w:tcPr>
                <w:tcW w:w="2543" w:type="pct"/>
                <w:tcBorders>
                  <w:bottom w:val="single" w:color="auto" w:sz="4" w:space="0"/>
                </w:tcBorders>
                <w:vAlign w:val="center"/>
              </w:tcPr>
              <w:p w14:paraId="7468C74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纳税主体名称</w:t>
                </w:r>
              </w:p>
            </w:tc>
          </w:sdtContent>
        </w:sdt>
        <w:sdt>
          <w:sdtPr>
            <w:tag w:val="_PLD_5c2541995bc04204a53104c1e5a4c9da"/>
            <w:id w:val="-736632772"/>
          </w:sdtPr>
          <w:sdtContent>
            <w:tc>
              <w:tcPr>
                <w:tcW w:w="2457" w:type="pct"/>
                <w:tcBorders>
                  <w:bottom w:val="single" w:color="auto" w:sz="4" w:space="0"/>
                </w:tcBorders>
                <w:vAlign w:val="center"/>
              </w:tcPr>
              <w:p w14:paraId="5A0EF48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所得税税率（%）</w:t>
                </w:r>
              </w:p>
            </w:tc>
          </w:sdtContent>
        </w:sdt>
      </w:tr>
      <w:tr w14:paraId="505C00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A7C24E8">
            <w:r>
              <w:t>重庆千里科技股份有限公司</w:t>
            </w:r>
          </w:p>
        </w:tc>
        <w:tc>
          <w:tcPr>
            <w:tcW w:w="2457" w:type="pct"/>
            <w:tcBorders>
              <w:top w:val="single" w:color="auto" w:sz="4" w:space="0"/>
              <w:left w:val="single" w:color="auto" w:sz="4" w:space="0"/>
              <w:bottom w:val="single" w:color="auto" w:sz="4" w:space="0"/>
            </w:tcBorders>
          </w:tcPr>
          <w:p w14:paraId="284DA05D">
            <w:pPr>
              <w:jc w:val="right"/>
            </w:pPr>
            <w:r>
              <w:t>15</w:t>
            </w:r>
          </w:p>
        </w:tc>
      </w:tr>
      <w:tr w14:paraId="32F7D7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475A5C8">
            <w:r>
              <w:t>重庆力帆电喷软件有限公司</w:t>
            </w:r>
          </w:p>
        </w:tc>
        <w:tc>
          <w:tcPr>
            <w:tcW w:w="2457" w:type="pct"/>
            <w:tcBorders>
              <w:top w:val="single" w:color="auto" w:sz="4" w:space="0"/>
              <w:left w:val="single" w:color="auto" w:sz="4" w:space="0"/>
              <w:bottom w:val="single" w:color="auto" w:sz="4" w:space="0"/>
            </w:tcBorders>
          </w:tcPr>
          <w:p w14:paraId="7310A0DB">
            <w:pPr>
              <w:jc w:val="right"/>
            </w:pPr>
            <w:r>
              <w:t>20</w:t>
            </w:r>
          </w:p>
        </w:tc>
      </w:tr>
      <w:tr w14:paraId="2EC077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E2C7CDE">
            <w:r>
              <w:t>河南力帆树民车业有限公司</w:t>
            </w:r>
          </w:p>
        </w:tc>
        <w:tc>
          <w:tcPr>
            <w:tcW w:w="2457" w:type="pct"/>
            <w:tcBorders>
              <w:top w:val="single" w:color="auto" w:sz="4" w:space="0"/>
              <w:left w:val="single" w:color="auto" w:sz="4" w:space="0"/>
              <w:bottom w:val="single" w:color="auto" w:sz="4" w:space="0"/>
            </w:tcBorders>
          </w:tcPr>
          <w:p w14:paraId="039E69C1">
            <w:pPr>
              <w:jc w:val="right"/>
            </w:pPr>
            <w:r>
              <w:t>25</w:t>
            </w:r>
          </w:p>
        </w:tc>
      </w:tr>
      <w:tr w14:paraId="6EF59D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35C1975">
            <w:r>
              <w:t>河南力帆树民进出口有限公司</w:t>
            </w:r>
          </w:p>
        </w:tc>
        <w:tc>
          <w:tcPr>
            <w:tcW w:w="2457" w:type="pct"/>
            <w:tcBorders>
              <w:top w:val="single" w:color="auto" w:sz="4" w:space="0"/>
              <w:left w:val="single" w:color="auto" w:sz="4" w:space="0"/>
              <w:bottom w:val="single" w:color="auto" w:sz="4" w:space="0"/>
            </w:tcBorders>
          </w:tcPr>
          <w:p w14:paraId="1DF98C3D">
            <w:pPr>
              <w:jc w:val="right"/>
            </w:pPr>
            <w:r>
              <w:t>20</w:t>
            </w:r>
          </w:p>
        </w:tc>
      </w:tr>
      <w:tr w14:paraId="7F6625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DD829A4">
            <w:r>
              <w:t>重庆力帆摩托车发动机有限公司</w:t>
            </w:r>
          </w:p>
        </w:tc>
        <w:tc>
          <w:tcPr>
            <w:tcW w:w="2457" w:type="pct"/>
            <w:tcBorders>
              <w:top w:val="single" w:color="auto" w:sz="4" w:space="0"/>
              <w:left w:val="single" w:color="auto" w:sz="4" w:space="0"/>
              <w:bottom w:val="single" w:color="auto" w:sz="4" w:space="0"/>
            </w:tcBorders>
          </w:tcPr>
          <w:p w14:paraId="58D8CF2B">
            <w:pPr>
              <w:jc w:val="right"/>
            </w:pPr>
            <w:r>
              <w:t>20</w:t>
            </w:r>
          </w:p>
        </w:tc>
      </w:tr>
      <w:tr w14:paraId="07E190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4936AFA">
            <w:r>
              <w:t>重庆力帆摩托车产销有限公司</w:t>
            </w:r>
          </w:p>
        </w:tc>
        <w:tc>
          <w:tcPr>
            <w:tcW w:w="2457" w:type="pct"/>
            <w:tcBorders>
              <w:top w:val="single" w:color="auto" w:sz="4" w:space="0"/>
              <w:left w:val="single" w:color="auto" w:sz="4" w:space="0"/>
              <w:bottom w:val="single" w:color="auto" w:sz="4" w:space="0"/>
            </w:tcBorders>
          </w:tcPr>
          <w:p w14:paraId="766881AD">
            <w:pPr>
              <w:jc w:val="right"/>
            </w:pPr>
            <w:r>
              <w:t>25</w:t>
            </w:r>
          </w:p>
        </w:tc>
      </w:tr>
      <w:tr w14:paraId="158C32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6B9F946">
            <w:r>
              <w:t>重庆千里速达进出口贸易有限公司</w:t>
            </w:r>
          </w:p>
        </w:tc>
        <w:tc>
          <w:tcPr>
            <w:tcW w:w="2457" w:type="pct"/>
            <w:tcBorders>
              <w:top w:val="single" w:color="auto" w:sz="4" w:space="0"/>
              <w:left w:val="single" w:color="auto" w:sz="4" w:space="0"/>
              <w:bottom w:val="single" w:color="auto" w:sz="4" w:space="0"/>
            </w:tcBorders>
          </w:tcPr>
          <w:p w14:paraId="753BF4CE">
            <w:pPr>
              <w:jc w:val="right"/>
            </w:pPr>
            <w:r>
              <w:t>20</w:t>
            </w:r>
          </w:p>
        </w:tc>
      </w:tr>
      <w:tr w14:paraId="7F037740">
        <w:tblPrEx>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B86FC8B">
            <w:r>
              <w:t>重庆力帆瑞驰摩托车有限公司</w:t>
            </w:r>
          </w:p>
        </w:tc>
        <w:tc>
          <w:tcPr>
            <w:tcW w:w="2457" w:type="pct"/>
            <w:tcBorders>
              <w:top w:val="single" w:color="auto" w:sz="4" w:space="0"/>
              <w:left w:val="single" w:color="auto" w:sz="4" w:space="0"/>
              <w:bottom w:val="single" w:color="auto" w:sz="4" w:space="0"/>
            </w:tcBorders>
          </w:tcPr>
          <w:p w14:paraId="7A6046C5">
            <w:pPr>
              <w:jc w:val="right"/>
            </w:pPr>
            <w:r>
              <w:t>15</w:t>
            </w:r>
          </w:p>
        </w:tc>
      </w:tr>
      <w:tr w14:paraId="7C32D9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3C5D18D">
            <w:r>
              <w:t>重庆力帆喜生活摩托车销售有限公司</w:t>
            </w:r>
          </w:p>
        </w:tc>
        <w:tc>
          <w:tcPr>
            <w:tcW w:w="2457" w:type="pct"/>
            <w:tcBorders>
              <w:top w:val="single" w:color="auto" w:sz="4" w:space="0"/>
              <w:left w:val="single" w:color="auto" w:sz="4" w:space="0"/>
              <w:bottom w:val="single" w:color="auto" w:sz="4" w:space="0"/>
            </w:tcBorders>
          </w:tcPr>
          <w:p w14:paraId="5BFDBC20">
            <w:pPr>
              <w:jc w:val="right"/>
            </w:pPr>
            <w:r>
              <w:t>15</w:t>
            </w:r>
          </w:p>
        </w:tc>
      </w:tr>
      <w:tr w14:paraId="08743D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7723A9B">
            <w:r>
              <w:t>江门气派摩托车有限公司</w:t>
            </w:r>
          </w:p>
        </w:tc>
        <w:tc>
          <w:tcPr>
            <w:tcW w:w="2457" w:type="pct"/>
            <w:tcBorders>
              <w:top w:val="single" w:color="auto" w:sz="4" w:space="0"/>
              <w:left w:val="single" w:color="auto" w:sz="4" w:space="0"/>
              <w:bottom w:val="single" w:color="auto" w:sz="4" w:space="0"/>
            </w:tcBorders>
          </w:tcPr>
          <w:p w14:paraId="182B7914">
            <w:pPr>
              <w:jc w:val="right"/>
            </w:pPr>
            <w:r>
              <w:t>25</w:t>
            </w:r>
          </w:p>
        </w:tc>
      </w:tr>
      <w:tr w14:paraId="7533D0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81E682B">
            <w:r>
              <w:t>江门气派进出口有限公司</w:t>
            </w:r>
          </w:p>
        </w:tc>
        <w:tc>
          <w:tcPr>
            <w:tcW w:w="2457" w:type="pct"/>
            <w:tcBorders>
              <w:top w:val="single" w:color="auto" w:sz="4" w:space="0"/>
              <w:left w:val="single" w:color="auto" w:sz="4" w:space="0"/>
              <w:bottom w:val="single" w:color="auto" w:sz="4" w:space="0"/>
            </w:tcBorders>
          </w:tcPr>
          <w:p w14:paraId="5C734CF2">
            <w:pPr>
              <w:jc w:val="right"/>
            </w:pPr>
            <w:r>
              <w:t>20</w:t>
            </w:r>
          </w:p>
        </w:tc>
      </w:tr>
      <w:tr w14:paraId="3FDCCB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7D0546B5">
            <w:r>
              <w:t>重庆力帆实业（集团）进出口有限公司</w:t>
            </w:r>
          </w:p>
        </w:tc>
        <w:tc>
          <w:tcPr>
            <w:tcW w:w="2457" w:type="pct"/>
            <w:tcBorders>
              <w:top w:val="single" w:color="auto" w:sz="4" w:space="0"/>
              <w:left w:val="single" w:color="auto" w:sz="4" w:space="0"/>
              <w:bottom w:val="single" w:color="auto" w:sz="4" w:space="0"/>
            </w:tcBorders>
          </w:tcPr>
          <w:p w14:paraId="048AA384">
            <w:pPr>
              <w:jc w:val="right"/>
            </w:pPr>
            <w:r>
              <w:t>15</w:t>
            </w:r>
          </w:p>
        </w:tc>
      </w:tr>
      <w:tr w14:paraId="6D5125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343862E0">
            <w:r>
              <w:t>美国力帆股份有限公司</w:t>
            </w:r>
          </w:p>
        </w:tc>
        <w:tc>
          <w:tcPr>
            <w:tcW w:w="2457" w:type="pct"/>
            <w:tcBorders>
              <w:top w:val="single" w:color="auto" w:sz="4" w:space="0"/>
              <w:left w:val="single" w:color="auto" w:sz="4" w:space="0"/>
              <w:bottom w:val="single" w:color="auto" w:sz="4" w:space="0"/>
            </w:tcBorders>
          </w:tcPr>
          <w:p w14:paraId="11E41D62">
            <w:pPr>
              <w:jc w:val="right"/>
            </w:pPr>
            <w:r>
              <w:t>联邦所得税21，州税8.84</w:t>
            </w:r>
          </w:p>
        </w:tc>
      </w:tr>
      <w:tr w14:paraId="15CC4B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BA8731C">
            <w:r>
              <w:t>新力帆墨西哥有限责任公司</w:t>
            </w:r>
          </w:p>
        </w:tc>
        <w:tc>
          <w:tcPr>
            <w:tcW w:w="2457" w:type="pct"/>
            <w:tcBorders>
              <w:top w:val="single" w:color="auto" w:sz="4" w:space="0"/>
              <w:left w:val="single" w:color="auto" w:sz="4" w:space="0"/>
              <w:bottom w:val="single" w:color="auto" w:sz="4" w:space="0"/>
            </w:tcBorders>
          </w:tcPr>
          <w:p w14:paraId="469A690A">
            <w:pPr>
              <w:jc w:val="right"/>
            </w:pPr>
            <w:r>
              <w:t>30</w:t>
            </w:r>
          </w:p>
        </w:tc>
      </w:tr>
      <w:tr w14:paraId="5907F0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6717095">
            <w:r>
              <w:t>力帆泰国制造有限公司</w:t>
            </w:r>
          </w:p>
        </w:tc>
        <w:tc>
          <w:tcPr>
            <w:tcW w:w="2457" w:type="pct"/>
            <w:tcBorders>
              <w:top w:val="single" w:color="auto" w:sz="4" w:space="0"/>
              <w:left w:val="single" w:color="auto" w:sz="4" w:space="0"/>
              <w:bottom w:val="single" w:color="auto" w:sz="4" w:space="0"/>
            </w:tcBorders>
          </w:tcPr>
          <w:p w14:paraId="075A682D">
            <w:pPr>
              <w:jc w:val="right"/>
            </w:pPr>
            <w:r>
              <w:t>20</w:t>
            </w:r>
          </w:p>
        </w:tc>
      </w:tr>
      <w:tr w14:paraId="7F0D0F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9FB6B2F">
            <w:r>
              <w:t>力帆-越南摩托车制造联营公司</w:t>
            </w:r>
          </w:p>
        </w:tc>
        <w:tc>
          <w:tcPr>
            <w:tcW w:w="2457" w:type="pct"/>
            <w:tcBorders>
              <w:top w:val="single" w:color="auto" w:sz="4" w:space="0"/>
              <w:left w:val="single" w:color="auto" w:sz="4" w:space="0"/>
              <w:bottom w:val="single" w:color="auto" w:sz="4" w:space="0"/>
            </w:tcBorders>
          </w:tcPr>
          <w:p w14:paraId="7016FEB8">
            <w:pPr>
              <w:jc w:val="right"/>
            </w:pPr>
            <w:r>
              <w:t>20</w:t>
            </w:r>
          </w:p>
        </w:tc>
      </w:tr>
      <w:tr w14:paraId="1D078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08AE2CF">
            <w:r>
              <w:t>力帆国际（控股）有限公司</w:t>
            </w:r>
          </w:p>
        </w:tc>
        <w:tc>
          <w:tcPr>
            <w:tcW w:w="2457" w:type="pct"/>
            <w:tcBorders>
              <w:top w:val="single" w:color="auto" w:sz="4" w:space="0"/>
              <w:left w:val="single" w:color="auto" w:sz="4" w:space="0"/>
              <w:bottom w:val="single" w:color="auto" w:sz="4" w:space="0"/>
            </w:tcBorders>
          </w:tcPr>
          <w:p w14:paraId="04BDAD2A">
            <w:pPr>
              <w:jc w:val="right"/>
            </w:pPr>
            <w:r>
              <w:t>16.50</w:t>
            </w:r>
          </w:p>
        </w:tc>
      </w:tr>
      <w:tr w14:paraId="5AA1C2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92B8CEF">
            <w:r>
              <w:t>力帆国际（贸易）有限公司</w:t>
            </w:r>
          </w:p>
        </w:tc>
        <w:tc>
          <w:tcPr>
            <w:tcW w:w="2457" w:type="pct"/>
            <w:tcBorders>
              <w:top w:val="single" w:color="auto" w:sz="4" w:space="0"/>
              <w:left w:val="single" w:color="auto" w:sz="4" w:space="0"/>
              <w:bottom w:val="single" w:color="auto" w:sz="4" w:space="0"/>
            </w:tcBorders>
          </w:tcPr>
          <w:p w14:paraId="29998371">
            <w:pPr>
              <w:jc w:val="right"/>
            </w:pPr>
            <w:r>
              <w:t>17</w:t>
            </w:r>
          </w:p>
        </w:tc>
      </w:tr>
      <w:tr w14:paraId="3D27F8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9E62A57">
            <w:r>
              <w:t>乌拉圭控股公司 LAFERTINS.A</w:t>
            </w:r>
          </w:p>
        </w:tc>
        <w:tc>
          <w:tcPr>
            <w:tcW w:w="2457" w:type="pct"/>
            <w:tcBorders>
              <w:top w:val="single" w:color="auto" w:sz="4" w:space="0"/>
              <w:left w:val="single" w:color="auto" w:sz="4" w:space="0"/>
              <w:bottom w:val="single" w:color="auto" w:sz="4" w:space="0"/>
            </w:tcBorders>
          </w:tcPr>
          <w:p w14:paraId="0288412F">
            <w:pPr>
              <w:jc w:val="right"/>
            </w:pPr>
            <w:r>
              <w:t>25</w:t>
            </w:r>
          </w:p>
        </w:tc>
      </w:tr>
      <w:tr w14:paraId="047D4E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B63220C">
            <w:r>
              <w:t>乌拉圭发动机公司 ANIKTOS.A</w:t>
            </w:r>
          </w:p>
        </w:tc>
        <w:tc>
          <w:tcPr>
            <w:tcW w:w="2457" w:type="pct"/>
            <w:tcBorders>
              <w:top w:val="single" w:color="auto" w:sz="4" w:space="0"/>
              <w:left w:val="single" w:color="auto" w:sz="4" w:space="0"/>
              <w:bottom w:val="single" w:color="auto" w:sz="4" w:space="0"/>
            </w:tcBorders>
          </w:tcPr>
          <w:p w14:paraId="1EB444B9">
            <w:pPr>
              <w:jc w:val="right"/>
            </w:pPr>
            <w:r>
              <w:t>25</w:t>
            </w:r>
          </w:p>
        </w:tc>
      </w:tr>
      <w:tr w14:paraId="34D8D6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72A08441">
            <w:r>
              <w:t>力帆巴西汽车有限公司LIFANDOBRASIL</w:t>
            </w:r>
          </w:p>
        </w:tc>
        <w:tc>
          <w:tcPr>
            <w:tcW w:w="2457" w:type="pct"/>
            <w:tcBorders>
              <w:top w:val="single" w:color="auto" w:sz="4" w:space="0"/>
              <w:left w:val="single" w:color="auto" w:sz="4" w:space="0"/>
              <w:bottom w:val="single" w:color="auto" w:sz="4" w:space="0"/>
            </w:tcBorders>
          </w:tcPr>
          <w:p w14:paraId="3F48901D">
            <w:pPr>
              <w:jc w:val="right"/>
            </w:pPr>
            <w:r>
              <w:rPr>
                <w:rFonts w:hint="eastAsia"/>
              </w:rPr>
              <w:t>收益&lt;=24万雷亚尔，24；收益&gt;24万雷亚尔，34</w:t>
            </w:r>
          </w:p>
        </w:tc>
      </w:tr>
      <w:tr w14:paraId="110B19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F8D1202">
            <w:r>
              <w:t>乌拉圭汽车公司 BESINEYS.A</w:t>
            </w:r>
          </w:p>
        </w:tc>
        <w:tc>
          <w:tcPr>
            <w:tcW w:w="2457" w:type="pct"/>
            <w:tcBorders>
              <w:top w:val="single" w:color="auto" w:sz="4" w:space="0"/>
              <w:left w:val="single" w:color="auto" w:sz="4" w:space="0"/>
              <w:bottom w:val="single" w:color="auto" w:sz="4" w:space="0"/>
            </w:tcBorders>
          </w:tcPr>
          <w:p w14:paraId="1D5DE095">
            <w:pPr>
              <w:jc w:val="right"/>
            </w:pPr>
            <w:r>
              <w:t>25</w:t>
            </w:r>
          </w:p>
        </w:tc>
      </w:tr>
      <w:tr w14:paraId="2873C1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A8AC8F0">
            <w:r>
              <w:t>力帆俄罗斯车辆有限责任公司</w:t>
            </w:r>
          </w:p>
        </w:tc>
        <w:tc>
          <w:tcPr>
            <w:tcW w:w="2457" w:type="pct"/>
            <w:tcBorders>
              <w:top w:val="single" w:color="auto" w:sz="4" w:space="0"/>
              <w:left w:val="single" w:color="auto" w:sz="4" w:space="0"/>
              <w:bottom w:val="single" w:color="auto" w:sz="4" w:space="0"/>
            </w:tcBorders>
          </w:tcPr>
          <w:p w14:paraId="061910E7">
            <w:pPr>
              <w:jc w:val="right"/>
            </w:pPr>
            <w:r>
              <w:t>25</w:t>
            </w:r>
          </w:p>
        </w:tc>
      </w:tr>
      <w:tr w14:paraId="38FED9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87B17E1">
            <w:r>
              <w:t>睿蓝俄罗斯有限责任公司</w:t>
            </w:r>
          </w:p>
        </w:tc>
        <w:tc>
          <w:tcPr>
            <w:tcW w:w="2457" w:type="pct"/>
            <w:tcBorders>
              <w:top w:val="single" w:color="auto" w:sz="4" w:space="0"/>
              <w:left w:val="single" w:color="auto" w:sz="4" w:space="0"/>
              <w:bottom w:val="single" w:color="auto" w:sz="4" w:space="0"/>
            </w:tcBorders>
          </w:tcPr>
          <w:p w14:paraId="2F916EFB">
            <w:pPr>
              <w:jc w:val="right"/>
            </w:pPr>
            <w:r>
              <w:t>25</w:t>
            </w:r>
          </w:p>
        </w:tc>
      </w:tr>
      <w:tr w14:paraId="131853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32B06E30">
            <w:r>
              <w:t>Three sails LLC(三帆有限责任公司)</w:t>
            </w:r>
          </w:p>
        </w:tc>
        <w:tc>
          <w:tcPr>
            <w:tcW w:w="2457" w:type="pct"/>
            <w:tcBorders>
              <w:top w:val="single" w:color="auto" w:sz="4" w:space="0"/>
              <w:left w:val="single" w:color="auto" w:sz="4" w:space="0"/>
              <w:bottom w:val="single" w:color="auto" w:sz="4" w:space="0"/>
            </w:tcBorders>
          </w:tcPr>
          <w:p w14:paraId="09177940">
            <w:pPr>
              <w:jc w:val="right"/>
            </w:pPr>
            <w:r>
              <w:t>25</w:t>
            </w:r>
          </w:p>
        </w:tc>
      </w:tr>
      <w:tr w14:paraId="73151A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7E5742E0">
            <w:r>
              <w:t>扬帆汽车私人有限公司</w:t>
            </w:r>
          </w:p>
        </w:tc>
        <w:tc>
          <w:tcPr>
            <w:tcW w:w="2457" w:type="pct"/>
            <w:tcBorders>
              <w:top w:val="single" w:color="auto" w:sz="4" w:space="0"/>
              <w:left w:val="single" w:color="auto" w:sz="4" w:space="0"/>
              <w:bottom w:val="single" w:color="auto" w:sz="4" w:space="0"/>
            </w:tcBorders>
          </w:tcPr>
          <w:p w14:paraId="2B45A04E">
            <w:pPr>
              <w:jc w:val="right"/>
            </w:pPr>
            <w:r>
              <w:t>30</w:t>
            </w:r>
          </w:p>
        </w:tc>
      </w:tr>
      <w:tr w14:paraId="22E652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63F061A">
            <w:r>
              <w:t>重庆派方摩托车有限公司</w:t>
            </w:r>
          </w:p>
        </w:tc>
        <w:tc>
          <w:tcPr>
            <w:tcW w:w="2457" w:type="pct"/>
            <w:tcBorders>
              <w:top w:val="single" w:color="auto" w:sz="4" w:space="0"/>
              <w:left w:val="single" w:color="auto" w:sz="4" w:space="0"/>
              <w:bottom w:val="single" w:color="auto" w:sz="4" w:space="0"/>
            </w:tcBorders>
          </w:tcPr>
          <w:p w14:paraId="03A2454C">
            <w:pPr>
              <w:jc w:val="right"/>
            </w:pPr>
            <w:r>
              <w:t>20</w:t>
            </w:r>
          </w:p>
        </w:tc>
      </w:tr>
      <w:tr w14:paraId="3E10D5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FA43BCF">
            <w:r>
              <w:t>重庆力帆速骓进出口贸易有限公司</w:t>
            </w:r>
          </w:p>
        </w:tc>
        <w:tc>
          <w:tcPr>
            <w:tcW w:w="2457" w:type="pct"/>
            <w:tcBorders>
              <w:top w:val="single" w:color="auto" w:sz="4" w:space="0"/>
              <w:left w:val="single" w:color="auto" w:sz="4" w:space="0"/>
              <w:bottom w:val="single" w:color="auto" w:sz="4" w:space="0"/>
            </w:tcBorders>
          </w:tcPr>
          <w:p w14:paraId="3BA3E388">
            <w:pPr>
              <w:jc w:val="right"/>
            </w:pPr>
            <w:r>
              <w:t>25</w:t>
            </w:r>
          </w:p>
        </w:tc>
      </w:tr>
      <w:tr w14:paraId="1FC9B1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568EB0A">
            <w:r>
              <w:t>重庆力帆内燃机有限公司</w:t>
            </w:r>
          </w:p>
        </w:tc>
        <w:tc>
          <w:tcPr>
            <w:tcW w:w="2457" w:type="pct"/>
            <w:tcBorders>
              <w:top w:val="single" w:color="auto" w:sz="4" w:space="0"/>
              <w:left w:val="single" w:color="auto" w:sz="4" w:space="0"/>
              <w:bottom w:val="single" w:color="auto" w:sz="4" w:space="0"/>
            </w:tcBorders>
          </w:tcPr>
          <w:p w14:paraId="29177656">
            <w:pPr>
              <w:jc w:val="right"/>
            </w:pPr>
            <w:r>
              <w:t>15</w:t>
            </w:r>
          </w:p>
        </w:tc>
      </w:tr>
      <w:tr w14:paraId="14BE1C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BC40FDC">
            <w:r>
              <w:t>重庆睿蓝汽车科技有限公司</w:t>
            </w:r>
          </w:p>
        </w:tc>
        <w:tc>
          <w:tcPr>
            <w:tcW w:w="2457" w:type="pct"/>
            <w:tcBorders>
              <w:top w:val="single" w:color="auto" w:sz="4" w:space="0"/>
              <w:left w:val="single" w:color="auto" w:sz="4" w:space="0"/>
              <w:bottom w:val="single" w:color="auto" w:sz="4" w:space="0"/>
            </w:tcBorders>
          </w:tcPr>
          <w:p w14:paraId="0DB60037">
            <w:pPr>
              <w:jc w:val="right"/>
            </w:pPr>
            <w:r>
              <w:t>15</w:t>
            </w:r>
          </w:p>
        </w:tc>
      </w:tr>
      <w:tr w14:paraId="53E636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51260F3">
            <w:r>
              <w:t>重庆睿蓝汽车研究院有限公司</w:t>
            </w:r>
          </w:p>
        </w:tc>
        <w:tc>
          <w:tcPr>
            <w:tcW w:w="2457" w:type="pct"/>
            <w:tcBorders>
              <w:top w:val="single" w:color="auto" w:sz="4" w:space="0"/>
              <w:left w:val="single" w:color="auto" w:sz="4" w:space="0"/>
              <w:bottom w:val="single" w:color="auto" w:sz="4" w:space="0"/>
            </w:tcBorders>
          </w:tcPr>
          <w:p w14:paraId="38F5BE40">
            <w:pPr>
              <w:jc w:val="right"/>
            </w:pPr>
            <w:r>
              <w:t>15</w:t>
            </w:r>
          </w:p>
        </w:tc>
      </w:tr>
      <w:tr w14:paraId="25D8E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EF5B8D5">
            <w:r>
              <w:t>重庆睿蓝汽车销售有限公司</w:t>
            </w:r>
          </w:p>
        </w:tc>
        <w:tc>
          <w:tcPr>
            <w:tcW w:w="2457" w:type="pct"/>
            <w:tcBorders>
              <w:top w:val="single" w:color="auto" w:sz="4" w:space="0"/>
              <w:left w:val="single" w:color="auto" w:sz="4" w:space="0"/>
              <w:bottom w:val="single" w:color="auto" w:sz="4" w:space="0"/>
            </w:tcBorders>
          </w:tcPr>
          <w:p w14:paraId="40241130">
            <w:pPr>
              <w:jc w:val="right"/>
            </w:pPr>
            <w:r>
              <w:t>15</w:t>
            </w:r>
          </w:p>
        </w:tc>
      </w:tr>
      <w:tr w14:paraId="1EE70B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3AE18E52">
            <w:r>
              <w:t>重庆睿蓝汽车进出口有限公司</w:t>
            </w:r>
          </w:p>
        </w:tc>
        <w:tc>
          <w:tcPr>
            <w:tcW w:w="2457" w:type="pct"/>
            <w:tcBorders>
              <w:top w:val="single" w:color="auto" w:sz="4" w:space="0"/>
              <w:left w:val="single" w:color="auto" w:sz="4" w:space="0"/>
              <w:bottom w:val="single" w:color="auto" w:sz="4" w:space="0"/>
            </w:tcBorders>
          </w:tcPr>
          <w:p w14:paraId="34C3D2B7">
            <w:pPr>
              <w:jc w:val="right"/>
            </w:pPr>
            <w:r>
              <w:t>15</w:t>
            </w:r>
          </w:p>
        </w:tc>
      </w:tr>
      <w:tr w14:paraId="13714F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78D8B6CF">
            <w:r>
              <w:t>重庆睿蓝汽车贸易有限公司</w:t>
            </w:r>
          </w:p>
        </w:tc>
        <w:tc>
          <w:tcPr>
            <w:tcW w:w="2457" w:type="pct"/>
            <w:tcBorders>
              <w:top w:val="single" w:color="auto" w:sz="4" w:space="0"/>
              <w:left w:val="single" w:color="auto" w:sz="4" w:space="0"/>
              <w:bottom w:val="single" w:color="auto" w:sz="4" w:space="0"/>
            </w:tcBorders>
          </w:tcPr>
          <w:p w14:paraId="76E08942">
            <w:pPr>
              <w:jc w:val="right"/>
            </w:pPr>
            <w:r>
              <w:t>20</w:t>
            </w:r>
          </w:p>
        </w:tc>
      </w:tr>
      <w:tr w14:paraId="3A2262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DDB54C0">
            <w:r>
              <w:t>重庆无线绿洲通信技术有限公司</w:t>
            </w:r>
          </w:p>
        </w:tc>
        <w:tc>
          <w:tcPr>
            <w:tcW w:w="2457" w:type="pct"/>
            <w:tcBorders>
              <w:top w:val="single" w:color="auto" w:sz="4" w:space="0"/>
              <w:left w:val="single" w:color="auto" w:sz="4" w:space="0"/>
              <w:bottom w:val="single" w:color="auto" w:sz="4" w:space="0"/>
            </w:tcBorders>
          </w:tcPr>
          <w:p w14:paraId="6264A288">
            <w:pPr>
              <w:jc w:val="right"/>
            </w:pPr>
            <w:r>
              <w:t>25</w:t>
            </w:r>
          </w:p>
        </w:tc>
      </w:tr>
      <w:tr w14:paraId="7AE9E2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5B07FCE3">
            <w:r>
              <w:t>北京无线绿洲通信技术有限公司</w:t>
            </w:r>
          </w:p>
        </w:tc>
        <w:tc>
          <w:tcPr>
            <w:tcW w:w="2457" w:type="pct"/>
            <w:tcBorders>
              <w:top w:val="single" w:color="auto" w:sz="4" w:space="0"/>
              <w:left w:val="single" w:color="auto" w:sz="4" w:space="0"/>
              <w:bottom w:val="single" w:color="auto" w:sz="4" w:space="0"/>
            </w:tcBorders>
          </w:tcPr>
          <w:p w14:paraId="4F8C9B89">
            <w:pPr>
              <w:jc w:val="right"/>
            </w:pPr>
            <w:r>
              <w:t>20</w:t>
            </w:r>
          </w:p>
        </w:tc>
      </w:tr>
      <w:tr w14:paraId="35A971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FEFCF0F">
            <w:r>
              <w:t>重庆力帆新能源汽车有限公司</w:t>
            </w:r>
          </w:p>
        </w:tc>
        <w:tc>
          <w:tcPr>
            <w:tcW w:w="2457" w:type="pct"/>
            <w:tcBorders>
              <w:top w:val="single" w:color="auto" w:sz="4" w:space="0"/>
              <w:left w:val="single" w:color="auto" w:sz="4" w:space="0"/>
              <w:bottom w:val="single" w:color="auto" w:sz="4" w:space="0"/>
            </w:tcBorders>
          </w:tcPr>
          <w:p w14:paraId="6160263B">
            <w:pPr>
              <w:jc w:val="right"/>
            </w:pPr>
            <w:r>
              <w:t>25</w:t>
            </w:r>
          </w:p>
        </w:tc>
      </w:tr>
      <w:tr w14:paraId="6E0FB8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5F09CB3">
            <w:r>
              <w:t>重庆力帆丰顺汽车销售有限公司</w:t>
            </w:r>
          </w:p>
        </w:tc>
        <w:tc>
          <w:tcPr>
            <w:tcW w:w="2457" w:type="pct"/>
            <w:tcBorders>
              <w:top w:val="single" w:color="auto" w:sz="4" w:space="0"/>
              <w:left w:val="single" w:color="auto" w:sz="4" w:space="0"/>
              <w:bottom w:val="single" w:color="auto" w:sz="4" w:space="0"/>
            </w:tcBorders>
          </w:tcPr>
          <w:p w14:paraId="0D398405">
            <w:pPr>
              <w:jc w:val="right"/>
            </w:pPr>
            <w:r>
              <w:t>20</w:t>
            </w:r>
          </w:p>
        </w:tc>
      </w:tr>
      <w:tr w14:paraId="340F33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4FF74ED1">
            <w:r>
              <w:t>重庆力帆汽车发动机有限公司</w:t>
            </w:r>
          </w:p>
        </w:tc>
        <w:tc>
          <w:tcPr>
            <w:tcW w:w="2457" w:type="pct"/>
            <w:tcBorders>
              <w:top w:val="single" w:color="auto" w:sz="4" w:space="0"/>
              <w:left w:val="single" w:color="auto" w:sz="4" w:space="0"/>
              <w:bottom w:val="single" w:color="auto" w:sz="4" w:space="0"/>
            </w:tcBorders>
          </w:tcPr>
          <w:p w14:paraId="5EDBED30">
            <w:pPr>
              <w:jc w:val="right"/>
            </w:pPr>
            <w:r>
              <w:t>20</w:t>
            </w:r>
          </w:p>
        </w:tc>
      </w:tr>
      <w:tr w14:paraId="05B442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46D1D72">
            <w:r>
              <w:t>重庆力帆车辆研究院有限公司</w:t>
            </w:r>
          </w:p>
        </w:tc>
        <w:tc>
          <w:tcPr>
            <w:tcW w:w="2457" w:type="pct"/>
            <w:tcBorders>
              <w:top w:val="single" w:color="auto" w:sz="4" w:space="0"/>
              <w:left w:val="single" w:color="auto" w:sz="4" w:space="0"/>
              <w:bottom w:val="single" w:color="auto" w:sz="4" w:space="0"/>
            </w:tcBorders>
          </w:tcPr>
          <w:p w14:paraId="7992E950">
            <w:pPr>
              <w:jc w:val="right"/>
            </w:pPr>
            <w:r>
              <w:t>25</w:t>
            </w:r>
          </w:p>
        </w:tc>
      </w:tr>
      <w:tr w14:paraId="4B561C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0A8C653">
            <w:r>
              <w:t>力帆集团重庆万光新能源科技有限公司</w:t>
            </w:r>
          </w:p>
        </w:tc>
        <w:tc>
          <w:tcPr>
            <w:tcW w:w="2457" w:type="pct"/>
            <w:tcBorders>
              <w:top w:val="single" w:color="auto" w:sz="4" w:space="0"/>
              <w:left w:val="single" w:color="auto" w:sz="4" w:space="0"/>
              <w:bottom w:val="single" w:color="auto" w:sz="4" w:space="0"/>
            </w:tcBorders>
          </w:tcPr>
          <w:p w14:paraId="21BA3D72">
            <w:pPr>
              <w:jc w:val="right"/>
            </w:pPr>
            <w:r>
              <w:t>25</w:t>
            </w:r>
          </w:p>
        </w:tc>
      </w:tr>
      <w:tr w14:paraId="6F6234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1D5EBE3B">
            <w:r>
              <w:t>重庆力帆智能新能源汽车研究院有限公司</w:t>
            </w:r>
          </w:p>
        </w:tc>
        <w:tc>
          <w:tcPr>
            <w:tcW w:w="2457" w:type="pct"/>
            <w:tcBorders>
              <w:top w:val="single" w:color="auto" w:sz="4" w:space="0"/>
              <w:left w:val="single" w:color="auto" w:sz="4" w:space="0"/>
              <w:bottom w:val="single" w:color="auto" w:sz="4" w:space="0"/>
            </w:tcBorders>
          </w:tcPr>
          <w:p w14:paraId="2F82F85A">
            <w:pPr>
              <w:jc w:val="right"/>
            </w:pPr>
            <w:r>
              <w:t>20</w:t>
            </w:r>
          </w:p>
        </w:tc>
      </w:tr>
      <w:tr w14:paraId="09D84C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D3FCA80">
            <w:r>
              <w:t>重庆力帆汽车销售有限公司</w:t>
            </w:r>
          </w:p>
        </w:tc>
        <w:tc>
          <w:tcPr>
            <w:tcW w:w="2457" w:type="pct"/>
            <w:tcBorders>
              <w:top w:val="single" w:color="auto" w:sz="4" w:space="0"/>
              <w:left w:val="single" w:color="auto" w:sz="4" w:space="0"/>
              <w:bottom w:val="single" w:color="auto" w:sz="4" w:space="0"/>
            </w:tcBorders>
          </w:tcPr>
          <w:p w14:paraId="536692D9">
            <w:pPr>
              <w:jc w:val="right"/>
            </w:pPr>
            <w:r>
              <w:t>20</w:t>
            </w:r>
          </w:p>
        </w:tc>
      </w:tr>
      <w:tr w14:paraId="4AFC8F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2A41A75F">
            <w:r>
              <w:t>重庆睿蓝汽车制造有限公司</w:t>
            </w:r>
          </w:p>
        </w:tc>
        <w:tc>
          <w:tcPr>
            <w:tcW w:w="2457" w:type="pct"/>
            <w:tcBorders>
              <w:top w:val="single" w:color="auto" w:sz="4" w:space="0"/>
              <w:left w:val="single" w:color="auto" w:sz="4" w:space="0"/>
              <w:bottom w:val="single" w:color="auto" w:sz="4" w:space="0"/>
            </w:tcBorders>
          </w:tcPr>
          <w:p w14:paraId="7A0AD405">
            <w:pPr>
              <w:jc w:val="right"/>
            </w:pPr>
            <w:r>
              <w:t>15</w:t>
            </w:r>
          </w:p>
        </w:tc>
      </w:tr>
      <w:tr w14:paraId="686DF5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ED91A04">
            <w:r>
              <w:t>上海中科力帆电动汽车有限公司</w:t>
            </w:r>
          </w:p>
        </w:tc>
        <w:tc>
          <w:tcPr>
            <w:tcW w:w="2457" w:type="pct"/>
            <w:tcBorders>
              <w:top w:val="single" w:color="auto" w:sz="4" w:space="0"/>
              <w:left w:val="single" w:color="auto" w:sz="4" w:space="0"/>
              <w:bottom w:val="single" w:color="auto" w:sz="4" w:space="0"/>
            </w:tcBorders>
          </w:tcPr>
          <w:p w14:paraId="4FA2B11C">
            <w:pPr>
              <w:jc w:val="right"/>
            </w:pPr>
            <w:r>
              <w:t>20</w:t>
            </w:r>
          </w:p>
        </w:tc>
      </w:tr>
      <w:tr w14:paraId="0227F8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65817179">
            <w:r>
              <w:t>重庆力帆资产管理有限公司</w:t>
            </w:r>
          </w:p>
        </w:tc>
        <w:tc>
          <w:tcPr>
            <w:tcW w:w="2457" w:type="pct"/>
            <w:tcBorders>
              <w:top w:val="single" w:color="auto" w:sz="4" w:space="0"/>
              <w:left w:val="single" w:color="auto" w:sz="4" w:space="0"/>
              <w:bottom w:val="single" w:color="auto" w:sz="4" w:space="0"/>
            </w:tcBorders>
          </w:tcPr>
          <w:p w14:paraId="416DD789">
            <w:pPr>
              <w:jc w:val="right"/>
            </w:pPr>
            <w:r>
              <w:t>25</w:t>
            </w:r>
          </w:p>
        </w:tc>
      </w:tr>
      <w:tr w14:paraId="4FCDBE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33093BC">
            <w:r>
              <w:t>重庆力帆实业集团销售有限公司</w:t>
            </w:r>
          </w:p>
        </w:tc>
        <w:tc>
          <w:tcPr>
            <w:tcW w:w="2457" w:type="pct"/>
            <w:tcBorders>
              <w:top w:val="single" w:color="auto" w:sz="4" w:space="0"/>
              <w:left w:val="single" w:color="auto" w:sz="4" w:space="0"/>
              <w:bottom w:val="single" w:color="auto" w:sz="4" w:space="0"/>
            </w:tcBorders>
          </w:tcPr>
          <w:p w14:paraId="28C3D42A">
            <w:pPr>
              <w:jc w:val="right"/>
            </w:pPr>
            <w:r>
              <w:t>25</w:t>
            </w:r>
          </w:p>
        </w:tc>
      </w:tr>
      <w:tr w14:paraId="3264B6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3FACAF5">
            <w:r>
              <w:t>重庆润田房地产开发有限公司</w:t>
            </w:r>
          </w:p>
        </w:tc>
        <w:tc>
          <w:tcPr>
            <w:tcW w:w="2457" w:type="pct"/>
            <w:tcBorders>
              <w:top w:val="single" w:color="auto" w:sz="4" w:space="0"/>
              <w:left w:val="single" w:color="auto" w:sz="4" w:space="0"/>
              <w:bottom w:val="single" w:color="auto" w:sz="4" w:space="0"/>
            </w:tcBorders>
          </w:tcPr>
          <w:p w14:paraId="0AC0251A">
            <w:pPr>
              <w:jc w:val="right"/>
            </w:pPr>
            <w:r>
              <w:t>25</w:t>
            </w:r>
          </w:p>
        </w:tc>
      </w:tr>
      <w:tr w14:paraId="54C386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33A8F5C9">
            <w:r>
              <w:t>重庆新润壹物业管理有限公司</w:t>
            </w:r>
          </w:p>
        </w:tc>
        <w:tc>
          <w:tcPr>
            <w:tcW w:w="2457" w:type="pct"/>
            <w:tcBorders>
              <w:top w:val="single" w:color="auto" w:sz="4" w:space="0"/>
              <w:left w:val="single" w:color="auto" w:sz="4" w:space="0"/>
              <w:bottom w:val="single" w:color="auto" w:sz="4" w:space="0"/>
            </w:tcBorders>
          </w:tcPr>
          <w:p w14:paraId="7A81130D">
            <w:pPr>
              <w:jc w:val="right"/>
            </w:pPr>
            <w:r>
              <w:t>20</w:t>
            </w:r>
          </w:p>
        </w:tc>
      </w:tr>
      <w:tr w14:paraId="0460C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B136D58">
            <w:r>
              <w:t>重庆千同企业管理有限公司</w:t>
            </w:r>
          </w:p>
        </w:tc>
        <w:tc>
          <w:tcPr>
            <w:tcW w:w="2457" w:type="pct"/>
            <w:tcBorders>
              <w:top w:val="single" w:color="auto" w:sz="4" w:space="0"/>
              <w:left w:val="single" w:color="auto" w:sz="4" w:space="0"/>
              <w:bottom w:val="single" w:color="auto" w:sz="4" w:space="0"/>
            </w:tcBorders>
          </w:tcPr>
          <w:p w14:paraId="6CD0FBB0">
            <w:pPr>
              <w:jc w:val="right"/>
            </w:pPr>
            <w:r>
              <w:t>25</w:t>
            </w:r>
          </w:p>
        </w:tc>
      </w:tr>
      <w:tr w14:paraId="7B3034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43" w:type="pct"/>
            <w:tcBorders>
              <w:top w:val="single" w:color="auto" w:sz="4" w:space="0"/>
              <w:bottom w:val="single" w:color="auto" w:sz="4" w:space="0"/>
              <w:right w:val="single" w:color="auto" w:sz="4" w:space="0"/>
            </w:tcBorders>
            <w:vAlign w:val="center"/>
          </w:tcPr>
          <w:p w14:paraId="0DBAAECD">
            <w:r>
              <w:t>重庆智骐鑫旺企业管理有限公司</w:t>
            </w:r>
          </w:p>
        </w:tc>
        <w:tc>
          <w:tcPr>
            <w:tcW w:w="2457" w:type="pct"/>
            <w:tcBorders>
              <w:top w:val="single" w:color="auto" w:sz="4" w:space="0"/>
              <w:left w:val="single" w:color="auto" w:sz="4" w:space="0"/>
              <w:bottom w:val="single" w:color="auto" w:sz="4" w:space="0"/>
            </w:tcBorders>
          </w:tcPr>
          <w:p w14:paraId="549B8093">
            <w:pPr>
              <w:jc w:val="right"/>
            </w:pPr>
            <w:r>
              <w:t>20</w:t>
            </w:r>
          </w:p>
        </w:tc>
      </w:tr>
    </w:tbl>
    <w:p w14:paraId="59E048FE">
      <w:r>
        <w:rPr>
          <w:rFonts w:hint="eastAsia"/>
        </w:rPr>
        <w:t>注：</w:t>
      </w:r>
      <w:r>
        <w:t>广州市力帆电动汽车销售有限公司</w:t>
      </w:r>
      <w:r>
        <w:rPr>
          <w:rFonts w:hint="eastAsia"/>
        </w:rPr>
        <w:t>税务登记已注销，无税率。</w:t>
      </w:r>
    </w:p>
    <w:p w14:paraId="07EA4421"/>
    <w:p w14:paraId="39B8710B">
      <w:pPr>
        <w:pStyle w:val="4"/>
        <w:numPr>
          <w:ilvl w:val="0"/>
          <w:numId w:val="40"/>
        </w:numPr>
        <w:tabs>
          <w:tab w:val="left" w:pos="546"/>
        </w:tabs>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税收优惠</w:t>
      </w:r>
    </w:p>
    <w:sdt>
      <w:sdtPr>
        <w:rPr>
          <w:rFonts w:hint="eastAsia"/>
          <w:color w:val="000000" w:themeColor="text1"/>
          <w14:textFill>
            <w14:solidFill>
              <w14:schemeClr w14:val="tx1"/>
            </w14:solidFill>
          </w14:textFill>
        </w:rPr>
        <w:alias w:val="是否适用：税收优惠[双击切换]"/>
        <w:tag w:val="_GBC_f8eb23e7a2e74e448e4eb46519d87bd6"/>
        <w:id w:val="-973208668"/>
        <w:placeholder>
          <w:docPart w:val="GBC22222222222222222222222222222"/>
        </w:placeholder>
      </w:sdtPr>
      <w:sdtEndPr>
        <w:rPr>
          <w:rFonts w:hint="eastAsia"/>
          <w:color w:val="000000" w:themeColor="text1"/>
          <w14:textFill>
            <w14:solidFill>
              <w14:schemeClr w14:val="tx1"/>
            </w14:solidFill>
          </w14:textFill>
        </w:rPr>
      </w:sdtEndPr>
      <w:sdtContent>
        <w:p w14:paraId="636DC2A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优惠税赋及批文"/>
        <w:tag w:val="_GBC_3bbdacdaa3ba421fb8a81b9bda047bb4"/>
        <w:id w:val="-158156616"/>
        <w:placeholder>
          <w:docPart w:val="GBC22222222222222222222222222222"/>
        </w:placeholder>
      </w:sdtPr>
      <w:sdtEndPr>
        <w:rPr>
          <w:rFonts w:hint="eastAsia"/>
          <w:color w:val="000000" w:themeColor="text1"/>
          <w14:textFill>
            <w14:solidFill>
              <w14:schemeClr w14:val="tx1"/>
            </w14:solidFill>
          </w14:textFill>
        </w:rPr>
      </w:sdtEndPr>
      <w:sdtContent>
        <w:p w14:paraId="643C6188">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关于延续西部大开发企业所得税政策的公告》(财政部、税务总局、国家发展改革委公告2020年第23号)规定，自2021年1月1日至2030年12月31日，对设在西部地区的鼓励类产业企业减按15%的税率征收企业所得税。2025年半年度本公司及子公司重庆力帆瑞驰摩托车有限公司、重庆力帆喜生活摩托车销售有限公司、重庆力帆实业(集团)进出口有限公司、重庆力帆内燃机有限公司、重庆睿蓝汽车科技有限公司、重庆睿蓝汽车研究院有限公司、重庆睿蓝汽车销售有限公司、重庆睿蓝汽车制造有限公司、重庆睿蓝汽车进出口有限公司符合西部大开发企业所得税优惠政策规定，按15%税率申报缴纳企业所得税。</w:t>
          </w:r>
        </w:p>
        <w:p w14:paraId="16F0C8B1">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关于进一步支持小微企业和个体工商户发展有关税费政策的公告》（财政部税务总局公告2023年第12号）、《关于小微企业和个体工商户所得税优惠政策的公告》(财政部税务总局公告2023年第6号)和《财政部税务总局关于进一步实施小微企业所得税优惠政策的公告》(财政部税务总局公告2022年第13号)规定，重庆力帆电喷软件有限公司、河南力帆树民进出口有限公司、重庆力帆摩托车发动机有限公司、重庆千里速达进出口贸易有限公司、江门气派进出口有限公司、北京无线绿洲通信技术有限公司、重庆力帆丰顺汽车销售有限公司、重庆力帆汽车销售有限公司、重庆新润壹物业管理有限公司、</w:t>
          </w:r>
          <w:r>
            <w:t>重庆派方摩托车有限公司、重庆力帆汽车发动机有限公司、重庆力帆智能新能源汽车研究院有限公司、上海中科力帆电动汽车有限公司、重庆睿蓝汽车贸易有限公司、重庆智骐鑫旺企业管理有限公司</w:t>
          </w:r>
          <w:r>
            <w:rPr>
              <w:rFonts w:hint="eastAsia"/>
              <w:color w:val="000000" w:themeColor="text1"/>
              <w14:textFill>
                <w14:solidFill>
                  <w14:schemeClr w14:val="tx1"/>
                </w14:solidFill>
              </w14:textFill>
            </w:rPr>
            <w:t>属于小型微利企业，自2023年1月1日至2027年12月31日其应纳税所得额不超过100万元的部分，减按25%计入应纳税所得额，按20%的税率缴纳企业所得税；自2022年1月1日至2027年12月31日对小型微利企业年应纳税所得额超过100万元但不超过300万元的部分，减按25%计入应纳税所得额，按20%的税率缴纳企业所得税。</w:t>
          </w:r>
        </w:p>
        <w:p w14:paraId="4CAC3002">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关于进一步完善研发费用税前加计扣除政策的公告》(财政部税务总局公告2023年第7号)规定，重庆睿蓝汽车制造有限公司、重庆睿蓝汽车研究院有限公司、重庆力帆电喷软件有限公司、河南力帆树民车业有限公司、重庆力帆内燃机有限公司、重庆力帆瑞驰摩托车有限公司、重庆睿蓝汽车科技有限公司、重庆力帆车辆研究院有限公司在研发活动中实际发生的研发费用，未形成无形资产计入当期损益的，在按规定据实扣除的基础上，自2023年1月1日起，再按照实际发生额的100%在税前加计扣除；形成无形资产的，自2023年1月1日起，按照无形资产成本的200%在税前摊销。</w:t>
          </w:r>
        </w:p>
        <w:p w14:paraId="1AD0A0DA">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财政部税务总局关于先进制造业企业增值税加计抵减政策的公告》(财政部税务总局公告2023年第43号)规定，自2023年1月1日至2027年12月31日，允许先进制造业企业按照当期可抵扣进项税额加计5%抵减应纳增值税税额。重庆睿蓝汽车制造有限公司、重庆力帆瑞驰摩托车有限公司属于先进制造企业，202</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年1-</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月符合规定条件，适用该加计抵减政策。</w:t>
          </w:r>
        </w:p>
      </w:sdtContent>
    </w:sdt>
    <w:p w14:paraId="194B4C40">
      <w:pPr>
        <w:rPr>
          <w:color w:val="000000" w:themeColor="text1"/>
          <w14:textFill>
            <w14:solidFill>
              <w14:schemeClr w14:val="tx1"/>
            </w14:solidFill>
          </w14:textFill>
        </w:rPr>
      </w:pPr>
    </w:p>
    <w:p w14:paraId="399B7A0E">
      <w:pPr>
        <w:pStyle w:val="4"/>
        <w:numPr>
          <w:ilvl w:val="0"/>
          <w:numId w:val="40"/>
        </w:numPr>
        <w:tabs>
          <w:tab w:val="left" w:pos="546"/>
        </w:tabs>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其他</w:t>
      </w:r>
    </w:p>
    <w:sdt>
      <w:sdtPr>
        <w:rPr>
          <w:rFonts w:hint="eastAsia"/>
          <w:color w:val="000000" w:themeColor="text1"/>
          <w14:textFill>
            <w14:solidFill>
              <w14:schemeClr w14:val="tx1"/>
            </w14:solidFill>
          </w14:textFill>
        </w:rPr>
        <w:alias w:val="是否适用：税项说明[双击切换]"/>
        <w:tag w:val="_GBC_566ef0a7141a4b2ca002ad8d0663c462"/>
        <w:id w:val="-656767432"/>
        <w:placeholder>
          <w:docPart w:val="GBC22222222222222222222222222222"/>
        </w:placeholder>
      </w:sdtPr>
      <w:sdtEndPr>
        <w:rPr>
          <w:rFonts w:hint="eastAsia"/>
          <w:color w:val="000000" w:themeColor="text1"/>
          <w14:textFill>
            <w14:solidFill>
              <w14:schemeClr w14:val="tx1"/>
            </w14:solidFill>
          </w14:textFill>
        </w:rPr>
      </w:sdtEndPr>
      <w:sdtContent>
        <w:p w14:paraId="43962D7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1183B99">
      <w:pPr>
        <w:rPr>
          <w:color w:val="000000" w:themeColor="text1"/>
          <w14:textFill>
            <w14:solidFill>
              <w14:schemeClr w14:val="tx1"/>
            </w14:solidFill>
          </w14:textFill>
        </w:rPr>
      </w:pPr>
    </w:p>
    <w:p w14:paraId="70F49778">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合并财务报表项目注释</w:t>
      </w:r>
    </w:p>
    <w:p w14:paraId="0B0CDA6A">
      <w:pPr>
        <w:pStyle w:val="4"/>
        <w:numPr>
          <w:ilvl w:val="0"/>
          <w:numId w:val="41"/>
        </w:numPr>
        <w:rPr>
          <w:color w:val="000000" w:themeColor="text1"/>
          <w:szCs w:val="21"/>
          <w14:textFill>
            <w14:solidFill>
              <w14:schemeClr w14:val="tx1"/>
            </w14:solidFill>
          </w14:textFill>
        </w:rPr>
      </w:pPr>
      <w:bookmarkStart w:id="148" w:name="_Hlk167884561"/>
      <w:r>
        <w:rPr>
          <w:color w:val="000000" w:themeColor="text1"/>
          <w:szCs w:val="21"/>
          <w14:textFill>
            <w14:solidFill>
              <w14:schemeClr w14:val="tx1"/>
            </w14:solidFill>
          </w14:textFill>
        </w:rPr>
        <w:t>货币资金</w:t>
      </w:r>
    </w:p>
    <w:sdt>
      <w:sdtPr>
        <w:rPr>
          <w:rFonts w:hint="eastAsia"/>
          <w:color w:val="000000" w:themeColor="text1"/>
          <w14:textFill>
            <w14:solidFill>
              <w14:schemeClr w14:val="tx1"/>
            </w14:solidFill>
          </w14:textFill>
        </w:rPr>
        <w:alias w:val="是否适用：货币资金[双击切换]"/>
        <w:tag w:val="_GBC_5f3519836df54c60a57659bf8a9d755e"/>
        <w:id w:val="2026055620"/>
        <w:placeholder>
          <w:docPart w:val="F66646AE77554B4C8EEF3A8B98AA0388"/>
        </w:placeholder>
      </w:sdtPr>
      <w:sdtEndPr>
        <w:rPr>
          <w:rFonts w:hint="eastAsia"/>
          <w:color w:val="000000" w:themeColor="text1"/>
          <w14:textFill>
            <w14:solidFill>
              <w14:schemeClr w14:val="tx1"/>
            </w14:solidFill>
          </w14:textFill>
        </w:rPr>
      </w:sdtEndPr>
      <w:sdtContent>
        <w:p w14:paraId="0723DE2B">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60EB9F1">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货币资金"/>
          <w:tag w:val="_GBC_fbefd7cb6bcc4b278e8eafe562f64817"/>
          <w:id w:val="-681351572"/>
          <w:placeholder>
            <w:docPart w:val="F66646AE77554B4C8EEF3A8B98AA0388"/>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货币资金"/>
          <w:tag w:val="_GBC_c76577cdfdc64a9abb84903fd74497a4"/>
          <w:id w:val="-1641869350"/>
          <w:placeholder>
            <w:docPart w:val="F66646AE77554B4C8EEF3A8B98AA038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8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275"/>
        <w:gridCol w:w="3378"/>
        <w:gridCol w:w="3219"/>
      </w:tblGrid>
      <w:tr w14:paraId="5FDE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c298b96ff42b4ec08ce0bc2e7ff09d9d"/>
            <w:id w:val="1484425127"/>
          </w:sdtPr>
          <w:sdtContent>
            <w:tc>
              <w:tcPr>
                <w:tcW w:w="1282" w:type="pct"/>
                <w:vAlign w:val="center"/>
              </w:tcPr>
              <w:p w14:paraId="7E000D5E">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410d387a5f404c958f8ba18c816ca023"/>
            <w:id w:val="1934853687"/>
          </w:sdtPr>
          <w:sdtContent>
            <w:tc>
              <w:tcPr>
                <w:tcW w:w="1904" w:type="pct"/>
                <w:vAlign w:val="center"/>
              </w:tcPr>
              <w:p w14:paraId="630DBF8A">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04102c94e9134fa683ae3d0eac53465c"/>
            <w:id w:val="1379363869"/>
          </w:sdtPr>
          <w:sdtContent>
            <w:tc>
              <w:tcPr>
                <w:tcW w:w="1814" w:type="pct"/>
                <w:vAlign w:val="center"/>
              </w:tcPr>
              <w:p w14:paraId="2179FCA8">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104D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82" w:type="pct"/>
          </w:tcPr>
          <w:p w14:paraId="76B87D92">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库存现金</w:t>
            </w:r>
          </w:p>
        </w:tc>
        <w:tc>
          <w:tcPr>
            <w:tcW w:w="1904" w:type="pct"/>
            <w:vAlign w:val="center"/>
          </w:tcPr>
          <w:p w14:paraId="1EB64A52">
            <w:pPr>
              <w:jc w:val="right"/>
              <w:rPr>
                <w:rFonts w:asciiTheme="minorEastAsia" w:hAnsiTheme="minorEastAsia" w:eastAsiaTheme="minorEastAsia"/>
              </w:rPr>
            </w:pPr>
            <w:r>
              <w:rPr>
                <w:rFonts w:asciiTheme="minorEastAsia" w:hAnsiTheme="minorEastAsia" w:eastAsiaTheme="minorEastAsia"/>
              </w:rPr>
              <w:t>193,980.83</w:t>
            </w:r>
          </w:p>
        </w:tc>
        <w:tc>
          <w:tcPr>
            <w:tcW w:w="1814" w:type="pct"/>
            <w:vAlign w:val="center"/>
          </w:tcPr>
          <w:p w14:paraId="524DDE11">
            <w:pPr>
              <w:jc w:val="right"/>
              <w:rPr>
                <w:rFonts w:asciiTheme="minorEastAsia" w:hAnsiTheme="minorEastAsia" w:eastAsiaTheme="minorEastAsia"/>
              </w:rPr>
            </w:pPr>
            <w:r>
              <w:rPr>
                <w:rFonts w:asciiTheme="minorEastAsia" w:hAnsiTheme="minorEastAsia" w:eastAsiaTheme="minorEastAsia"/>
              </w:rPr>
              <w:t>432,216.29</w:t>
            </w:r>
          </w:p>
        </w:tc>
      </w:tr>
      <w:tr w14:paraId="3D3D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82" w:type="pct"/>
          </w:tcPr>
          <w:p w14:paraId="76236F03">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银行存款</w:t>
            </w:r>
          </w:p>
        </w:tc>
        <w:tc>
          <w:tcPr>
            <w:tcW w:w="1904" w:type="pct"/>
            <w:vAlign w:val="center"/>
          </w:tcPr>
          <w:p w14:paraId="4866B4AF">
            <w:pPr>
              <w:jc w:val="right"/>
              <w:rPr>
                <w:rFonts w:asciiTheme="minorEastAsia" w:hAnsiTheme="minorEastAsia" w:eastAsiaTheme="minorEastAsia"/>
              </w:rPr>
            </w:pPr>
            <w:r>
              <w:rPr>
                <w:rFonts w:asciiTheme="minorEastAsia" w:hAnsiTheme="minorEastAsia" w:eastAsiaTheme="minorEastAsia"/>
              </w:rPr>
              <w:t>1,938,524,312.73</w:t>
            </w:r>
          </w:p>
        </w:tc>
        <w:tc>
          <w:tcPr>
            <w:tcW w:w="1814" w:type="pct"/>
            <w:vAlign w:val="center"/>
          </w:tcPr>
          <w:p w14:paraId="272E7B50">
            <w:pPr>
              <w:jc w:val="right"/>
              <w:rPr>
                <w:rFonts w:asciiTheme="minorEastAsia" w:hAnsiTheme="minorEastAsia" w:eastAsiaTheme="minorEastAsia"/>
              </w:rPr>
            </w:pPr>
            <w:r>
              <w:rPr>
                <w:rFonts w:asciiTheme="minorEastAsia" w:hAnsiTheme="minorEastAsia" w:eastAsiaTheme="minorEastAsia"/>
              </w:rPr>
              <w:t>1,519,542,518.20</w:t>
            </w:r>
          </w:p>
        </w:tc>
      </w:tr>
      <w:tr w14:paraId="0BE3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82" w:type="pct"/>
          </w:tcPr>
          <w:p w14:paraId="77DD1369">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其他货币资金</w:t>
            </w:r>
          </w:p>
        </w:tc>
        <w:tc>
          <w:tcPr>
            <w:tcW w:w="1904" w:type="pct"/>
            <w:vAlign w:val="center"/>
          </w:tcPr>
          <w:p w14:paraId="773EAB36">
            <w:pPr>
              <w:jc w:val="right"/>
              <w:rPr>
                <w:rFonts w:asciiTheme="minorEastAsia" w:hAnsiTheme="minorEastAsia" w:eastAsiaTheme="minorEastAsia"/>
              </w:rPr>
            </w:pPr>
            <w:r>
              <w:rPr>
                <w:rFonts w:asciiTheme="minorEastAsia" w:hAnsiTheme="minorEastAsia" w:eastAsiaTheme="minorEastAsia"/>
              </w:rPr>
              <w:t>1,294,298,690.76</w:t>
            </w:r>
          </w:p>
        </w:tc>
        <w:tc>
          <w:tcPr>
            <w:tcW w:w="1814" w:type="pct"/>
            <w:vAlign w:val="center"/>
          </w:tcPr>
          <w:p w14:paraId="3A3B316D">
            <w:pPr>
              <w:jc w:val="right"/>
              <w:rPr>
                <w:rFonts w:asciiTheme="minorEastAsia" w:hAnsiTheme="minorEastAsia" w:eastAsiaTheme="minorEastAsia"/>
              </w:rPr>
            </w:pPr>
            <w:r>
              <w:rPr>
                <w:rFonts w:asciiTheme="minorEastAsia" w:hAnsiTheme="minorEastAsia" w:eastAsiaTheme="minorEastAsia"/>
              </w:rPr>
              <w:t>2,149,295,097.17</w:t>
            </w:r>
          </w:p>
        </w:tc>
      </w:tr>
      <w:tr w14:paraId="0109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82" w:type="pct"/>
            <w:vAlign w:val="center"/>
          </w:tcPr>
          <w:p w14:paraId="42AEB980">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未到期应收利息</w:t>
            </w:r>
          </w:p>
        </w:tc>
        <w:tc>
          <w:tcPr>
            <w:tcW w:w="1904" w:type="pct"/>
            <w:vAlign w:val="center"/>
          </w:tcPr>
          <w:p w14:paraId="440F38FE">
            <w:pPr>
              <w:jc w:val="right"/>
              <w:rPr>
                <w:rFonts w:asciiTheme="minorEastAsia" w:hAnsiTheme="minorEastAsia" w:eastAsiaTheme="minorEastAsia"/>
              </w:rPr>
            </w:pPr>
            <w:r>
              <w:rPr>
                <w:rFonts w:asciiTheme="minorEastAsia" w:hAnsiTheme="minorEastAsia" w:eastAsiaTheme="minorEastAsia"/>
              </w:rPr>
              <w:t>4,091,049.91</w:t>
            </w:r>
          </w:p>
        </w:tc>
        <w:tc>
          <w:tcPr>
            <w:tcW w:w="1814" w:type="pct"/>
            <w:vAlign w:val="center"/>
          </w:tcPr>
          <w:p w14:paraId="170A4BC8">
            <w:pPr>
              <w:jc w:val="right"/>
              <w:rPr>
                <w:rFonts w:asciiTheme="minorEastAsia" w:hAnsiTheme="minorEastAsia" w:eastAsiaTheme="minorEastAsia"/>
              </w:rPr>
            </w:pPr>
            <w:r>
              <w:rPr>
                <w:rFonts w:asciiTheme="minorEastAsia" w:hAnsiTheme="minorEastAsia" w:eastAsiaTheme="minorEastAsia"/>
              </w:rPr>
              <w:t>10,134,964.41</w:t>
            </w:r>
          </w:p>
        </w:tc>
      </w:tr>
      <w:tr w14:paraId="0463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82" w:type="pct"/>
            <w:vAlign w:val="center"/>
          </w:tcPr>
          <w:p w14:paraId="75D03A89">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904" w:type="pct"/>
            <w:vAlign w:val="center"/>
          </w:tcPr>
          <w:p w14:paraId="50629853">
            <w:pPr>
              <w:jc w:val="right"/>
              <w:rPr>
                <w:rFonts w:asciiTheme="minorEastAsia" w:hAnsiTheme="minorEastAsia" w:eastAsiaTheme="minorEastAsia"/>
              </w:rPr>
            </w:pPr>
            <w:r>
              <w:rPr>
                <w:rFonts w:asciiTheme="minorEastAsia" w:hAnsiTheme="minorEastAsia" w:eastAsiaTheme="minorEastAsia"/>
              </w:rPr>
              <w:t>3,237,108,034.23</w:t>
            </w:r>
          </w:p>
        </w:tc>
        <w:tc>
          <w:tcPr>
            <w:tcW w:w="1814" w:type="pct"/>
            <w:vAlign w:val="center"/>
          </w:tcPr>
          <w:p w14:paraId="717A8596">
            <w:pPr>
              <w:jc w:val="right"/>
              <w:rPr>
                <w:rFonts w:asciiTheme="minorEastAsia" w:hAnsiTheme="minorEastAsia" w:eastAsiaTheme="minorEastAsia"/>
              </w:rPr>
            </w:pPr>
            <w:r>
              <w:rPr>
                <w:rFonts w:asciiTheme="minorEastAsia" w:hAnsiTheme="minorEastAsia" w:eastAsiaTheme="minorEastAsia"/>
              </w:rPr>
              <w:t>3,679,404,796.07</w:t>
            </w:r>
          </w:p>
        </w:tc>
      </w:tr>
      <w:tr w14:paraId="55A6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82" w:type="pct"/>
          </w:tcPr>
          <w:p w14:paraId="00B2FE36">
            <w:pPr>
              <w:autoSpaceDE w:val="0"/>
              <w:autoSpaceDN w:val="0"/>
              <w:adjustRightInd w:val="0"/>
              <w:snapToGrid w:val="0"/>
              <w:spacing w:line="240" w:lineRule="atLeast"/>
              <w:ind w:firstLine="210" w:firstLineChars="1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其中：存放在境外的款项总额</w:t>
            </w:r>
          </w:p>
        </w:tc>
        <w:tc>
          <w:tcPr>
            <w:tcW w:w="1904" w:type="pct"/>
            <w:vAlign w:val="center"/>
          </w:tcPr>
          <w:p w14:paraId="6DCEFF08">
            <w:pPr>
              <w:jc w:val="right"/>
              <w:rPr>
                <w:rFonts w:asciiTheme="minorEastAsia" w:hAnsiTheme="minorEastAsia" w:eastAsiaTheme="minorEastAsia"/>
              </w:rPr>
            </w:pPr>
            <w:r>
              <w:rPr>
                <w:rFonts w:asciiTheme="minorEastAsia" w:hAnsiTheme="minorEastAsia" w:eastAsiaTheme="minorEastAsia"/>
              </w:rPr>
              <w:t>92,142,208.50</w:t>
            </w:r>
          </w:p>
        </w:tc>
        <w:tc>
          <w:tcPr>
            <w:tcW w:w="1814" w:type="pct"/>
            <w:vAlign w:val="center"/>
          </w:tcPr>
          <w:p w14:paraId="391AD68F">
            <w:pPr>
              <w:jc w:val="right"/>
              <w:rPr>
                <w:rFonts w:asciiTheme="minorEastAsia" w:hAnsiTheme="minorEastAsia" w:eastAsiaTheme="minorEastAsia"/>
              </w:rPr>
            </w:pPr>
            <w:r>
              <w:rPr>
                <w:rFonts w:asciiTheme="minorEastAsia" w:hAnsiTheme="minorEastAsia" w:eastAsiaTheme="minorEastAsia"/>
              </w:rPr>
              <w:t>84,129,766.88</w:t>
            </w:r>
          </w:p>
        </w:tc>
      </w:tr>
    </w:tbl>
    <w:p w14:paraId="5E415C28">
      <w:pPr>
        <w:rPr>
          <w:color w:val="000000" w:themeColor="text1"/>
          <w14:textFill>
            <w14:solidFill>
              <w14:schemeClr w14:val="tx1"/>
            </w14:solidFill>
          </w14:textFill>
        </w:rPr>
      </w:pPr>
    </w:p>
    <w:p w14:paraId="0C79486B">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货币资金的说明"/>
        <w:tag w:val="_GBC_2938fcf8616141aca7cb2bc277476b5d"/>
        <w:id w:val="-290063666"/>
        <w:placeholder>
          <w:docPart w:val="F66646AE77554B4C8EEF3A8B98AA0388"/>
        </w:placeholder>
      </w:sdtPr>
      <w:sdtEndPr>
        <w:rPr>
          <w:color w:val="000000" w:themeColor="text1"/>
          <w14:textFill>
            <w14:solidFill>
              <w14:schemeClr w14:val="tx1"/>
            </w14:solidFill>
          </w14:textFill>
        </w:rPr>
      </w:sdtEndPr>
      <w:sdtContent>
        <w:p w14:paraId="23DBFB34">
          <w:pPr>
            <w:rPr>
              <w:color w:val="000000" w:themeColor="text1"/>
              <w14:textFill>
                <w14:solidFill>
                  <w14:schemeClr w14:val="tx1"/>
                </w14:solidFill>
              </w14:textFill>
            </w:rPr>
          </w:pPr>
          <w:r>
            <w:rPr>
              <w:rFonts w:hint="eastAsia"/>
              <w:color w:val="000000" w:themeColor="text1"/>
              <w14:textFill>
                <w14:solidFill>
                  <w14:schemeClr w14:val="tx1"/>
                </w14:solidFill>
              </w14:textFill>
            </w:rPr>
            <w:t>截至2025年6月30日，公司受限制的货币资金明细如下：</w:t>
          </w:r>
        </w:p>
        <w:tbl>
          <w:tblPr>
            <w:tblStyle w:val="37"/>
            <w:tblW w:w="8630" w:type="dxa"/>
            <w:tblInd w:w="0" w:type="dxa"/>
            <w:tblLayout w:type="autofit"/>
            <w:tblCellMar>
              <w:top w:w="0" w:type="dxa"/>
              <w:left w:w="108" w:type="dxa"/>
              <w:bottom w:w="0" w:type="dxa"/>
              <w:right w:w="108" w:type="dxa"/>
            </w:tblCellMar>
          </w:tblPr>
          <w:tblGrid>
            <w:gridCol w:w="2926"/>
            <w:gridCol w:w="2680"/>
            <w:gridCol w:w="3024"/>
          </w:tblGrid>
          <w:tr w14:paraId="54FA21E7">
            <w:tblPrEx>
              <w:tblCellMar>
                <w:top w:w="0" w:type="dxa"/>
                <w:left w:w="108" w:type="dxa"/>
                <w:bottom w:w="0" w:type="dxa"/>
                <w:right w:w="108" w:type="dxa"/>
              </w:tblCellMar>
            </w:tblPrEx>
            <w:trPr>
              <w:trHeight w:val="250" w:hRule="atLeast"/>
            </w:trPr>
            <w:tc>
              <w:tcPr>
                <w:tcW w:w="2926" w:type="dxa"/>
                <w:tcBorders>
                  <w:top w:val="single" w:color="auto" w:sz="4" w:space="0"/>
                  <w:left w:val="single" w:color="auto" w:sz="4" w:space="0"/>
                  <w:bottom w:val="single" w:color="auto" w:sz="4" w:space="0"/>
                  <w:right w:val="single" w:color="auto" w:sz="4" w:space="0"/>
                </w:tcBorders>
                <w:noWrap/>
                <w:vAlign w:val="bottom"/>
              </w:tcPr>
              <w:p w14:paraId="4940B48F">
                <w:pPr>
                  <w:jc w:val="center"/>
                  <w:rPr>
                    <w:rFonts w:ascii="宋体" w:hAnsi="宋体" w:cs="Arial"/>
                    <w:color w:val="000000"/>
                  </w:rPr>
                </w:pPr>
                <w:r>
                  <w:rPr>
                    <w:rFonts w:ascii="宋体" w:hAnsi="宋体" w:cs="Arial"/>
                    <w:color w:val="000000"/>
                  </w:rPr>
                  <w:t>项目</w:t>
                </w:r>
              </w:p>
            </w:tc>
            <w:tc>
              <w:tcPr>
                <w:tcW w:w="2680" w:type="dxa"/>
                <w:tcBorders>
                  <w:top w:val="single" w:color="auto" w:sz="4" w:space="0"/>
                  <w:left w:val="nil"/>
                  <w:bottom w:val="single" w:color="auto" w:sz="4" w:space="0"/>
                  <w:right w:val="single" w:color="auto" w:sz="4" w:space="0"/>
                </w:tcBorders>
                <w:noWrap/>
                <w:vAlign w:val="bottom"/>
              </w:tcPr>
              <w:p w14:paraId="525BB467">
                <w:pPr>
                  <w:jc w:val="center"/>
                  <w:rPr>
                    <w:rFonts w:ascii="宋体" w:hAnsi="宋体" w:cs="Arial"/>
                    <w:color w:val="000000"/>
                  </w:rPr>
                </w:pPr>
                <w:r>
                  <w:rPr>
                    <w:rFonts w:ascii="宋体" w:hAnsi="宋体" w:cs="Arial"/>
                    <w:color w:val="000000"/>
                  </w:rPr>
                  <w:t>期末余额</w:t>
                </w:r>
              </w:p>
            </w:tc>
            <w:tc>
              <w:tcPr>
                <w:tcW w:w="3024" w:type="dxa"/>
                <w:tcBorders>
                  <w:top w:val="single" w:color="auto" w:sz="4" w:space="0"/>
                  <w:left w:val="nil"/>
                  <w:bottom w:val="single" w:color="auto" w:sz="4" w:space="0"/>
                  <w:right w:val="single" w:color="auto" w:sz="4" w:space="0"/>
                </w:tcBorders>
                <w:noWrap/>
                <w:vAlign w:val="bottom"/>
              </w:tcPr>
              <w:p w14:paraId="2324C72F">
                <w:pPr>
                  <w:jc w:val="center"/>
                  <w:rPr>
                    <w:rFonts w:ascii="宋体" w:hAnsi="宋体" w:cs="Arial"/>
                    <w:color w:val="000000"/>
                  </w:rPr>
                </w:pPr>
                <w:r>
                  <w:rPr>
                    <w:rFonts w:ascii="宋体" w:hAnsi="宋体" w:cs="Arial"/>
                    <w:color w:val="000000"/>
                  </w:rPr>
                  <w:t>期初余额</w:t>
                </w:r>
              </w:p>
            </w:tc>
          </w:tr>
          <w:tr w14:paraId="349F40BC">
            <w:tblPrEx>
              <w:tblCellMar>
                <w:top w:w="0" w:type="dxa"/>
                <w:left w:w="108" w:type="dxa"/>
                <w:bottom w:w="0" w:type="dxa"/>
                <w:right w:w="108" w:type="dxa"/>
              </w:tblCellMar>
            </w:tblPrEx>
            <w:trPr>
              <w:trHeight w:val="250" w:hRule="atLeast"/>
            </w:trPr>
            <w:tc>
              <w:tcPr>
                <w:tcW w:w="2926" w:type="dxa"/>
                <w:tcBorders>
                  <w:top w:val="nil"/>
                  <w:left w:val="single" w:color="auto" w:sz="4" w:space="0"/>
                  <w:bottom w:val="single" w:color="auto" w:sz="4" w:space="0"/>
                  <w:right w:val="single" w:color="auto" w:sz="4" w:space="0"/>
                </w:tcBorders>
                <w:noWrap/>
                <w:vAlign w:val="bottom"/>
              </w:tcPr>
              <w:p w14:paraId="1AF36DDE">
                <w:pPr>
                  <w:jc w:val="center"/>
                  <w:rPr>
                    <w:rFonts w:ascii="宋体" w:hAnsi="宋体" w:cs="Arial"/>
                    <w:color w:val="000000"/>
                  </w:rPr>
                </w:pPr>
                <w:r>
                  <w:rPr>
                    <w:rFonts w:ascii="宋体" w:hAnsi="宋体" w:cs="Arial"/>
                    <w:color w:val="000000"/>
                  </w:rPr>
                  <w:t>定期存款</w:t>
                </w:r>
              </w:p>
            </w:tc>
            <w:tc>
              <w:tcPr>
                <w:tcW w:w="2680" w:type="dxa"/>
                <w:tcBorders>
                  <w:top w:val="nil"/>
                  <w:left w:val="nil"/>
                  <w:bottom w:val="single" w:color="auto" w:sz="4" w:space="0"/>
                  <w:right w:val="single" w:color="auto" w:sz="4" w:space="0"/>
                </w:tcBorders>
                <w:noWrap/>
                <w:vAlign w:val="bottom"/>
              </w:tcPr>
              <w:p w14:paraId="07CA940D">
                <w:pPr>
                  <w:jc w:val="right"/>
                  <w:rPr>
                    <w:rFonts w:ascii="宋体" w:hAnsi="宋体" w:cs="Arial"/>
                    <w:color w:val="000000"/>
                  </w:rPr>
                </w:pPr>
              </w:p>
            </w:tc>
            <w:tc>
              <w:tcPr>
                <w:tcW w:w="3024" w:type="dxa"/>
                <w:tcBorders>
                  <w:top w:val="nil"/>
                  <w:left w:val="nil"/>
                  <w:bottom w:val="single" w:color="auto" w:sz="4" w:space="0"/>
                  <w:right w:val="single" w:color="auto" w:sz="4" w:space="0"/>
                </w:tcBorders>
                <w:noWrap/>
                <w:vAlign w:val="bottom"/>
              </w:tcPr>
              <w:p w14:paraId="019E6542">
                <w:pPr>
                  <w:jc w:val="right"/>
                  <w:rPr>
                    <w:rFonts w:ascii="宋体" w:hAnsi="宋体" w:cs="Arial"/>
                    <w:color w:val="000000"/>
                  </w:rPr>
                </w:pPr>
                <w:r>
                  <w:rPr>
                    <w:rFonts w:ascii="宋体" w:hAnsi="宋体" w:cs="Arial"/>
                    <w:color w:val="000000"/>
                  </w:rPr>
                  <w:t>150,000,000.00</w:t>
                </w:r>
              </w:p>
            </w:tc>
          </w:tr>
          <w:tr w14:paraId="498588AD">
            <w:tblPrEx>
              <w:tblCellMar>
                <w:top w:w="0" w:type="dxa"/>
                <w:left w:w="108" w:type="dxa"/>
                <w:bottom w:w="0" w:type="dxa"/>
                <w:right w:w="108" w:type="dxa"/>
              </w:tblCellMar>
            </w:tblPrEx>
            <w:trPr>
              <w:trHeight w:val="250" w:hRule="atLeast"/>
            </w:trPr>
            <w:tc>
              <w:tcPr>
                <w:tcW w:w="2926" w:type="dxa"/>
                <w:tcBorders>
                  <w:top w:val="nil"/>
                  <w:left w:val="single" w:color="auto" w:sz="4" w:space="0"/>
                  <w:bottom w:val="single" w:color="auto" w:sz="4" w:space="0"/>
                  <w:right w:val="single" w:color="auto" w:sz="4" w:space="0"/>
                </w:tcBorders>
                <w:noWrap/>
                <w:vAlign w:val="bottom"/>
              </w:tcPr>
              <w:p w14:paraId="5C834922">
                <w:pPr>
                  <w:jc w:val="center"/>
                  <w:rPr>
                    <w:rFonts w:ascii="宋体" w:hAnsi="宋体" w:cs="Arial"/>
                    <w:color w:val="000000"/>
                  </w:rPr>
                </w:pPr>
                <w:r>
                  <w:rPr>
                    <w:rFonts w:ascii="宋体" w:hAnsi="宋体" w:cs="Arial"/>
                    <w:color w:val="000000"/>
                  </w:rPr>
                  <w:t>票据保证金</w:t>
                </w:r>
              </w:p>
            </w:tc>
            <w:tc>
              <w:tcPr>
                <w:tcW w:w="2680" w:type="dxa"/>
                <w:tcBorders>
                  <w:top w:val="nil"/>
                  <w:left w:val="nil"/>
                  <w:bottom w:val="single" w:color="auto" w:sz="4" w:space="0"/>
                  <w:right w:val="single" w:color="auto" w:sz="4" w:space="0"/>
                </w:tcBorders>
                <w:noWrap/>
                <w:vAlign w:val="bottom"/>
              </w:tcPr>
              <w:p w14:paraId="339984B7">
                <w:pPr>
                  <w:jc w:val="right"/>
                  <w:rPr>
                    <w:rFonts w:ascii="宋体" w:hAnsi="宋体" w:cs="Arial"/>
                    <w:color w:val="000000"/>
                  </w:rPr>
                </w:pPr>
                <w:r>
                  <w:rPr>
                    <w:rFonts w:ascii="宋体" w:hAnsi="宋体" w:cs="Arial"/>
                    <w:color w:val="000000"/>
                  </w:rPr>
                  <w:t>1,273,922,085.50</w:t>
                </w:r>
              </w:p>
            </w:tc>
            <w:tc>
              <w:tcPr>
                <w:tcW w:w="3024" w:type="dxa"/>
                <w:tcBorders>
                  <w:top w:val="nil"/>
                  <w:left w:val="nil"/>
                  <w:bottom w:val="single" w:color="auto" w:sz="4" w:space="0"/>
                  <w:right w:val="single" w:color="auto" w:sz="4" w:space="0"/>
                </w:tcBorders>
                <w:noWrap/>
                <w:vAlign w:val="bottom"/>
              </w:tcPr>
              <w:p w14:paraId="23853D18">
                <w:pPr>
                  <w:jc w:val="right"/>
                  <w:rPr>
                    <w:rFonts w:ascii="宋体" w:hAnsi="宋体" w:cs="Arial"/>
                    <w:color w:val="000000"/>
                  </w:rPr>
                </w:pPr>
                <w:r>
                  <w:rPr>
                    <w:rFonts w:ascii="宋体" w:hAnsi="宋体" w:cs="Arial"/>
                    <w:color w:val="000000"/>
                  </w:rPr>
                  <w:t>2,080,477,068.46</w:t>
                </w:r>
              </w:p>
            </w:tc>
          </w:tr>
          <w:tr w14:paraId="030AD676">
            <w:tblPrEx>
              <w:tblCellMar>
                <w:top w:w="0" w:type="dxa"/>
                <w:left w:w="108" w:type="dxa"/>
                <w:bottom w:w="0" w:type="dxa"/>
                <w:right w:w="108" w:type="dxa"/>
              </w:tblCellMar>
            </w:tblPrEx>
            <w:trPr>
              <w:trHeight w:val="250" w:hRule="atLeast"/>
            </w:trPr>
            <w:tc>
              <w:tcPr>
                <w:tcW w:w="2926" w:type="dxa"/>
                <w:tcBorders>
                  <w:top w:val="nil"/>
                  <w:left w:val="single" w:color="auto" w:sz="4" w:space="0"/>
                  <w:bottom w:val="single" w:color="auto" w:sz="4" w:space="0"/>
                  <w:right w:val="single" w:color="auto" w:sz="4" w:space="0"/>
                </w:tcBorders>
                <w:noWrap/>
                <w:vAlign w:val="bottom"/>
              </w:tcPr>
              <w:p w14:paraId="22D92F37">
                <w:pPr>
                  <w:jc w:val="center"/>
                  <w:rPr>
                    <w:rFonts w:ascii="宋体" w:hAnsi="宋体" w:cs="Arial"/>
                    <w:color w:val="000000"/>
                  </w:rPr>
                </w:pPr>
                <w:r>
                  <w:rPr>
                    <w:rFonts w:ascii="宋体" w:hAnsi="宋体" w:cs="Arial"/>
                    <w:color w:val="000000"/>
                  </w:rPr>
                  <w:t>信用证保证金</w:t>
                </w:r>
              </w:p>
            </w:tc>
            <w:tc>
              <w:tcPr>
                <w:tcW w:w="2680" w:type="dxa"/>
                <w:tcBorders>
                  <w:top w:val="nil"/>
                  <w:left w:val="nil"/>
                  <w:bottom w:val="single" w:color="auto" w:sz="4" w:space="0"/>
                  <w:right w:val="single" w:color="auto" w:sz="4" w:space="0"/>
                </w:tcBorders>
                <w:noWrap/>
                <w:vAlign w:val="bottom"/>
              </w:tcPr>
              <w:p w14:paraId="00F506B5">
                <w:pPr>
                  <w:jc w:val="right"/>
                  <w:rPr>
                    <w:rFonts w:ascii="宋体" w:hAnsi="宋体" w:cs="Arial"/>
                    <w:color w:val="000000"/>
                  </w:rPr>
                </w:pPr>
              </w:p>
            </w:tc>
            <w:tc>
              <w:tcPr>
                <w:tcW w:w="3024" w:type="dxa"/>
                <w:tcBorders>
                  <w:top w:val="nil"/>
                  <w:left w:val="nil"/>
                  <w:bottom w:val="single" w:color="auto" w:sz="4" w:space="0"/>
                  <w:right w:val="single" w:color="auto" w:sz="4" w:space="0"/>
                </w:tcBorders>
                <w:noWrap/>
                <w:vAlign w:val="bottom"/>
              </w:tcPr>
              <w:p w14:paraId="530F0A4C">
                <w:pPr>
                  <w:jc w:val="right"/>
                  <w:rPr>
                    <w:rFonts w:ascii="宋体" w:hAnsi="宋体" w:cs="Arial"/>
                    <w:color w:val="000000"/>
                  </w:rPr>
                </w:pPr>
                <w:r>
                  <w:rPr>
                    <w:rFonts w:ascii="宋体" w:hAnsi="宋体" w:cs="Arial"/>
                    <w:color w:val="000000"/>
                  </w:rPr>
                  <w:t>50,000,000.00</w:t>
                </w:r>
              </w:p>
            </w:tc>
          </w:tr>
          <w:tr w14:paraId="4CA573A0">
            <w:tblPrEx>
              <w:tblCellMar>
                <w:top w:w="0" w:type="dxa"/>
                <w:left w:w="108" w:type="dxa"/>
                <w:bottom w:w="0" w:type="dxa"/>
                <w:right w:w="108" w:type="dxa"/>
              </w:tblCellMar>
            </w:tblPrEx>
            <w:trPr>
              <w:trHeight w:val="250" w:hRule="atLeast"/>
            </w:trPr>
            <w:tc>
              <w:tcPr>
                <w:tcW w:w="2926" w:type="dxa"/>
                <w:tcBorders>
                  <w:top w:val="nil"/>
                  <w:left w:val="single" w:color="auto" w:sz="4" w:space="0"/>
                  <w:bottom w:val="single" w:color="auto" w:sz="4" w:space="0"/>
                  <w:right w:val="single" w:color="auto" w:sz="4" w:space="0"/>
                </w:tcBorders>
                <w:noWrap/>
                <w:vAlign w:val="bottom"/>
              </w:tcPr>
              <w:p w14:paraId="51D22B6E">
                <w:pPr>
                  <w:jc w:val="center"/>
                  <w:rPr>
                    <w:rFonts w:ascii="宋体" w:hAnsi="宋体" w:cs="Arial"/>
                    <w:color w:val="000000"/>
                  </w:rPr>
                </w:pPr>
                <w:r>
                  <w:rPr>
                    <w:rFonts w:ascii="宋体" w:hAnsi="宋体" w:cs="Arial"/>
                    <w:color w:val="000000"/>
                  </w:rPr>
                  <w:t>冻结的活期存款</w:t>
                </w:r>
              </w:p>
            </w:tc>
            <w:tc>
              <w:tcPr>
                <w:tcW w:w="2680" w:type="dxa"/>
                <w:tcBorders>
                  <w:top w:val="nil"/>
                  <w:left w:val="nil"/>
                  <w:bottom w:val="single" w:color="auto" w:sz="4" w:space="0"/>
                  <w:right w:val="single" w:color="auto" w:sz="4" w:space="0"/>
                </w:tcBorders>
                <w:noWrap/>
                <w:vAlign w:val="bottom"/>
              </w:tcPr>
              <w:p w14:paraId="06D90E82">
                <w:pPr>
                  <w:jc w:val="right"/>
                  <w:rPr>
                    <w:rFonts w:ascii="宋体" w:hAnsi="宋体" w:cs="Arial"/>
                    <w:color w:val="000000"/>
                  </w:rPr>
                </w:pPr>
                <w:r>
                  <w:rPr>
                    <w:rFonts w:ascii="宋体" w:hAnsi="宋体" w:cs="Arial"/>
                    <w:color w:val="000000"/>
                  </w:rPr>
                  <w:t>45,356,935.10</w:t>
                </w:r>
              </w:p>
            </w:tc>
            <w:tc>
              <w:tcPr>
                <w:tcW w:w="3024" w:type="dxa"/>
                <w:tcBorders>
                  <w:top w:val="nil"/>
                  <w:left w:val="nil"/>
                  <w:bottom w:val="single" w:color="auto" w:sz="4" w:space="0"/>
                  <w:right w:val="single" w:color="auto" w:sz="4" w:space="0"/>
                </w:tcBorders>
                <w:noWrap/>
                <w:vAlign w:val="bottom"/>
              </w:tcPr>
              <w:p w14:paraId="500E38CA">
                <w:pPr>
                  <w:jc w:val="right"/>
                  <w:rPr>
                    <w:rFonts w:ascii="宋体" w:hAnsi="宋体" w:cs="Arial"/>
                    <w:color w:val="000000"/>
                  </w:rPr>
                </w:pPr>
                <w:r>
                  <w:rPr>
                    <w:rFonts w:ascii="宋体" w:hAnsi="宋体" w:cs="Arial"/>
                    <w:color w:val="000000"/>
                  </w:rPr>
                  <w:t>49,037,385.79</w:t>
                </w:r>
              </w:p>
            </w:tc>
          </w:tr>
          <w:tr w14:paraId="63DA4886">
            <w:tblPrEx>
              <w:tblCellMar>
                <w:top w:w="0" w:type="dxa"/>
                <w:left w:w="108" w:type="dxa"/>
                <w:bottom w:w="0" w:type="dxa"/>
                <w:right w:w="108" w:type="dxa"/>
              </w:tblCellMar>
            </w:tblPrEx>
            <w:trPr>
              <w:trHeight w:val="250" w:hRule="atLeast"/>
            </w:trPr>
            <w:tc>
              <w:tcPr>
                <w:tcW w:w="2926" w:type="dxa"/>
                <w:tcBorders>
                  <w:top w:val="nil"/>
                  <w:left w:val="single" w:color="auto" w:sz="4" w:space="0"/>
                  <w:bottom w:val="single" w:color="auto" w:sz="4" w:space="0"/>
                  <w:right w:val="single" w:color="auto" w:sz="4" w:space="0"/>
                </w:tcBorders>
                <w:noWrap/>
                <w:vAlign w:val="bottom"/>
              </w:tcPr>
              <w:p w14:paraId="02519D97">
                <w:pPr>
                  <w:jc w:val="center"/>
                  <w:rPr>
                    <w:rFonts w:ascii="宋体" w:hAnsi="宋体" w:cs="Arial"/>
                    <w:color w:val="000000"/>
                  </w:rPr>
                </w:pPr>
                <w:r>
                  <w:rPr>
                    <w:rFonts w:ascii="宋体" w:hAnsi="宋体" w:cs="Arial"/>
                    <w:color w:val="000000"/>
                  </w:rPr>
                  <w:t>保函保证金</w:t>
                </w:r>
              </w:p>
            </w:tc>
            <w:tc>
              <w:tcPr>
                <w:tcW w:w="2680" w:type="dxa"/>
                <w:tcBorders>
                  <w:top w:val="nil"/>
                  <w:left w:val="nil"/>
                  <w:bottom w:val="single" w:color="auto" w:sz="4" w:space="0"/>
                  <w:right w:val="single" w:color="auto" w:sz="4" w:space="0"/>
                </w:tcBorders>
                <w:noWrap/>
                <w:vAlign w:val="bottom"/>
              </w:tcPr>
              <w:p w14:paraId="101762E1">
                <w:pPr>
                  <w:jc w:val="right"/>
                  <w:rPr>
                    <w:rFonts w:ascii="宋体" w:hAnsi="宋体" w:cs="Arial"/>
                    <w:color w:val="000000"/>
                  </w:rPr>
                </w:pPr>
                <w:r>
                  <w:rPr>
                    <w:rFonts w:ascii="宋体" w:hAnsi="宋体" w:cs="Arial"/>
                    <w:color w:val="000000"/>
                  </w:rPr>
                  <w:t>18,089,249.24</w:t>
                </w:r>
              </w:p>
            </w:tc>
            <w:tc>
              <w:tcPr>
                <w:tcW w:w="3024" w:type="dxa"/>
                <w:tcBorders>
                  <w:top w:val="nil"/>
                  <w:left w:val="nil"/>
                  <w:bottom w:val="single" w:color="auto" w:sz="4" w:space="0"/>
                  <w:right w:val="single" w:color="auto" w:sz="4" w:space="0"/>
                </w:tcBorders>
                <w:noWrap/>
                <w:vAlign w:val="bottom"/>
              </w:tcPr>
              <w:p w14:paraId="6C390DFB">
                <w:pPr>
                  <w:jc w:val="right"/>
                  <w:rPr>
                    <w:rFonts w:ascii="宋体" w:hAnsi="宋体" w:cs="Arial"/>
                    <w:color w:val="000000"/>
                  </w:rPr>
                </w:pPr>
                <w:r>
                  <w:rPr>
                    <w:rFonts w:ascii="宋体" w:hAnsi="宋体" w:cs="Arial"/>
                    <w:color w:val="000000"/>
                  </w:rPr>
                  <w:t>18,006,942.00</w:t>
                </w:r>
              </w:p>
            </w:tc>
          </w:tr>
          <w:tr w14:paraId="0093A7AB">
            <w:tblPrEx>
              <w:tblCellMar>
                <w:top w:w="0" w:type="dxa"/>
                <w:left w:w="108" w:type="dxa"/>
                <w:bottom w:w="0" w:type="dxa"/>
                <w:right w:w="108" w:type="dxa"/>
              </w:tblCellMar>
            </w:tblPrEx>
            <w:trPr>
              <w:trHeight w:val="250" w:hRule="atLeast"/>
            </w:trPr>
            <w:tc>
              <w:tcPr>
                <w:tcW w:w="2926" w:type="dxa"/>
                <w:tcBorders>
                  <w:top w:val="nil"/>
                  <w:left w:val="single" w:color="auto" w:sz="4" w:space="0"/>
                  <w:bottom w:val="single" w:color="auto" w:sz="4" w:space="0"/>
                  <w:right w:val="single" w:color="auto" w:sz="4" w:space="0"/>
                </w:tcBorders>
                <w:noWrap/>
                <w:vAlign w:val="bottom"/>
              </w:tcPr>
              <w:p w14:paraId="481D1DB6">
                <w:pPr>
                  <w:jc w:val="center"/>
                  <w:rPr>
                    <w:rFonts w:ascii="宋体" w:hAnsi="宋体" w:cs="Arial"/>
                    <w:color w:val="000000"/>
                  </w:rPr>
                </w:pPr>
                <w:r>
                  <w:rPr>
                    <w:rFonts w:ascii="宋体" w:hAnsi="宋体" w:cs="Arial"/>
                    <w:color w:val="000000"/>
                  </w:rPr>
                  <w:t>其他保证金</w:t>
                </w:r>
              </w:p>
            </w:tc>
            <w:tc>
              <w:tcPr>
                <w:tcW w:w="2680" w:type="dxa"/>
                <w:tcBorders>
                  <w:top w:val="nil"/>
                  <w:left w:val="nil"/>
                  <w:bottom w:val="single" w:color="auto" w:sz="4" w:space="0"/>
                  <w:right w:val="single" w:color="auto" w:sz="4" w:space="0"/>
                </w:tcBorders>
                <w:noWrap/>
                <w:vAlign w:val="bottom"/>
              </w:tcPr>
              <w:p w14:paraId="2009B193">
                <w:pPr>
                  <w:jc w:val="right"/>
                  <w:rPr>
                    <w:rFonts w:ascii="宋体" w:hAnsi="宋体" w:cs="Arial"/>
                    <w:color w:val="000000"/>
                  </w:rPr>
                </w:pPr>
                <w:r>
                  <w:rPr>
                    <w:rFonts w:ascii="宋体" w:hAnsi="宋体" w:cs="Arial"/>
                    <w:color w:val="000000"/>
                  </w:rPr>
                  <w:t>50,665.17</w:t>
                </w:r>
              </w:p>
            </w:tc>
            <w:tc>
              <w:tcPr>
                <w:tcW w:w="3024" w:type="dxa"/>
                <w:tcBorders>
                  <w:top w:val="nil"/>
                  <w:left w:val="nil"/>
                  <w:bottom w:val="single" w:color="auto" w:sz="4" w:space="0"/>
                  <w:right w:val="single" w:color="auto" w:sz="4" w:space="0"/>
                </w:tcBorders>
                <w:noWrap/>
                <w:vAlign w:val="bottom"/>
              </w:tcPr>
              <w:p w14:paraId="2EEE21CE">
                <w:pPr>
                  <w:jc w:val="right"/>
                  <w:rPr>
                    <w:rFonts w:ascii="宋体" w:hAnsi="宋体" w:cs="Arial"/>
                    <w:color w:val="000000"/>
                  </w:rPr>
                </w:pPr>
                <w:r>
                  <w:rPr>
                    <w:rFonts w:ascii="宋体" w:hAnsi="宋体" w:cs="Arial"/>
                    <w:color w:val="000000"/>
                  </w:rPr>
                  <w:t>71,984.39</w:t>
                </w:r>
              </w:p>
            </w:tc>
          </w:tr>
          <w:tr w14:paraId="755EB625">
            <w:tblPrEx>
              <w:tblCellMar>
                <w:top w:w="0" w:type="dxa"/>
                <w:left w:w="108" w:type="dxa"/>
                <w:bottom w:w="0" w:type="dxa"/>
                <w:right w:w="108" w:type="dxa"/>
              </w:tblCellMar>
            </w:tblPrEx>
            <w:trPr>
              <w:trHeight w:val="250" w:hRule="atLeast"/>
            </w:trPr>
            <w:tc>
              <w:tcPr>
                <w:tcW w:w="2926" w:type="dxa"/>
                <w:tcBorders>
                  <w:top w:val="nil"/>
                  <w:left w:val="single" w:color="auto" w:sz="4" w:space="0"/>
                  <w:bottom w:val="single" w:color="auto" w:sz="4" w:space="0"/>
                  <w:right w:val="single" w:color="auto" w:sz="4" w:space="0"/>
                </w:tcBorders>
                <w:noWrap/>
                <w:vAlign w:val="bottom"/>
              </w:tcPr>
              <w:p w14:paraId="3B93F7B4">
                <w:pPr>
                  <w:jc w:val="center"/>
                  <w:rPr>
                    <w:rFonts w:ascii="宋体" w:hAnsi="宋体" w:cs="Arial"/>
                    <w:color w:val="000000"/>
                  </w:rPr>
                </w:pPr>
                <w:r>
                  <w:rPr>
                    <w:rFonts w:ascii="宋体" w:hAnsi="宋体" w:cs="Arial"/>
                    <w:color w:val="000000"/>
                  </w:rPr>
                  <w:t>合计</w:t>
                </w:r>
              </w:p>
            </w:tc>
            <w:tc>
              <w:tcPr>
                <w:tcW w:w="2680" w:type="dxa"/>
                <w:tcBorders>
                  <w:top w:val="nil"/>
                  <w:left w:val="nil"/>
                  <w:bottom w:val="single" w:color="auto" w:sz="4" w:space="0"/>
                  <w:right w:val="single" w:color="auto" w:sz="4" w:space="0"/>
                </w:tcBorders>
                <w:noWrap/>
                <w:vAlign w:val="center"/>
              </w:tcPr>
              <w:p w14:paraId="36929127">
                <w:pPr>
                  <w:jc w:val="right"/>
                  <w:rPr>
                    <w:rFonts w:ascii="宋体" w:hAnsi="宋体" w:cs="Arial"/>
                    <w:color w:val="000000"/>
                  </w:rPr>
                </w:pPr>
                <w:r>
                  <w:rPr>
                    <w:rFonts w:ascii="宋体" w:hAnsi="宋体" w:cs="Arial"/>
                    <w:color w:val="000000"/>
                  </w:rPr>
                  <w:t>1,337,418,935.01</w:t>
                </w:r>
              </w:p>
            </w:tc>
            <w:tc>
              <w:tcPr>
                <w:tcW w:w="3024" w:type="dxa"/>
                <w:tcBorders>
                  <w:top w:val="nil"/>
                  <w:left w:val="nil"/>
                  <w:bottom w:val="single" w:color="auto" w:sz="4" w:space="0"/>
                  <w:right w:val="single" w:color="auto" w:sz="4" w:space="0"/>
                </w:tcBorders>
                <w:noWrap/>
                <w:vAlign w:val="center"/>
              </w:tcPr>
              <w:p w14:paraId="2FD76587">
                <w:pPr>
                  <w:jc w:val="right"/>
                  <w:rPr>
                    <w:rFonts w:ascii="宋体" w:hAnsi="宋体" w:cs="Arial"/>
                    <w:color w:val="000000"/>
                  </w:rPr>
                </w:pPr>
                <w:r>
                  <w:rPr>
                    <w:rFonts w:ascii="宋体" w:hAnsi="宋体" w:cs="Arial"/>
                    <w:color w:val="000000"/>
                  </w:rPr>
                  <w:t>2,347,593,380.64</w:t>
                </w:r>
              </w:p>
            </w:tc>
          </w:tr>
        </w:tbl>
        <w:p w14:paraId="4D7E9BEE">
          <w:pPr>
            <w:rPr>
              <w:color w:val="000000" w:themeColor="text1"/>
              <w14:textFill>
                <w14:solidFill>
                  <w14:schemeClr w14:val="tx1"/>
                </w14:solidFill>
              </w14:textFill>
            </w:rPr>
          </w:pPr>
        </w:p>
      </w:sdtContent>
    </w:sdt>
    <w:bookmarkEnd w:id="148"/>
    <w:p w14:paraId="0D30E849">
      <w:pPr>
        <w:snapToGrid w:val="0"/>
        <w:spacing w:line="240" w:lineRule="atLeast"/>
        <w:ind w:left="1470" w:right="25" w:rightChars="12" w:hanging="1470" w:hangingChars="700"/>
        <w:rPr>
          <w:color w:val="000000" w:themeColor="text1"/>
          <w14:textFill>
            <w14:solidFill>
              <w14:schemeClr w14:val="tx1"/>
            </w14:solidFill>
          </w14:textFill>
        </w:rPr>
      </w:pPr>
    </w:p>
    <w:p w14:paraId="6E99469D">
      <w:pPr>
        <w:pStyle w:val="4"/>
        <w:numPr>
          <w:ilvl w:val="0"/>
          <w:numId w:val="41"/>
        </w:numPr>
        <w:rPr>
          <w:color w:val="000000" w:themeColor="text1"/>
          <w:szCs w:val="21"/>
          <w14:textFill>
            <w14:solidFill>
              <w14:schemeClr w14:val="tx1"/>
            </w14:solidFill>
          </w14:textFill>
        </w:rPr>
      </w:pPr>
      <w:bookmarkStart w:id="149" w:name="_Hlk167884670"/>
      <w:r>
        <w:rPr>
          <w:color w:val="000000" w:themeColor="text1"/>
          <w:szCs w:val="21"/>
          <w14:textFill>
            <w14:solidFill>
              <w14:schemeClr w14:val="tx1"/>
            </w14:solidFill>
          </w14:textFill>
        </w:rPr>
        <w:t>交易性金融资产</w:t>
      </w:r>
    </w:p>
    <w:sdt>
      <w:sdtPr>
        <w:rPr>
          <w:color w:val="000000" w:themeColor="text1"/>
          <w14:textFill>
            <w14:solidFill>
              <w14:schemeClr w14:val="tx1"/>
            </w14:solidFill>
          </w14:textFill>
        </w:rPr>
        <w:alias w:val="是否适用：交易性金融资产[双击切换]"/>
        <w:tag w:val="_GBC_814e9c37d6a143e79b3faaee7ef0a917"/>
        <w:id w:val="398561801"/>
        <w:placeholder>
          <w:docPart w:val="E792C6E4365148378C3D428A68A2B7F3"/>
        </w:placeholder>
      </w:sdtPr>
      <w:sdtEndPr>
        <w:rPr>
          <w:color w:val="000000" w:themeColor="text1"/>
          <w14:textFill>
            <w14:solidFill>
              <w14:schemeClr w14:val="tx1"/>
            </w14:solidFill>
          </w14:textFill>
        </w:rPr>
      </w:sdtEndPr>
      <w:sdtContent>
        <w:p w14:paraId="0936F8F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CFAB071">
      <w:pPr>
        <w:rPr>
          <w:color w:val="000000" w:themeColor="text1"/>
          <w14:textFill>
            <w14:solidFill>
              <w14:schemeClr w14:val="tx1"/>
            </w14:solidFill>
          </w14:textFill>
        </w:rPr>
      </w:pPr>
    </w:p>
    <w:bookmarkEnd w:id="149"/>
    <w:p w14:paraId="4A15799D">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衍生金融资产</w:t>
      </w:r>
    </w:p>
    <w:sdt>
      <w:sdtPr>
        <w:rPr>
          <w:color w:val="000000" w:themeColor="text1"/>
          <w14:textFill>
            <w14:solidFill>
              <w14:schemeClr w14:val="tx1"/>
            </w14:solidFill>
          </w14:textFill>
        </w:rPr>
        <w:alias w:val="是否适用：衍生金融资产[双击切换]"/>
        <w:tag w:val="_GBC_7f1559f8ac9a442b81c5479563d9e8bb"/>
        <w:id w:val="-739718871"/>
        <w:placeholder>
          <w:docPart w:val="GBC22222222222222222222222222222"/>
        </w:placeholder>
      </w:sdtPr>
      <w:sdtEndPr>
        <w:rPr>
          <w:color w:val="000000" w:themeColor="text1"/>
          <w14:textFill>
            <w14:solidFill>
              <w14:schemeClr w14:val="tx1"/>
            </w14:solidFill>
          </w14:textFill>
        </w:rPr>
      </w:sdtEndPr>
      <w:sdtContent>
        <w:p w14:paraId="1B58FA1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49191AB">
      <w:pPr>
        <w:snapToGrid w:val="0"/>
        <w:spacing w:line="240" w:lineRule="atLeast"/>
        <w:ind w:right="25" w:rightChars="12"/>
        <w:rPr>
          <w:color w:val="000000" w:themeColor="text1"/>
          <w14:textFill>
            <w14:solidFill>
              <w14:schemeClr w14:val="tx1"/>
            </w14:solidFill>
          </w14:textFill>
        </w:rPr>
      </w:pPr>
    </w:p>
    <w:p w14:paraId="75BBEF31">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应收票据</w:t>
      </w:r>
    </w:p>
    <w:p w14:paraId="3BB641C1">
      <w:pPr>
        <w:pStyle w:val="5"/>
        <w:numPr>
          <w:ilvl w:val="3"/>
          <w:numId w:val="4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应收票据分类列示</w:t>
      </w:r>
    </w:p>
    <w:sdt>
      <w:sdtPr>
        <w:rPr>
          <w:color w:val="000000" w:themeColor="text1"/>
          <w14:textFill>
            <w14:solidFill>
              <w14:schemeClr w14:val="tx1"/>
            </w14:solidFill>
          </w14:textFill>
        </w:rPr>
        <w:alias w:val="是否适用：应收票据分类列示[双击切换]"/>
        <w:tag w:val="_GBC_3c32a2809ab3476a93b88a8155fb0be8"/>
        <w:id w:val="-1624995996"/>
        <w:placeholder>
          <w:docPart w:val="GBC22222222222222222222222222222"/>
        </w:placeholder>
      </w:sdtPr>
      <w:sdtEndPr>
        <w:rPr>
          <w:color w:val="000000" w:themeColor="text1"/>
          <w14:textFill>
            <w14:solidFill>
              <w14:schemeClr w14:val="tx1"/>
            </w14:solidFill>
          </w14:textFill>
        </w:rPr>
      </w:sdtEndPr>
      <w:sdtContent>
        <w:p w14:paraId="5D84EAB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E20817">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收票据分类"/>
          <w:tag w:val="_GBC_21d6ba5a9ccb41d7aee707ba343741db"/>
          <w:id w:val="19363139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收票据分类"/>
          <w:tag w:val="_GBC_08bc82a26735413f8516c3d080579822"/>
          <w:id w:val="6013806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63" w:type="pct"/>
        <w:tblInd w:w="-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64"/>
        <w:gridCol w:w="3146"/>
        <w:gridCol w:w="2895"/>
      </w:tblGrid>
      <w:tr w14:paraId="0052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a48e9b652e5b48b08b05dc5f5dba5744"/>
            <w:id w:val="-1535957565"/>
          </w:sdtPr>
          <w:sdtContent>
            <w:tc>
              <w:tcPr>
                <w:tcW w:w="1646" w:type="pct"/>
                <w:vAlign w:val="center"/>
              </w:tcPr>
              <w:p w14:paraId="084D8961">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c6664062fcf84681af8b24fee4722ae5"/>
            <w:id w:val="-369680364"/>
          </w:sdtPr>
          <w:sdtContent>
            <w:tc>
              <w:tcPr>
                <w:tcW w:w="1747" w:type="pct"/>
                <w:vAlign w:val="center"/>
              </w:tcPr>
              <w:p w14:paraId="325E596B">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7d93c99ec70e48ac985c37b2b3046178"/>
            <w:id w:val="-627619369"/>
          </w:sdtPr>
          <w:sdtContent>
            <w:tc>
              <w:tcPr>
                <w:tcW w:w="1607" w:type="pct"/>
                <w:vAlign w:val="center"/>
              </w:tcPr>
              <w:p w14:paraId="32871582">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407C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46" w:type="pct"/>
          </w:tcPr>
          <w:p w14:paraId="0411E402">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银行承兑票据</w:t>
            </w:r>
          </w:p>
        </w:tc>
        <w:tc>
          <w:tcPr>
            <w:tcW w:w="1747" w:type="pct"/>
            <w:vAlign w:val="center"/>
          </w:tcPr>
          <w:p w14:paraId="597416E9">
            <w:pPr>
              <w:ind w:right="210"/>
              <w:jc w:val="right"/>
              <w:rPr>
                <w:rFonts w:eastAsia="等线" w:cs="Times New Roman"/>
                <w:color w:val="000000"/>
              </w:rPr>
            </w:pPr>
            <w:r>
              <w:rPr>
                <w:rFonts w:eastAsia="等线" w:cs="Times New Roman"/>
                <w:color w:val="000000"/>
              </w:rPr>
              <w:t>172,837,833.17</w:t>
            </w:r>
          </w:p>
        </w:tc>
        <w:tc>
          <w:tcPr>
            <w:tcW w:w="1607" w:type="pct"/>
            <w:vAlign w:val="center"/>
          </w:tcPr>
          <w:p w14:paraId="595EEBFA">
            <w:pPr>
              <w:jc w:val="right"/>
              <w:rPr>
                <w:rFonts w:eastAsia="等线" w:cs="Times New Roman"/>
                <w:color w:val="000000"/>
              </w:rPr>
            </w:pPr>
            <w:r>
              <w:rPr>
                <w:rFonts w:eastAsia="等线" w:cs="Times New Roman"/>
                <w:color w:val="000000"/>
              </w:rPr>
              <w:t>180,861,290.88</w:t>
            </w:r>
          </w:p>
        </w:tc>
      </w:tr>
      <w:tr w14:paraId="170B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46" w:type="pct"/>
          </w:tcPr>
          <w:p w14:paraId="43852497">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商业承兑票据</w:t>
            </w:r>
          </w:p>
        </w:tc>
        <w:tc>
          <w:tcPr>
            <w:tcW w:w="1747" w:type="pct"/>
          </w:tcPr>
          <w:p w14:paraId="7A79CB5A">
            <w:pPr>
              <w:ind w:right="13"/>
              <w:jc w:val="right"/>
            </w:pPr>
          </w:p>
        </w:tc>
        <w:tc>
          <w:tcPr>
            <w:tcW w:w="1607" w:type="pct"/>
          </w:tcPr>
          <w:p w14:paraId="1DFC2CD7">
            <w:pPr>
              <w:ind w:right="13"/>
              <w:jc w:val="right"/>
            </w:pPr>
          </w:p>
        </w:tc>
      </w:tr>
      <w:tr w14:paraId="42CB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46" w:type="pct"/>
            <w:vAlign w:val="center"/>
          </w:tcPr>
          <w:p w14:paraId="1B11D3C7">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747" w:type="pct"/>
            <w:vAlign w:val="center"/>
          </w:tcPr>
          <w:p w14:paraId="0AB9157A">
            <w:pPr>
              <w:ind w:right="210"/>
              <w:jc w:val="right"/>
              <w:rPr>
                <w:rFonts w:eastAsia="等线" w:cs="Times New Roman"/>
                <w:color w:val="000000"/>
              </w:rPr>
            </w:pPr>
            <w:r>
              <w:rPr>
                <w:rFonts w:eastAsia="等线" w:cs="Times New Roman"/>
                <w:color w:val="000000"/>
              </w:rPr>
              <w:t>172,837,833.17</w:t>
            </w:r>
          </w:p>
        </w:tc>
        <w:tc>
          <w:tcPr>
            <w:tcW w:w="1607" w:type="pct"/>
            <w:vAlign w:val="center"/>
          </w:tcPr>
          <w:p w14:paraId="1BA77812">
            <w:pPr>
              <w:jc w:val="right"/>
              <w:rPr>
                <w:rFonts w:eastAsia="等线" w:cs="Times New Roman"/>
                <w:color w:val="000000"/>
              </w:rPr>
            </w:pPr>
            <w:r>
              <w:rPr>
                <w:rFonts w:eastAsia="等线" w:cs="Times New Roman"/>
                <w:color w:val="000000"/>
              </w:rPr>
              <w:t>180,861,290.88</w:t>
            </w:r>
          </w:p>
        </w:tc>
      </w:tr>
    </w:tbl>
    <w:p w14:paraId="01D85B70">
      <w:pPr>
        <w:rPr>
          <w:color w:val="000000" w:themeColor="text1"/>
          <w14:textFill>
            <w14:solidFill>
              <w14:schemeClr w14:val="tx1"/>
            </w14:solidFill>
          </w14:textFill>
        </w:rPr>
      </w:pPr>
    </w:p>
    <w:p w14:paraId="21A5C91D">
      <w:pPr>
        <w:pStyle w:val="5"/>
        <w:numPr>
          <w:ilvl w:val="3"/>
          <w:numId w:val="4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期末公司已质押的应收票据</w:t>
      </w:r>
    </w:p>
    <w:sdt>
      <w:sdtPr>
        <w:rPr>
          <w:color w:val="000000" w:themeColor="text1"/>
          <w14:textFill>
            <w14:solidFill>
              <w14:schemeClr w14:val="tx1"/>
            </w14:solidFill>
          </w14:textFill>
        </w:rPr>
        <w:alias w:val="是否适用：期末公司已质押的应收票据[双击切换]"/>
        <w:tag w:val="_GBC_3440ef2908e64e51a440106bfa389257"/>
        <w:id w:val="204226562"/>
        <w:placeholder>
          <w:docPart w:val="GBC22222222222222222222222222222"/>
        </w:placeholder>
      </w:sdtPr>
      <w:sdtEndPr>
        <w:rPr>
          <w:color w:val="000000" w:themeColor="text1"/>
          <w14:textFill>
            <w14:solidFill>
              <w14:schemeClr w14:val="tx1"/>
            </w14:solidFill>
          </w14:textFill>
        </w:rPr>
      </w:sdtEndPr>
      <w:sdtContent>
        <w:p w14:paraId="0E35862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31172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期末公司已抵押的应收票据情况"/>
          <w:tag w:val="_GBC_dcf6bfd8190844578c54da0afbe3f0bd"/>
          <w:id w:val="-7667637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期末公司已抵押的应收票据情况"/>
          <w:tag w:val="_GBC_a0246d48f23242afb5a5f90d1baf4d3c"/>
          <w:id w:val="-20331041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9"/>
        <w:gridCol w:w="4660"/>
      </w:tblGrid>
      <w:tr w14:paraId="029A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be9a4514724b05b463de2cb5f300bc"/>
            <w:id w:val="478651405"/>
          </w:sdtPr>
          <w:sdtContent>
            <w:tc>
              <w:tcPr>
                <w:tcW w:w="2425" w:type="pct"/>
                <w:tcBorders>
                  <w:top w:val="single" w:color="auto" w:sz="4" w:space="0"/>
                  <w:left w:val="single" w:color="auto" w:sz="4" w:space="0"/>
                  <w:bottom w:val="single" w:color="auto" w:sz="4" w:space="0"/>
                  <w:right w:val="single" w:color="auto" w:sz="4" w:space="0"/>
                </w:tcBorders>
                <w:vAlign w:val="center"/>
              </w:tcPr>
              <w:p w14:paraId="74CF3F97">
                <w:pPr>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24264768d1db4569925aabf73c99ba82"/>
            <w:id w:val="-159230678"/>
          </w:sdtPr>
          <w:sdtContent>
            <w:tc>
              <w:tcPr>
                <w:tcW w:w="2575" w:type="pct"/>
                <w:tcBorders>
                  <w:top w:val="single" w:color="auto" w:sz="4" w:space="0"/>
                  <w:left w:val="single" w:color="auto" w:sz="4" w:space="0"/>
                  <w:bottom w:val="single" w:color="auto" w:sz="4" w:space="0"/>
                  <w:right w:val="single" w:color="auto" w:sz="4" w:space="0"/>
                </w:tcBorders>
                <w:vAlign w:val="center"/>
              </w:tcPr>
              <w:p w14:paraId="630034CD">
                <w:pPr>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期末已质押金额</w:t>
                </w:r>
              </w:p>
            </w:tc>
          </w:sdtContent>
        </w:sdt>
      </w:tr>
      <w:tr w14:paraId="2171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vAlign w:val="center"/>
          </w:tcPr>
          <w:p w14:paraId="41893ED9">
            <w:pPr>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银行承兑票据</w:t>
            </w:r>
          </w:p>
        </w:tc>
        <w:tc>
          <w:tcPr>
            <w:tcW w:w="2575" w:type="pct"/>
            <w:tcBorders>
              <w:top w:val="single" w:color="auto" w:sz="4" w:space="0"/>
              <w:left w:val="single" w:color="auto" w:sz="4" w:space="0"/>
              <w:bottom w:val="single" w:color="auto" w:sz="4" w:space="0"/>
              <w:right w:val="single" w:color="auto" w:sz="4" w:space="0"/>
            </w:tcBorders>
            <w:vAlign w:val="center"/>
          </w:tcPr>
          <w:p w14:paraId="6DB369AF">
            <w:pPr>
              <w:jc w:val="right"/>
              <w:rPr>
                <w:rFonts w:eastAsia="等线" w:cs="Times New Roman"/>
                <w:color w:val="000000"/>
              </w:rPr>
            </w:pPr>
            <w:r>
              <w:rPr>
                <w:rFonts w:eastAsia="等线" w:cs="Times New Roman"/>
                <w:color w:val="000000"/>
              </w:rPr>
              <w:t>37,799,162.67</w:t>
            </w:r>
          </w:p>
        </w:tc>
      </w:tr>
      <w:tr w14:paraId="73DD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vAlign w:val="center"/>
          </w:tcPr>
          <w:p w14:paraId="46A84FA5">
            <w:pPr>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商业承兑票据</w:t>
            </w:r>
          </w:p>
        </w:tc>
        <w:tc>
          <w:tcPr>
            <w:tcW w:w="2575" w:type="pct"/>
            <w:tcBorders>
              <w:top w:val="single" w:color="auto" w:sz="4" w:space="0"/>
              <w:left w:val="single" w:color="auto" w:sz="4" w:space="0"/>
              <w:bottom w:val="single" w:color="auto" w:sz="4" w:space="0"/>
              <w:right w:val="single" w:color="auto" w:sz="4" w:space="0"/>
            </w:tcBorders>
            <w:vAlign w:val="center"/>
          </w:tcPr>
          <w:p w14:paraId="7BFEE847">
            <w:pPr>
              <w:snapToGrid w:val="0"/>
              <w:spacing w:line="240" w:lineRule="atLeast"/>
              <w:jc w:val="right"/>
            </w:pPr>
          </w:p>
        </w:tc>
      </w:tr>
      <w:tr w14:paraId="5B6D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vAlign w:val="center"/>
          </w:tcPr>
          <w:p w14:paraId="5597ED5F">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575" w:type="pct"/>
            <w:tcBorders>
              <w:top w:val="single" w:color="auto" w:sz="4" w:space="0"/>
              <w:left w:val="single" w:color="auto" w:sz="4" w:space="0"/>
              <w:bottom w:val="single" w:color="auto" w:sz="4" w:space="0"/>
              <w:right w:val="single" w:color="auto" w:sz="4" w:space="0"/>
            </w:tcBorders>
            <w:vAlign w:val="center"/>
          </w:tcPr>
          <w:p w14:paraId="55F64F65">
            <w:pPr>
              <w:jc w:val="right"/>
              <w:rPr>
                <w:rFonts w:eastAsia="等线" w:cs="Times New Roman"/>
                <w:color w:val="000000"/>
              </w:rPr>
            </w:pPr>
            <w:r>
              <w:rPr>
                <w:rFonts w:eastAsia="等线" w:cs="Times New Roman"/>
                <w:color w:val="000000"/>
              </w:rPr>
              <w:t>37,799,162.67</w:t>
            </w:r>
          </w:p>
        </w:tc>
      </w:tr>
    </w:tbl>
    <w:p w14:paraId="0E33542E">
      <w:pPr>
        <w:rPr>
          <w:color w:val="000000" w:themeColor="text1"/>
          <w14:textFill>
            <w14:solidFill>
              <w14:schemeClr w14:val="tx1"/>
            </w14:solidFill>
          </w14:textFill>
        </w:rPr>
      </w:pPr>
    </w:p>
    <w:p w14:paraId="36A704D6">
      <w:pPr>
        <w:pStyle w:val="5"/>
        <w:numPr>
          <w:ilvl w:val="3"/>
          <w:numId w:val="42"/>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期末公司已背书或贴现且在资产负债表日尚未到期的应收票据</w:t>
      </w:r>
    </w:p>
    <w:sdt>
      <w:sdtPr>
        <w:rPr>
          <w:color w:val="000000" w:themeColor="text1"/>
          <w14:textFill>
            <w14:solidFill>
              <w14:schemeClr w14:val="tx1"/>
            </w14:solidFill>
          </w14:textFill>
        </w:rPr>
        <w:alias w:val="是否适用：期末公司已背书或贴现且在资产负债表日尚未到期的应收票据[双击切换]"/>
        <w:tag w:val="_GBC_d04f4c30d18f498d986ce6c934ec761c"/>
        <w:id w:val="-1801146607"/>
        <w:placeholder>
          <w:docPart w:val="GBC22222222222222222222222222222"/>
        </w:placeholder>
      </w:sdtPr>
      <w:sdtEndPr>
        <w:rPr>
          <w:color w:val="000000" w:themeColor="text1"/>
          <w14:textFill>
            <w14:solidFill>
              <w14:schemeClr w14:val="tx1"/>
            </w14:solidFill>
          </w14:textFill>
        </w:rPr>
      </w:sdtEndPr>
      <w:sdtContent>
        <w:p w14:paraId="6D6F4DD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B5C977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期末公司已背书或贴现且在资产负债表日尚未到期的应收票据"/>
          <w:tag w:val="_GBC_1a006471fd2344fca1e27a6484895b0f"/>
          <w:id w:val="18888394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期末公司已背书或贴现且在资产负债表日尚未到期的应收票据"/>
          <w:tag w:val="_GBC_394a26f35e05433d88a516241a51f5ba"/>
          <w:id w:val="-2878176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3050"/>
        <w:gridCol w:w="3122"/>
      </w:tblGrid>
      <w:tr w14:paraId="3D21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f8eb653a3a24ed29cc795bb9a08fb8e"/>
            <w:id w:val="-282346270"/>
          </w:sdtPr>
          <w:sdtContent>
            <w:tc>
              <w:tcPr>
                <w:tcW w:w="1590" w:type="pct"/>
                <w:vAlign w:val="center"/>
              </w:tcPr>
              <w:p w14:paraId="295C987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96af9fcfe145402ea8d401a1f6c0d081"/>
            <w:id w:val="-2137793117"/>
          </w:sdtPr>
          <w:sdtContent>
            <w:tc>
              <w:tcPr>
                <w:tcW w:w="1685" w:type="pct"/>
                <w:vAlign w:val="center"/>
              </w:tcPr>
              <w:p w14:paraId="51A5F07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期末终止确认金额</w:t>
                </w:r>
              </w:p>
            </w:tc>
          </w:sdtContent>
        </w:sdt>
        <w:sdt>
          <w:sdtPr>
            <w:tag w:val="_PLD_2efea7e570304a7e9fb54f87b3247807"/>
            <w:id w:val="607316918"/>
          </w:sdtPr>
          <w:sdtContent>
            <w:tc>
              <w:tcPr>
                <w:tcW w:w="1725" w:type="pct"/>
                <w:vAlign w:val="center"/>
              </w:tcPr>
              <w:p w14:paraId="4C1F473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期末未终止确认金额</w:t>
                </w:r>
              </w:p>
            </w:tc>
          </w:sdtContent>
        </w:sdt>
      </w:tr>
      <w:tr w14:paraId="645D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tcPr>
          <w:p w14:paraId="4565E52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银行承兑票据</w:t>
            </w:r>
          </w:p>
        </w:tc>
        <w:tc>
          <w:tcPr>
            <w:tcW w:w="1685" w:type="pct"/>
            <w:vAlign w:val="center"/>
          </w:tcPr>
          <w:p w14:paraId="408CEA2D">
            <w:pPr>
              <w:jc w:val="center"/>
            </w:pPr>
          </w:p>
        </w:tc>
        <w:tc>
          <w:tcPr>
            <w:tcW w:w="1725" w:type="pct"/>
            <w:vAlign w:val="center"/>
          </w:tcPr>
          <w:p w14:paraId="243B4BA4">
            <w:pPr>
              <w:jc w:val="right"/>
              <w:rPr>
                <w:rFonts w:eastAsia="等线" w:cs="Times New Roman"/>
                <w:color w:val="000000"/>
              </w:rPr>
            </w:pPr>
            <w:r>
              <w:rPr>
                <w:rFonts w:eastAsia="等线" w:cs="Times New Roman"/>
                <w:color w:val="000000"/>
              </w:rPr>
              <w:t>122,892,628.35</w:t>
            </w:r>
          </w:p>
        </w:tc>
      </w:tr>
      <w:tr w14:paraId="4D05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tcPr>
          <w:p w14:paraId="6FE1FB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商业承兑票据</w:t>
            </w:r>
          </w:p>
        </w:tc>
        <w:tc>
          <w:tcPr>
            <w:tcW w:w="1685" w:type="pct"/>
            <w:vAlign w:val="center"/>
          </w:tcPr>
          <w:p w14:paraId="5B8B97F6">
            <w:pPr>
              <w:jc w:val="center"/>
            </w:pPr>
          </w:p>
        </w:tc>
        <w:tc>
          <w:tcPr>
            <w:tcW w:w="1725" w:type="pct"/>
            <w:vAlign w:val="center"/>
          </w:tcPr>
          <w:p w14:paraId="178B0C70">
            <w:pPr>
              <w:jc w:val="right"/>
            </w:pPr>
          </w:p>
        </w:tc>
      </w:tr>
      <w:tr w14:paraId="03B2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0" w:type="pct"/>
            <w:vAlign w:val="center"/>
          </w:tcPr>
          <w:p w14:paraId="57E70BF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85" w:type="pct"/>
            <w:vAlign w:val="center"/>
          </w:tcPr>
          <w:p w14:paraId="2C07E54A">
            <w:pPr>
              <w:jc w:val="center"/>
            </w:pPr>
          </w:p>
        </w:tc>
        <w:tc>
          <w:tcPr>
            <w:tcW w:w="1725" w:type="pct"/>
            <w:vAlign w:val="center"/>
          </w:tcPr>
          <w:p w14:paraId="55E465D7">
            <w:pPr>
              <w:jc w:val="right"/>
              <w:rPr>
                <w:rFonts w:eastAsia="等线" w:cs="Times New Roman"/>
                <w:color w:val="000000"/>
              </w:rPr>
            </w:pPr>
            <w:r>
              <w:rPr>
                <w:rFonts w:eastAsia="等线" w:cs="Times New Roman"/>
                <w:color w:val="000000"/>
              </w:rPr>
              <w:t>122,892,628.35</w:t>
            </w:r>
          </w:p>
        </w:tc>
      </w:tr>
    </w:tbl>
    <w:p w14:paraId="5B496637">
      <w:pPr>
        <w:rPr>
          <w:rFonts w:cs="Times New Roman"/>
          <w:color w:val="000000" w:themeColor="text1"/>
          <w:kern w:val="2"/>
          <w14:textFill>
            <w14:solidFill>
              <w14:schemeClr w14:val="tx1"/>
            </w14:solidFill>
          </w14:textFill>
        </w:rPr>
      </w:pPr>
    </w:p>
    <w:p w14:paraId="7361350E">
      <w:pPr>
        <w:pStyle w:val="5"/>
        <w:numPr>
          <w:ilvl w:val="3"/>
          <w:numId w:val="42"/>
        </w:numPr>
        <w:rPr>
          <w:rFonts w:ascii="宋体" w:hAnsi="宋体"/>
          <w:color w:val="000000" w:themeColor="text1"/>
          <w14:textFill>
            <w14:solidFill>
              <w14:schemeClr w14:val="tx1"/>
            </w14:solidFill>
          </w14:textFill>
        </w:rPr>
      </w:pPr>
      <w:bookmarkStart w:id="150" w:name="_Hlk10466572"/>
      <w:r>
        <w:rPr>
          <w:rFonts w:hint="eastAsia" w:ascii="宋体" w:hAnsi="宋体"/>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应收票据按坏账计提方法分类披露[双击切换]"/>
        <w:tag w:val="_GBC_064ae6cf552d47d6abf4ad2b5c55d254"/>
        <w:id w:val="521058366"/>
        <w:lock w:val="contentLocked"/>
        <w:placeholder>
          <w:docPart w:val="GBC22222222222222222222222222222"/>
        </w:placeholder>
      </w:sdtPr>
      <w:sdtEndPr>
        <w:rPr>
          <w:color w:val="000000" w:themeColor="text1"/>
          <w14:textFill>
            <w14:solidFill>
              <w14:schemeClr w14:val="tx1"/>
            </w14:solidFill>
          </w14:textFill>
        </w:rPr>
      </w:sdtEndPr>
      <w:sdtContent>
        <w:p w14:paraId="6328A91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D955A8">
      <w:pPr>
        <w:pStyle w:val="68"/>
        <w:autoSpaceDE w:val="0"/>
        <w:autoSpaceDN w:val="0"/>
        <w:adjustRightInd w:val="0"/>
        <w:ind w:left="425" w:right="10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应收票据按坏账计提方法分类披露"/>
          <w:tag w:val="_GBC_1ddd4d416c8341618d49da8050568b3a"/>
          <w:id w:val="-17598232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应收票据按坏账计提方法分类披露"/>
          <w:tag w:val="_GBC_ee21347c53de4655b7421f9707c0f27c"/>
          <w:id w:val="-2327758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bookmarkEnd w:id="150"/>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751"/>
        <w:gridCol w:w="1386"/>
        <w:gridCol w:w="576"/>
        <w:gridCol w:w="343"/>
        <w:gridCol w:w="514"/>
        <w:gridCol w:w="1252"/>
        <w:gridCol w:w="1386"/>
        <w:gridCol w:w="505"/>
        <w:gridCol w:w="415"/>
        <w:gridCol w:w="443"/>
        <w:gridCol w:w="1324"/>
      </w:tblGrid>
      <w:tr w14:paraId="3E9A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59" w:hRule="atLeast"/>
        </w:trPr>
        <w:sdt>
          <w:sdtPr>
            <w:rPr>
              <w:spacing w:val="-6"/>
            </w:rPr>
            <w:tag w:val="_PLD_b41ab991b5cb44b284803f0e13680cca"/>
            <w:id w:val="-270317601"/>
          </w:sdtPr>
          <w:sdtEndPr>
            <w:rPr>
              <w:spacing w:val="-6"/>
            </w:rPr>
          </w:sdtEndPr>
          <w:sdtContent>
            <w:tc>
              <w:tcPr>
                <w:tcW w:w="422" w:type="pct"/>
                <w:vMerge w:val="restart"/>
                <w:tcBorders>
                  <w:top w:val="single" w:color="auto" w:sz="4" w:space="0"/>
                  <w:left w:val="single" w:color="auto" w:sz="4" w:space="0"/>
                  <w:right w:val="single" w:color="auto" w:sz="4" w:space="0"/>
                </w:tcBorders>
                <w:vAlign w:val="center"/>
              </w:tcPr>
              <w:p w14:paraId="37E2E7A2">
                <w:pPr>
                  <w:ind w:left="-53" w:leftChars="-25" w:right="-53" w:rightChars="-25"/>
                  <w:jc w:val="center"/>
                  <w:rPr>
                    <w:color w:val="000000" w:themeColor="text1"/>
                    <w:spacing w:val="-6"/>
                    <w14:textFill>
                      <w14:solidFill>
                        <w14:schemeClr w14:val="tx1"/>
                      </w14:solidFill>
                    </w14:textFill>
                  </w:rPr>
                </w:pPr>
                <w:bookmarkStart w:id="151" w:name="_Hlk10466593"/>
                <w:bookmarkStart w:id="152" w:name="_Hlk10466603"/>
                <w:r>
                  <w:rPr>
                    <w:rFonts w:hint="eastAsia"/>
                    <w:color w:val="000000" w:themeColor="text1"/>
                    <w:spacing w:val="-6"/>
                    <w14:textFill>
                      <w14:solidFill>
                        <w14:schemeClr w14:val="tx1"/>
                      </w14:solidFill>
                    </w14:textFill>
                  </w:rPr>
                  <w:t>类别</w:t>
                </w:r>
              </w:p>
            </w:tc>
          </w:sdtContent>
        </w:sdt>
        <w:sdt>
          <w:sdtPr>
            <w:rPr>
              <w:spacing w:val="-6"/>
            </w:rPr>
            <w:tag w:val="_PLD_4250aa21af14465089e9a64950228223"/>
            <w:id w:val="-1661929248"/>
          </w:sdtPr>
          <w:sdtEndPr>
            <w:rPr>
              <w:spacing w:val="-6"/>
            </w:rPr>
          </w:sdtEndPr>
          <w:sdtContent>
            <w:tc>
              <w:tcPr>
                <w:tcW w:w="2289" w:type="pct"/>
                <w:gridSpan w:val="5"/>
                <w:tcBorders>
                  <w:top w:val="single" w:color="auto" w:sz="4" w:space="0"/>
                  <w:left w:val="single" w:color="auto" w:sz="4" w:space="0"/>
                  <w:right w:val="single" w:color="auto" w:sz="4" w:space="0"/>
                </w:tcBorders>
                <w:vAlign w:val="center"/>
              </w:tcPr>
              <w:p w14:paraId="16DD1103">
                <w:pPr>
                  <w:autoSpaceDE w:val="0"/>
                  <w:autoSpaceDN w:val="0"/>
                  <w:adjustRightInd w:val="0"/>
                  <w:snapToGrid w:val="0"/>
                  <w:spacing w:line="240" w:lineRule="atLeast"/>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期末余额</w:t>
                </w:r>
              </w:p>
            </w:tc>
          </w:sdtContent>
        </w:sdt>
        <w:sdt>
          <w:sdtPr>
            <w:rPr>
              <w:spacing w:val="-6"/>
            </w:rPr>
            <w:tag w:val="_PLD_efdd4dc84ac74beda0c7ce9ee8ac707c"/>
            <w:id w:val="477040967"/>
          </w:sdtPr>
          <w:sdtEndPr>
            <w:rPr>
              <w:spacing w:val="-6"/>
            </w:rPr>
          </w:sdtEndPr>
          <w:sdtContent>
            <w:tc>
              <w:tcPr>
                <w:tcW w:w="2289" w:type="pct"/>
                <w:gridSpan w:val="5"/>
                <w:tcBorders>
                  <w:top w:val="single" w:color="auto" w:sz="4" w:space="0"/>
                  <w:left w:val="single" w:color="auto" w:sz="4" w:space="0"/>
                  <w:right w:val="single" w:color="auto" w:sz="4" w:space="0"/>
                </w:tcBorders>
                <w:vAlign w:val="center"/>
              </w:tcPr>
              <w:p w14:paraId="39E26DCB">
                <w:pPr>
                  <w:autoSpaceDE w:val="0"/>
                  <w:autoSpaceDN w:val="0"/>
                  <w:adjustRightInd w:val="0"/>
                  <w:snapToGrid w:val="0"/>
                  <w:spacing w:line="240" w:lineRule="atLeast"/>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期初余额</w:t>
                </w:r>
              </w:p>
            </w:tc>
          </w:sdtContent>
        </w:sdt>
      </w:tr>
      <w:tr w14:paraId="6D5F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27" w:hRule="atLeast"/>
        </w:trPr>
        <w:tc>
          <w:tcPr>
            <w:tcW w:w="422" w:type="pct"/>
            <w:vMerge w:val="continue"/>
            <w:tcBorders>
              <w:left w:val="single" w:color="auto" w:sz="4" w:space="0"/>
              <w:right w:val="single" w:color="auto" w:sz="4" w:space="0"/>
            </w:tcBorders>
            <w:vAlign w:val="center"/>
          </w:tcPr>
          <w:p w14:paraId="52ADFC74">
            <w:pPr>
              <w:ind w:left="-53" w:leftChars="-25" w:right="-53" w:rightChars="-25"/>
              <w:rPr>
                <w:color w:val="000000" w:themeColor="text1"/>
                <w:spacing w:val="-6"/>
                <w14:textFill>
                  <w14:solidFill>
                    <w14:schemeClr w14:val="tx1"/>
                  </w14:solidFill>
                </w14:textFill>
              </w:rPr>
            </w:pPr>
          </w:p>
        </w:tc>
        <w:sdt>
          <w:sdtPr>
            <w:rPr>
              <w:spacing w:val="-6"/>
            </w:rPr>
            <w:tag w:val="_PLD_4d31e977a3b64420aab06ccefa58a768"/>
            <w:id w:val="753554925"/>
          </w:sdtPr>
          <w:sdtEndPr>
            <w:rPr>
              <w:spacing w:val="-6"/>
            </w:rPr>
          </w:sdtEndPr>
          <w:sdtContent>
            <w:tc>
              <w:tcPr>
                <w:tcW w:w="1103" w:type="pct"/>
                <w:gridSpan w:val="2"/>
                <w:tcBorders>
                  <w:top w:val="single" w:color="auto" w:sz="4" w:space="0"/>
                  <w:left w:val="single" w:color="auto" w:sz="4" w:space="0"/>
                  <w:bottom w:val="single" w:color="auto" w:sz="4" w:space="0"/>
                  <w:right w:val="single" w:color="auto" w:sz="4" w:space="0"/>
                </w:tcBorders>
                <w:vAlign w:val="center"/>
              </w:tcPr>
              <w:p w14:paraId="77BACC66">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账面余额</w:t>
                </w:r>
              </w:p>
            </w:tc>
          </w:sdtContent>
        </w:sdt>
        <w:sdt>
          <w:sdtPr>
            <w:rPr>
              <w:spacing w:val="-6"/>
            </w:rPr>
            <w:tag w:val="_PLD_ce16034971f3433baf795de55c0fcc02"/>
            <w:id w:val="-1036885474"/>
          </w:sdtPr>
          <w:sdtEndPr>
            <w:rPr>
              <w:spacing w:val="-6"/>
            </w:rPr>
          </w:sdtEndPr>
          <w:sdtContent>
            <w:tc>
              <w:tcPr>
                <w:tcW w:w="482" w:type="pct"/>
                <w:gridSpan w:val="2"/>
                <w:tcBorders>
                  <w:top w:val="single" w:color="auto" w:sz="4" w:space="0"/>
                  <w:left w:val="single" w:color="auto" w:sz="4" w:space="0"/>
                  <w:bottom w:val="single" w:color="auto" w:sz="4" w:space="0"/>
                  <w:right w:val="single" w:color="auto" w:sz="4" w:space="0"/>
                </w:tcBorders>
                <w:vAlign w:val="center"/>
              </w:tcPr>
              <w:p w14:paraId="54405239">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坏账准备</w:t>
                </w:r>
              </w:p>
            </w:tc>
          </w:sdtContent>
        </w:sdt>
        <w:sdt>
          <w:sdtPr>
            <w:rPr>
              <w:spacing w:val="-6"/>
            </w:rPr>
            <w:tag w:val="_PLD_13676246dce14cd09ca054f6ed8baa70"/>
            <w:id w:val="1667517884"/>
          </w:sdtPr>
          <w:sdtEndPr>
            <w:rPr>
              <w:spacing w:val="-6"/>
            </w:rPr>
          </w:sdtEndPr>
          <w:sdtContent>
            <w:tc>
              <w:tcPr>
                <w:tcW w:w="704" w:type="pct"/>
                <w:vMerge w:val="restart"/>
                <w:tcBorders>
                  <w:top w:val="single" w:color="auto" w:sz="4" w:space="0"/>
                  <w:left w:val="single" w:color="auto" w:sz="4" w:space="0"/>
                  <w:right w:val="single" w:color="auto" w:sz="4" w:space="0"/>
                </w:tcBorders>
                <w:vAlign w:val="center"/>
              </w:tcPr>
              <w:p w14:paraId="429F4793">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账面价值</w:t>
                </w:r>
              </w:p>
            </w:tc>
          </w:sdtContent>
        </w:sdt>
        <w:sdt>
          <w:sdtPr>
            <w:rPr>
              <w:spacing w:val="-6"/>
            </w:rPr>
            <w:tag w:val="_PLD_3f5cbfe2ccd14f7a9fa6413579511d78"/>
            <w:id w:val="1949656718"/>
          </w:sdtPr>
          <w:sdtEndPr>
            <w:rPr>
              <w:spacing w:val="-6"/>
            </w:rPr>
          </w:sdtEndPr>
          <w:sdtContent>
            <w:tc>
              <w:tcPr>
                <w:tcW w:w="1063" w:type="pct"/>
                <w:gridSpan w:val="2"/>
                <w:tcBorders>
                  <w:top w:val="single" w:color="auto" w:sz="4" w:space="0"/>
                  <w:left w:val="single" w:color="auto" w:sz="4" w:space="0"/>
                  <w:right w:val="single" w:color="auto" w:sz="4" w:space="0"/>
                </w:tcBorders>
                <w:vAlign w:val="center"/>
              </w:tcPr>
              <w:p w14:paraId="73899755">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账面余额</w:t>
                </w:r>
              </w:p>
            </w:tc>
          </w:sdtContent>
        </w:sdt>
        <w:sdt>
          <w:sdtPr>
            <w:rPr>
              <w:spacing w:val="-6"/>
            </w:rPr>
            <w:tag w:val="_PLD_063250a22f93425b948b3ffb834d8c5a"/>
            <w:id w:val="-1658072908"/>
          </w:sdtPr>
          <w:sdtEndPr>
            <w:rPr>
              <w:spacing w:val="-6"/>
            </w:rPr>
          </w:sdtEndPr>
          <w:sdtContent>
            <w:tc>
              <w:tcPr>
                <w:tcW w:w="482" w:type="pct"/>
                <w:gridSpan w:val="2"/>
                <w:tcBorders>
                  <w:top w:val="single" w:color="auto" w:sz="4" w:space="0"/>
                  <w:left w:val="single" w:color="auto" w:sz="4" w:space="0"/>
                  <w:right w:val="single" w:color="auto" w:sz="4" w:space="0"/>
                </w:tcBorders>
                <w:vAlign w:val="center"/>
              </w:tcPr>
              <w:p w14:paraId="007F9C48">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坏账准备</w:t>
                </w:r>
              </w:p>
            </w:tc>
          </w:sdtContent>
        </w:sdt>
        <w:sdt>
          <w:sdtPr>
            <w:rPr>
              <w:spacing w:val="-6"/>
            </w:rPr>
            <w:tag w:val="_PLD_9932dde99a63463ab11a246a2b6129c8"/>
            <w:id w:val="16820321"/>
          </w:sdtPr>
          <w:sdtEndPr>
            <w:rPr>
              <w:spacing w:val="-6"/>
            </w:rPr>
          </w:sdtEndPr>
          <w:sdtContent>
            <w:tc>
              <w:tcPr>
                <w:tcW w:w="744" w:type="pct"/>
                <w:vMerge w:val="restart"/>
                <w:tcBorders>
                  <w:top w:val="single" w:color="auto" w:sz="4" w:space="0"/>
                  <w:left w:val="single" w:color="auto" w:sz="4" w:space="0"/>
                  <w:right w:val="single" w:color="auto" w:sz="4" w:space="0"/>
                </w:tcBorders>
                <w:vAlign w:val="center"/>
              </w:tcPr>
              <w:p w14:paraId="3A9B2822">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账面价值</w:t>
                </w:r>
              </w:p>
            </w:tc>
          </w:sdtContent>
        </w:sdt>
      </w:tr>
      <w:tr w14:paraId="6363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375" w:hRule="atLeast"/>
        </w:trPr>
        <w:tc>
          <w:tcPr>
            <w:tcW w:w="422" w:type="pct"/>
            <w:vMerge w:val="continue"/>
            <w:tcBorders>
              <w:left w:val="single" w:color="auto" w:sz="4" w:space="0"/>
              <w:bottom w:val="single" w:color="auto" w:sz="4" w:space="0"/>
              <w:right w:val="single" w:color="auto" w:sz="4" w:space="0"/>
            </w:tcBorders>
            <w:vAlign w:val="center"/>
          </w:tcPr>
          <w:p w14:paraId="03C29CB9">
            <w:pPr>
              <w:ind w:left="-53" w:leftChars="-25" w:right="-53" w:rightChars="-25"/>
              <w:rPr>
                <w:color w:val="000000" w:themeColor="text1"/>
                <w:spacing w:val="-6"/>
                <w14:textFill>
                  <w14:solidFill>
                    <w14:schemeClr w14:val="tx1"/>
                  </w14:solidFill>
                </w14:textFill>
              </w:rPr>
            </w:pPr>
          </w:p>
        </w:tc>
        <w:sdt>
          <w:sdtPr>
            <w:rPr>
              <w:spacing w:val="-6"/>
            </w:rPr>
            <w:tag w:val="_PLD_c0290ae623e744d38ca9b437c3a7f380"/>
            <w:id w:val="64234905"/>
          </w:sdtPr>
          <w:sdtEndPr>
            <w:rPr>
              <w:spacing w:val="-6"/>
            </w:rPr>
          </w:sdtEndPr>
          <w:sdtContent>
            <w:tc>
              <w:tcPr>
                <w:tcW w:w="779" w:type="pct"/>
                <w:tcBorders>
                  <w:left w:val="single" w:color="auto" w:sz="4" w:space="0"/>
                  <w:bottom w:val="single" w:color="auto" w:sz="4" w:space="0"/>
                  <w:right w:val="single" w:color="auto" w:sz="4" w:space="0"/>
                </w:tcBorders>
                <w:vAlign w:val="center"/>
              </w:tcPr>
              <w:p w14:paraId="5C032412">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金额</w:t>
                </w:r>
              </w:p>
            </w:tc>
          </w:sdtContent>
        </w:sdt>
        <w:sdt>
          <w:sdtPr>
            <w:rPr>
              <w:spacing w:val="-6"/>
            </w:rPr>
            <w:tag w:val="_PLD_193b3b07b4e0498485bc12534ae975ec"/>
            <w:id w:val="-1703079778"/>
          </w:sdtPr>
          <w:sdtEndPr>
            <w:rPr>
              <w:spacing w:val="-6"/>
            </w:rPr>
          </w:sdtEndPr>
          <w:sdtContent>
            <w:tc>
              <w:tcPr>
                <w:tcW w:w="324" w:type="pct"/>
                <w:tcBorders>
                  <w:left w:val="single" w:color="auto" w:sz="4" w:space="0"/>
                  <w:bottom w:val="single" w:color="auto" w:sz="4" w:space="0"/>
                  <w:right w:val="single" w:color="auto" w:sz="4" w:space="0"/>
                </w:tcBorders>
                <w:vAlign w:val="center"/>
              </w:tcPr>
              <w:p w14:paraId="7F8BAF96">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比例</w:t>
                </w:r>
                <w:r>
                  <w:rPr>
                    <w:color w:val="000000" w:themeColor="text1"/>
                    <w:spacing w:val="-6"/>
                    <w14:textFill>
                      <w14:solidFill>
                        <w14:schemeClr w14:val="tx1"/>
                      </w14:solidFill>
                    </w14:textFill>
                  </w:rPr>
                  <w:t>(%)</w:t>
                </w:r>
              </w:p>
            </w:tc>
          </w:sdtContent>
        </w:sdt>
        <w:sdt>
          <w:sdtPr>
            <w:rPr>
              <w:spacing w:val="-6"/>
            </w:rPr>
            <w:tag w:val="_PLD_1f47ced2bea143d39f38cb11c0113cf4"/>
            <w:id w:val="-931426682"/>
          </w:sdtPr>
          <w:sdtEndPr>
            <w:rPr>
              <w:spacing w:val="-6"/>
            </w:rPr>
          </w:sdtEndPr>
          <w:sdtContent>
            <w:tc>
              <w:tcPr>
                <w:tcW w:w="193" w:type="pct"/>
                <w:tcBorders>
                  <w:left w:val="single" w:color="auto" w:sz="4" w:space="0"/>
                  <w:bottom w:val="single" w:color="auto" w:sz="4" w:space="0"/>
                  <w:right w:val="single" w:color="auto" w:sz="4" w:space="0"/>
                </w:tcBorders>
                <w:vAlign w:val="center"/>
              </w:tcPr>
              <w:p w14:paraId="2CDC00A9">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金额</w:t>
                </w:r>
              </w:p>
            </w:tc>
          </w:sdtContent>
        </w:sdt>
        <w:sdt>
          <w:sdtPr>
            <w:rPr>
              <w:spacing w:val="-6"/>
            </w:rPr>
            <w:tag w:val="_PLD_a23086fe0481444ab724c5dec4a5f19d"/>
            <w:id w:val="-75060832"/>
          </w:sdtPr>
          <w:sdtEndPr>
            <w:rPr>
              <w:spacing w:val="-6"/>
            </w:rPr>
          </w:sdtEndPr>
          <w:sdtContent>
            <w:tc>
              <w:tcPr>
                <w:tcW w:w="289" w:type="pct"/>
                <w:tcBorders>
                  <w:left w:val="single" w:color="auto" w:sz="4" w:space="0"/>
                  <w:bottom w:val="single" w:color="auto" w:sz="4" w:space="0"/>
                  <w:right w:val="single" w:color="auto" w:sz="4" w:space="0"/>
                </w:tcBorders>
                <w:vAlign w:val="center"/>
              </w:tcPr>
              <w:p w14:paraId="0F120DEB">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计提比例</w:t>
                </w:r>
                <w:r>
                  <w:rPr>
                    <w:color w:val="000000" w:themeColor="text1"/>
                    <w:spacing w:val="-6"/>
                    <w14:textFill>
                      <w14:solidFill>
                        <w14:schemeClr w14:val="tx1"/>
                      </w14:solidFill>
                    </w14:textFill>
                  </w:rPr>
                  <w:t>(%)</w:t>
                </w:r>
              </w:p>
            </w:tc>
          </w:sdtContent>
        </w:sdt>
        <w:tc>
          <w:tcPr>
            <w:tcW w:w="704" w:type="pct"/>
            <w:vMerge w:val="continue"/>
            <w:tcBorders>
              <w:left w:val="single" w:color="auto" w:sz="4" w:space="0"/>
              <w:bottom w:val="single" w:color="auto" w:sz="4" w:space="0"/>
              <w:right w:val="single" w:color="auto" w:sz="4" w:space="0"/>
            </w:tcBorders>
            <w:vAlign w:val="center"/>
          </w:tcPr>
          <w:p w14:paraId="42AC9E87">
            <w:pPr>
              <w:ind w:left="-53" w:leftChars="-25" w:right="-53" w:rightChars="-25"/>
              <w:jc w:val="center"/>
              <w:rPr>
                <w:color w:val="000000" w:themeColor="text1"/>
                <w:spacing w:val="-6"/>
                <w14:textFill>
                  <w14:solidFill>
                    <w14:schemeClr w14:val="tx1"/>
                  </w14:solidFill>
                </w14:textFill>
              </w:rPr>
            </w:pPr>
          </w:p>
        </w:tc>
        <w:sdt>
          <w:sdtPr>
            <w:rPr>
              <w:spacing w:val="-6"/>
            </w:rPr>
            <w:tag w:val="_PLD_0ebe7a6ebddd49acb12d2e49fbaeb5ef"/>
            <w:id w:val="-1045367399"/>
          </w:sdtPr>
          <w:sdtEndPr>
            <w:rPr>
              <w:spacing w:val="-6"/>
            </w:rPr>
          </w:sdtEndPr>
          <w:sdtContent>
            <w:tc>
              <w:tcPr>
                <w:tcW w:w="779" w:type="pct"/>
                <w:tcBorders>
                  <w:left w:val="single" w:color="auto" w:sz="4" w:space="0"/>
                  <w:bottom w:val="single" w:color="auto" w:sz="4" w:space="0"/>
                  <w:right w:val="single" w:color="auto" w:sz="4" w:space="0"/>
                </w:tcBorders>
                <w:vAlign w:val="center"/>
              </w:tcPr>
              <w:p w14:paraId="734A76AF">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金额</w:t>
                </w:r>
              </w:p>
            </w:tc>
          </w:sdtContent>
        </w:sdt>
        <w:sdt>
          <w:sdtPr>
            <w:rPr>
              <w:spacing w:val="-6"/>
            </w:rPr>
            <w:tag w:val="_PLD_f3083b688a88491aaa0236072ce160b8"/>
            <w:id w:val="1550185513"/>
          </w:sdtPr>
          <w:sdtEndPr>
            <w:rPr>
              <w:spacing w:val="-6"/>
            </w:rPr>
          </w:sdtEndPr>
          <w:sdtContent>
            <w:tc>
              <w:tcPr>
                <w:tcW w:w="284" w:type="pct"/>
                <w:tcBorders>
                  <w:left w:val="single" w:color="auto" w:sz="4" w:space="0"/>
                  <w:bottom w:val="single" w:color="auto" w:sz="4" w:space="0"/>
                  <w:right w:val="single" w:color="auto" w:sz="4" w:space="0"/>
                </w:tcBorders>
                <w:vAlign w:val="center"/>
              </w:tcPr>
              <w:p w14:paraId="0AB80905">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比例</w:t>
                </w:r>
                <w:r>
                  <w:rPr>
                    <w:color w:val="000000" w:themeColor="text1"/>
                    <w:spacing w:val="-6"/>
                    <w14:textFill>
                      <w14:solidFill>
                        <w14:schemeClr w14:val="tx1"/>
                      </w14:solidFill>
                    </w14:textFill>
                  </w:rPr>
                  <w:t>(%)</w:t>
                </w:r>
              </w:p>
            </w:tc>
          </w:sdtContent>
        </w:sdt>
        <w:sdt>
          <w:sdtPr>
            <w:rPr>
              <w:spacing w:val="-6"/>
            </w:rPr>
            <w:tag w:val="_PLD_1cdb2a199b6d43678bae639c01b9d9cb"/>
            <w:id w:val="1238054855"/>
          </w:sdtPr>
          <w:sdtEndPr>
            <w:rPr>
              <w:spacing w:val="-6"/>
            </w:rPr>
          </w:sdtEndPr>
          <w:sdtContent>
            <w:tc>
              <w:tcPr>
                <w:tcW w:w="233" w:type="pct"/>
                <w:tcBorders>
                  <w:left w:val="single" w:color="auto" w:sz="4" w:space="0"/>
                  <w:bottom w:val="single" w:color="auto" w:sz="4" w:space="0"/>
                  <w:right w:val="single" w:color="auto" w:sz="4" w:space="0"/>
                </w:tcBorders>
                <w:vAlign w:val="center"/>
              </w:tcPr>
              <w:p w14:paraId="513EB897">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金额</w:t>
                </w:r>
              </w:p>
            </w:tc>
          </w:sdtContent>
        </w:sdt>
        <w:sdt>
          <w:sdtPr>
            <w:rPr>
              <w:spacing w:val="-6"/>
            </w:rPr>
            <w:tag w:val="_PLD_ad76cc2b302a460a8cbeb5e98be19160"/>
            <w:id w:val="286700721"/>
          </w:sdtPr>
          <w:sdtEndPr>
            <w:rPr>
              <w:spacing w:val="-6"/>
            </w:rPr>
          </w:sdtEndPr>
          <w:sdtContent>
            <w:tc>
              <w:tcPr>
                <w:tcW w:w="249" w:type="pct"/>
                <w:tcBorders>
                  <w:left w:val="single" w:color="auto" w:sz="4" w:space="0"/>
                  <w:bottom w:val="single" w:color="auto" w:sz="4" w:space="0"/>
                  <w:right w:val="single" w:color="auto" w:sz="4" w:space="0"/>
                </w:tcBorders>
                <w:vAlign w:val="center"/>
              </w:tcPr>
              <w:p w14:paraId="6E3C6666">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计提比例</w:t>
                </w:r>
                <w:r>
                  <w:rPr>
                    <w:color w:val="000000" w:themeColor="text1"/>
                    <w:spacing w:val="-6"/>
                    <w14:textFill>
                      <w14:solidFill>
                        <w14:schemeClr w14:val="tx1"/>
                      </w14:solidFill>
                    </w14:textFill>
                  </w:rPr>
                  <w:t>(%)</w:t>
                </w:r>
              </w:p>
            </w:tc>
          </w:sdtContent>
        </w:sdt>
        <w:tc>
          <w:tcPr>
            <w:tcW w:w="744" w:type="pct"/>
            <w:vMerge w:val="continue"/>
            <w:tcBorders>
              <w:left w:val="single" w:color="auto" w:sz="4" w:space="0"/>
              <w:bottom w:val="single" w:color="auto" w:sz="4" w:space="0"/>
              <w:right w:val="single" w:color="auto" w:sz="4" w:space="0"/>
            </w:tcBorders>
          </w:tcPr>
          <w:p w14:paraId="1E314653">
            <w:pPr>
              <w:ind w:left="-53" w:leftChars="-25" w:right="-53" w:rightChars="-25"/>
              <w:jc w:val="center"/>
              <w:rPr>
                <w:color w:val="000000" w:themeColor="text1"/>
                <w:spacing w:val="-6"/>
                <w14:textFill>
                  <w14:solidFill>
                    <w14:schemeClr w14:val="tx1"/>
                  </w14:solidFill>
                </w14:textFill>
              </w:rPr>
            </w:pPr>
          </w:p>
        </w:tc>
      </w:tr>
      <w:tr w14:paraId="6A42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22" w:type="pct"/>
            <w:tcBorders>
              <w:top w:val="single" w:color="auto" w:sz="4" w:space="0"/>
              <w:left w:val="single" w:color="auto" w:sz="4" w:space="0"/>
              <w:bottom w:val="single" w:color="auto" w:sz="4" w:space="0"/>
              <w:right w:val="single" w:color="auto" w:sz="4" w:space="0"/>
            </w:tcBorders>
          </w:tcPr>
          <w:p w14:paraId="02152E47">
            <w:pPr>
              <w:ind w:left="-53" w:leftChars="-25" w:right="-53" w:rightChars="-25"/>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按单项计提坏账准备</w:t>
            </w:r>
          </w:p>
        </w:tc>
        <w:tc>
          <w:tcPr>
            <w:tcW w:w="779" w:type="pct"/>
            <w:tcBorders>
              <w:top w:val="single" w:color="auto" w:sz="4" w:space="0"/>
              <w:left w:val="single" w:color="auto" w:sz="4" w:space="0"/>
              <w:bottom w:val="single" w:color="auto" w:sz="4" w:space="0"/>
              <w:right w:val="single" w:color="auto" w:sz="4" w:space="0"/>
            </w:tcBorders>
          </w:tcPr>
          <w:p w14:paraId="019D1BF5">
            <w:pPr>
              <w:ind w:left="-53" w:leftChars="-25" w:right="-53" w:rightChars="-25"/>
              <w:jc w:val="right"/>
              <w:rPr>
                <w:spacing w:val="-6"/>
              </w:rPr>
            </w:pPr>
          </w:p>
        </w:tc>
        <w:tc>
          <w:tcPr>
            <w:tcW w:w="324" w:type="pct"/>
            <w:tcBorders>
              <w:top w:val="single" w:color="auto" w:sz="4" w:space="0"/>
              <w:left w:val="single" w:color="auto" w:sz="4" w:space="0"/>
              <w:bottom w:val="single" w:color="auto" w:sz="4" w:space="0"/>
              <w:right w:val="single" w:color="auto" w:sz="4" w:space="0"/>
            </w:tcBorders>
          </w:tcPr>
          <w:p w14:paraId="03464866">
            <w:pPr>
              <w:ind w:left="-53" w:leftChars="-25" w:right="-53" w:rightChars="-25"/>
              <w:jc w:val="right"/>
              <w:rPr>
                <w:spacing w:val="-6"/>
              </w:rPr>
            </w:pPr>
          </w:p>
        </w:tc>
        <w:tc>
          <w:tcPr>
            <w:tcW w:w="193" w:type="pct"/>
            <w:tcBorders>
              <w:top w:val="single" w:color="auto" w:sz="4" w:space="0"/>
              <w:left w:val="single" w:color="auto" w:sz="4" w:space="0"/>
              <w:bottom w:val="single" w:color="auto" w:sz="4" w:space="0"/>
              <w:right w:val="single" w:color="auto" w:sz="4" w:space="0"/>
            </w:tcBorders>
          </w:tcPr>
          <w:p w14:paraId="3A54129E">
            <w:pPr>
              <w:ind w:left="-53" w:leftChars="-25" w:right="-53" w:rightChars="-25"/>
              <w:jc w:val="right"/>
              <w:rPr>
                <w:spacing w:val="-6"/>
              </w:rPr>
            </w:pPr>
          </w:p>
        </w:tc>
        <w:tc>
          <w:tcPr>
            <w:tcW w:w="289" w:type="pct"/>
            <w:tcBorders>
              <w:top w:val="single" w:color="auto" w:sz="4" w:space="0"/>
              <w:left w:val="single" w:color="auto" w:sz="4" w:space="0"/>
              <w:bottom w:val="single" w:color="auto" w:sz="4" w:space="0"/>
              <w:right w:val="single" w:color="auto" w:sz="4" w:space="0"/>
            </w:tcBorders>
          </w:tcPr>
          <w:p w14:paraId="465B0C80">
            <w:pPr>
              <w:ind w:left="-53" w:leftChars="-25" w:right="-53" w:rightChars="-25"/>
              <w:jc w:val="right"/>
              <w:rPr>
                <w:spacing w:val="-6"/>
              </w:rPr>
            </w:pPr>
          </w:p>
        </w:tc>
        <w:tc>
          <w:tcPr>
            <w:tcW w:w="704" w:type="pct"/>
            <w:tcBorders>
              <w:top w:val="single" w:color="auto" w:sz="4" w:space="0"/>
              <w:left w:val="single" w:color="auto" w:sz="4" w:space="0"/>
              <w:bottom w:val="single" w:color="auto" w:sz="4" w:space="0"/>
              <w:right w:val="single" w:color="auto" w:sz="4" w:space="0"/>
            </w:tcBorders>
          </w:tcPr>
          <w:p w14:paraId="2DFB6A09">
            <w:pPr>
              <w:ind w:left="-53" w:leftChars="-25" w:right="-53" w:rightChars="-25"/>
              <w:jc w:val="right"/>
              <w:rPr>
                <w:spacing w:val="-6"/>
              </w:rPr>
            </w:pPr>
          </w:p>
        </w:tc>
        <w:tc>
          <w:tcPr>
            <w:tcW w:w="779" w:type="pct"/>
            <w:tcBorders>
              <w:top w:val="single" w:color="auto" w:sz="4" w:space="0"/>
              <w:left w:val="single" w:color="auto" w:sz="4" w:space="0"/>
              <w:bottom w:val="single" w:color="auto" w:sz="4" w:space="0"/>
              <w:right w:val="single" w:color="auto" w:sz="4" w:space="0"/>
            </w:tcBorders>
          </w:tcPr>
          <w:p w14:paraId="211FA573">
            <w:pPr>
              <w:ind w:left="-53" w:leftChars="-25" w:right="-53" w:rightChars="-25"/>
              <w:jc w:val="right"/>
              <w:rPr>
                <w:spacing w:val="-6"/>
              </w:rPr>
            </w:pPr>
          </w:p>
        </w:tc>
        <w:tc>
          <w:tcPr>
            <w:tcW w:w="284" w:type="pct"/>
            <w:tcBorders>
              <w:top w:val="single" w:color="auto" w:sz="4" w:space="0"/>
              <w:left w:val="single" w:color="auto" w:sz="4" w:space="0"/>
              <w:bottom w:val="single" w:color="auto" w:sz="4" w:space="0"/>
              <w:right w:val="single" w:color="auto" w:sz="4" w:space="0"/>
            </w:tcBorders>
          </w:tcPr>
          <w:p w14:paraId="561AFFDF">
            <w:pPr>
              <w:ind w:left="-53" w:leftChars="-25" w:right="-53" w:rightChars="-25"/>
              <w:jc w:val="right"/>
              <w:rPr>
                <w:spacing w:val="-6"/>
              </w:rPr>
            </w:pPr>
          </w:p>
        </w:tc>
        <w:tc>
          <w:tcPr>
            <w:tcW w:w="233" w:type="pct"/>
            <w:tcBorders>
              <w:top w:val="single" w:color="auto" w:sz="4" w:space="0"/>
              <w:left w:val="single" w:color="auto" w:sz="4" w:space="0"/>
              <w:bottom w:val="single" w:color="auto" w:sz="4" w:space="0"/>
              <w:right w:val="single" w:color="auto" w:sz="4" w:space="0"/>
            </w:tcBorders>
          </w:tcPr>
          <w:p w14:paraId="64D6F8B5">
            <w:pPr>
              <w:ind w:left="-53" w:leftChars="-25" w:right="-53" w:rightChars="-25"/>
              <w:jc w:val="right"/>
              <w:rPr>
                <w:spacing w:val="-6"/>
              </w:rPr>
            </w:pPr>
          </w:p>
        </w:tc>
        <w:tc>
          <w:tcPr>
            <w:tcW w:w="249" w:type="pct"/>
            <w:tcBorders>
              <w:top w:val="single" w:color="auto" w:sz="4" w:space="0"/>
              <w:left w:val="single" w:color="auto" w:sz="4" w:space="0"/>
              <w:bottom w:val="single" w:color="auto" w:sz="4" w:space="0"/>
              <w:right w:val="single" w:color="auto" w:sz="4" w:space="0"/>
            </w:tcBorders>
          </w:tcPr>
          <w:p w14:paraId="26102AC5">
            <w:pPr>
              <w:ind w:left="-53" w:leftChars="-25" w:right="-53" w:rightChars="-25"/>
              <w:jc w:val="right"/>
              <w:rPr>
                <w:spacing w:val="-6"/>
              </w:rPr>
            </w:pPr>
          </w:p>
        </w:tc>
        <w:tc>
          <w:tcPr>
            <w:tcW w:w="744" w:type="pct"/>
            <w:tcBorders>
              <w:top w:val="single" w:color="auto" w:sz="4" w:space="0"/>
              <w:left w:val="single" w:color="auto" w:sz="4" w:space="0"/>
              <w:bottom w:val="single" w:color="auto" w:sz="4" w:space="0"/>
              <w:right w:val="single" w:color="auto" w:sz="4" w:space="0"/>
            </w:tcBorders>
          </w:tcPr>
          <w:p w14:paraId="55459A70">
            <w:pPr>
              <w:ind w:left="-53" w:leftChars="-25" w:right="-53" w:rightChars="-25"/>
              <w:jc w:val="right"/>
              <w:rPr>
                <w:spacing w:val="-6"/>
              </w:rPr>
            </w:pPr>
          </w:p>
        </w:tc>
      </w:tr>
      <w:tr w14:paraId="1CA1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pacing w:val="-6"/>
            </w:rPr>
            <w:tag w:val="_PLD_2a6d1b30f65e462ebca8043195ba30aa"/>
            <w:id w:val="1579934864"/>
          </w:sdtPr>
          <w:sdtEndPr>
            <w:rPr>
              <w:spacing w:val="-6"/>
            </w:rPr>
          </w:sdtEndPr>
          <w:sdtContent>
            <w:tc>
              <w:tcPr>
                <w:tcW w:w="5000" w:type="pct"/>
                <w:gridSpan w:val="11"/>
                <w:tcBorders>
                  <w:top w:val="single" w:color="auto" w:sz="4" w:space="0"/>
                  <w:left w:val="single" w:color="auto" w:sz="4" w:space="0"/>
                  <w:bottom w:val="single" w:color="auto" w:sz="4" w:space="0"/>
                  <w:right w:val="single" w:color="auto" w:sz="4" w:space="0"/>
                </w:tcBorders>
              </w:tcPr>
              <w:p w14:paraId="16AD97B4">
                <w:pPr>
                  <w:ind w:left="-53" w:leftChars="-25" w:right="-53" w:rightChars="-25"/>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其中：</w:t>
                </w:r>
              </w:p>
            </w:tc>
          </w:sdtContent>
        </w:sdt>
      </w:tr>
      <w:tr w14:paraId="4F0F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22" w:type="pct"/>
            <w:tcBorders>
              <w:top w:val="single" w:color="auto" w:sz="4" w:space="0"/>
              <w:left w:val="single" w:color="auto" w:sz="4" w:space="0"/>
              <w:bottom w:val="single" w:color="auto" w:sz="4" w:space="0"/>
              <w:right w:val="single" w:color="auto" w:sz="4" w:space="0"/>
            </w:tcBorders>
          </w:tcPr>
          <w:p w14:paraId="7AAFAF49">
            <w:pPr>
              <w:ind w:left="-53" w:leftChars="-25" w:right="-53" w:rightChars="-25"/>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按组合计提坏账准备</w:t>
            </w:r>
          </w:p>
        </w:tc>
        <w:tc>
          <w:tcPr>
            <w:tcW w:w="779" w:type="pct"/>
            <w:tcBorders>
              <w:top w:val="single" w:color="auto" w:sz="4" w:space="0"/>
              <w:left w:val="single" w:color="auto" w:sz="4" w:space="0"/>
              <w:bottom w:val="single" w:color="auto" w:sz="4" w:space="0"/>
              <w:right w:val="single" w:color="auto" w:sz="4" w:space="0"/>
            </w:tcBorders>
            <w:vAlign w:val="center"/>
          </w:tcPr>
          <w:p w14:paraId="40E473FD">
            <w:pPr>
              <w:ind w:left="-53" w:leftChars="-25"/>
              <w:jc w:val="right"/>
              <w:rPr>
                <w:rFonts w:eastAsia="等线" w:cs="Times New Roman"/>
                <w:color w:val="000000"/>
                <w:spacing w:val="-10"/>
              </w:rPr>
            </w:pPr>
            <w:r>
              <w:rPr>
                <w:rFonts w:eastAsia="等线" w:cs="Times New Roman"/>
                <w:color w:val="000000"/>
                <w:spacing w:val="-10"/>
              </w:rPr>
              <w:t>172,837,833.17</w:t>
            </w:r>
          </w:p>
        </w:tc>
        <w:tc>
          <w:tcPr>
            <w:tcW w:w="324" w:type="pct"/>
            <w:tcBorders>
              <w:top w:val="single" w:color="auto" w:sz="4" w:space="0"/>
              <w:left w:val="single" w:color="auto" w:sz="4" w:space="0"/>
              <w:bottom w:val="single" w:color="auto" w:sz="4" w:space="0"/>
              <w:right w:val="single" w:color="auto" w:sz="4" w:space="0"/>
            </w:tcBorders>
            <w:vAlign w:val="center"/>
          </w:tcPr>
          <w:p w14:paraId="17427D1D">
            <w:pPr>
              <w:ind w:left="-53" w:leftChars="-25"/>
              <w:jc w:val="center"/>
              <w:rPr>
                <w:rFonts w:eastAsia="等线" w:cs="Times New Roman"/>
                <w:color w:val="000000"/>
                <w:spacing w:val="-10"/>
              </w:rPr>
            </w:pPr>
            <w:r>
              <w:rPr>
                <w:rFonts w:eastAsia="等线" w:cs="Times New Roman"/>
                <w:color w:val="000000"/>
                <w:spacing w:val="-10"/>
              </w:rPr>
              <w:t>100</w:t>
            </w:r>
          </w:p>
        </w:tc>
        <w:tc>
          <w:tcPr>
            <w:tcW w:w="193" w:type="pct"/>
            <w:tcBorders>
              <w:top w:val="single" w:color="auto" w:sz="4" w:space="0"/>
              <w:left w:val="single" w:color="auto" w:sz="4" w:space="0"/>
              <w:bottom w:val="single" w:color="auto" w:sz="4" w:space="0"/>
              <w:right w:val="single" w:color="auto" w:sz="4" w:space="0"/>
            </w:tcBorders>
            <w:vAlign w:val="center"/>
          </w:tcPr>
          <w:p w14:paraId="6CC690F5">
            <w:pPr>
              <w:ind w:left="-53" w:leftChars="-25"/>
              <w:jc w:val="right"/>
              <w:rPr>
                <w:rFonts w:eastAsia="等线" w:cs="Times New Roman"/>
                <w:color w:val="000000"/>
                <w:spacing w:val="-10"/>
              </w:rPr>
            </w:pPr>
          </w:p>
        </w:tc>
        <w:tc>
          <w:tcPr>
            <w:tcW w:w="289" w:type="pct"/>
            <w:tcBorders>
              <w:top w:val="single" w:color="auto" w:sz="4" w:space="0"/>
              <w:left w:val="single" w:color="auto" w:sz="4" w:space="0"/>
              <w:bottom w:val="single" w:color="auto" w:sz="4" w:space="0"/>
              <w:right w:val="single" w:color="auto" w:sz="4" w:space="0"/>
            </w:tcBorders>
            <w:vAlign w:val="center"/>
          </w:tcPr>
          <w:p w14:paraId="18B3F587">
            <w:pPr>
              <w:ind w:left="-53" w:leftChars="-25"/>
              <w:jc w:val="right"/>
              <w:rPr>
                <w:rFonts w:eastAsia="等线" w:cs="Times New Roman"/>
                <w:color w:val="000000"/>
                <w:spacing w:val="-10"/>
              </w:rPr>
            </w:pPr>
          </w:p>
        </w:tc>
        <w:tc>
          <w:tcPr>
            <w:tcW w:w="704" w:type="pct"/>
            <w:tcBorders>
              <w:top w:val="single" w:color="auto" w:sz="4" w:space="0"/>
              <w:left w:val="single" w:color="auto" w:sz="4" w:space="0"/>
              <w:bottom w:val="single" w:color="auto" w:sz="4" w:space="0"/>
              <w:right w:val="single" w:color="auto" w:sz="4" w:space="0"/>
            </w:tcBorders>
            <w:vAlign w:val="center"/>
          </w:tcPr>
          <w:p w14:paraId="4ADEEC85">
            <w:pPr>
              <w:ind w:left="-53" w:leftChars="-25"/>
              <w:jc w:val="right"/>
              <w:rPr>
                <w:rFonts w:eastAsia="等线" w:cs="Times New Roman"/>
                <w:color w:val="000000"/>
                <w:spacing w:val="-10"/>
              </w:rPr>
            </w:pPr>
            <w:r>
              <w:rPr>
                <w:rFonts w:eastAsia="等线" w:cs="Times New Roman"/>
                <w:color w:val="000000"/>
                <w:spacing w:val="-10"/>
              </w:rPr>
              <w:t>172,837,833.17</w:t>
            </w:r>
          </w:p>
        </w:tc>
        <w:tc>
          <w:tcPr>
            <w:tcW w:w="779" w:type="pct"/>
            <w:tcBorders>
              <w:top w:val="single" w:color="auto" w:sz="4" w:space="0"/>
              <w:left w:val="single" w:color="auto" w:sz="4" w:space="0"/>
              <w:bottom w:val="single" w:color="auto" w:sz="4" w:space="0"/>
              <w:right w:val="single" w:color="auto" w:sz="4" w:space="0"/>
            </w:tcBorders>
            <w:vAlign w:val="center"/>
          </w:tcPr>
          <w:p w14:paraId="65249829">
            <w:pPr>
              <w:ind w:left="-53" w:leftChars="-25"/>
              <w:jc w:val="right"/>
              <w:rPr>
                <w:rFonts w:eastAsia="等线" w:cs="Times New Roman"/>
                <w:color w:val="000000"/>
                <w:spacing w:val="-10"/>
              </w:rPr>
            </w:pPr>
            <w:r>
              <w:rPr>
                <w:rFonts w:eastAsia="等线" w:cs="Times New Roman"/>
                <w:color w:val="000000"/>
                <w:spacing w:val="-10"/>
              </w:rPr>
              <w:t>180,861,290.88</w:t>
            </w:r>
          </w:p>
        </w:tc>
        <w:tc>
          <w:tcPr>
            <w:tcW w:w="284" w:type="pct"/>
            <w:tcBorders>
              <w:top w:val="single" w:color="auto" w:sz="4" w:space="0"/>
              <w:left w:val="single" w:color="auto" w:sz="4" w:space="0"/>
              <w:bottom w:val="single" w:color="auto" w:sz="4" w:space="0"/>
              <w:right w:val="single" w:color="auto" w:sz="4" w:space="0"/>
            </w:tcBorders>
            <w:vAlign w:val="center"/>
          </w:tcPr>
          <w:p w14:paraId="47EE41AC">
            <w:pPr>
              <w:ind w:left="-53" w:leftChars="-25"/>
              <w:jc w:val="center"/>
              <w:rPr>
                <w:rFonts w:eastAsia="等线" w:cs="Times New Roman"/>
                <w:color w:val="000000"/>
                <w:spacing w:val="-10"/>
              </w:rPr>
            </w:pPr>
            <w:r>
              <w:rPr>
                <w:rFonts w:eastAsia="等线" w:cs="Times New Roman"/>
                <w:color w:val="000000"/>
                <w:spacing w:val="-10"/>
              </w:rPr>
              <w:t>100</w:t>
            </w:r>
          </w:p>
        </w:tc>
        <w:tc>
          <w:tcPr>
            <w:tcW w:w="233" w:type="pct"/>
            <w:tcBorders>
              <w:top w:val="single" w:color="auto" w:sz="4" w:space="0"/>
              <w:left w:val="single" w:color="auto" w:sz="4" w:space="0"/>
              <w:bottom w:val="single" w:color="auto" w:sz="4" w:space="0"/>
              <w:right w:val="single" w:color="auto" w:sz="4" w:space="0"/>
            </w:tcBorders>
            <w:vAlign w:val="center"/>
          </w:tcPr>
          <w:p w14:paraId="1A5A4917">
            <w:pPr>
              <w:ind w:left="-53" w:leftChars="-25"/>
              <w:jc w:val="right"/>
              <w:rPr>
                <w:rFonts w:eastAsia="等线" w:cs="Times New Roman"/>
                <w:color w:val="000000"/>
                <w:spacing w:val="-10"/>
              </w:rPr>
            </w:pPr>
          </w:p>
        </w:tc>
        <w:tc>
          <w:tcPr>
            <w:tcW w:w="249" w:type="pct"/>
            <w:tcBorders>
              <w:top w:val="single" w:color="auto" w:sz="4" w:space="0"/>
              <w:left w:val="single" w:color="auto" w:sz="4" w:space="0"/>
              <w:bottom w:val="single" w:color="auto" w:sz="4" w:space="0"/>
              <w:right w:val="single" w:color="auto" w:sz="4" w:space="0"/>
            </w:tcBorders>
            <w:vAlign w:val="center"/>
          </w:tcPr>
          <w:p w14:paraId="14B2B686">
            <w:pPr>
              <w:ind w:left="-53" w:leftChars="-25"/>
              <w:jc w:val="right"/>
              <w:rPr>
                <w:rFonts w:eastAsia="等线" w:cs="Times New Roman"/>
                <w:color w:val="000000"/>
                <w:spacing w:val="-10"/>
              </w:rPr>
            </w:pPr>
          </w:p>
        </w:tc>
        <w:tc>
          <w:tcPr>
            <w:tcW w:w="744" w:type="pct"/>
            <w:tcBorders>
              <w:top w:val="single" w:color="auto" w:sz="4" w:space="0"/>
              <w:left w:val="single" w:color="auto" w:sz="4" w:space="0"/>
              <w:bottom w:val="single" w:color="auto" w:sz="4" w:space="0"/>
              <w:right w:val="single" w:color="auto" w:sz="4" w:space="0"/>
            </w:tcBorders>
            <w:vAlign w:val="center"/>
          </w:tcPr>
          <w:p w14:paraId="2710EAE1">
            <w:pPr>
              <w:ind w:left="-53" w:leftChars="-25"/>
              <w:jc w:val="right"/>
              <w:rPr>
                <w:rFonts w:eastAsia="等线" w:cs="Times New Roman"/>
                <w:color w:val="000000"/>
                <w:spacing w:val="-10"/>
              </w:rPr>
            </w:pPr>
            <w:r>
              <w:rPr>
                <w:rFonts w:eastAsia="等线" w:cs="Times New Roman"/>
                <w:color w:val="000000"/>
                <w:spacing w:val="-10"/>
              </w:rPr>
              <w:t>180,861,290.88</w:t>
            </w:r>
          </w:p>
        </w:tc>
      </w:tr>
      <w:tr w14:paraId="3010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pacing w:val="-10"/>
            </w:rPr>
            <w:tag w:val="_PLD_6921e0fe3b3b446d887af92fc2bcab4d"/>
            <w:id w:val="-665398397"/>
          </w:sdtPr>
          <w:sdtEndPr>
            <w:rPr>
              <w:spacing w:val="-10"/>
            </w:rPr>
          </w:sdtEndPr>
          <w:sdtContent>
            <w:tc>
              <w:tcPr>
                <w:tcW w:w="5000" w:type="pct"/>
                <w:gridSpan w:val="11"/>
                <w:tcBorders>
                  <w:top w:val="single" w:color="auto" w:sz="4" w:space="0"/>
                  <w:left w:val="single" w:color="auto" w:sz="4" w:space="0"/>
                  <w:bottom w:val="single" w:color="auto" w:sz="4" w:space="0"/>
                  <w:right w:val="single" w:color="auto" w:sz="4" w:space="0"/>
                </w:tcBorders>
              </w:tcPr>
              <w:p w14:paraId="1F30D965">
                <w:pPr>
                  <w:ind w:left="-53" w:leftChars="-25"/>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其中：</w:t>
                </w:r>
              </w:p>
            </w:tc>
          </w:sdtContent>
        </w:sdt>
      </w:tr>
      <w:tr w14:paraId="6364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22" w:type="pct"/>
            <w:tcBorders>
              <w:top w:val="single" w:color="auto" w:sz="4" w:space="0"/>
              <w:left w:val="single" w:color="auto" w:sz="4" w:space="0"/>
              <w:bottom w:val="single" w:color="auto" w:sz="4" w:space="0"/>
              <w:right w:val="single" w:color="auto" w:sz="4" w:space="0"/>
            </w:tcBorders>
            <w:vAlign w:val="center"/>
          </w:tcPr>
          <w:p w14:paraId="0C4F4D9B">
            <w:pPr>
              <w:autoSpaceDE w:val="0"/>
              <w:autoSpaceDN w:val="0"/>
              <w:adjustRightInd w:val="0"/>
              <w:ind w:left="-53" w:leftChars="-25" w:right="-53" w:rightChars="-25"/>
              <w:jc w:val="center"/>
              <w:rPr>
                <w:spacing w:val="-6"/>
              </w:rPr>
            </w:pPr>
            <w:r>
              <w:rPr>
                <w:spacing w:val="-6"/>
              </w:rPr>
              <w:t>银行承兑汇票</w:t>
            </w:r>
          </w:p>
        </w:tc>
        <w:tc>
          <w:tcPr>
            <w:tcW w:w="779" w:type="pct"/>
            <w:tcBorders>
              <w:top w:val="single" w:color="auto" w:sz="4" w:space="0"/>
              <w:left w:val="single" w:color="auto" w:sz="4" w:space="0"/>
              <w:bottom w:val="single" w:color="auto" w:sz="4" w:space="0"/>
              <w:right w:val="single" w:color="auto" w:sz="4" w:space="0"/>
            </w:tcBorders>
            <w:vAlign w:val="center"/>
          </w:tcPr>
          <w:p w14:paraId="5960DF24">
            <w:pPr>
              <w:ind w:left="-53" w:leftChars="-25"/>
              <w:jc w:val="right"/>
              <w:rPr>
                <w:spacing w:val="-10"/>
              </w:rPr>
            </w:pPr>
            <w:r>
              <w:rPr>
                <w:rFonts w:eastAsia="等线" w:cs="Times New Roman"/>
                <w:color w:val="000000"/>
                <w:spacing w:val="-10"/>
              </w:rPr>
              <w:t>172,837,833.17</w:t>
            </w:r>
          </w:p>
        </w:tc>
        <w:tc>
          <w:tcPr>
            <w:tcW w:w="324" w:type="pct"/>
            <w:tcBorders>
              <w:top w:val="single" w:color="auto" w:sz="4" w:space="0"/>
              <w:left w:val="single" w:color="auto" w:sz="4" w:space="0"/>
              <w:bottom w:val="single" w:color="auto" w:sz="4" w:space="0"/>
              <w:right w:val="single" w:color="auto" w:sz="4" w:space="0"/>
            </w:tcBorders>
            <w:vAlign w:val="center"/>
          </w:tcPr>
          <w:p w14:paraId="745D4BE1">
            <w:pPr>
              <w:ind w:left="-53" w:leftChars="-25"/>
              <w:jc w:val="center"/>
              <w:rPr>
                <w:spacing w:val="-10"/>
              </w:rPr>
            </w:pPr>
            <w:r>
              <w:rPr>
                <w:rFonts w:eastAsia="等线" w:cs="Times New Roman"/>
                <w:color w:val="000000"/>
                <w:spacing w:val="-10"/>
              </w:rPr>
              <w:t>100</w:t>
            </w:r>
          </w:p>
        </w:tc>
        <w:tc>
          <w:tcPr>
            <w:tcW w:w="193" w:type="pct"/>
            <w:tcBorders>
              <w:top w:val="single" w:color="auto" w:sz="4" w:space="0"/>
              <w:left w:val="single" w:color="auto" w:sz="4" w:space="0"/>
              <w:bottom w:val="single" w:color="auto" w:sz="4" w:space="0"/>
              <w:right w:val="single" w:color="auto" w:sz="4" w:space="0"/>
            </w:tcBorders>
            <w:vAlign w:val="center"/>
          </w:tcPr>
          <w:p w14:paraId="3A34F4D8">
            <w:pPr>
              <w:ind w:left="-53" w:leftChars="-25"/>
              <w:jc w:val="right"/>
              <w:rPr>
                <w:spacing w:val="-10"/>
              </w:rPr>
            </w:pPr>
          </w:p>
        </w:tc>
        <w:tc>
          <w:tcPr>
            <w:tcW w:w="289" w:type="pct"/>
            <w:tcBorders>
              <w:top w:val="single" w:color="auto" w:sz="4" w:space="0"/>
              <w:left w:val="single" w:color="auto" w:sz="4" w:space="0"/>
              <w:bottom w:val="single" w:color="auto" w:sz="4" w:space="0"/>
              <w:right w:val="single" w:color="auto" w:sz="4" w:space="0"/>
            </w:tcBorders>
            <w:vAlign w:val="center"/>
          </w:tcPr>
          <w:p w14:paraId="1CA1D0EC">
            <w:pPr>
              <w:ind w:left="-53" w:leftChars="-25"/>
              <w:jc w:val="right"/>
              <w:rPr>
                <w:spacing w:val="-10"/>
              </w:rPr>
            </w:pPr>
          </w:p>
        </w:tc>
        <w:tc>
          <w:tcPr>
            <w:tcW w:w="704" w:type="pct"/>
            <w:tcBorders>
              <w:top w:val="single" w:color="auto" w:sz="4" w:space="0"/>
              <w:left w:val="single" w:color="auto" w:sz="4" w:space="0"/>
              <w:bottom w:val="single" w:color="auto" w:sz="4" w:space="0"/>
              <w:right w:val="single" w:color="auto" w:sz="4" w:space="0"/>
            </w:tcBorders>
            <w:vAlign w:val="center"/>
          </w:tcPr>
          <w:p w14:paraId="06D8A808">
            <w:pPr>
              <w:ind w:left="-53" w:leftChars="-25"/>
              <w:jc w:val="right"/>
              <w:rPr>
                <w:rFonts w:eastAsia="等线" w:cs="Times New Roman"/>
                <w:spacing w:val="-10"/>
              </w:rPr>
            </w:pPr>
            <w:r>
              <w:rPr>
                <w:rFonts w:eastAsia="等线" w:cs="Times New Roman"/>
                <w:color w:val="000000"/>
                <w:spacing w:val="-10"/>
              </w:rPr>
              <w:t>172,837,833.17</w:t>
            </w:r>
          </w:p>
        </w:tc>
        <w:tc>
          <w:tcPr>
            <w:tcW w:w="779" w:type="pct"/>
            <w:tcBorders>
              <w:top w:val="single" w:color="auto" w:sz="4" w:space="0"/>
              <w:left w:val="single" w:color="auto" w:sz="4" w:space="0"/>
              <w:bottom w:val="single" w:color="auto" w:sz="4" w:space="0"/>
              <w:right w:val="single" w:color="auto" w:sz="4" w:space="0"/>
            </w:tcBorders>
            <w:vAlign w:val="center"/>
          </w:tcPr>
          <w:p w14:paraId="40B2FA85">
            <w:pPr>
              <w:ind w:left="-53" w:leftChars="-25"/>
              <w:jc w:val="right"/>
              <w:rPr>
                <w:rFonts w:eastAsia="等线" w:cs="Times New Roman"/>
                <w:spacing w:val="-10"/>
              </w:rPr>
            </w:pPr>
            <w:r>
              <w:rPr>
                <w:rFonts w:eastAsia="等线" w:cs="Times New Roman"/>
                <w:color w:val="000000"/>
                <w:spacing w:val="-10"/>
              </w:rPr>
              <w:t>180,861,290.88</w:t>
            </w:r>
          </w:p>
        </w:tc>
        <w:tc>
          <w:tcPr>
            <w:tcW w:w="284" w:type="pct"/>
            <w:tcBorders>
              <w:top w:val="single" w:color="auto" w:sz="4" w:space="0"/>
              <w:left w:val="single" w:color="auto" w:sz="4" w:space="0"/>
              <w:bottom w:val="single" w:color="auto" w:sz="4" w:space="0"/>
              <w:right w:val="single" w:color="auto" w:sz="4" w:space="0"/>
            </w:tcBorders>
            <w:vAlign w:val="center"/>
          </w:tcPr>
          <w:p w14:paraId="2D41A253">
            <w:pPr>
              <w:ind w:left="-53" w:leftChars="-25"/>
              <w:jc w:val="center"/>
              <w:rPr>
                <w:spacing w:val="-10"/>
              </w:rPr>
            </w:pPr>
            <w:r>
              <w:rPr>
                <w:rFonts w:eastAsia="等线" w:cs="Times New Roman"/>
                <w:color w:val="000000"/>
                <w:spacing w:val="-10"/>
              </w:rPr>
              <w:t>100</w:t>
            </w:r>
          </w:p>
        </w:tc>
        <w:tc>
          <w:tcPr>
            <w:tcW w:w="233" w:type="pct"/>
            <w:tcBorders>
              <w:top w:val="single" w:color="auto" w:sz="4" w:space="0"/>
              <w:left w:val="single" w:color="auto" w:sz="4" w:space="0"/>
              <w:bottom w:val="single" w:color="auto" w:sz="4" w:space="0"/>
              <w:right w:val="single" w:color="auto" w:sz="4" w:space="0"/>
            </w:tcBorders>
            <w:vAlign w:val="center"/>
          </w:tcPr>
          <w:p w14:paraId="49FD141B">
            <w:pPr>
              <w:ind w:left="-53" w:leftChars="-25"/>
              <w:jc w:val="right"/>
              <w:rPr>
                <w:spacing w:val="-10"/>
              </w:rPr>
            </w:pPr>
          </w:p>
        </w:tc>
        <w:tc>
          <w:tcPr>
            <w:tcW w:w="249" w:type="pct"/>
            <w:tcBorders>
              <w:top w:val="single" w:color="auto" w:sz="4" w:space="0"/>
              <w:left w:val="single" w:color="auto" w:sz="4" w:space="0"/>
              <w:bottom w:val="single" w:color="auto" w:sz="4" w:space="0"/>
              <w:right w:val="single" w:color="auto" w:sz="4" w:space="0"/>
            </w:tcBorders>
            <w:vAlign w:val="center"/>
          </w:tcPr>
          <w:p w14:paraId="0CF9345E">
            <w:pPr>
              <w:ind w:left="-53" w:leftChars="-25"/>
              <w:jc w:val="right"/>
              <w:rPr>
                <w:spacing w:val="-10"/>
              </w:rPr>
            </w:pPr>
          </w:p>
        </w:tc>
        <w:tc>
          <w:tcPr>
            <w:tcW w:w="744" w:type="pct"/>
            <w:tcBorders>
              <w:top w:val="single" w:color="auto" w:sz="4" w:space="0"/>
              <w:left w:val="single" w:color="auto" w:sz="4" w:space="0"/>
              <w:bottom w:val="single" w:color="auto" w:sz="4" w:space="0"/>
              <w:right w:val="single" w:color="auto" w:sz="4" w:space="0"/>
            </w:tcBorders>
            <w:vAlign w:val="center"/>
          </w:tcPr>
          <w:p w14:paraId="4F5AA47B">
            <w:pPr>
              <w:ind w:left="-53" w:leftChars="-25"/>
              <w:jc w:val="right"/>
              <w:rPr>
                <w:rFonts w:eastAsia="等线" w:cs="Times New Roman"/>
                <w:spacing w:val="-10"/>
              </w:rPr>
            </w:pPr>
            <w:r>
              <w:rPr>
                <w:rFonts w:eastAsia="等线" w:cs="Times New Roman"/>
                <w:color w:val="000000"/>
                <w:spacing w:val="-10"/>
              </w:rPr>
              <w:t>180,861,290.88</w:t>
            </w:r>
          </w:p>
        </w:tc>
      </w:tr>
      <w:tr w14:paraId="1EDE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422" w:type="pct"/>
            <w:tcBorders>
              <w:top w:val="single" w:color="auto" w:sz="4" w:space="0"/>
              <w:left w:val="single" w:color="auto" w:sz="4" w:space="0"/>
              <w:bottom w:val="single" w:color="auto" w:sz="4" w:space="0"/>
              <w:right w:val="single" w:color="auto" w:sz="4" w:space="0"/>
            </w:tcBorders>
            <w:vAlign w:val="center"/>
          </w:tcPr>
          <w:p w14:paraId="330788D7">
            <w:pPr>
              <w:autoSpaceDE w:val="0"/>
              <w:autoSpaceDN w:val="0"/>
              <w:adjustRightInd w:val="0"/>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合计</w:t>
            </w:r>
          </w:p>
        </w:tc>
        <w:tc>
          <w:tcPr>
            <w:tcW w:w="779" w:type="pct"/>
            <w:tcBorders>
              <w:top w:val="single" w:color="auto" w:sz="4" w:space="0"/>
              <w:left w:val="single" w:color="auto" w:sz="4" w:space="0"/>
              <w:bottom w:val="single" w:color="auto" w:sz="4" w:space="0"/>
              <w:right w:val="single" w:color="auto" w:sz="4" w:space="0"/>
            </w:tcBorders>
            <w:vAlign w:val="center"/>
          </w:tcPr>
          <w:p w14:paraId="431966FD">
            <w:pPr>
              <w:ind w:left="-53" w:leftChars="-25"/>
              <w:jc w:val="right"/>
              <w:rPr>
                <w:spacing w:val="-10"/>
              </w:rPr>
            </w:pPr>
            <w:r>
              <w:rPr>
                <w:spacing w:val="-10"/>
              </w:rPr>
              <w:t>172,837,833.17</w:t>
            </w:r>
          </w:p>
        </w:tc>
        <w:tc>
          <w:tcPr>
            <w:tcW w:w="324" w:type="pct"/>
            <w:tcBorders>
              <w:top w:val="single" w:color="auto" w:sz="4" w:space="0"/>
              <w:left w:val="single" w:color="auto" w:sz="4" w:space="0"/>
              <w:bottom w:val="single" w:color="auto" w:sz="4" w:space="0"/>
              <w:right w:val="single" w:color="auto" w:sz="4" w:space="0"/>
            </w:tcBorders>
            <w:vAlign w:val="center"/>
          </w:tcPr>
          <w:p w14:paraId="4090CB4E">
            <w:pPr>
              <w:ind w:left="-53" w:leftChars="-25"/>
              <w:jc w:val="right"/>
              <w:rPr>
                <w:color w:val="000000" w:themeColor="text1"/>
                <w:spacing w:val="-10"/>
                <w14:textFill>
                  <w14:solidFill>
                    <w14:schemeClr w14:val="tx1"/>
                  </w14:solidFill>
                </w14:textFill>
              </w:rPr>
            </w:pPr>
          </w:p>
        </w:tc>
        <w:tc>
          <w:tcPr>
            <w:tcW w:w="193" w:type="pct"/>
            <w:tcBorders>
              <w:top w:val="single" w:color="auto" w:sz="4" w:space="0"/>
              <w:left w:val="single" w:color="auto" w:sz="4" w:space="0"/>
              <w:bottom w:val="single" w:color="auto" w:sz="4" w:space="0"/>
              <w:right w:val="single" w:color="auto" w:sz="4" w:space="0"/>
            </w:tcBorders>
            <w:vAlign w:val="center"/>
          </w:tcPr>
          <w:p w14:paraId="0DD44F8C">
            <w:pPr>
              <w:ind w:left="-53" w:leftChars="-25"/>
              <w:jc w:val="right"/>
              <w:rPr>
                <w:spacing w:val="-10"/>
              </w:rPr>
            </w:pPr>
          </w:p>
        </w:tc>
        <w:tc>
          <w:tcPr>
            <w:tcW w:w="289" w:type="pct"/>
            <w:tcBorders>
              <w:top w:val="single" w:color="auto" w:sz="4" w:space="0"/>
              <w:left w:val="single" w:color="auto" w:sz="4" w:space="0"/>
              <w:bottom w:val="single" w:color="auto" w:sz="4" w:space="0"/>
              <w:right w:val="single" w:color="auto" w:sz="4" w:space="0"/>
            </w:tcBorders>
            <w:vAlign w:val="center"/>
          </w:tcPr>
          <w:p w14:paraId="24FC6A07">
            <w:pPr>
              <w:ind w:left="-53" w:leftChars="-25"/>
              <w:jc w:val="right"/>
              <w:rPr>
                <w:color w:val="000000" w:themeColor="text1"/>
                <w:spacing w:val="-10"/>
                <w14:textFill>
                  <w14:solidFill>
                    <w14:schemeClr w14:val="tx1"/>
                  </w14:solidFill>
                </w14:textFill>
              </w:rPr>
            </w:pPr>
          </w:p>
        </w:tc>
        <w:tc>
          <w:tcPr>
            <w:tcW w:w="704" w:type="pct"/>
            <w:tcBorders>
              <w:top w:val="single" w:color="auto" w:sz="4" w:space="0"/>
              <w:left w:val="single" w:color="auto" w:sz="4" w:space="0"/>
              <w:bottom w:val="single" w:color="auto" w:sz="4" w:space="0"/>
              <w:right w:val="single" w:color="auto" w:sz="4" w:space="0"/>
            </w:tcBorders>
            <w:vAlign w:val="center"/>
          </w:tcPr>
          <w:p w14:paraId="027C62EB">
            <w:pPr>
              <w:ind w:left="-53" w:leftChars="-25"/>
              <w:jc w:val="right"/>
              <w:rPr>
                <w:rFonts w:eastAsia="等线" w:cs="Times New Roman"/>
                <w:color w:val="000000"/>
                <w:spacing w:val="-10"/>
              </w:rPr>
            </w:pPr>
            <w:r>
              <w:rPr>
                <w:rFonts w:eastAsia="等线" w:cs="Times New Roman"/>
                <w:color w:val="000000"/>
                <w:spacing w:val="-10"/>
              </w:rPr>
              <w:t>172,837,833.17</w:t>
            </w:r>
          </w:p>
        </w:tc>
        <w:tc>
          <w:tcPr>
            <w:tcW w:w="779" w:type="pct"/>
            <w:tcBorders>
              <w:top w:val="single" w:color="auto" w:sz="4" w:space="0"/>
              <w:left w:val="single" w:color="auto" w:sz="4" w:space="0"/>
              <w:bottom w:val="single" w:color="auto" w:sz="4" w:space="0"/>
              <w:right w:val="single" w:color="auto" w:sz="4" w:space="0"/>
            </w:tcBorders>
            <w:vAlign w:val="center"/>
          </w:tcPr>
          <w:p w14:paraId="78EB72B6">
            <w:pPr>
              <w:ind w:left="-53" w:leftChars="-25"/>
              <w:jc w:val="right"/>
              <w:rPr>
                <w:rFonts w:eastAsia="等线" w:cs="Times New Roman"/>
                <w:color w:val="000000"/>
                <w:spacing w:val="-10"/>
              </w:rPr>
            </w:pPr>
            <w:r>
              <w:rPr>
                <w:rFonts w:eastAsia="等线" w:cs="Times New Roman"/>
                <w:color w:val="000000"/>
                <w:spacing w:val="-10"/>
              </w:rPr>
              <w:t>180,861,290.88</w:t>
            </w:r>
          </w:p>
        </w:tc>
        <w:tc>
          <w:tcPr>
            <w:tcW w:w="284" w:type="pct"/>
            <w:tcBorders>
              <w:top w:val="single" w:color="auto" w:sz="4" w:space="0"/>
              <w:left w:val="single" w:color="auto" w:sz="4" w:space="0"/>
              <w:bottom w:val="single" w:color="auto" w:sz="4" w:space="0"/>
              <w:right w:val="single" w:color="auto" w:sz="4" w:space="0"/>
            </w:tcBorders>
            <w:vAlign w:val="center"/>
          </w:tcPr>
          <w:p w14:paraId="7B9CA9CD">
            <w:pPr>
              <w:ind w:left="-53" w:leftChars="-25"/>
              <w:jc w:val="right"/>
              <w:rPr>
                <w:color w:val="000000" w:themeColor="text1"/>
                <w:spacing w:val="-10"/>
                <w14:textFill>
                  <w14:solidFill>
                    <w14:schemeClr w14:val="tx1"/>
                  </w14:solidFill>
                </w14:textFill>
              </w:rPr>
            </w:pPr>
          </w:p>
        </w:tc>
        <w:tc>
          <w:tcPr>
            <w:tcW w:w="233" w:type="pct"/>
            <w:tcBorders>
              <w:top w:val="single" w:color="auto" w:sz="4" w:space="0"/>
              <w:left w:val="single" w:color="auto" w:sz="4" w:space="0"/>
              <w:bottom w:val="single" w:color="auto" w:sz="4" w:space="0"/>
              <w:right w:val="single" w:color="auto" w:sz="4" w:space="0"/>
            </w:tcBorders>
            <w:vAlign w:val="center"/>
          </w:tcPr>
          <w:p w14:paraId="442B0DCA">
            <w:pPr>
              <w:ind w:left="-53" w:leftChars="-25"/>
              <w:jc w:val="right"/>
              <w:rPr>
                <w:spacing w:val="-10"/>
              </w:rPr>
            </w:pPr>
          </w:p>
        </w:tc>
        <w:tc>
          <w:tcPr>
            <w:tcW w:w="249" w:type="pct"/>
            <w:tcBorders>
              <w:top w:val="single" w:color="auto" w:sz="4" w:space="0"/>
              <w:left w:val="single" w:color="auto" w:sz="4" w:space="0"/>
              <w:bottom w:val="single" w:color="auto" w:sz="4" w:space="0"/>
              <w:right w:val="single" w:color="auto" w:sz="4" w:space="0"/>
            </w:tcBorders>
            <w:vAlign w:val="center"/>
          </w:tcPr>
          <w:p w14:paraId="42BCE303">
            <w:pPr>
              <w:ind w:left="-53" w:leftChars="-25"/>
              <w:jc w:val="right"/>
              <w:rPr>
                <w:color w:val="000000" w:themeColor="text1"/>
                <w:spacing w:val="-10"/>
                <w14:textFill>
                  <w14:solidFill>
                    <w14:schemeClr w14:val="tx1"/>
                  </w14:solidFill>
                </w14:textFill>
              </w:rPr>
            </w:pPr>
          </w:p>
        </w:tc>
        <w:tc>
          <w:tcPr>
            <w:tcW w:w="744" w:type="pct"/>
            <w:tcBorders>
              <w:top w:val="single" w:color="auto" w:sz="4" w:space="0"/>
              <w:left w:val="single" w:color="auto" w:sz="4" w:space="0"/>
              <w:bottom w:val="single" w:color="auto" w:sz="4" w:space="0"/>
              <w:right w:val="single" w:color="auto" w:sz="4" w:space="0"/>
            </w:tcBorders>
            <w:vAlign w:val="center"/>
          </w:tcPr>
          <w:p w14:paraId="635DC1C1">
            <w:pPr>
              <w:ind w:left="-53" w:leftChars="-25"/>
              <w:jc w:val="right"/>
              <w:rPr>
                <w:rFonts w:eastAsia="等线" w:cs="Times New Roman"/>
                <w:color w:val="000000"/>
                <w:spacing w:val="-10"/>
              </w:rPr>
            </w:pPr>
            <w:r>
              <w:rPr>
                <w:rFonts w:eastAsia="等线" w:cs="Times New Roman"/>
                <w:color w:val="000000"/>
                <w:spacing w:val="-10"/>
              </w:rPr>
              <w:t>180,861,290.88</w:t>
            </w:r>
          </w:p>
        </w:tc>
      </w:tr>
    </w:tbl>
    <w:p w14:paraId="6AB219E9"/>
    <w:p w14:paraId="7BA7C931">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bookmarkEnd w:id="151"/>
    </w:p>
    <w:p w14:paraId="33F0CB82">
      <w:pPr>
        <w:tabs>
          <w:tab w:val="left" w:pos="2790"/>
        </w:tabs>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按单项计提坏账准备的应收票据详细情况[双击切换]"/>
          <w:tag w:val="_GBC_90335c20d2434e43b63dbeddbebca5f6"/>
          <w:id w:val="582191275"/>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bookmarkStart w:id="153" w:name="_Hlk533597423"/>
    </w:p>
    <w:p w14:paraId="50101D91">
      <w:pPr>
        <w:ind w:right="210"/>
        <w:rPr>
          <w:color w:val="000000" w:themeColor="text1"/>
          <w14:textFill>
            <w14:solidFill>
              <w14:schemeClr w14:val="tx1"/>
            </w14:solidFill>
          </w14:textFill>
        </w:rPr>
      </w:pPr>
    </w:p>
    <w:bookmarkEnd w:id="152"/>
    <w:bookmarkEnd w:id="153"/>
    <w:p w14:paraId="7851072F">
      <w:pPr>
        <w:rPr>
          <w:rFonts w:cstheme="minorBidi"/>
          <w:bCs/>
          <w:color w:val="000000" w:themeColor="text1"/>
          <w:szCs w:val="22"/>
          <w14:textFill>
            <w14:solidFill>
              <w14:schemeClr w14:val="tx1"/>
            </w14:solidFill>
          </w14:textFill>
        </w:rPr>
      </w:pPr>
      <w:bookmarkStart w:id="154" w:name="_Hlk10466625"/>
      <w:bookmarkStart w:id="155" w:name="_Hlk10466636"/>
      <w:r>
        <w:rPr>
          <w:rFonts w:hint="eastAsia" w:cstheme="minorBidi"/>
          <w:color w:val="000000" w:themeColor="text1"/>
          <w:szCs w:val="22"/>
          <w14:textFill>
            <w14:solidFill>
              <w14:schemeClr w14:val="tx1"/>
            </w14:solidFill>
          </w14:textFill>
        </w:rPr>
        <w:t>按组合计提坏账准备：</w:t>
      </w:r>
      <w:bookmarkEnd w:id="154"/>
    </w:p>
    <w:sdt>
      <w:sdtPr>
        <w:rPr>
          <w:rFonts w:hint="eastAsia" w:cstheme="minorBidi"/>
          <w:bCs/>
          <w:color w:val="000000" w:themeColor="text1"/>
          <w:szCs w:val="22"/>
          <w14:textFill>
            <w14:solidFill>
              <w14:schemeClr w14:val="tx1"/>
            </w14:solidFill>
          </w14:textFill>
        </w:rPr>
        <w:alias w:val="是否适用：按组合计提坏账准备的应收票据详细情况[双击切换]"/>
        <w:tag w:val="_GBC_2b00fe7228b14b11bdb374e735777f02"/>
        <w:id w:val="2006864245"/>
        <w:placeholder>
          <w:docPart w:val="GBC22222222222222222222222222222"/>
        </w:placeholder>
      </w:sdtPr>
      <w:sdtEndPr>
        <w:rPr>
          <w:rFonts w:hint="eastAsia" w:cstheme="minorBidi"/>
          <w:bCs/>
          <w:color w:val="000000" w:themeColor="text1"/>
          <w:szCs w:val="22"/>
          <w14:textFill>
            <w14:solidFill>
              <w14:schemeClr w14:val="tx1"/>
            </w14:solidFill>
          </w14:textFill>
        </w:rPr>
      </w:sdtEndPr>
      <w:sdtContent>
        <w:p w14:paraId="016E546A">
          <w:pPr>
            <w:rPr>
              <w:color w:val="000000" w:themeColor="text1"/>
              <w14:textFill>
                <w14:solidFill>
                  <w14:schemeClr w14:val="tx1"/>
                </w14:solidFill>
              </w14:textFill>
            </w:rPr>
          </w:pP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color w:val="000000" w:themeColor="text1"/>
              <w:szCs w:val="22"/>
              <w14:textFill>
                <w14:solidFill>
                  <w14:schemeClr w14:val="tx1"/>
                </w14:solidFill>
              </w14:textFill>
            </w:rPr>
            <w:fldChar w:fldCharType="end"/>
          </w: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color w:val="000000" w:themeColor="text1"/>
              <w:szCs w:val="22"/>
              <w14:textFill>
                <w14:solidFill>
                  <w14:schemeClr w14:val="tx1"/>
                </w14:solidFill>
              </w14:textFill>
            </w:rPr>
            <w:fldChar w:fldCharType="end"/>
          </w:r>
        </w:p>
      </w:sdtContent>
    </w:sdt>
    <w:bookmarkEnd w:id="155"/>
    <w:p w14:paraId="1ADA863F">
      <w:pPr>
        <w:rPr>
          <w:rFonts w:cstheme="minorBidi"/>
          <w:bCs/>
          <w:color w:val="000000" w:themeColor="text1"/>
          <w:szCs w:val="22"/>
          <w14:textFill>
            <w14:solidFill>
              <w14:schemeClr w14:val="tx1"/>
            </w14:solidFill>
          </w14:textFill>
        </w:rPr>
      </w:pPr>
      <w:bookmarkStart w:id="156" w:name="_Hlk533601037"/>
      <w:bookmarkEnd w:id="156"/>
    </w:p>
    <w:p w14:paraId="0BF64163">
      <w:pPr>
        <w:rPr>
          <w:rFonts w:cstheme="minorBidi"/>
          <w:bCs/>
          <w:color w:val="000000" w:themeColor="text1"/>
          <w:szCs w:val="22"/>
          <w14:textFill>
            <w14:solidFill>
              <w14:schemeClr w14:val="tx1"/>
            </w14:solidFill>
          </w14:textFill>
        </w:rPr>
      </w:pPr>
      <w:bookmarkStart w:id="157" w:name="_Hlk167884917"/>
      <w:bookmarkStart w:id="158" w:name="_Hlk153356892"/>
      <w:r>
        <w:rPr>
          <w:rFonts w:hint="eastAsia" w:cstheme="minorBidi"/>
          <w:color w:val="000000" w:themeColor="text1"/>
          <w:szCs w:val="22"/>
          <w14:textFill>
            <w14:solidFill>
              <w14:schemeClr w14:val="tx1"/>
            </w14:solidFill>
          </w14:textFill>
        </w:rPr>
        <w:t>按预期信用损失一般模型计提坏账准备</w:t>
      </w:r>
    </w:p>
    <w:sdt>
      <w:sdtPr>
        <w:rPr>
          <w:rFonts w:cstheme="minorBidi"/>
          <w:bCs/>
          <w:color w:val="000000" w:themeColor="text1"/>
          <w:szCs w:val="22"/>
          <w14:textFill>
            <w14:solidFill>
              <w14:schemeClr w14:val="tx1"/>
            </w14:solidFill>
          </w14:textFill>
        </w:rPr>
        <w:alias w:val="是否适用：按预期信用损失一般模型计提坏账准备[双击切换]"/>
        <w:tag w:val="_GBC_843d776745f34ed8a0f1956fcb3af042"/>
        <w:id w:val="1139605219"/>
        <w:placeholder>
          <w:docPart w:val="GBC22222222222222222222222222222"/>
        </w:placeholder>
      </w:sdtPr>
      <w:sdtEndPr>
        <w:rPr>
          <w:rFonts w:cstheme="minorBidi"/>
          <w:bCs/>
          <w:color w:val="000000" w:themeColor="text1"/>
          <w:szCs w:val="22"/>
          <w14:textFill>
            <w14:solidFill>
              <w14:schemeClr w14:val="tx1"/>
            </w14:solidFill>
          </w14:textFill>
        </w:rPr>
      </w:sdtEndPr>
      <w:sdtContent>
        <w:p w14:paraId="36B07470">
          <w:pPr>
            <w:rPr>
              <w:rFonts w:cstheme="minorBidi"/>
              <w:bCs/>
              <w:color w:val="000000" w:themeColor="text1"/>
              <w:szCs w:val="22"/>
              <w14:textFill>
                <w14:solidFill>
                  <w14:schemeClr w14:val="tx1"/>
                </w14:solidFill>
              </w14:textFill>
            </w:rPr>
          </w:pP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color w:val="000000" w:themeColor="text1"/>
              <w:szCs w:val="22"/>
              <w14:textFill>
                <w14:solidFill>
                  <w14:schemeClr w14:val="tx1"/>
                </w14:solidFill>
              </w14:textFill>
            </w:rPr>
            <w:fldChar w:fldCharType="end"/>
          </w: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color w:val="000000" w:themeColor="text1"/>
              <w:szCs w:val="22"/>
              <w14:textFill>
                <w14:solidFill>
                  <w14:schemeClr w14:val="tx1"/>
                </w14:solidFill>
              </w14:textFill>
            </w:rPr>
            <w:fldChar w:fldCharType="end"/>
          </w:r>
        </w:p>
      </w:sdtContent>
    </w:sdt>
    <w:p w14:paraId="03B5C758">
      <w:pPr>
        <w:rPr>
          <w:color w:val="000000" w:themeColor="text1"/>
          <w14:textFill>
            <w14:solidFill>
              <w14:schemeClr w14:val="tx1"/>
            </w14:solidFill>
          </w14:textFill>
        </w:rPr>
      </w:pPr>
    </w:p>
    <w:p w14:paraId="573FC2D7">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color w:val="000000" w:themeColor="text1"/>
          <w:szCs w:val="22"/>
          <w14:textFill>
            <w14:solidFill>
              <w14:schemeClr w14:val="tx1"/>
            </w14:solidFill>
          </w14:textFill>
        </w:rPr>
        <w:alias w:val="各阶段划分依据和坏账准备计提比例"/>
        <w:tag w:val="_GBC_0c92b3ffc361499bb76814db60f3df97"/>
        <w:id w:val="-1331758336"/>
        <w:placeholder>
          <w:docPart w:val="GBC22222222222222222222222222222"/>
        </w:placeholder>
      </w:sdtPr>
      <w:sdtEndPr>
        <w:rPr>
          <w:rFonts w:cs="Times New Roman"/>
          <w:bCs/>
          <w:color w:val="000000" w:themeColor="text1"/>
          <w:szCs w:val="22"/>
          <w14:textFill>
            <w14:solidFill>
              <w14:schemeClr w14:val="tx1"/>
            </w14:solidFill>
          </w14:textFill>
        </w:rPr>
      </w:sdtEndPr>
      <w:sdtContent>
        <w:p w14:paraId="5C8A3636">
          <w:pPr>
            <w:rPr>
              <w:rFonts w:cs="Times New Roman"/>
              <w:bCs/>
              <w:color w:val="000000" w:themeColor="text1"/>
              <w:szCs w:val="22"/>
              <w14:textFill>
                <w14:solidFill>
                  <w14:schemeClr w14:val="tx1"/>
                </w14:solidFill>
              </w14:textFill>
            </w:rPr>
          </w:pPr>
          <w:r>
            <w:rPr>
              <w:rFonts w:hint="eastAsia" w:cs="Times New Roman"/>
              <w:bCs/>
              <w:color w:val="000000" w:themeColor="text1"/>
              <w:szCs w:val="22"/>
              <w14:textFill>
                <w14:solidFill>
                  <w14:schemeClr w14:val="tx1"/>
                </w14:solidFill>
              </w14:textFill>
            </w:rPr>
            <w:t>无</w:t>
          </w:r>
        </w:p>
      </w:sdtContent>
    </w:sdt>
    <w:p w14:paraId="5F1167C4">
      <w:pPr>
        <w:rPr>
          <w:rFonts w:asciiTheme="minorHAnsi" w:hAnsiTheme="minorHAnsi" w:cstheme="minorBidi"/>
          <w:b/>
          <w:bCs/>
          <w:color w:val="000000" w:themeColor="text1"/>
          <w:szCs w:val="22"/>
          <w14:textFill>
            <w14:solidFill>
              <w14:schemeClr w14:val="tx1"/>
            </w14:solidFill>
          </w14:textFill>
        </w:rPr>
      </w:pPr>
    </w:p>
    <w:p w14:paraId="784F1ACB">
      <w:pPr>
        <w:pStyle w:val="73"/>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对本期发生损失准备变动的应收票据账面余额显著变动的情况说明：</w:t>
      </w:r>
    </w:p>
    <w:sdt>
      <w:sdtPr>
        <w:rPr>
          <w:color w:val="000000" w:themeColor="text1"/>
          <w14:textFill>
            <w14:solidFill>
              <w14:schemeClr w14:val="tx1"/>
            </w14:solidFill>
          </w14:textFill>
        </w:rPr>
        <w:alias w:val="是否适用：对本期发生损失准备变动的账面余额显著变动的情况说明[双击切换]"/>
        <w:tag w:val="_GBC_58cb241b61cd42d1a0d769cec83b1516"/>
        <w:id w:val="-1485317186"/>
        <w:placeholder>
          <w:docPart w:val="GBC22222222222222222222222222222"/>
        </w:placeholder>
      </w:sdtPr>
      <w:sdtEndPr>
        <w:rPr>
          <w:color w:val="000000" w:themeColor="text1"/>
          <w14:textFill>
            <w14:solidFill>
              <w14:schemeClr w14:val="tx1"/>
            </w14:solidFill>
          </w14:textFill>
        </w:rPr>
      </w:sdtEndPr>
      <w:sdtContent>
        <w:p w14:paraId="458EAA1F">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57"/>
    <w:bookmarkEnd w:id="158"/>
    <w:p w14:paraId="1A1C2BE1">
      <w:pPr>
        <w:ind w:right="210"/>
        <w:rPr>
          <w:color w:val="000000" w:themeColor="text1"/>
          <w14:textFill>
            <w14:solidFill>
              <w14:schemeClr w14:val="tx1"/>
            </w14:solidFill>
          </w14:textFill>
        </w:rPr>
      </w:pPr>
    </w:p>
    <w:p w14:paraId="04E78BFC">
      <w:pPr>
        <w:pStyle w:val="5"/>
        <w:numPr>
          <w:ilvl w:val="3"/>
          <w:numId w:val="42"/>
        </w:numPr>
        <w:rPr>
          <w:rFonts w:ascii="宋体" w:hAnsi="宋体"/>
          <w:color w:val="000000" w:themeColor="text1"/>
          <w14:textFill>
            <w14:solidFill>
              <w14:schemeClr w14:val="tx1"/>
            </w14:solidFill>
          </w14:textFill>
        </w:rPr>
      </w:pPr>
      <w:bookmarkStart w:id="159" w:name="_Hlk532980547"/>
      <w:bookmarkStart w:id="160" w:name="_Hlk167885031"/>
      <w:bookmarkStart w:id="161" w:name="_Hlk154148795"/>
      <w:r>
        <w:rPr>
          <w:rFonts w:hint="eastAsia" w:ascii="宋体" w:hAnsi="宋体"/>
          <w:color w:val="000000" w:themeColor="text1"/>
          <w14:textFill>
            <w14:solidFill>
              <w14:schemeClr w14:val="tx1"/>
            </w14:solidFill>
          </w14:textFill>
        </w:rPr>
        <w:t>坏账准备的情况</w:t>
      </w:r>
    </w:p>
    <w:sdt>
      <w:sdtPr>
        <w:rPr>
          <w:color w:val="000000" w:themeColor="text1"/>
          <w14:textFill>
            <w14:solidFill>
              <w14:schemeClr w14:val="tx1"/>
            </w14:solidFill>
          </w14:textFill>
        </w:rPr>
        <w:alias w:val="是否适用：应收票据坏账准备情况[双击切换]"/>
        <w:tag w:val="_GBC_168f3e2065e34239828a1cf025c3d9ad"/>
        <w:id w:val="1595287312"/>
        <w:placeholder>
          <w:docPart w:val="GBC22222222222222222222222222222"/>
        </w:placeholder>
      </w:sdtPr>
      <w:sdtEndPr>
        <w:rPr>
          <w:color w:val="000000" w:themeColor="text1"/>
          <w14:textFill>
            <w14:solidFill>
              <w14:schemeClr w14:val="tx1"/>
            </w14:solidFill>
          </w14:textFill>
        </w:rPr>
      </w:sdtEndPr>
      <w:sdtContent>
        <w:p w14:paraId="74472F7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681114">
      <w:pPr>
        <w:rPr>
          <w:color w:val="000000" w:themeColor="text1"/>
          <w14:textFill>
            <w14:solidFill>
              <w14:schemeClr w14:val="tx1"/>
            </w14:solidFill>
          </w14:textFill>
        </w:rPr>
      </w:pPr>
    </w:p>
    <w:p w14:paraId="4B99F4E6">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rFonts w:hint="eastAsia"/>
          <w:color w:val="000000" w:themeColor="text1"/>
          <w14:textFill>
            <w14:solidFill>
              <w14:schemeClr w14:val="tx1"/>
            </w14:solidFill>
          </w14:textFill>
        </w:rPr>
        <w:alias w:val="是否适用：应收票据本期坏账准备收回或转回金额重要的[双击切换]"/>
        <w:tag w:val="_GBC_ebd5833e36984f6f9c7dc0fec90cccc0"/>
        <w:id w:val="-314115003"/>
        <w:placeholder>
          <w:docPart w:val="GBC22222222222222222222222222222"/>
        </w:placeholder>
      </w:sdtPr>
      <w:sdtEndPr>
        <w:rPr>
          <w:rFonts w:hint="eastAsia"/>
          <w:color w:val="000000" w:themeColor="text1"/>
          <w14:textFill>
            <w14:solidFill>
              <w14:schemeClr w14:val="tx1"/>
            </w14:solidFill>
          </w14:textFill>
        </w:rPr>
      </w:sdtEndPr>
      <w:sdtContent>
        <w:p w14:paraId="41A114C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4FE4EF">
      <w:pPr>
        <w:rPr>
          <w:color w:val="000000" w:themeColor="text1"/>
          <w14:textFill>
            <w14:solidFill>
              <w14:schemeClr w14:val="tx1"/>
            </w14:solidFill>
          </w14:textFill>
        </w:rPr>
      </w:pPr>
    </w:p>
    <w:p w14:paraId="74236BBD">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cstheme="minorBidi"/>
          <w:bCs/>
          <w:color w:val="000000" w:themeColor="text1"/>
          <w:szCs w:val="22"/>
          <w14:textFill>
            <w14:solidFill>
              <w14:schemeClr w14:val="tx1"/>
            </w14:solidFill>
          </w14:textFill>
        </w:rPr>
        <w:alias w:val="应收票据坏账准备的其他说明"/>
        <w:tag w:val="_GBC_06a2eec03f574dd1baa82ec8987eaf65"/>
        <w:id w:val="1100525111"/>
        <w:placeholder>
          <w:docPart w:val="GBC22222222222222222222222222222"/>
        </w:placeholder>
      </w:sdtPr>
      <w:sdtEndPr>
        <w:rPr>
          <w:rFonts w:asciiTheme="minorHAnsi" w:hAnsiTheme="minorHAnsi" w:cstheme="minorBidi"/>
          <w:bCs/>
          <w:color w:val="000000" w:themeColor="text1"/>
          <w:szCs w:val="22"/>
          <w14:textFill>
            <w14:solidFill>
              <w14:schemeClr w14:val="tx1"/>
            </w14:solidFill>
          </w14:textFill>
        </w:rPr>
      </w:sdtEndPr>
      <w:sdtContent>
        <w:p w14:paraId="17E1777E">
          <w:pPr>
            <w:rPr>
              <w:rFonts w:asciiTheme="minorHAnsi" w:hAnsiTheme="minorHAnsi" w:cstheme="minorBidi"/>
              <w:bCs/>
              <w:color w:val="000000" w:themeColor="text1"/>
              <w:szCs w:val="22"/>
              <w14:textFill>
                <w14:solidFill>
                  <w14:schemeClr w14:val="tx1"/>
                </w14:solidFill>
              </w14:textFill>
            </w:rPr>
          </w:pPr>
          <w:r>
            <w:rPr>
              <w:rFonts w:hint="eastAsia" w:cstheme="minorBidi"/>
              <w:bCs/>
              <w:color w:val="000000" w:themeColor="text1"/>
              <w:szCs w:val="22"/>
              <w14:textFill>
                <w14:solidFill>
                  <w14:schemeClr w14:val="tx1"/>
                </w14:solidFill>
              </w14:textFill>
            </w:rPr>
            <w:t>无</w:t>
          </w:r>
        </w:p>
      </w:sdtContent>
    </w:sdt>
    <w:p w14:paraId="5F1B3C97">
      <w:pPr>
        <w:rPr>
          <w:rFonts w:asciiTheme="minorHAnsi" w:hAnsiTheme="minorHAnsi" w:cstheme="minorBidi"/>
          <w:bCs/>
          <w:color w:val="000000" w:themeColor="text1"/>
          <w:szCs w:val="22"/>
          <w14:textFill>
            <w14:solidFill>
              <w14:schemeClr w14:val="tx1"/>
            </w14:solidFill>
          </w14:textFill>
        </w:rPr>
      </w:pPr>
    </w:p>
    <w:bookmarkEnd w:id="159"/>
    <w:bookmarkEnd w:id="160"/>
    <w:bookmarkEnd w:id="161"/>
    <w:p w14:paraId="4985619A">
      <w:pPr>
        <w:pStyle w:val="5"/>
        <w:numPr>
          <w:ilvl w:val="3"/>
          <w:numId w:val="42"/>
        </w:numPr>
        <w:rPr>
          <w:rFonts w:ascii="宋体" w:hAnsi="宋体"/>
          <w:color w:val="000000" w:themeColor="text1"/>
          <w14:textFill>
            <w14:solidFill>
              <w14:schemeClr w14:val="tx1"/>
            </w14:solidFill>
          </w14:textFill>
        </w:rPr>
      </w:pPr>
      <w:bookmarkStart w:id="162" w:name="_Hlk10466841"/>
      <w:bookmarkStart w:id="163" w:name="_Hlk10466853"/>
      <w:r>
        <w:rPr>
          <w:rFonts w:hint="eastAsia" w:ascii="宋体" w:hAnsi="宋体"/>
          <w:color w:val="000000" w:themeColor="text1"/>
          <w14:textFill>
            <w14:solidFill>
              <w14:schemeClr w14:val="tx1"/>
            </w14:solidFill>
          </w14:textFill>
        </w:rPr>
        <w:t>本期实际核销的应收票据情况</w:t>
      </w:r>
      <w:bookmarkEnd w:id="162"/>
    </w:p>
    <w:sdt>
      <w:sdtPr>
        <w:rPr>
          <w:color w:val="000000" w:themeColor="text1"/>
          <w14:textFill>
            <w14:solidFill>
              <w14:schemeClr w14:val="tx1"/>
            </w14:solidFill>
          </w14:textFill>
        </w:rPr>
        <w:alias w:val="是否适用：实际核销的应收票据[双击切换]"/>
        <w:tag w:val="_GBC_d0dcbb36ec68469bb29eac25b4a7af19"/>
        <w:id w:val="-472525023"/>
        <w:placeholder>
          <w:docPart w:val="GBC22222222222222222222222222222"/>
        </w:placeholder>
      </w:sdtPr>
      <w:sdtEndPr>
        <w:rPr>
          <w:color w:val="000000" w:themeColor="text1"/>
          <w14:textFill>
            <w14:solidFill>
              <w14:schemeClr w14:val="tx1"/>
            </w14:solidFill>
          </w14:textFill>
        </w:rPr>
      </w:sdtEndPr>
      <w:sdtContent>
        <w:p w14:paraId="076DED2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A345692">
      <w:pPr>
        <w:rPr>
          <w:color w:val="000000" w:themeColor="text1"/>
          <w14:textFill>
            <w14:solidFill>
              <w14:schemeClr w14:val="tx1"/>
            </w14:solidFill>
          </w14:textFill>
        </w:rPr>
      </w:pPr>
    </w:p>
    <w:p w14:paraId="24DCB448">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其中重要的应收票据核销情况：</w:t>
      </w:r>
    </w:p>
    <w:sdt>
      <w:sdtPr>
        <w:rPr>
          <w:color w:val="000000" w:themeColor="text1"/>
          <w14:textFill>
            <w14:solidFill>
              <w14:schemeClr w14:val="tx1"/>
            </w14:solidFill>
          </w14:textFill>
        </w:rPr>
        <w:alias w:val="是否适用：重要的应收票据核销[双击切换]"/>
        <w:tag w:val="_GBC_e2717d0c54ea4f5eb5b1671a3c798609"/>
        <w:id w:val="1796401849"/>
        <w:placeholder>
          <w:docPart w:val="GBC22222222222222222222222222222"/>
        </w:placeholder>
      </w:sdtPr>
      <w:sdtEndPr>
        <w:rPr>
          <w:color w:val="000000" w:themeColor="text1"/>
          <w14:textFill>
            <w14:solidFill>
              <w14:schemeClr w14:val="tx1"/>
            </w14:solidFill>
          </w14:textFill>
        </w:rPr>
      </w:sdtEndPr>
      <w:sdtContent>
        <w:p w14:paraId="1CC5388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7C54477">
      <w:pPr>
        <w:rPr>
          <w:color w:val="000000" w:themeColor="text1"/>
          <w14:textFill>
            <w14:solidFill>
              <w14:schemeClr w14:val="tx1"/>
            </w14:solidFill>
          </w14:textFill>
        </w:rPr>
      </w:pPr>
    </w:p>
    <w:p w14:paraId="07167768">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应收票据核销说明：</w:t>
      </w:r>
    </w:p>
    <w:sdt>
      <w:sdtPr>
        <w:rPr>
          <w:rFonts w:cstheme="minorBidi"/>
          <w:bCs/>
          <w:color w:val="000000" w:themeColor="text1"/>
          <w:szCs w:val="22"/>
          <w14:textFill>
            <w14:solidFill>
              <w14:schemeClr w14:val="tx1"/>
            </w14:solidFill>
          </w14:textFill>
        </w:rPr>
        <w:alias w:val="是否适用：应收票据核销说明[双击切换]"/>
        <w:tag w:val="_GBC_60d1268fdde049f1971e1a68d97580f2"/>
        <w:id w:val="452365484"/>
        <w:placeholder>
          <w:docPart w:val="GBC22222222222222222222222222222"/>
        </w:placeholder>
      </w:sdtPr>
      <w:sdtEndPr>
        <w:rPr>
          <w:rFonts w:cstheme="minorBidi"/>
          <w:bCs/>
          <w:color w:val="000000" w:themeColor="text1"/>
          <w:szCs w:val="22"/>
          <w14:textFill>
            <w14:solidFill>
              <w14:schemeClr w14:val="tx1"/>
            </w14:solidFill>
          </w14:textFill>
        </w:rPr>
      </w:sdtEndPr>
      <w:sdtContent>
        <w:p w14:paraId="3118C953">
          <w:pPr>
            <w:rPr>
              <w:rFonts w:cstheme="minorBidi"/>
              <w:bCs/>
              <w:color w:val="000000" w:themeColor="text1"/>
              <w:szCs w:val="22"/>
              <w14:textFill>
                <w14:solidFill>
                  <w14:schemeClr w14:val="tx1"/>
                </w14:solidFill>
              </w14:textFill>
            </w:rPr>
          </w:pP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color w:val="000000" w:themeColor="text1"/>
              <w:szCs w:val="22"/>
              <w14:textFill>
                <w14:solidFill>
                  <w14:schemeClr w14:val="tx1"/>
                </w14:solidFill>
              </w14:textFill>
            </w:rPr>
            <w:fldChar w:fldCharType="end"/>
          </w: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color w:val="000000" w:themeColor="text1"/>
              <w:szCs w:val="22"/>
              <w14:textFill>
                <w14:solidFill>
                  <w14:schemeClr w14:val="tx1"/>
                </w14:solidFill>
              </w14:textFill>
            </w:rPr>
            <w:fldChar w:fldCharType="end"/>
          </w:r>
        </w:p>
      </w:sdtContent>
    </w:sdt>
    <w:p w14:paraId="0D8044ED">
      <w:pPr>
        <w:ind w:right="210"/>
        <w:rPr>
          <w:color w:val="000000" w:themeColor="text1"/>
          <w14:textFill>
            <w14:solidFill>
              <w14:schemeClr w14:val="tx1"/>
            </w14:solidFill>
          </w14:textFill>
        </w:rPr>
      </w:pPr>
    </w:p>
    <w:bookmarkEnd w:id="163"/>
    <w:p w14:paraId="0C98FF16">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收票据的说明[双击切换]"/>
        <w:tag w:val="_GBC_704e24e70b65463883e10335ce93a1ac"/>
        <w:id w:val="-104743553"/>
        <w:placeholder>
          <w:docPart w:val="GBC22222222222222222222222222222"/>
        </w:placeholder>
      </w:sdtPr>
      <w:sdtEndPr>
        <w:rPr>
          <w:color w:val="000000" w:themeColor="text1"/>
          <w14:textFill>
            <w14:solidFill>
              <w14:schemeClr w14:val="tx1"/>
            </w14:solidFill>
          </w14:textFill>
        </w:rPr>
      </w:sdtEndPr>
      <w:sdtContent>
        <w:p w14:paraId="25957B1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F2C640">
      <w:pPr>
        <w:rPr>
          <w:color w:val="000000" w:themeColor="text1"/>
          <w14:textFill>
            <w14:solidFill>
              <w14:schemeClr w14:val="tx1"/>
            </w14:solidFill>
          </w14:textFill>
        </w:rPr>
      </w:pPr>
    </w:p>
    <w:p w14:paraId="0CB33189">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应收账款</w:t>
      </w:r>
    </w:p>
    <w:p w14:paraId="3FA063EB">
      <w:pPr>
        <w:pStyle w:val="5"/>
        <w:numPr>
          <w:ilvl w:val="3"/>
          <w:numId w:val="43"/>
        </w:numPr>
        <w:ind w:left="426" w:hanging="426"/>
        <w:rPr>
          <w:color w:val="000000" w:themeColor="text1"/>
          <w14:textFill>
            <w14:solidFill>
              <w14:schemeClr w14:val="tx1"/>
            </w14:solidFill>
          </w14:textFill>
        </w:rPr>
      </w:pPr>
      <w:bookmarkStart w:id="164" w:name="_Hlk167885161"/>
      <w:r>
        <w:rPr>
          <w:rFonts w:hint="eastAsia"/>
          <w:color w:val="000000" w:themeColor="text1"/>
          <w14:textFill>
            <w14:solidFill>
              <w14:schemeClr w14:val="tx1"/>
            </w14:solidFill>
          </w14:textFill>
        </w:rPr>
        <w:t>按账龄披露</w:t>
      </w:r>
    </w:p>
    <w:sdt>
      <w:sdtPr>
        <w:rPr>
          <w:rFonts w:hint="eastAsia"/>
          <w:color w:val="000000" w:themeColor="text1"/>
          <w14:textFill>
            <w14:solidFill>
              <w14:schemeClr w14:val="tx1"/>
            </w14:solidFill>
          </w14:textFill>
        </w:rPr>
        <w:alias w:val="是否适用：组合中，按账龄分析法计提坏账准备的应收账款[双击切换]"/>
        <w:tag w:val="_GBC_0cb5a49c5db74995bd3018603d9e51bd"/>
        <w:id w:val="438652339"/>
        <w:placeholder>
          <w:docPart w:val="GBC22222222222222222222222222222"/>
        </w:placeholder>
      </w:sdtPr>
      <w:sdtEndPr>
        <w:rPr>
          <w:rFonts w:hint="eastAsia"/>
          <w:color w:val="000000" w:themeColor="text1"/>
          <w14:textFill>
            <w14:solidFill>
              <w14:schemeClr w14:val="tx1"/>
            </w14:solidFill>
          </w14:textFill>
        </w:rPr>
      </w:sdtEndPr>
      <w:sdtContent>
        <w:p w14:paraId="08FFC19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F73630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单项金额不重大但按信用风险特征组合后该组合的风险较大的应收账款"/>
          <w:tag w:val="_GBC_265ded289d9549b48b782b655857ce0f"/>
          <w:id w:val="2789316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单项金额不重大但按信用风险特征组合后该组合的风险较大的应收账款"/>
          <w:tag w:val="_GBC_180ea8d33f6444f78eff9694acd980ae"/>
          <w:id w:val="6272034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6"/>
        <w:gridCol w:w="3051"/>
        <w:gridCol w:w="3052"/>
      </w:tblGrid>
      <w:tr w14:paraId="7B71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213499a1ef1849a6bacc47a55e2a94f7"/>
            <w:id w:val="1329799140"/>
          </w:sdtPr>
          <w:sdtContent>
            <w:tc>
              <w:tcPr>
                <w:tcW w:w="1628" w:type="pct"/>
                <w:tcBorders>
                  <w:top w:val="single" w:color="auto" w:sz="4" w:space="0"/>
                  <w:left w:val="single" w:color="auto" w:sz="4" w:space="0"/>
                  <w:bottom w:val="single" w:color="auto" w:sz="4" w:space="0"/>
                  <w:right w:val="single" w:color="auto" w:sz="4" w:space="0"/>
                </w:tcBorders>
                <w:vAlign w:val="center"/>
              </w:tcPr>
              <w:p w14:paraId="7C4E1CD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80e3ddf3d703438d9bc59aba1626c89f"/>
            <w:id w:val="-895967731"/>
          </w:sdtPr>
          <w:sdtContent>
            <w:tc>
              <w:tcPr>
                <w:tcW w:w="1686" w:type="pct"/>
                <w:tcBorders>
                  <w:top w:val="single" w:color="auto" w:sz="4" w:space="0"/>
                  <w:left w:val="single" w:color="auto" w:sz="4" w:space="0"/>
                  <w:bottom w:val="single" w:color="auto" w:sz="4" w:space="0"/>
                  <w:right w:val="single" w:color="auto" w:sz="4" w:space="0"/>
                </w:tcBorders>
                <w:vAlign w:val="center"/>
              </w:tcPr>
              <w:p w14:paraId="73E7962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期末账面余额</w:t>
                </w:r>
              </w:p>
            </w:tc>
          </w:sdtContent>
        </w:sdt>
        <w:sdt>
          <w:sdtPr>
            <w:tag w:val="_PLD_4acf836dd5254d2ba9d541e7076daad6"/>
            <w:id w:val="-1254121197"/>
          </w:sdtPr>
          <w:sdtContent>
            <w:tc>
              <w:tcPr>
                <w:tcW w:w="1686" w:type="pct"/>
                <w:tcBorders>
                  <w:top w:val="single" w:color="auto" w:sz="4" w:space="0"/>
                  <w:left w:val="single" w:color="auto" w:sz="4" w:space="0"/>
                  <w:bottom w:val="single" w:color="auto" w:sz="4" w:space="0"/>
                  <w:right w:val="single" w:color="auto" w:sz="4" w:space="0"/>
                </w:tcBorders>
              </w:tcPr>
              <w:p w14:paraId="416F171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期初账面余额</w:t>
                </w:r>
              </w:p>
            </w:tc>
          </w:sdtContent>
        </w:sdt>
      </w:tr>
      <w:tr w14:paraId="3370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427918E8">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1年以内</w:t>
            </w:r>
          </w:p>
        </w:tc>
        <w:tc>
          <w:tcPr>
            <w:tcW w:w="1686" w:type="pct"/>
            <w:tcBorders>
              <w:top w:val="single" w:color="auto" w:sz="4" w:space="0"/>
              <w:left w:val="single" w:color="auto" w:sz="4" w:space="0"/>
              <w:bottom w:val="single" w:color="auto" w:sz="4" w:space="0"/>
              <w:right w:val="single" w:color="auto" w:sz="4" w:space="0"/>
            </w:tcBorders>
            <w:vAlign w:val="center"/>
          </w:tcPr>
          <w:p w14:paraId="3634E0FC">
            <w:pPr>
              <w:jc w:val="right"/>
              <w:rPr>
                <w:rFonts w:asciiTheme="minorEastAsia" w:hAnsiTheme="minorEastAsia" w:eastAsiaTheme="minorEastAsia"/>
              </w:rPr>
            </w:pPr>
            <w:r>
              <w:rPr>
                <w:rFonts w:asciiTheme="minorEastAsia" w:hAnsiTheme="minorEastAsia" w:eastAsiaTheme="minorEastAsia"/>
              </w:rPr>
              <w:t>1,111,392,715.32</w:t>
            </w:r>
          </w:p>
        </w:tc>
        <w:tc>
          <w:tcPr>
            <w:tcW w:w="1686" w:type="pct"/>
            <w:tcBorders>
              <w:top w:val="single" w:color="auto" w:sz="4" w:space="0"/>
              <w:left w:val="single" w:color="auto" w:sz="4" w:space="0"/>
              <w:bottom w:val="single" w:color="auto" w:sz="4" w:space="0"/>
              <w:right w:val="single" w:color="auto" w:sz="4" w:space="0"/>
            </w:tcBorders>
            <w:vAlign w:val="center"/>
          </w:tcPr>
          <w:p w14:paraId="23D4111C">
            <w:pPr>
              <w:jc w:val="right"/>
              <w:rPr>
                <w:rFonts w:asciiTheme="minorEastAsia" w:hAnsiTheme="minorEastAsia" w:eastAsiaTheme="minorEastAsia"/>
              </w:rPr>
            </w:pPr>
            <w:r>
              <w:rPr>
                <w:rFonts w:asciiTheme="minorEastAsia" w:hAnsiTheme="minorEastAsia" w:eastAsiaTheme="minorEastAsia"/>
              </w:rPr>
              <w:t>1,161,414,990.60</w:t>
            </w:r>
          </w:p>
        </w:tc>
      </w:tr>
      <w:tr w14:paraId="0F0D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55BE3334">
            <w:pPr>
              <w:rPr>
                <w:rFonts w:asciiTheme="minorEastAsia" w:hAnsiTheme="minorEastAsia" w:eastAsiaTheme="minorEastAsia"/>
              </w:rPr>
            </w:pPr>
            <w:r>
              <w:rPr>
                <w:rFonts w:hint="eastAsia" w:asciiTheme="minorEastAsia" w:hAnsiTheme="minorEastAsia" w:eastAsiaTheme="minorEastAsia"/>
              </w:rPr>
              <w:t>其中：1年以内分项</w:t>
            </w:r>
          </w:p>
        </w:tc>
        <w:tc>
          <w:tcPr>
            <w:tcW w:w="1686" w:type="pct"/>
            <w:tcBorders>
              <w:top w:val="single" w:color="auto" w:sz="4" w:space="0"/>
              <w:left w:val="single" w:color="auto" w:sz="4" w:space="0"/>
              <w:bottom w:val="single" w:color="auto" w:sz="4" w:space="0"/>
              <w:right w:val="single" w:color="auto" w:sz="4" w:space="0"/>
            </w:tcBorders>
            <w:vAlign w:val="center"/>
          </w:tcPr>
          <w:p w14:paraId="3A109B41">
            <w:pPr>
              <w:jc w:val="right"/>
              <w:rPr>
                <w:rFonts w:asciiTheme="minorEastAsia" w:hAnsiTheme="minorEastAsia" w:eastAsiaTheme="minorEastAsia"/>
              </w:rPr>
            </w:pPr>
          </w:p>
        </w:tc>
        <w:tc>
          <w:tcPr>
            <w:tcW w:w="1686" w:type="pct"/>
            <w:tcBorders>
              <w:top w:val="single" w:color="auto" w:sz="4" w:space="0"/>
              <w:left w:val="single" w:color="auto" w:sz="4" w:space="0"/>
              <w:bottom w:val="single" w:color="auto" w:sz="4" w:space="0"/>
              <w:right w:val="single" w:color="auto" w:sz="4" w:space="0"/>
            </w:tcBorders>
            <w:vAlign w:val="center"/>
          </w:tcPr>
          <w:p w14:paraId="187C6F14">
            <w:pPr>
              <w:jc w:val="right"/>
              <w:rPr>
                <w:rFonts w:asciiTheme="minorEastAsia" w:hAnsiTheme="minorEastAsia" w:eastAsiaTheme="minorEastAsia"/>
              </w:rPr>
            </w:pPr>
          </w:p>
        </w:tc>
      </w:tr>
      <w:tr w14:paraId="226B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5B14C0AE">
            <w:pPr>
              <w:rPr>
                <w:rFonts w:asciiTheme="minorEastAsia" w:hAnsiTheme="minorEastAsia" w:eastAsiaTheme="minorEastAsia"/>
              </w:rPr>
            </w:pPr>
            <w:r>
              <w:rPr>
                <w:rFonts w:asciiTheme="minorEastAsia" w:hAnsiTheme="minorEastAsia" w:eastAsiaTheme="minorEastAsia"/>
              </w:rPr>
              <w:t>0-6个月（含6个月）</w:t>
            </w:r>
          </w:p>
        </w:tc>
        <w:tc>
          <w:tcPr>
            <w:tcW w:w="1686" w:type="pct"/>
            <w:tcBorders>
              <w:top w:val="single" w:color="auto" w:sz="4" w:space="0"/>
              <w:left w:val="single" w:color="auto" w:sz="4" w:space="0"/>
              <w:bottom w:val="single" w:color="auto" w:sz="4" w:space="0"/>
              <w:right w:val="single" w:color="auto" w:sz="4" w:space="0"/>
            </w:tcBorders>
            <w:vAlign w:val="center"/>
          </w:tcPr>
          <w:p w14:paraId="408D9642">
            <w:pPr>
              <w:jc w:val="right"/>
              <w:rPr>
                <w:rFonts w:asciiTheme="minorEastAsia" w:hAnsiTheme="minorEastAsia" w:eastAsiaTheme="minorEastAsia"/>
              </w:rPr>
            </w:pPr>
            <w:r>
              <w:rPr>
                <w:rFonts w:asciiTheme="minorEastAsia" w:hAnsiTheme="minorEastAsia" w:eastAsiaTheme="minorEastAsia"/>
              </w:rPr>
              <w:t>1,031,312,224.04</w:t>
            </w:r>
          </w:p>
        </w:tc>
        <w:tc>
          <w:tcPr>
            <w:tcW w:w="1686" w:type="pct"/>
            <w:tcBorders>
              <w:top w:val="single" w:color="auto" w:sz="4" w:space="0"/>
              <w:left w:val="single" w:color="auto" w:sz="4" w:space="0"/>
              <w:bottom w:val="single" w:color="auto" w:sz="4" w:space="0"/>
              <w:right w:val="single" w:color="auto" w:sz="4" w:space="0"/>
            </w:tcBorders>
            <w:vAlign w:val="center"/>
          </w:tcPr>
          <w:p w14:paraId="269568D4">
            <w:pPr>
              <w:jc w:val="right"/>
              <w:rPr>
                <w:rFonts w:asciiTheme="minorEastAsia" w:hAnsiTheme="minorEastAsia" w:eastAsiaTheme="minorEastAsia"/>
              </w:rPr>
            </w:pPr>
            <w:r>
              <w:rPr>
                <w:rFonts w:asciiTheme="minorEastAsia" w:hAnsiTheme="minorEastAsia" w:eastAsiaTheme="minorEastAsia"/>
              </w:rPr>
              <w:t>1,114,171,213.26</w:t>
            </w:r>
          </w:p>
        </w:tc>
      </w:tr>
      <w:tr w14:paraId="03AD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0D5D79A2">
            <w:pPr>
              <w:rPr>
                <w:rFonts w:asciiTheme="minorEastAsia" w:hAnsiTheme="minorEastAsia" w:eastAsiaTheme="minorEastAsia"/>
              </w:rPr>
            </w:pPr>
            <w:r>
              <w:rPr>
                <w:rFonts w:asciiTheme="minorEastAsia" w:hAnsiTheme="minorEastAsia" w:eastAsiaTheme="minorEastAsia"/>
              </w:rPr>
              <w:t>6个月-1年（含1年）</w:t>
            </w:r>
          </w:p>
        </w:tc>
        <w:tc>
          <w:tcPr>
            <w:tcW w:w="1686" w:type="pct"/>
            <w:tcBorders>
              <w:top w:val="single" w:color="auto" w:sz="4" w:space="0"/>
              <w:left w:val="single" w:color="auto" w:sz="4" w:space="0"/>
              <w:bottom w:val="single" w:color="auto" w:sz="4" w:space="0"/>
              <w:right w:val="single" w:color="auto" w:sz="4" w:space="0"/>
            </w:tcBorders>
            <w:vAlign w:val="center"/>
          </w:tcPr>
          <w:p w14:paraId="17C6AF74">
            <w:pPr>
              <w:jc w:val="right"/>
              <w:rPr>
                <w:rFonts w:asciiTheme="minorEastAsia" w:hAnsiTheme="minorEastAsia" w:eastAsiaTheme="minorEastAsia"/>
              </w:rPr>
            </w:pPr>
            <w:r>
              <w:rPr>
                <w:rFonts w:asciiTheme="minorEastAsia" w:hAnsiTheme="minorEastAsia" w:eastAsiaTheme="minorEastAsia"/>
              </w:rPr>
              <w:t>80,080,491.28</w:t>
            </w:r>
          </w:p>
        </w:tc>
        <w:tc>
          <w:tcPr>
            <w:tcW w:w="1686" w:type="pct"/>
            <w:tcBorders>
              <w:top w:val="single" w:color="auto" w:sz="4" w:space="0"/>
              <w:left w:val="single" w:color="auto" w:sz="4" w:space="0"/>
              <w:bottom w:val="single" w:color="auto" w:sz="4" w:space="0"/>
              <w:right w:val="single" w:color="auto" w:sz="4" w:space="0"/>
            </w:tcBorders>
            <w:vAlign w:val="center"/>
          </w:tcPr>
          <w:p w14:paraId="61CB3081">
            <w:pPr>
              <w:jc w:val="right"/>
              <w:rPr>
                <w:rFonts w:asciiTheme="minorEastAsia" w:hAnsiTheme="minorEastAsia" w:eastAsiaTheme="minorEastAsia"/>
              </w:rPr>
            </w:pPr>
            <w:r>
              <w:rPr>
                <w:rFonts w:asciiTheme="minorEastAsia" w:hAnsiTheme="minorEastAsia" w:eastAsiaTheme="minorEastAsia"/>
              </w:rPr>
              <w:t>47,243,777.34</w:t>
            </w:r>
          </w:p>
        </w:tc>
      </w:tr>
      <w:tr w14:paraId="54C1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7252499C">
            <w:pPr>
              <w:rPr>
                <w:rFonts w:asciiTheme="minorEastAsia" w:hAnsiTheme="minorEastAsia" w:eastAsiaTheme="minorEastAsia"/>
                <w:color w:val="000000"/>
                <w:sz w:val="22"/>
                <w:szCs w:val="22"/>
              </w:rPr>
            </w:pPr>
            <w:r>
              <w:rPr>
                <w:rFonts w:hint="eastAsia" w:asciiTheme="minorEastAsia" w:hAnsiTheme="minorEastAsia" w:eastAsiaTheme="minorEastAsia"/>
              </w:rPr>
              <w:t>1年以内小计</w:t>
            </w:r>
          </w:p>
        </w:tc>
        <w:tc>
          <w:tcPr>
            <w:tcW w:w="1686" w:type="pct"/>
            <w:tcBorders>
              <w:top w:val="single" w:color="auto" w:sz="4" w:space="0"/>
              <w:left w:val="single" w:color="auto" w:sz="4" w:space="0"/>
              <w:bottom w:val="single" w:color="auto" w:sz="4" w:space="0"/>
              <w:right w:val="single" w:color="auto" w:sz="4" w:space="0"/>
            </w:tcBorders>
            <w:vAlign w:val="center"/>
          </w:tcPr>
          <w:p w14:paraId="6A1F5E45">
            <w:pPr>
              <w:jc w:val="right"/>
              <w:rPr>
                <w:rFonts w:asciiTheme="minorEastAsia" w:hAnsiTheme="minorEastAsia" w:eastAsiaTheme="minorEastAsia"/>
              </w:rPr>
            </w:pPr>
            <w:r>
              <w:rPr>
                <w:rFonts w:asciiTheme="minorEastAsia" w:hAnsiTheme="minorEastAsia" w:eastAsiaTheme="minorEastAsia"/>
              </w:rPr>
              <w:t>1,111,392,715.32</w:t>
            </w:r>
          </w:p>
        </w:tc>
        <w:tc>
          <w:tcPr>
            <w:tcW w:w="1686" w:type="pct"/>
            <w:tcBorders>
              <w:top w:val="single" w:color="auto" w:sz="4" w:space="0"/>
              <w:left w:val="single" w:color="auto" w:sz="4" w:space="0"/>
              <w:bottom w:val="single" w:color="auto" w:sz="4" w:space="0"/>
              <w:right w:val="single" w:color="auto" w:sz="4" w:space="0"/>
            </w:tcBorders>
            <w:vAlign w:val="center"/>
          </w:tcPr>
          <w:p w14:paraId="327370A4">
            <w:pPr>
              <w:jc w:val="right"/>
              <w:rPr>
                <w:rFonts w:asciiTheme="minorEastAsia" w:hAnsiTheme="minorEastAsia" w:eastAsiaTheme="minorEastAsia"/>
              </w:rPr>
            </w:pPr>
            <w:r>
              <w:rPr>
                <w:rFonts w:asciiTheme="minorEastAsia" w:hAnsiTheme="minorEastAsia" w:eastAsiaTheme="minorEastAsia"/>
              </w:rPr>
              <w:t>1,161,414,990.60</w:t>
            </w:r>
          </w:p>
        </w:tc>
      </w:tr>
      <w:tr w14:paraId="6E80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7D6CEE2C">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1至2年</w:t>
            </w:r>
          </w:p>
        </w:tc>
        <w:tc>
          <w:tcPr>
            <w:tcW w:w="1686" w:type="pct"/>
            <w:tcBorders>
              <w:top w:val="single" w:color="auto" w:sz="4" w:space="0"/>
              <w:left w:val="single" w:color="auto" w:sz="4" w:space="0"/>
              <w:bottom w:val="single" w:color="auto" w:sz="4" w:space="0"/>
              <w:right w:val="single" w:color="auto" w:sz="4" w:space="0"/>
            </w:tcBorders>
            <w:vAlign w:val="center"/>
          </w:tcPr>
          <w:p w14:paraId="6706D6A5">
            <w:pPr>
              <w:jc w:val="right"/>
              <w:rPr>
                <w:rFonts w:asciiTheme="minorEastAsia" w:hAnsiTheme="minorEastAsia" w:eastAsiaTheme="minorEastAsia"/>
              </w:rPr>
            </w:pPr>
            <w:r>
              <w:rPr>
                <w:rFonts w:asciiTheme="minorEastAsia" w:hAnsiTheme="minorEastAsia" w:eastAsiaTheme="minorEastAsia"/>
              </w:rPr>
              <w:t>72,370,725.54</w:t>
            </w:r>
          </w:p>
        </w:tc>
        <w:tc>
          <w:tcPr>
            <w:tcW w:w="1686" w:type="pct"/>
            <w:tcBorders>
              <w:top w:val="single" w:color="auto" w:sz="4" w:space="0"/>
              <w:left w:val="single" w:color="auto" w:sz="4" w:space="0"/>
              <w:bottom w:val="single" w:color="auto" w:sz="4" w:space="0"/>
              <w:right w:val="single" w:color="auto" w:sz="4" w:space="0"/>
            </w:tcBorders>
            <w:vAlign w:val="center"/>
          </w:tcPr>
          <w:p w14:paraId="7B1E1C33">
            <w:pPr>
              <w:jc w:val="right"/>
              <w:rPr>
                <w:rFonts w:asciiTheme="minorEastAsia" w:hAnsiTheme="minorEastAsia" w:eastAsiaTheme="minorEastAsia"/>
              </w:rPr>
            </w:pPr>
            <w:r>
              <w:rPr>
                <w:rFonts w:asciiTheme="minorEastAsia" w:hAnsiTheme="minorEastAsia" w:eastAsiaTheme="minorEastAsia"/>
              </w:rPr>
              <w:t>99,795,802.43</w:t>
            </w:r>
          </w:p>
        </w:tc>
      </w:tr>
      <w:tr w14:paraId="5AE4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5D328AF6">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2至3年</w:t>
            </w:r>
          </w:p>
        </w:tc>
        <w:tc>
          <w:tcPr>
            <w:tcW w:w="1686" w:type="pct"/>
            <w:tcBorders>
              <w:top w:val="single" w:color="auto" w:sz="4" w:space="0"/>
              <w:left w:val="single" w:color="auto" w:sz="4" w:space="0"/>
              <w:bottom w:val="single" w:color="auto" w:sz="4" w:space="0"/>
              <w:right w:val="single" w:color="auto" w:sz="4" w:space="0"/>
            </w:tcBorders>
            <w:vAlign w:val="center"/>
          </w:tcPr>
          <w:p w14:paraId="60288CA4">
            <w:pPr>
              <w:jc w:val="right"/>
              <w:rPr>
                <w:rFonts w:asciiTheme="minorEastAsia" w:hAnsiTheme="minorEastAsia" w:eastAsiaTheme="minorEastAsia"/>
              </w:rPr>
            </w:pPr>
            <w:r>
              <w:rPr>
                <w:rFonts w:asciiTheme="minorEastAsia" w:hAnsiTheme="minorEastAsia" w:eastAsiaTheme="minorEastAsia"/>
              </w:rPr>
              <w:t>119,256,236.37</w:t>
            </w:r>
          </w:p>
        </w:tc>
        <w:tc>
          <w:tcPr>
            <w:tcW w:w="1686" w:type="pct"/>
            <w:tcBorders>
              <w:top w:val="single" w:color="auto" w:sz="4" w:space="0"/>
              <w:left w:val="single" w:color="auto" w:sz="4" w:space="0"/>
              <w:bottom w:val="single" w:color="auto" w:sz="4" w:space="0"/>
              <w:right w:val="single" w:color="auto" w:sz="4" w:space="0"/>
            </w:tcBorders>
            <w:vAlign w:val="center"/>
          </w:tcPr>
          <w:p w14:paraId="1D242440">
            <w:pPr>
              <w:jc w:val="right"/>
              <w:rPr>
                <w:rFonts w:asciiTheme="minorEastAsia" w:hAnsiTheme="minorEastAsia" w:eastAsiaTheme="minorEastAsia"/>
              </w:rPr>
            </w:pPr>
            <w:r>
              <w:rPr>
                <w:rFonts w:asciiTheme="minorEastAsia" w:hAnsiTheme="minorEastAsia" w:eastAsiaTheme="minorEastAsia"/>
              </w:rPr>
              <w:t>98,117,909.53</w:t>
            </w:r>
          </w:p>
        </w:tc>
      </w:tr>
      <w:tr w14:paraId="0A66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68AFD1EE">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3至4年</w:t>
            </w:r>
          </w:p>
        </w:tc>
        <w:tc>
          <w:tcPr>
            <w:tcW w:w="1686" w:type="pct"/>
            <w:tcBorders>
              <w:top w:val="single" w:color="auto" w:sz="4" w:space="0"/>
              <w:left w:val="single" w:color="auto" w:sz="4" w:space="0"/>
              <w:bottom w:val="single" w:color="auto" w:sz="4" w:space="0"/>
              <w:right w:val="single" w:color="auto" w:sz="4" w:space="0"/>
            </w:tcBorders>
            <w:vAlign w:val="center"/>
          </w:tcPr>
          <w:p w14:paraId="12261FA3">
            <w:pPr>
              <w:jc w:val="right"/>
              <w:rPr>
                <w:rFonts w:asciiTheme="minorEastAsia" w:hAnsiTheme="minorEastAsia" w:eastAsiaTheme="minorEastAsia"/>
              </w:rPr>
            </w:pPr>
            <w:r>
              <w:rPr>
                <w:rFonts w:asciiTheme="minorEastAsia" w:hAnsiTheme="minorEastAsia" w:eastAsiaTheme="minorEastAsia"/>
              </w:rPr>
              <w:t>45,771,224.52</w:t>
            </w:r>
          </w:p>
        </w:tc>
        <w:tc>
          <w:tcPr>
            <w:tcW w:w="1686" w:type="pct"/>
            <w:tcBorders>
              <w:top w:val="single" w:color="auto" w:sz="4" w:space="0"/>
              <w:left w:val="single" w:color="auto" w:sz="4" w:space="0"/>
              <w:bottom w:val="single" w:color="auto" w:sz="4" w:space="0"/>
              <w:right w:val="single" w:color="auto" w:sz="4" w:space="0"/>
            </w:tcBorders>
            <w:vAlign w:val="center"/>
          </w:tcPr>
          <w:p w14:paraId="7803F569">
            <w:pPr>
              <w:jc w:val="right"/>
              <w:rPr>
                <w:rFonts w:asciiTheme="minorEastAsia" w:hAnsiTheme="minorEastAsia" w:eastAsiaTheme="minorEastAsia"/>
              </w:rPr>
            </w:pPr>
            <w:r>
              <w:rPr>
                <w:rFonts w:asciiTheme="minorEastAsia" w:hAnsiTheme="minorEastAsia" w:eastAsiaTheme="minorEastAsia"/>
              </w:rPr>
              <w:t>41,530,878.96</w:t>
            </w:r>
          </w:p>
        </w:tc>
      </w:tr>
      <w:tr w14:paraId="2D1A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38AD55BA">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4至5年</w:t>
            </w:r>
          </w:p>
        </w:tc>
        <w:tc>
          <w:tcPr>
            <w:tcW w:w="1686" w:type="pct"/>
            <w:tcBorders>
              <w:top w:val="single" w:color="auto" w:sz="4" w:space="0"/>
              <w:left w:val="single" w:color="auto" w:sz="4" w:space="0"/>
              <w:bottom w:val="single" w:color="auto" w:sz="4" w:space="0"/>
              <w:right w:val="single" w:color="auto" w:sz="4" w:space="0"/>
            </w:tcBorders>
            <w:vAlign w:val="center"/>
          </w:tcPr>
          <w:p w14:paraId="3F948BE0">
            <w:pPr>
              <w:jc w:val="right"/>
              <w:rPr>
                <w:rFonts w:asciiTheme="minorEastAsia" w:hAnsiTheme="minorEastAsia" w:eastAsiaTheme="minorEastAsia"/>
              </w:rPr>
            </w:pPr>
            <w:r>
              <w:rPr>
                <w:rFonts w:asciiTheme="minorEastAsia" w:hAnsiTheme="minorEastAsia" w:eastAsiaTheme="minorEastAsia"/>
              </w:rPr>
              <w:t>67,180,136.23</w:t>
            </w:r>
          </w:p>
        </w:tc>
        <w:tc>
          <w:tcPr>
            <w:tcW w:w="1686" w:type="pct"/>
            <w:tcBorders>
              <w:top w:val="single" w:color="auto" w:sz="4" w:space="0"/>
              <w:left w:val="single" w:color="auto" w:sz="4" w:space="0"/>
              <w:bottom w:val="single" w:color="auto" w:sz="4" w:space="0"/>
              <w:right w:val="single" w:color="auto" w:sz="4" w:space="0"/>
            </w:tcBorders>
            <w:vAlign w:val="center"/>
          </w:tcPr>
          <w:p w14:paraId="3F43A7B3">
            <w:pPr>
              <w:jc w:val="right"/>
              <w:rPr>
                <w:rFonts w:asciiTheme="minorEastAsia" w:hAnsiTheme="minorEastAsia" w:eastAsiaTheme="minorEastAsia"/>
              </w:rPr>
            </w:pPr>
            <w:r>
              <w:rPr>
                <w:rFonts w:asciiTheme="minorEastAsia" w:hAnsiTheme="minorEastAsia" w:eastAsiaTheme="minorEastAsia"/>
              </w:rPr>
              <w:t>45,478,504.68</w:t>
            </w:r>
          </w:p>
        </w:tc>
      </w:tr>
      <w:tr w14:paraId="1C8C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tcPr>
          <w:p w14:paraId="739FD5B2">
            <w:pP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5年以上</w:t>
            </w:r>
          </w:p>
        </w:tc>
        <w:tc>
          <w:tcPr>
            <w:tcW w:w="1686" w:type="pct"/>
            <w:tcBorders>
              <w:top w:val="single" w:color="auto" w:sz="4" w:space="0"/>
              <w:left w:val="single" w:color="auto" w:sz="4" w:space="0"/>
              <w:bottom w:val="single" w:color="auto" w:sz="4" w:space="0"/>
              <w:right w:val="single" w:color="auto" w:sz="4" w:space="0"/>
            </w:tcBorders>
            <w:vAlign w:val="center"/>
          </w:tcPr>
          <w:p w14:paraId="44E3700F">
            <w:pPr>
              <w:jc w:val="right"/>
              <w:rPr>
                <w:rFonts w:asciiTheme="minorEastAsia" w:hAnsiTheme="minorEastAsia" w:eastAsiaTheme="minorEastAsia"/>
              </w:rPr>
            </w:pPr>
            <w:r>
              <w:rPr>
                <w:rFonts w:asciiTheme="minorEastAsia" w:hAnsiTheme="minorEastAsia" w:eastAsiaTheme="minorEastAsia"/>
              </w:rPr>
              <w:t>521,002,272.95</w:t>
            </w:r>
          </w:p>
        </w:tc>
        <w:tc>
          <w:tcPr>
            <w:tcW w:w="1686" w:type="pct"/>
            <w:tcBorders>
              <w:top w:val="single" w:color="auto" w:sz="4" w:space="0"/>
              <w:left w:val="single" w:color="auto" w:sz="4" w:space="0"/>
              <w:bottom w:val="single" w:color="auto" w:sz="4" w:space="0"/>
              <w:right w:val="single" w:color="auto" w:sz="4" w:space="0"/>
            </w:tcBorders>
            <w:vAlign w:val="center"/>
          </w:tcPr>
          <w:p w14:paraId="07624276">
            <w:pPr>
              <w:jc w:val="right"/>
              <w:rPr>
                <w:rFonts w:asciiTheme="minorEastAsia" w:hAnsiTheme="minorEastAsia" w:eastAsiaTheme="minorEastAsia"/>
              </w:rPr>
            </w:pPr>
            <w:r>
              <w:rPr>
                <w:rFonts w:asciiTheme="minorEastAsia" w:hAnsiTheme="minorEastAsia" w:eastAsiaTheme="minorEastAsia"/>
              </w:rPr>
              <w:t>632,599,711.72</w:t>
            </w:r>
          </w:p>
        </w:tc>
      </w:tr>
      <w:tr w14:paraId="3BD0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28" w:type="pct"/>
            <w:tcBorders>
              <w:top w:val="single" w:color="auto" w:sz="4" w:space="0"/>
              <w:left w:val="single" w:color="auto" w:sz="4" w:space="0"/>
              <w:bottom w:val="single" w:color="auto" w:sz="4" w:space="0"/>
              <w:right w:val="single" w:color="auto" w:sz="4" w:space="0"/>
            </w:tcBorders>
            <w:vAlign w:val="center"/>
          </w:tcPr>
          <w:p w14:paraId="53EE4862">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tc>
          <w:tcPr>
            <w:tcW w:w="1686" w:type="pct"/>
            <w:tcBorders>
              <w:top w:val="single" w:color="auto" w:sz="4" w:space="0"/>
              <w:left w:val="single" w:color="auto" w:sz="4" w:space="0"/>
              <w:bottom w:val="single" w:color="auto" w:sz="4" w:space="0"/>
              <w:right w:val="single" w:color="auto" w:sz="4" w:space="0"/>
            </w:tcBorders>
            <w:vAlign w:val="center"/>
          </w:tcPr>
          <w:p w14:paraId="0CD3E015">
            <w:pPr>
              <w:jc w:val="right"/>
              <w:rPr>
                <w:rFonts w:asciiTheme="minorEastAsia" w:hAnsiTheme="minorEastAsia" w:eastAsiaTheme="minorEastAsia"/>
              </w:rPr>
            </w:pPr>
            <w:r>
              <w:rPr>
                <w:rFonts w:asciiTheme="minorEastAsia" w:hAnsiTheme="minorEastAsia" w:eastAsiaTheme="minorEastAsia"/>
              </w:rPr>
              <w:t>1,936,973,310.93</w:t>
            </w:r>
          </w:p>
        </w:tc>
        <w:tc>
          <w:tcPr>
            <w:tcW w:w="1686" w:type="pct"/>
            <w:tcBorders>
              <w:top w:val="single" w:color="auto" w:sz="4" w:space="0"/>
              <w:left w:val="single" w:color="auto" w:sz="4" w:space="0"/>
              <w:bottom w:val="single" w:color="auto" w:sz="4" w:space="0"/>
              <w:right w:val="single" w:color="auto" w:sz="4" w:space="0"/>
            </w:tcBorders>
            <w:vAlign w:val="center"/>
          </w:tcPr>
          <w:p w14:paraId="30CA0C15">
            <w:pPr>
              <w:jc w:val="right"/>
              <w:rPr>
                <w:rFonts w:asciiTheme="minorEastAsia" w:hAnsiTheme="minorEastAsia" w:eastAsiaTheme="minorEastAsia"/>
              </w:rPr>
            </w:pPr>
            <w:r>
              <w:rPr>
                <w:rFonts w:asciiTheme="minorEastAsia" w:hAnsiTheme="minorEastAsia" w:eastAsiaTheme="minorEastAsia"/>
              </w:rPr>
              <w:t>2,078,937,797.92</w:t>
            </w:r>
          </w:p>
        </w:tc>
      </w:tr>
    </w:tbl>
    <w:p w14:paraId="55A3C313"/>
    <w:p w14:paraId="7D5E906C">
      <w:pPr>
        <w:rPr>
          <w:color w:val="000000" w:themeColor="text1"/>
          <w14:textFill>
            <w14:solidFill>
              <w14:schemeClr w14:val="tx1"/>
            </w14:solidFill>
          </w14:textFill>
        </w:rPr>
      </w:pPr>
    </w:p>
    <w:bookmarkEnd w:id="164"/>
    <w:p w14:paraId="71F1B6FD">
      <w:pPr>
        <w:pStyle w:val="5"/>
        <w:numPr>
          <w:ilvl w:val="3"/>
          <w:numId w:val="43"/>
        </w:numPr>
        <w:ind w:left="426" w:hanging="426"/>
        <w:rPr>
          <w:color w:val="000000" w:themeColor="text1"/>
          <w14:textFill>
            <w14:solidFill>
              <w14:schemeClr w14:val="tx1"/>
            </w14:solidFill>
          </w14:textFill>
        </w:rPr>
      </w:pPr>
      <w:bookmarkStart w:id="165" w:name="_Hlk10467162"/>
      <w:r>
        <w:rPr>
          <w:rFonts w:hint="eastAsia"/>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应收账款分类披露[双击切换]"/>
        <w:tag w:val="_GBC_fc55e6778e08412caa3e7b9e7a1a0f85"/>
        <w:id w:val="-1452237918"/>
        <w:lock w:val="contentLocked"/>
        <w:placeholder>
          <w:docPart w:val="GBC22222222222222222222222222222"/>
        </w:placeholder>
      </w:sdtPr>
      <w:sdtEndPr>
        <w:rPr>
          <w:color w:val="000000" w:themeColor="text1"/>
          <w14:textFill>
            <w14:solidFill>
              <w14:schemeClr w14:val="tx1"/>
            </w14:solidFill>
          </w14:textFill>
        </w:rPr>
      </w:sdtEndPr>
      <w:sdtContent>
        <w:p w14:paraId="5D7B5D9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4FE014">
      <w:pPr>
        <w:pStyle w:val="68"/>
        <w:autoSpaceDE w:val="0"/>
        <w:autoSpaceDN w:val="0"/>
        <w:adjustRightInd w:val="0"/>
        <w:ind w:left="425" w:right="10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应收账款按种类披露"/>
          <w:tag w:val="_GBC_13874a7a2d5642bc9d06df2e53ad133f"/>
          <w:id w:val="-3336079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应收账款按种类披露"/>
          <w:tag w:val="_GBC_a7c9ba83409d4f5ebb3a7b0903842485"/>
          <w:id w:val="-8477045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855" w:type="pct"/>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570"/>
        <w:gridCol w:w="1353"/>
        <w:gridCol w:w="546"/>
        <w:gridCol w:w="1192"/>
        <w:gridCol w:w="467"/>
        <w:gridCol w:w="1354"/>
        <w:gridCol w:w="1354"/>
        <w:gridCol w:w="548"/>
        <w:gridCol w:w="1192"/>
        <w:gridCol w:w="467"/>
        <w:gridCol w:w="1367"/>
        <w:gridCol w:w="6"/>
      </w:tblGrid>
      <w:tr w14:paraId="092D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gridAfter w:val="1"/>
          <w:wAfter w:w="3" w:type="pct"/>
          <w:cantSplit/>
          <w:trHeight w:val="259" w:hRule="atLeast"/>
        </w:trPr>
        <w:sdt>
          <w:sdtPr>
            <w:rPr>
              <w:rFonts w:asciiTheme="minorEastAsia" w:hAnsiTheme="minorEastAsia" w:eastAsiaTheme="minorEastAsia"/>
              <w:spacing w:val="-10"/>
              <w:sz w:val="20"/>
              <w:szCs w:val="15"/>
            </w:rPr>
            <w:tag w:val="_PLD_a2143754c0e847e9a8bbb40d4548066c"/>
            <w:id w:val="1564598057"/>
          </w:sdtPr>
          <w:sdtEndPr>
            <w:rPr>
              <w:rFonts w:asciiTheme="minorEastAsia" w:hAnsiTheme="minorEastAsia" w:eastAsiaTheme="minorEastAsia"/>
              <w:spacing w:val="-10"/>
              <w:sz w:val="20"/>
              <w:szCs w:val="15"/>
            </w:rPr>
          </w:sdtEndPr>
          <w:sdtContent>
            <w:tc>
              <w:tcPr>
                <w:tcW w:w="274" w:type="pct"/>
                <w:vMerge w:val="restart"/>
                <w:tcBorders>
                  <w:top w:val="single" w:color="auto" w:sz="4" w:space="0"/>
                  <w:left w:val="single" w:color="auto" w:sz="4" w:space="0"/>
                  <w:right w:val="single" w:color="auto" w:sz="4" w:space="0"/>
                </w:tcBorders>
                <w:vAlign w:val="center"/>
              </w:tcPr>
              <w:p w14:paraId="0A8414A2">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类别</w:t>
                </w:r>
              </w:p>
            </w:tc>
          </w:sdtContent>
        </w:sdt>
        <w:sdt>
          <w:sdtPr>
            <w:rPr>
              <w:rFonts w:asciiTheme="minorEastAsia" w:hAnsiTheme="minorEastAsia" w:eastAsiaTheme="minorEastAsia"/>
              <w:spacing w:val="-10"/>
              <w:sz w:val="20"/>
              <w:szCs w:val="15"/>
            </w:rPr>
            <w:tag w:val="_PLD_25d42b68a0be4b6c9079bb6f0b9688f1"/>
            <w:id w:val="-1531647843"/>
          </w:sdtPr>
          <w:sdtEndPr>
            <w:rPr>
              <w:rFonts w:asciiTheme="minorEastAsia" w:hAnsiTheme="minorEastAsia" w:eastAsiaTheme="minorEastAsia"/>
              <w:spacing w:val="-10"/>
              <w:sz w:val="20"/>
              <w:szCs w:val="15"/>
            </w:rPr>
          </w:sdtEndPr>
          <w:sdtContent>
            <w:tc>
              <w:tcPr>
                <w:tcW w:w="2358" w:type="pct"/>
                <w:gridSpan w:val="5"/>
                <w:tcBorders>
                  <w:top w:val="single" w:color="auto" w:sz="4" w:space="0"/>
                  <w:left w:val="single" w:color="auto" w:sz="4" w:space="0"/>
                  <w:right w:val="single" w:color="auto" w:sz="4" w:space="0"/>
                </w:tcBorders>
                <w:vAlign w:val="center"/>
              </w:tcPr>
              <w:p w14:paraId="4C5BDC30">
                <w:pPr>
                  <w:autoSpaceDE w:val="0"/>
                  <w:autoSpaceDN w:val="0"/>
                  <w:adjustRightInd w:val="0"/>
                  <w:snapToGrid w:val="0"/>
                  <w:spacing w:line="240" w:lineRule="atLeast"/>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期末余额</w:t>
                </w:r>
              </w:p>
            </w:tc>
          </w:sdtContent>
        </w:sdt>
        <w:sdt>
          <w:sdtPr>
            <w:rPr>
              <w:rFonts w:asciiTheme="minorEastAsia" w:hAnsiTheme="minorEastAsia" w:eastAsiaTheme="minorEastAsia"/>
              <w:spacing w:val="-10"/>
              <w:sz w:val="20"/>
              <w:szCs w:val="15"/>
            </w:rPr>
            <w:tag w:val="_PLD_7ebf4817a5864c42bb0897c8ddd0cd9c"/>
            <w:id w:val="932403218"/>
          </w:sdtPr>
          <w:sdtEndPr>
            <w:rPr>
              <w:rFonts w:asciiTheme="minorEastAsia" w:hAnsiTheme="minorEastAsia" w:eastAsiaTheme="minorEastAsia"/>
              <w:spacing w:val="-10"/>
              <w:sz w:val="20"/>
              <w:szCs w:val="15"/>
            </w:rPr>
          </w:sdtEndPr>
          <w:sdtContent>
            <w:tc>
              <w:tcPr>
                <w:tcW w:w="2365" w:type="pct"/>
                <w:gridSpan w:val="5"/>
                <w:tcBorders>
                  <w:top w:val="single" w:color="auto" w:sz="4" w:space="0"/>
                  <w:left w:val="single" w:color="auto" w:sz="4" w:space="0"/>
                  <w:right w:val="single" w:color="auto" w:sz="4" w:space="0"/>
                </w:tcBorders>
                <w:vAlign w:val="center"/>
              </w:tcPr>
              <w:p w14:paraId="023D1C2C">
                <w:pPr>
                  <w:autoSpaceDE w:val="0"/>
                  <w:autoSpaceDN w:val="0"/>
                  <w:adjustRightInd w:val="0"/>
                  <w:snapToGrid w:val="0"/>
                  <w:spacing w:line="240" w:lineRule="atLeast"/>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期初余额</w:t>
                </w:r>
              </w:p>
            </w:tc>
          </w:sdtContent>
        </w:sdt>
      </w:tr>
      <w:tr w14:paraId="609A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gridAfter w:val="1"/>
          <w:wAfter w:w="3" w:type="pct"/>
          <w:cantSplit/>
          <w:trHeight w:val="227" w:hRule="atLeast"/>
        </w:trPr>
        <w:tc>
          <w:tcPr>
            <w:tcW w:w="274" w:type="pct"/>
            <w:vMerge w:val="continue"/>
            <w:tcBorders>
              <w:left w:val="single" w:color="auto" w:sz="4" w:space="0"/>
              <w:right w:val="single" w:color="auto" w:sz="4" w:space="0"/>
            </w:tcBorders>
            <w:vAlign w:val="center"/>
          </w:tcPr>
          <w:p w14:paraId="053D7FE8">
            <w:pPr>
              <w:ind w:left="-53" w:leftChars="-25"/>
              <w:rPr>
                <w:rFonts w:asciiTheme="minorEastAsia" w:hAnsiTheme="minorEastAsia" w:eastAsiaTheme="minorEastAsia"/>
                <w:color w:val="000000" w:themeColor="text1"/>
                <w:spacing w:val="-10"/>
                <w:sz w:val="20"/>
                <w:szCs w:val="15"/>
                <w14:textFill>
                  <w14:solidFill>
                    <w14:schemeClr w14:val="tx1"/>
                  </w14:solidFill>
                </w14:textFill>
              </w:rPr>
            </w:pPr>
          </w:p>
        </w:tc>
        <w:sdt>
          <w:sdtPr>
            <w:rPr>
              <w:rFonts w:asciiTheme="minorEastAsia" w:hAnsiTheme="minorEastAsia" w:eastAsiaTheme="minorEastAsia"/>
              <w:spacing w:val="-10"/>
              <w:sz w:val="20"/>
              <w:szCs w:val="15"/>
            </w:rPr>
            <w:tag w:val="_PLD_fd64cffe158d4ef48a5ff569de778464"/>
            <w:id w:val="120740607"/>
          </w:sdtPr>
          <w:sdtEndPr>
            <w:rPr>
              <w:rFonts w:asciiTheme="minorEastAsia" w:hAnsiTheme="minorEastAsia" w:eastAsiaTheme="minorEastAsia"/>
              <w:spacing w:val="-10"/>
              <w:sz w:val="20"/>
              <w:szCs w:val="15"/>
            </w:rPr>
          </w:sdtEndPr>
          <w:sdtContent>
            <w:tc>
              <w:tcPr>
                <w:tcW w:w="912" w:type="pct"/>
                <w:gridSpan w:val="2"/>
                <w:tcBorders>
                  <w:top w:val="single" w:color="auto" w:sz="4" w:space="0"/>
                  <w:left w:val="single" w:color="auto" w:sz="4" w:space="0"/>
                  <w:bottom w:val="single" w:color="auto" w:sz="4" w:space="0"/>
                  <w:right w:val="single" w:color="auto" w:sz="4" w:space="0"/>
                </w:tcBorders>
                <w:vAlign w:val="center"/>
              </w:tcPr>
              <w:p w14:paraId="18D3186E">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账面余额</w:t>
                </w:r>
              </w:p>
            </w:tc>
          </w:sdtContent>
        </w:sdt>
        <w:sdt>
          <w:sdtPr>
            <w:rPr>
              <w:rFonts w:asciiTheme="minorEastAsia" w:hAnsiTheme="minorEastAsia" w:eastAsiaTheme="minorEastAsia"/>
              <w:spacing w:val="-10"/>
              <w:sz w:val="20"/>
              <w:szCs w:val="15"/>
            </w:rPr>
            <w:tag w:val="_PLD_f0f4adcb95c44cfa884ef7d853d6b134"/>
            <w:id w:val="936796117"/>
          </w:sdtPr>
          <w:sdtEndPr>
            <w:rPr>
              <w:rFonts w:asciiTheme="minorEastAsia" w:hAnsiTheme="minorEastAsia" w:eastAsiaTheme="minorEastAsia"/>
              <w:spacing w:val="-10"/>
              <w:sz w:val="20"/>
              <w:szCs w:val="15"/>
            </w:rPr>
          </w:sdtEndPr>
          <w:sdtContent>
            <w:tc>
              <w:tcPr>
                <w:tcW w:w="796" w:type="pct"/>
                <w:gridSpan w:val="2"/>
                <w:tcBorders>
                  <w:top w:val="single" w:color="auto" w:sz="4" w:space="0"/>
                  <w:left w:val="single" w:color="auto" w:sz="4" w:space="0"/>
                  <w:bottom w:val="single" w:color="auto" w:sz="4" w:space="0"/>
                  <w:right w:val="single" w:color="auto" w:sz="4" w:space="0"/>
                </w:tcBorders>
                <w:vAlign w:val="center"/>
              </w:tcPr>
              <w:p w14:paraId="0D370309">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坏账准备</w:t>
                </w:r>
              </w:p>
            </w:tc>
          </w:sdtContent>
        </w:sdt>
        <w:sdt>
          <w:sdtPr>
            <w:rPr>
              <w:rFonts w:asciiTheme="minorEastAsia" w:hAnsiTheme="minorEastAsia" w:eastAsiaTheme="minorEastAsia"/>
              <w:spacing w:val="-10"/>
              <w:sz w:val="20"/>
              <w:szCs w:val="15"/>
            </w:rPr>
            <w:tag w:val="_PLD_4c122527ed0743b8905d9f19514f4328"/>
            <w:id w:val="-794368814"/>
          </w:sdtPr>
          <w:sdtEndPr>
            <w:rPr>
              <w:rFonts w:asciiTheme="minorEastAsia" w:hAnsiTheme="minorEastAsia" w:eastAsiaTheme="minorEastAsia"/>
              <w:spacing w:val="-10"/>
              <w:sz w:val="20"/>
              <w:szCs w:val="15"/>
            </w:rPr>
          </w:sdtEndPr>
          <w:sdtContent>
            <w:tc>
              <w:tcPr>
                <w:tcW w:w="650" w:type="pct"/>
                <w:vMerge w:val="restart"/>
                <w:tcBorders>
                  <w:top w:val="single" w:color="auto" w:sz="4" w:space="0"/>
                  <w:left w:val="single" w:color="auto" w:sz="4" w:space="0"/>
                  <w:right w:val="single" w:color="auto" w:sz="4" w:space="0"/>
                </w:tcBorders>
                <w:vAlign w:val="center"/>
              </w:tcPr>
              <w:p w14:paraId="7DA9F6BF">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账面</w:t>
                </w:r>
              </w:p>
              <w:p w14:paraId="7D60D1F0">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价值</w:t>
                </w:r>
              </w:p>
            </w:tc>
          </w:sdtContent>
        </w:sdt>
        <w:sdt>
          <w:sdtPr>
            <w:rPr>
              <w:rFonts w:asciiTheme="minorEastAsia" w:hAnsiTheme="minorEastAsia" w:eastAsiaTheme="minorEastAsia"/>
              <w:spacing w:val="-10"/>
              <w:sz w:val="20"/>
              <w:szCs w:val="15"/>
            </w:rPr>
            <w:tag w:val="_PLD_fa758d9eb4ae426faef8e328262241b4"/>
            <w:id w:val="-924252644"/>
          </w:sdtPr>
          <w:sdtEndPr>
            <w:rPr>
              <w:rFonts w:asciiTheme="minorEastAsia" w:hAnsiTheme="minorEastAsia" w:eastAsiaTheme="minorEastAsia"/>
              <w:spacing w:val="-10"/>
              <w:sz w:val="20"/>
              <w:szCs w:val="15"/>
            </w:rPr>
          </w:sdtEndPr>
          <w:sdtContent>
            <w:tc>
              <w:tcPr>
                <w:tcW w:w="913" w:type="pct"/>
                <w:gridSpan w:val="2"/>
                <w:tcBorders>
                  <w:top w:val="single" w:color="auto" w:sz="4" w:space="0"/>
                  <w:left w:val="single" w:color="auto" w:sz="4" w:space="0"/>
                  <w:right w:val="single" w:color="auto" w:sz="4" w:space="0"/>
                </w:tcBorders>
                <w:vAlign w:val="center"/>
              </w:tcPr>
              <w:p w14:paraId="36D7D1FE">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账面余额</w:t>
                </w:r>
              </w:p>
            </w:tc>
          </w:sdtContent>
        </w:sdt>
        <w:sdt>
          <w:sdtPr>
            <w:rPr>
              <w:rFonts w:asciiTheme="minorEastAsia" w:hAnsiTheme="minorEastAsia" w:eastAsiaTheme="minorEastAsia"/>
              <w:spacing w:val="-10"/>
              <w:sz w:val="20"/>
              <w:szCs w:val="15"/>
            </w:rPr>
            <w:tag w:val="_PLD_58080bac137d4831ab65bc2f8ca82429"/>
            <w:id w:val="-1245176888"/>
          </w:sdtPr>
          <w:sdtEndPr>
            <w:rPr>
              <w:rFonts w:asciiTheme="minorEastAsia" w:hAnsiTheme="minorEastAsia" w:eastAsiaTheme="minorEastAsia"/>
              <w:spacing w:val="-10"/>
              <w:sz w:val="20"/>
              <w:szCs w:val="15"/>
            </w:rPr>
          </w:sdtEndPr>
          <w:sdtContent>
            <w:tc>
              <w:tcPr>
                <w:tcW w:w="796" w:type="pct"/>
                <w:gridSpan w:val="2"/>
                <w:tcBorders>
                  <w:top w:val="single" w:color="auto" w:sz="4" w:space="0"/>
                  <w:left w:val="single" w:color="auto" w:sz="4" w:space="0"/>
                  <w:right w:val="single" w:color="auto" w:sz="4" w:space="0"/>
                </w:tcBorders>
                <w:vAlign w:val="center"/>
              </w:tcPr>
              <w:p w14:paraId="2B58A56D">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坏账准备</w:t>
                </w:r>
              </w:p>
            </w:tc>
          </w:sdtContent>
        </w:sdt>
        <w:sdt>
          <w:sdtPr>
            <w:rPr>
              <w:rFonts w:asciiTheme="minorEastAsia" w:hAnsiTheme="minorEastAsia" w:eastAsiaTheme="minorEastAsia"/>
              <w:spacing w:val="-10"/>
              <w:sz w:val="20"/>
              <w:szCs w:val="15"/>
            </w:rPr>
            <w:tag w:val="_PLD_c015e43e7b384b6ab9bf259155579fa4"/>
            <w:id w:val="359334269"/>
          </w:sdtPr>
          <w:sdtEndPr>
            <w:rPr>
              <w:rFonts w:asciiTheme="minorEastAsia" w:hAnsiTheme="minorEastAsia" w:eastAsiaTheme="minorEastAsia"/>
              <w:spacing w:val="-10"/>
              <w:sz w:val="20"/>
              <w:szCs w:val="15"/>
            </w:rPr>
          </w:sdtEndPr>
          <w:sdtContent>
            <w:tc>
              <w:tcPr>
                <w:tcW w:w="656" w:type="pct"/>
                <w:vMerge w:val="restart"/>
                <w:tcBorders>
                  <w:top w:val="single" w:color="auto" w:sz="4" w:space="0"/>
                  <w:left w:val="single" w:color="auto" w:sz="4" w:space="0"/>
                  <w:right w:val="single" w:color="auto" w:sz="4" w:space="0"/>
                </w:tcBorders>
                <w:vAlign w:val="center"/>
              </w:tcPr>
              <w:p w14:paraId="18320AA5">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账面</w:t>
                </w:r>
              </w:p>
              <w:p w14:paraId="65706C25">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价值</w:t>
                </w:r>
              </w:p>
            </w:tc>
          </w:sdtContent>
        </w:sdt>
      </w:tr>
      <w:tr w14:paraId="6E31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gridAfter w:val="1"/>
          <w:wAfter w:w="3" w:type="pct"/>
          <w:cantSplit/>
          <w:trHeight w:val="375" w:hRule="atLeast"/>
        </w:trPr>
        <w:tc>
          <w:tcPr>
            <w:tcW w:w="274" w:type="pct"/>
            <w:vMerge w:val="continue"/>
            <w:tcBorders>
              <w:left w:val="single" w:color="auto" w:sz="4" w:space="0"/>
              <w:bottom w:val="single" w:color="auto" w:sz="4" w:space="0"/>
              <w:right w:val="single" w:color="auto" w:sz="4" w:space="0"/>
            </w:tcBorders>
            <w:vAlign w:val="center"/>
          </w:tcPr>
          <w:p w14:paraId="65023892">
            <w:pPr>
              <w:ind w:left="-53" w:leftChars="-25"/>
              <w:rPr>
                <w:rFonts w:asciiTheme="minorEastAsia" w:hAnsiTheme="minorEastAsia" w:eastAsiaTheme="minorEastAsia"/>
                <w:color w:val="000000" w:themeColor="text1"/>
                <w:spacing w:val="-10"/>
                <w:sz w:val="20"/>
                <w:szCs w:val="15"/>
                <w14:textFill>
                  <w14:solidFill>
                    <w14:schemeClr w14:val="tx1"/>
                  </w14:solidFill>
                </w14:textFill>
              </w:rPr>
            </w:pPr>
          </w:p>
        </w:tc>
        <w:sdt>
          <w:sdtPr>
            <w:rPr>
              <w:rFonts w:asciiTheme="minorEastAsia" w:hAnsiTheme="minorEastAsia" w:eastAsiaTheme="minorEastAsia"/>
              <w:spacing w:val="-10"/>
              <w:sz w:val="20"/>
              <w:szCs w:val="15"/>
            </w:rPr>
            <w:tag w:val="_PLD_2a622138bde346ccae812608989b472d"/>
            <w:id w:val="1551577025"/>
          </w:sdtPr>
          <w:sdtEndPr>
            <w:rPr>
              <w:rFonts w:asciiTheme="minorEastAsia" w:hAnsiTheme="minorEastAsia" w:eastAsiaTheme="minorEastAsia"/>
              <w:spacing w:val="-10"/>
              <w:sz w:val="20"/>
              <w:szCs w:val="15"/>
            </w:rPr>
          </w:sdtEndPr>
          <w:sdtContent>
            <w:tc>
              <w:tcPr>
                <w:tcW w:w="650" w:type="pct"/>
                <w:tcBorders>
                  <w:left w:val="single" w:color="auto" w:sz="4" w:space="0"/>
                  <w:bottom w:val="single" w:color="auto" w:sz="4" w:space="0"/>
                  <w:right w:val="single" w:color="auto" w:sz="4" w:space="0"/>
                </w:tcBorders>
                <w:vAlign w:val="center"/>
              </w:tcPr>
              <w:p w14:paraId="4B2F3682">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金额</w:t>
                </w:r>
              </w:p>
            </w:tc>
          </w:sdtContent>
        </w:sdt>
        <w:sdt>
          <w:sdtPr>
            <w:rPr>
              <w:rFonts w:asciiTheme="minorEastAsia" w:hAnsiTheme="minorEastAsia" w:eastAsiaTheme="minorEastAsia"/>
              <w:spacing w:val="-10"/>
              <w:sz w:val="20"/>
              <w:szCs w:val="15"/>
            </w:rPr>
            <w:tag w:val="_PLD_abd0e3a320c240aeb85b1414af26aa00"/>
            <w:id w:val="1647713155"/>
          </w:sdtPr>
          <w:sdtEndPr>
            <w:rPr>
              <w:rFonts w:asciiTheme="minorEastAsia" w:hAnsiTheme="minorEastAsia" w:eastAsiaTheme="minorEastAsia"/>
              <w:spacing w:val="-10"/>
              <w:sz w:val="20"/>
              <w:szCs w:val="15"/>
            </w:rPr>
          </w:sdtEndPr>
          <w:sdtContent>
            <w:tc>
              <w:tcPr>
                <w:tcW w:w="262" w:type="pct"/>
                <w:tcBorders>
                  <w:left w:val="single" w:color="auto" w:sz="4" w:space="0"/>
                  <w:bottom w:val="single" w:color="auto" w:sz="4" w:space="0"/>
                  <w:right w:val="single" w:color="auto" w:sz="4" w:space="0"/>
                </w:tcBorders>
                <w:vAlign w:val="center"/>
              </w:tcPr>
              <w:p w14:paraId="4B77BE0A">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比例</w:t>
                </w:r>
                <w:r>
                  <w:rPr>
                    <w:rFonts w:asciiTheme="minorEastAsia" w:hAnsiTheme="minorEastAsia" w:eastAsiaTheme="minorEastAsia"/>
                    <w:color w:val="000000" w:themeColor="text1"/>
                    <w:spacing w:val="-10"/>
                    <w:sz w:val="20"/>
                    <w:szCs w:val="15"/>
                    <w14:textFill>
                      <w14:solidFill>
                        <w14:schemeClr w14:val="tx1"/>
                      </w14:solidFill>
                    </w14:textFill>
                  </w:rPr>
                  <w:t>(%)</w:t>
                </w:r>
              </w:p>
            </w:tc>
          </w:sdtContent>
        </w:sdt>
        <w:sdt>
          <w:sdtPr>
            <w:rPr>
              <w:rFonts w:asciiTheme="minorEastAsia" w:hAnsiTheme="minorEastAsia" w:eastAsiaTheme="minorEastAsia"/>
              <w:spacing w:val="-10"/>
              <w:sz w:val="20"/>
              <w:szCs w:val="15"/>
            </w:rPr>
            <w:tag w:val="_PLD_d60468b4e5934fb9af3ebf3b3ca06a6b"/>
            <w:id w:val="-996108953"/>
          </w:sdtPr>
          <w:sdtEndPr>
            <w:rPr>
              <w:rFonts w:asciiTheme="minorEastAsia" w:hAnsiTheme="minorEastAsia" w:eastAsiaTheme="minorEastAsia"/>
              <w:spacing w:val="-10"/>
              <w:sz w:val="20"/>
              <w:szCs w:val="15"/>
            </w:rPr>
          </w:sdtEndPr>
          <w:sdtContent>
            <w:tc>
              <w:tcPr>
                <w:tcW w:w="572" w:type="pct"/>
                <w:tcBorders>
                  <w:left w:val="single" w:color="auto" w:sz="4" w:space="0"/>
                  <w:bottom w:val="single" w:color="auto" w:sz="4" w:space="0"/>
                  <w:right w:val="single" w:color="auto" w:sz="4" w:space="0"/>
                </w:tcBorders>
                <w:vAlign w:val="center"/>
              </w:tcPr>
              <w:p w14:paraId="6647BBFE">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金额</w:t>
                </w:r>
              </w:p>
            </w:tc>
          </w:sdtContent>
        </w:sdt>
        <w:sdt>
          <w:sdtPr>
            <w:rPr>
              <w:rFonts w:asciiTheme="minorEastAsia" w:hAnsiTheme="minorEastAsia" w:eastAsiaTheme="minorEastAsia"/>
              <w:spacing w:val="-10"/>
              <w:sz w:val="20"/>
              <w:szCs w:val="15"/>
            </w:rPr>
            <w:tag w:val="_PLD_743ca215156149608b4d9149bc142cc3"/>
            <w:id w:val="-426275009"/>
          </w:sdtPr>
          <w:sdtEndPr>
            <w:rPr>
              <w:rFonts w:asciiTheme="minorEastAsia" w:hAnsiTheme="minorEastAsia" w:eastAsiaTheme="minorEastAsia"/>
              <w:spacing w:val="-10"/>
              <w:sz w:val="20"/>
              <w:szCs w:val="15"/>
            </w:rPr>
          </w:sdtEndPr>
          <w:sdtContent>
            <w:tc>
              <w:tcPr>
                <w:tcW w:w="224" w:type="pct"/>
                <w:tcBorders>
                  <w:left w:val="single" w:color="auto" w:sz="4" w:space="0"/>
                  <w:bottom w:val="single" w:color="auto" w:sz="4" w:space="0"/>
                  <w:right w:val="single" w:color="auto" w:sz="4" w:space="0"/>
                </w:tcBorders>
                <w:vAlign w:val="center"/>
              </w:tcPr>
              <w:p w14:paraId="2163B6C2">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计提比例</w:t>
                </w:r>
                <w:r>
                  <w:rPr>
                    <w:rFonts w:asciiTheme="minorEastAsia" w:hAnsiTheme="minorEastAsia" w:eastAsiaTheme="minorEastAsia"/>
                    <w:color w:val="000000" w:themeColor="text1"/>
                    <w:spacing w:val="-10"/>
                    <w:sz w:val="20"/>
                    <w:szCs w:val="15"/>
                    <w14:textFill>
                      <w14:solidFill>
                        <w14:schemeClr w14:val="tx1"/>
                      </w14:solidFill>
                    </w14:textFill>
                  </w:rPr>
                  <w:t>(%)</w:t>
                </w:r>
              </w:p>
            </w:tc>
          </w:sdtContent>
        </w:sdt>
        <w:tc>
          <w:tcPr>
            <w:tcW w:w="650" w:type="pct"/>
            <w:vMerge w:val="continue"/>
            <w:tcBorders>
              <w:left w:val="single" w:color="auto" w:sz="4" w:space="0"/>
              <w:bottom w:val="single" w:color="auto" w:sz="4" w:space="0"/>
              <w:right w:val="single" w:color="auto" w:sz="4" w:space="0"/>
            </w:tcBorders>
            <w:vAlign w:val="center"/>
          </w:tcPr>
          <w:p w14:paraId="14EC7947">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p>
        </w:tc>
        <w:sdt>
          <w:sdtPr>
            <w:rPr>
              <w:rFonts w:asciiTheme="minorEastAsia" w:hAnsiTheme="minorEastAsia" w:eastAsiaTheme="minorEastAsia"/>
              <w:spacing w:val="-10"/>
              <w:sz w:val="20"/>
              <w:szCs w:val="15"/>
            </w:rPr>
            <w:tag w:val="_PLD_88061469e7574f3d93ff9dc8f7c03e2d"/>
            <w:id w:val="-1292202096"/>
          </w:sdtPr>
          <w:sdtEndPr>
            <w:rPr>
              <w:rFonts w:asciiTheme="minorEastAsia" w:hAnsiTheme="minorEastAsia" w:eastAsiaTheme="minorEastAsia"/>
              <w:spacing w:val="-10"/>
              <w:sz w:val="20"/>
              <w:szCs w:val="15"/>
            </w:rPr>
          </w:sdtEndPr>
          <w:sdtContent>
            <w:tc>
              <w:tcPr>
                <w:tcW w:w="650" w:type="pct"/>
                <w:tcBorders>
                  <w:left w:val="single" w:color="auto" w:sz="4" w:space="0"/>
                  <w:bottom w:val="single" w:color="auto" w:sz="4" w:space="0"/>
                  <w:right w:val="single" w:color="auto" w:sz="4" w:space="0"/>
                </w:tcBorders>
                <w:vAlign w:val="center"/>
              </w:tcPr>
              <w:p w14:paraId="73D7C095">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金额</w:t>
                </w:r>
              </w:p>
            </w:tc>
          </w:sdtContent>
        </w:sdt>
        <w:sdt>
          <w:sdtPr>
            <w:rPr>
              <w:rFonts w:asciiTheme="minorEastAsia" w:hAnsiTheme="minorEastAsia" w:eastAsiaTheme="minorEastAsia"/>
              <w:spacing w:val="-10"/>
              <w:sz w:val="20"/>
              <w:szCs w:val="15"/>
            </w:rPr>
            <w:tag w:val="_PLD_c2b4bd19b5284f3481bdd6a3becafce0"/>
            <w:id w:val="-161247317"/>
          </w:sdtPr>
          <w:sdtEndPr>
            <w:rPr>
              <w:rFonts w:asciiTheme="minorEastAsia" w:hAnsiTheme="minorEastAsia" w:eastAsiaTheme="minorEastAsia"/>
              <w:spacing w:val="-10"/>
              <w:sz w:val="20"/>
              <w:szCs w:val="15"/>
            </w:rPr>
          </w:sdtEndPr>
          <w:sdtContent>
            <w:tc>
              <w:tcPr>
                <w:tcW w:w="263" w:type="pct"/>
                <w:tcBorders>
                  <w:left w:val="single" w:color="auto" w:sz="4" w:space="0"/>
                  <w:bottom w:val="single" w:color="auto" w:sz="4" w:space="0"/>
                  <w:right w:val="single" w:color="auto" w:sz="4" w:space="0"/>
                </w:tcBorders>
                <w:vAlign w:val="center"/>
              </w:tcPr>
              <w:p w14:paraId="271DF33A">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比例</w:t>
                </w:r>
                <w:r>
                  <w:rPr>
                    <w:rFonts w:asciiTheme="minorEastAsia" w:hAnsiTheme="minorEastAsia" w:eastAsiaTheme="minorEastAsia"/>
                    <w:color w:val="000000" w:themeColor="text1"/>
                    <w:spacing w:val="-10"/>
                    <w:sz w:val="20"/>
                    <w:szCs w:val="15"/>
                    <w14:textFill>
                      <w14:solidFill>
                        <w14:schemeClr w14:val="tx1"/>
                      </w14:solidFill>
                    </w14:textFill>
                  </w:rPr>
                  <w:t>(%)</w:t>
                </w:r>
              </w:p>
            </w:tc>
          </w:sdtContent>
        </w:sdt>
        <w:sdt>
          <w:sdtPr>
            <w:rPr>
              <w:rFonts w:asciiTheme="minorEastAsia" w:hAnsiTheme="minorEastAsia" w:eastAsiaTheme="minorEastAsia"/>
              <w:spacing w:val="-10"/>
              <w:sz w:val="20"/>
              <w:szCs w:val="15"/>
            </w:rPr>
            <w:tag w:val="_PLD_c6874c65e4ac43019002d5903e4b46d6"/>
            <w:id w:val="-23027191"/>
          </w:sdtPr>
          <w:sdtEndPr>
            <w:rPr>
              <w:rFonts w:asciiTheme="minorEastAsia" w:hAnsiTheme="minorEastAsia" w:eastAsiaTheme="minorEastAsia"/>
              <w:spacing w:val="-10"/>
              <w:sz w:val="20"/>
              <w:szCs w:val="15"/>
            </w:rPr>
          </w:sdtEndPr>
          <w:sdtContent>
            <w:tc>
              <w:tcPr>
                <w:tcW w:w="572" w:type="pct"/>
                <w:tcBorders>
                  <w:left w:val="single" w:color="auto" w:sz="4" w:space="0"/>
                  <w:bottom w:val="single" w:color="auto" w:sz="4" w:space="0"/>
                  <w:right w:val="single" w:color="auto" w:sz="4" w:space="0"/>
                </w:tcBorders>
                <w:vAlign w:val="center"/>
              </w:tcPr>
              <w:p w14:paraId="3163F035">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金额</w:t>
                </w:r>
              </w:p>
            </w:tc>
          </w:sdtContent>
        </w:sdt>
        <w:sdt>
          <w:sdtPr>
            <w:rPr>
              <w:rFonts w:asciiTheme="minorEastAsia" w:hAnsiTheme="minorEastAsia" w:eastAsiaTheme="minorEastAsia"/>
              <w:spacing w:val="-10"/>
              <w:sz w:val="20"/>
              <w:szCs w:val="15"/>
            </w:rPr>
            <w:tag w:val="_PLD_0596fb5f4bb147b48d9ab2f32535e71f"/>
            <w:id w:val="-1772460263"/>
          </w:sdtPr>
          <w:sdtEndPr>
            <w:rPr>
              <w:rFonts w:asciiTheme="minorEastAsia" w:hAnsiTheme="minorEastAsia" w:eastAsiaTheme="minorEastAsia"/>
              <w:spacing w:val="-10"/>
              <w:sz w:val="20"/>
              <w:szCs w:val="15"/>
            </w:rPr>
          </w:sdtEndPr>
          <w:sdtContent>
            <w:tc>
              <w:tcPr>
                <w:tcW w:w="224" w:type="pct"/>
                <w:tcBorders>
                  <w:left w:val="single" w:color="auto" w:sz="4" w:space="0"/>
                  <w:bottom w:val="single" w:color="auto" w:sz="4" w:space="0"/>
                  <w:right w:val="single" w:color="auto" w:sz="4" w:space="0"/>
                </w:tcBorders>
                <w:vAlign w:val="center"/>
              </w:tcPr>
              <w:p w14:paraId="78D3393E">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计提比例</w:t>
                </w:r>
                <w:r>
                  <w:rPr>
                    <w:rFonts w:asciiTheme="minorEastAsia" w:hAnsiTheme="minorEastAsia" w:eastAsiaTheme="minorEastAsia"/>
                    <w:color w:val="000000" w:themeColor="text1"/>
                    <w:spacing w:val="-10"/>
                    <w:sz w:val="20"/>
                    <w:szCs w:val="15"/>
                    <w14:textFill>
                      <w14:solidFill>
                        <w14:schemeClr w14:val="tx1"/>
                      </w14:solidFill>
                    </w14:textFill>
                  </w:rPr>
                  <w:t>(%)</w:t>
                </w:r>
              </w:p>
            </w:tc>
          </w:sdtContent>
        </w:sdt>
        <w:tc>
          <w:tcPr>
            <w:tcW w:w="656" w:type="pct"/>
            <w:vMerge w:val="continue"/>
            <w:tcBorders>
              <w:left w:val="single" w:color="auto" w:sz="4" w:space="0"/>
              <w:bottom w:val="single" w:color="auto" w:sz="4" w:space="0"/>
              <w:right w:val="single" w:color="auto" w:sz="4" w:space="0"/>
            </w:tcBorders>
          </w:tcPr>
          <w:p w14:paraId="3E71F9FD">
            <w:pPr>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p>
        </w:tc>
      </w:tr>
      <w:tr w14:paraId="41D2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gridAfter w:val="1"/>
          <w:wAfter w:w="3" w:type="pct"/>
          <w:cantSplit/>
        </w:trPr>
        <w:tc>
          <w:tcPr>
            <w:tcW w:w="274" w:type="pct"/>
            <w:tcBorders>
              <w:top w:val="single" w:color="auto" w:sz="4" w:space="0"/>
              <w:left w:val="single" w:color="auto" w:sz="4" w:space="0"/>
              <w:bottom w:val="single" w:color="auto" w:sz="4" w:space="0"/>
              <w:right w:val="single" w:color="auto" w:sz="4" w:space="0"/>
            </w:tcBorders>
          </w:tcPr>
          <w:p w14:paraId="49637DF1">
            <w:pPr>
              <w:ind w:left="-53" w:leftChars="-25"/>
              <w:jc w:val="both"/>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按单项计提坏账准备</w:t>
            </w:r>
          </w:p>
        </w:tc>
        <w:tc>
          <w:tcPr>
            <w:tcW w:w="650" w:type="pct"/>
            <w:tcBorders>
              <w:top w:val="single" w:color="auto" w:sz="4" w:space="0"/>
              <w:left w:val="single" w:color="auto" w:sz="4" w:space="0"/>
              <w:bottom w:val="single" w:color="auto" w:sz="4" w:space="0"/>
              <w:right w:val="single" w:color="auto" w:sz="4" w:space="0"/>
            </w:tcBorders>
            <w:vAlign w:val="center"/>
          </w:tcPr>
          <w:p w14:paraId="35568128">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740,656,587.17</w:t>
            </w:r>
          </w:p>
        </w:tc>
        <w:tc>
          <w:tcPr>
            <w:tcW w:w="262" w:type="pct"/>
            <w:tcBorders>
              <w:top w:val="single" w:color="auto" w:sz="4" w:space="0"/>
              <w:left w:val="single" w:color="auto" w:sz="4" w:space="0"/>
              <w:bottom w:val="single" w:color="auto" w:sz="4" w:space="0"/>
              <w:right w:val="single" w:color="auto" w:sz="4" w:space="0"/>
            </w:tcBorders>
            <w:vAlign w:val="center"/>
          </w:tcPr>
          <w:p w14:paraId="1E68EF26">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38.24</w:t>
            </w:r>
          </w:p>
        </w:tc>
        <w:tc>
          <w:tcPr>
            <w:tcW w:w="572" w:type="pct"/>
            <w:tcBorders>
              <w:top w:val="single" w:color="auto" w:sz="4" w:space="0"/>
              <w:left w:val="single" w:color="auto" w:sz="4" w:space="0"/>
              <w:bottom w:val="single" w:color="auto" w:sz="4" w:space="0"/>
              <w:right w:val="single" w:color="auto" w:sz="4" w:space="0"/>
            </w:tcBorders>
            <w:vAlign w:val="center"/>
          </w:tcPr>
          <w:p w14:paraId="2DF31120">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618,899,699.39</w:t>
            </w:r>
          </w:p>
        </w:tc>
        <w:tc>
          <w:tcPr>
            <w:tcW w:w="224" w:type="pct"/>
            <w:tcBorders>
              <w:top w:val="single" w:color="auto" w:sz="4" w:space="0"/>
              <w:left w:val="single" w:color="auto" w:sz="4" w:space="0"/>
              <w:bottom w:val="single" w:color="auto" w:sz="4" w:space="0"/>
              <w:right w:val="single" w:color="auto" w:sz="4" w:space="0"/>
            </w:tcBorders>
            <w:vAlign w:val="center"/>
          </w:tcPr>
          <w:p w14:paraId="03435D11">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83.56</w:t>
            </w:r>
          </w:p>
        </w:tc>
        <w:tc>
          <w:tcPr>
            <w:tcW w:w="650" w:type="pct"/>
            <w:tcBorders>
              <w:top w:val="single" w:color="auto" w:sz="4" w:space="0"/>
              <w:left w:val="single" w:color="auto" w:sz="4" w:space="0"/>
              <w:bottom w:val="single" w:color="auto" w:sz="4" w:space="0"/>
              <w:right w:val="single" w:color="auto" w:sz="4" w:space="0"/>
            </w:tcBorders>
            <w:vAlign w:val="center"/>
          </w:tcPr>
          <w:p w14:paraId="1C3C4338">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121,756,887.78</w:t>
            </w:r>
          </w:p>
        </w:tc>
        <w:tc>
          <w:tcPr>
            <w:tcW w:w="650" w:type="pct"/>
            <w:tcBorders>
              <w:top w:val="single" w:color="auto" w:sz="4" w:space="0"/>
              <w:left w:val="single" w:color="auto" w:sz="4" w:space="0"/>
              <w:bottom w:val="single" w:color="auto" w:sz="4" w:space="0"/>
              <w:right w:val="single" w:color="auto" w:sz="4" w:space="0"/>
            </w:tcBorders>
            <w:vAlign w:val="center"/>
          </w:tcPr>
          <w:p w14:paraId="74CD894A">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859,367,501.09</w:t>
            </w:r>
          </w:p>
        </w:tc>
        <w:tc>
          <w:tcPr>
            <w:tcW w:w="263" w:type="pct"/>
            <w:tcBorders>
              <w:top w:val="single" w:color="auto" w:sz="4" w:space="0"/>
              <w:left w:val="single" w:color="auto" w:sz="4" w:space="0"/>
              <w:bottom w:val="single" w:color="auto" w:sz="4" w:space="0"/>
              <w:right w:val="single" w:color="auto" w:sz="4" w:space="0"/>
            </w:tcBorders>
            <w:vAlign w:val="center"/>
          </w:tcPr>
          <w:p w14:paraId="5AD87B56">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41.34</w:t>
            </w:r>
          </w:p>
        </w:tc>
        <w:tc>
          <w:tcPr>
            <w:tcW w:w="572" w:type="pct"/>
            <w:tcBorders>
              <w:top w:val="single" w:color="auto" w:sz="4" w:space="0"/>
              <w:left w:val="single" w:color="auto" w:sz="4" w:space="0"/>
              <w:bottom w:val="single" w:color="auto" w:sz="4" w:space="0"/>
              <w:right w:val="single" w:color="auto" w:sz="4" w:space="0"/>
            </w:tcBorders>
            <w:vAlign w:val="center"/>
          </w:tcPr>
          <w:p w14:paraId="2A865678">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721,936,171.76</w:t>
            </w:r>
          </w:p>
        </w:tc>
        <w:tc>
          <w:tcPr>
            <w:tcW w:w="224" w:type="pct"/>
            <w:tcBorders>
              <w:top w:val="single" w:color="auto" w:sz="4" w:space="0"/>
              <w:left w:val="single" w:color="auto" w:sz="4" w:space="0"/>
              <w:bottom w:val="single" w:color="auto" w:sz="4" w:space="0"/>
              <w:right w:val="single" w:color="auto" w:sz="4" w:space="0"/>
            </w:tcBorders>
            <w:vAlign w:val="center"/>
          </w:tcPr>
          <w:p w14:paraId="26EABF5E">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84.01</w:t>
            </w:r>
          </w:p>
        </w:tc>
        <w:tc>
          <w:tcPr>
            <w:tcW w:w="656" w:type="pct"/>
            <w:tcBorders>
              <w:top w:val="single" w:color="auto" w:sz="4" w:space="0"/>
              <w:left w:val="single" w:color="auto" w:sz="4" w:space="0"/>
              <w:bottom w:val="single" w:color="auto" w:sz="4" w:space="0"/>
              <w:right w:val="single" w:color="auto" w:sz="4" w:space="0"/>
            </w:tcBorders>
            <w:vAlign w:val="center"/>
          </w:tcPr>
          <w:p w14:paraId="4F3CBE1B">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137,431,329.33</w:t>
            </w:r>
          </w:p>
        </w:tc>
      </w:tr>
      <w:tr w14:paraId="12F6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gridAfter w:val="1"/>
          <w:wAfter w:w="3" w:type="pct"/>
          <w:cantSplit/>
        </w:trPr>
        <w:tc>
          <w:tcPr>
            <w:tcW w:w="274" w:type="pct"/>
            <w:tcBorders>
              <w:top w:val="single" w:color="auto" w:sz="4" w:space="0"/>
              <w:left w:val="single" w:color="auto" w:sz="4" w:space="0"/>
              <w:bottom w:val="single" w:color="auto" w:sz="4" w:space="0"/>
              <w:right w:val="single" w:color="auto" w:sz="4" w:space="0"/>
            </w:tcBorders>
          </w:tcPr>
          <w:p w14:paraId="144E3612">
            <w:pPr>
              <w:ind w:left="-53" w:leftChars="-25"/>
              <w:jc w:val="both"/>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按组合计提坏账准备</w:t>
            </w:r>
          </w:p>
        </w:tc>
        <w:tc>
          <w:tcPr>
            <w:tcW w:w="650" w:type="pct"/>
            <w:tcBorders>
              <w:top w:val="single" w:color="auto" w:sz="4" w:space="0"/>
              <w:left w:val="single" w:color="auto" w:sz="4" w:space="0"/>
              <w:bottom w:val="single" w:color="auto" w:sz="4" w:space="0"/>
              <w:right w:val="single" w:color="auto" w:sz="4" w:space="0"/>
            </w:tcBorders>
            <w:vAlign w:val="center"/>
          </w:tcPr>
          <w:p w14:paraId="21F6AA6B">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1,196,316,723.76</w:t>
            </w:r>
          </w:p>
        </w:tc>
        <w:tc>
          <w:tcPr>
            <w:tcW w:w="262" w:type="pct"/>
            <w:tcBorders>
              <w:top w:val="single" w:color="auto" w:sz="4" w:space="0"/>
              <w:left w:val="single" w:color="auto" w:sz="4" w:space="0"/>
              <w:bottom w:val="single" w:color="auto" w:sz="4" w:space="0"/>
              <w:right w:val="single" w:color="auto" w:sz="4" w:space="0"/>
            </w:tcBorders>
            <w:vAlign w:val="center"/>
          </w:tcPr>
          <w:p w14:paraId="5CFDC055">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61.76</w:t>
            </w:r>
          </w:p>
        </w:tc>
        <w:tc>
          <w:tcPr>
            <w:tcW w:w="572" w:type="pct"/>
            <w:tcBorders>
              <w:top w:val="single" w:color="auto" w:sz="4" w:space="0"/>
              <w:left w:val="single" w:color="auto" w:sz="4" w:space="0"/>
              <w:bottom w:val="single" w:color="auto" w:sz="4" w:space="0"/>
              <w:right w:val="single" w:color="auto" w:sz="4" w:space="0"/>
            </w:tcBorders>
            <w:vAlign w:val="center"/>
          </w:tcPr>
          <w:p w14:paraId="19C4352F">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54,526,067.64</w:t>
            </w:r>
          </w:p>
        </w:tc>
        <w:tc>
          <w:tcPr>
            <w:tcW w:w="224" w:type="pct"/>
            <w:tcBorders>
              <w:top w:val="single" w:color="auto" w:sz="4" w:space="0"/>
              <w:left w:val="single" w:color="auto" w:sz="4" w:space="0"/>
              <w:bottom w:val="single" w:color="auto" w:sz="4" w:space="0"/>
              <w:right w:val="single" w:color="auto" w:sz="4" w:space="0"/>
            </w:tcBorders>
            <w:vAlign w:val="center"/>
          </w:tcPr>
          <w:p w14:paraId="46902EFA">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4.56</w:t>
            </w:r>
          </w:p>
        </w:tc>
        <w:tc>
          <w:tcPr>
            <w:tcW w:w="650" w:type="pct"/>
            <w:tcBorders>
              <w:top w:val="single" w:color="auto" w:sz="4" w:space="0"/>
              <w:left w:val="single" w:color="auto" w:sz="4" w:space="0"/>
              <w:bottom w:val="single" w:color="auto" w:sz="4" w:space="0"/>
              <w:right w:val="single" w:color="auto" w:sz="4" w:space="0"/>
            </w:tcBorders>
            <w:vAlign w:val="center"/>
          </w:tcPr>
          <w:p w14:paraId="41BB07C8">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1,141,790,656.12</w:t>
            </w:r>
          </w:p>
        </w:tc>
        <w:tc>
          <w:tcPr>
            <w:tcW w:w="650" w:type="pct"/>
            <w:tcBorders>
              <w:top w:val="single" w:color="auto" w:sz="4" w:space="0"/>
              <w:left w:val="single" w:color="auto" w:sz="4" w:space="0"/>
              <w:bottom w:val="single" w:color="auto" w:sz="4" w:space="0"/>
              <w:right w:val="single" w:color="auto" w:sz="4" w:space="0"/>
            </w:tcBorders>
            <w:vAlign w:val="center"/>
          </w:tcPr>
          <w:p w14:paraId="139E3259">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1,219,570,296.83</w:t>
            </w:r>
          </w:p>
        </w:tc>
        <w:tc>
          <w:tcPr>
            <w:tcW w:w="263" w:type="pct"/>
            <w:tcBorders>
              <w:top w:val="single" w:color="auto" w:sz="4" w:space="0"/>
              <w:left w:val="single" w:color="auto" w:sz="4" w:space="0"/>
              <w:bottom w:val="single" w:color="auto" w:sz="4" w:space="0"/>
              <w:right w:val="single" w:color="auto" w:sz="4" w:space="0"/>
            </w:tcBorders>
            <w:vAlign w:val="center"/>
          </w:tcPr>
          <w:p w14:paraId="584DE158">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58.66</w:t>
            </w:r>
          </w:p>
        </w:tc>
        <w:tc>
          <w:tcPr>
            <w:tcW w:w="572" w:type="pct"/>
            <w:tcBorders>
              <w:top w:val="single" w:color="auto" w:sz="4" w:space="0"/>
              <w:left w:val="single" w:color="auto" w:sz="4" w:space="0"/>
              <w:bottom w:val="single" w:color="auto" w:sz="4" w:space="0"/>
              <w:right w:val="single" w:color="auto" w:sz="4" w:space="0"/>
            </w:tcBorders>
            <w:vAlign w:val="center"/>
          </w:tcPr>
          <w:p w14:paraId="33D02652">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51,351,535.25</w:t>
            </w:r>
          </w:p>
        </w:tc>
        <w:tc>
          <w:tcPr>
            <w:tcW w:w="224" w:type="pct"/>
            <w:tcBorders>
              <w:top w:val="single" w:color="auto" w:sz="4" w:space="0"/>
              <w:left w:val="single" w:color="auto" w:sz="4" w:space="0"/>
              <w:bottom w:val="single" w:color="auto" w:sz="4" w:space="0"/>
              <w:right w:val="single" w:color="auto" w:sz="4" w:space="0"/>
            </w:tcBorders>
            <w:vAlign w:val="center"/>
          </w:tcPr>
          <w:p w14:paraId="14566B59">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4.21</w:t>
            </w:r>
          </w:p>
        </w:tc>
        <w:tc>
          <w:tcPr>
            <w:tcW w:w="656" w:type="pct"/>
            <w:tcBorders>
              <w:top w:val="single" w:color="auto" w:sz="4" w:space="0"/>
              <w:left w:val="single" w:color="auto" w:sz="4" w:space="0"/>
              <w:bottom w:val="single" w:color="auto" w:sz="4" w:space="0"/>
              <w:right w:val="single" w:color="auto" w:sz="4" w:space="0"/>
            </w:tcBorders>
            <w:vAlign w:val="center"/>
          </w:tcPr>
          <w:p w14:paraId="0F8FF4C7">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1,168,218,761.58</w:t>
            </w:r>
          </w:p>
        </w:tc>
      </w:tr>
      <w:tr w14:paraId="311B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rFonts w:asciiTheme="minorEastAsia" w:hAnsiTheme="minorEastAsia" w:eastAsiaTheme="minorEastAsia"/>
              <w:spacing w:val="-20"/>
              <w:sz w:val="20"/>
              <w:szCs w:val="15"/>
            </w:rPr>
            <w:tag w:val="_PLD_55a01fc28b044e40bd4e4399252665c0"/>
            <w:id w:val="-2072106536"/>
          </w:sdtPr>
          <w:sdtEndPr>
            <w:rPr>
              <w:rFonts w:asciiTheme="minorEastAsia" w:hAnsiTheme="minorEastAsia" w:eastAsiaTheme="minorEastAsia"/>
              <w:spacing w:val="-20"/>
              <w:sz w:val="20"/>
              <w:szCs w:val="15"/>
            </w:rPr>
          </w:sdtEndPr>
          <w:sdtContent>
            <w:tc>
              <w:tcPr>
                <w:tcW w:w="5000" w:type="pct"/>
                <w:gridSpan w:val="12"/>
                <w:tcBorders>
                  <w:top w:val="single" w:color="auto" w:sz="4" w:space="0"/>
                  <w:left w:val="single" w:color="auto" w:sz="4" w:space="0"/>
                  <w:bottom w:val="single" w:color="auto" w:sz="4" w:space="0"/>
                  <w:right w:val="single" w:color="auto" w:sz="4" w:space="0"/>
                </w:tcBorders>
              </w:tcPr>
              <w:p w14:paraId="09DE4236">
                <w:pPr>
                  <w:ind w:left="-53" w:leftChars="-25" w:right="600"/>
                  <w:rPr>
                    <w:rFonts w:asciiTheme="minorEastAsia" w:hAnsiTheme="minorEastAsia" w:eastAsiaTheme="minorEastAsia"/>
                    <w:color w:val="000000" w:themeColor="text1"/>
                    <w:spacing w:val="-20"/>
                    <w:sz w:val="20"/>
                    <w:szCs w:val="15"/>
                    <w14:textFill>
                      <w14:solidFill>
                        <w14:schemeClr w14:val="tx1"/>
                      </w14:solidFill>
                    </w14:textFill>
                  </w:rPr>
                </w:pPr>
                <w:r>
                  <w:rPr>
                    <w:rFonts w:hint="eastAsia" w:asciiTheme="minorEastAsia" w:hAnsiTheme="minorEastAsia" w:eastAsiaTheme="minorEastAsia"/>
                    <w:color w:val="000000" w:themeColor="text1"/>
                    <w:spacing w:val="-20"/>
                    <w:sz w:val="20"/>
                    <w:szCs w:val="15"/>
                    <w14:textFill>
                      <w14:solidFill>
                        <w14:schemeClr w14:val="tx1"/>
                      </w14:solidFill>
                    </w14:textFill>
                  </w:rPr>
                  <w:t>其中：</w:t>
                </w:r>
              </w:p>
            </w:tc>
          </w:sdtContent>
        </w:sdt>
      </w:tr>
      <w:tr w14:paraId="350A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gridAfter w:val="1"/>
          <w:wAfter w:w="3" w:type="pct"/>
          <w:cantSplit/>
        </w:trPr>
        <w:sdt>
          <w:sdtPr>
            <w:rPr>
              <w:rFonts w:asciiTheme="minorEastAsia" w:hAnsiTheme="minorEastAsia" w:eastAsiaTheme="minorEastAsia"/>
              <w:color w:val="000000" w:themeColor="text1"/>
              <w:spacing w:val="-10"/>
              <w:sz w:val="20"/>
              <w:szCs w:val="15"/>
              <w14:textFill>
                <w14:solidFill>
                  <w14:schemeClr w14:val="tx1"/>
                </w14:solidFill>
              </w14:textFill>
            </w:rPr>
            <w:alias w:val="按组合计提坏账准备的应收账款明细-组合名称"/>
            <w:tag w:val="_GBC_c5f1817705f34c9782f585b3ed10e2db"/>
            <w:id w:val="-2093848994"/>
          </w:sdtPr>
          <w:sdtEndPr>
            <w:rPr>
              <w:rFonts w:asciiTheme="minorEastAsia" w:hAnsiTheme="minorEastAsia" w:eastAsiaTheme="minorEastAsia"/>
              <w:color w:val="000000" w:themeColor="text1"/>
              <w:spacing w:val="-10"/>
              <w:sz w:val="20"/>
              <w:szCs w:val="15"/>
              <w14:textFill>
                <w14:solidFill>
                  <w14:schemeClr w14:val="tx1"/>
                </w14:solidFill>
              </w14:textFill>
            </w:rPr>
          </w:sdtEndPr>
          <w:sdtContent>
            <w:tc>
              <w:tcPr>
                <w:tcW w:w="274" w:type="pct"/>
                <w:tcBorders>
                  <w:top w:val="single" w:color="auto" w:sz="4" w:space="0"/>
                  <w:left w:val="single" w:color="auto" w:sz="4" w:space="0"/>
                  <w:bottom w:val="single" w:color="auto" w:sz="4" w:space="0"/>
                  <w:right w:val="single" w:color="auto" w:sz="4" w:space="0"/>
                </w:tcBorders>
              </w:tcPr>
              <w:p w14:paraId="029416F3">
                <w:pPr>
                  <w:ind w:left="-53" w:leftChars="-25"/>
                  <w:jc w:val="both"/>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账龄组合</w:t>
                </w:r>
              </w:p>
            </w:tc>
          </w:sdtContent>
        </w:sdt>
        <w:tc>
          <w:tcPr>
            <w:tcW w:w="650" w:type="pct"/>
            <w:tcBorders>
              <w:top w:val="single" w:color="auto" w:sz="4" w:space="0"/>
              <w:left w:val="single" w:color="auto" w:sz="4" w:space="0"/>
              <w:bottom w:val="single" w:color="auto" w:sz="4" w:space="0"/>
              <w:right w:val="single" w:color="auto" w:sz="4" w:space="0"/>
            </w:tcBorders>
            <w:vAlign w:val="center"/>
          </w:tcPr>
          <w:p w14:paraId="59D792C4">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1,196,316,723.76</w:t>
            </w:r>
          </w:p>
        </w:tc>
        <w:tc>
          <w:tcPr>
            <w:tcW w:w="262" w:type="pct"/>
            <w:tcBorders>
              <w:top w:val="single" w:color="auto" w:sz="4" w:space="0"/>
              <w:left w:val="single" w:color="auto" w:sz="4" w:space="0"/>
              <w:bottom w:val="single" w:color="auto" w:sz="4" w:space="0"/>
              <w:right w:val="single" w:color="auto" w:sz="4" w:space="0"/>
            </w:tcBorders>
            <w:vAlign w:val="center"/>
          </w:tcPr>
          <w:p w14:paraId="0F19FBBF">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61.76</w:t>
            </w:r>
          </w:p>
        </w:tc>
        <w:tc>
          <w:tcPr>
            <w:tcW w:w="572" w:type="pct"/>
            <w:tcBorders>
              <w:top w:val="single" w:color="auto" w:sz="4" w:space="0"/>
              <w:left w:val="single" w:color="auto" w:sz="4" w:space="0"/>
              <w:bottom w:val="single" w:color="auto" w:sz="4" w:space="0"/>
              <w:right w:val="single" w:color="auto" w:sz="4" w:space="0"/>
            </w:tcBorders>
            <w:vAlign w:val="center"/>
          </w:tcPr>
          <w:p w14:paraId="30DD021A">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54,526,067.64</w:t>
            </w:r>
          </w:p>
        </w:tc>
        <w:tc>
          <w:tcPr>
            <w:tcW w:w="224" w:type="pct"/>
            <w:tcBorders>
              <w:top w:val="single" w:color="auto" w:sz="4" w:space="0"/>
              <w:left w:val="single" w:color="auto" w:sz="4" w:space="0"/>
              <w:bottom w:val="single" w:color="auto" w:sz="4" w:space="0"/>
              <w:right w:val="single" w:color="auto" w:sz="4" w:space="0"/>
            </w:tcBorders>
            <w:vAlign w:val="center"/>
          </w:tcPr>
          <w:p w14:paraId="68A654ED">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4.56</w:t>
            </w:r>
          </w:p>
        </w:tc>
        <w:tc>
          <w:tcPr>
            <w:tcW w:w="650" w:type="pct"/>
            <w:tcBorders>
              <w:top w:val="single" w:color="auto" w:sz="4" w:space="0"/>
              <w:left w:val="single" w:color="auto" w:sz="4" w:space="0"/>
              <w:bottom w:val="single" w:color="auto" w:sz="4" w:space="0"/>
              <w:right w:val="single" w:color="auto" w:sz="4" w:space="0"/>
            </w:tcBorders>
            <w:vAlign w:val="center"/>
          </w:tcPr>
          <w:p w14:paraId="55A7EA7D">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1,141,790,656.12</w:t>
            </w:r>
          </w:p>
        </w:tc>
        <w:tc>
          <w:tcPr>
            <w:tcW w:w="650" w:type="pct"/>
            <w:tcBorders>
              <w:top w:val="single" w:color="auto" w:sz="4" w:space="0"/>
              <w:left w:val="single" w:color="auto" w:sz="4" w:space="0"/>
              <w:bottom w:val="single" w:color="auto" w:sz="4" w:space="0"/>
              <w:right w:val="single" w:color="auto" w:sz="4" w:space="0"/>
            </w:tcBorders>
            <w:vAlign w:val="center"/>
          </w:tcPr>
          <w:p w14:paraId="1F5C5C65">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1,219,570,296.83</w:t>
            </w:r>
          </w:p>
        </w:tc>
        <w:tc>
          <w:tcPr>
            <w:tcW w:w="263" w:type="pct"/>
            <w:tcBorders>
              <w:top w:val="single" w:color="auto" w:sz="4" w:space="0"/>
              <w:left w:val="single" w:color="auto" w:sz="4" w:space="0"/>
              <w:bottom w:val="single" w:color="auto" w:sz="4" w:space="0"/>
              <w:right w:val="single" w:color="auto" w:sz="4" w:space="0"/>
            </w:tcBorders>
            <w:vAlign w:val="center"/>
          </w:tcPr>
          <w:p w14:paraId="093EACAF">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58.66</w:t>
            </w:r>
          </w:p>
        </w:tc>
        <w:tc>
          <w:tcPr>
            <w:tcW w:w="572" w:type="pct"/>
            <w:tcBorders>
              <w:top w:val="single" w:color="auto" w:sz="4" w:space="0"/>
              <w:left w:val="single" w:color="auto" w:sz="4" w:space="0"/>
              <w:bottom w:val="single" w:color="auto" w:sz="4" w:space="0"/>
              <w:right w:val="single" w:color="auto" w:sz="4" w:space="0"/>
            </w:tcBorders>
            <w:vAlign w:val="center"/>
          </w:tcPr>
          <w:p w14:paraId="41C7EECC">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51,351,535.25</w:t>
            </w:r>
          </w:p>
        </w:tc>
        <w:tc>
          <w:tcPr>
            <w:tcW w:w="224" w:type="pct"/>
            <w:tcBorders>
              <w:top w:val="single" w:color="auto" w:sz="4" w:space="0"/>
              <w:left w:val="single" w:color="auto" w:sz="4" w:space="0"/>
              <w:bottom w:val="single" w:color="auto" w:sz="4" w:space="0"/>
              <w:right w:val="single" w:color="auto" w:sz="4" w:space="0"/>
            </w:tcBorders>
            <w:vAlign w:val="center"/>
          </w:tcPr>
          <w:p w14:paraId="253AD796">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4.21</w:t>
            </w:r>
          </w:p>
        </w:tc>
        <w:tc>
          <w:tcPr>
            <w:tcW w:w="656" w:type="pct"/>
            <w:tcBorders>
              <w:top w:val="single" w:color="auto" w:sz="4" w:space="0"/>
              <w:left w:val="single" w:color="auto" w:sz="4" w:space="0"/>
              <w:bottom w:val="single" w:color="auto" w:sz="4" w:space="0"/>
              <w:right w:val="single" w:color="auto" w:sz="4" w:space="0"/>
            </w:tcBorders>
            <w:vAlign w:val="center"/>
          </w:tcPr>
          <w:p w14:paraId="2BE388A9">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1,168,218,761.58</w:t>
            </w:r>
          </w:p>
        </w:tc>
      </w:tr>
      <w:tr w14:paraId="4264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gridAfter w:val="1"/>
          <w:wAfter w:w="3" w:type="pct"/>
          <w:cantSplit/>
        </w:trPr>
        <w:tc>
          <w:tcPr>
            <w:tcW w:w="274" w:type="pct"/>
            <w:tcBorders>
              <w:top w:val="single" w:color="auto" w:sz="4" w:space="0"/>
              <w:left w:val="single" w:color="auto" w:sz="4" w:space="0"/>
              <w:bottom w:val="single" w:color="auto" w:sz="4" w:space="0"/>
              <w:right w:val="single" w:color="auto" w:sz="4" w:space="0"/>
            </w:tcBorders>
            <w:vAlign w:val="center"/>
          </w:tcPr>
          <w:p w14:paraId="5092703B">
            <w:pPr>
              <w:autoSpaceDE w:val="0"/>
              <w:autoSpaceDN w:val="0"/>
              <w:adjustRightInd w:val="0"/>
              <w:ind w:left="-53" w:leftChars="-25"/>
              <w:jc w:val="center"/>
              <w:rPr>
                <w:rFonts w:asciiTheme="minorEastAsia" w:hAnsiTheme="minorEastAsia" w:eastAsiaTheme="minorEastAsia"/>
                <w:color w:val="000000" w:themeColor="text1"/>
                <w:spacing w:val="-10"/>
                <w:sz w:val="20"/>
                <w:szCs w:val="15"/>
                <w14:textFill>
                  <w14:solidFill>
                    <w14:schemeClr w14:val="tx1"/>
                  </w14:solidFill>
                </w14:textFill>
              </w:rPr>
            </w:pPr>
            <w:r>
              <w:rPr>
                <w:rFonts w:hint="eastAsia" w:asciiTheme="minorEastAsia" w:hAnsiTheme="minorEastAsia" w:eastAsiaTheme="minorEastAsia"/>
                <w:color w:val="000000" w:themeColor="text1"/>
                <w:spacing w:val="-10"/>
                <w:sz w:val="20"/>
                <w:szCs w:val="15"/>
                <w14:textFill>
                  <w14:solidFill>
                    <w14:schemeClr w14:val="tx1"/>
                  </w14:solidFill>
                </w14:textFill>
              </w:rPr>
              <w:t>合计</w:t>
            </w:r>
          </w:p>
        </w:tc>
        <w:tc>
          <w:tcPr>
            <w:tcW w:w="650" w:type="pct"/>
            <w:tcBorders>
              <w:top w:val="single" w:color="auto" w:sz="4" w:space="0"/>
              <w:left w:val="single" w:color="auto" w:sz="4" w:space="0"/>
              <w:bottom w:val="single" w:color="auto" w:sz="4" w:space="0"/>
              <w:right w:val="single" w:color="auto" w:sz="4" w:space="0"/>
            </w:tcBorders>
            <w:vAlign w:val="center"/>
          </w:tcPr>
          <w:p w14:paraId="5574FDB3">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1,936,973,310.93</w:t>
            </w:r>
          </w:p>
        </w:tc>
        <w:tc>
          <w:tcPr>
            <w:tcW w:w="262" w:type="pct"/>
            <w:tcBorders>
              <w:top w:val="single" w:color="auto" w:sz="4" w:space="0"/>
              <w:left w:val="single" w:color="auto" w:sz="4" w:space="0"/>
              <w:bottom w:val="single" w:color="auto" w:sz="4" w:space="0"/>
              <w:right w:val="single" w:color="auto" w:sz="4" w:space="0"/>
            </w:tcBorders>
            <w:vAlign w:val="center"/>
          </w:tcPr>
          <w:p w14:paraId="13E63D64">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100.00</w:t>
            </w:r>
          </w:p>
        </w:tc>
        <w:tc>
          <w:tcPr>
            <w:tcW w:w="572" w:type="pct"/>
            <w:tcBorders>
              <w:top w:val="single" w:color="auto" w:sz="4" w:space="0"/>
              <w:left w:val="single" w:color="auto" w:sz="4" w:space="0"/>
              <w:bottom w:val="single" w:color="auto" w:sz="4" w:space="0"/>
              <w:right w:val="single" w:color="auto" w:sz="4" w:space="0"/>
            </w:tcBorders>
            <w:vAlign w:val="center"/>
          </w:tcPr>
          <w:p w14:paraId="5FA8A49D">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673,425,767.03</w:t>
            </w:r>
          </w:p>
        </w:tc>
        <w:tc>
          <w:tcPr>
            <w:tcW w:w="224" w:type="pct"/>
            <w:tcBorders>
              <w:top w:val="single" w:color="auto" w:sz="4" w:space="0"/>
              <w:left w:val="single" w:color="auto" w:sz="4" w:space="0"/>
              <w:bottom w:val="single" w:color="auto" w:sz="4" w:space="0"/>
              <w:right w:val="single" w:color="auto" w:sz="4" w:space="0"/>
            </w:tcBorders>
            <w:vAlign w:val="center"/>
          </w:tcPr>
          <w:p w14:paraId="2EDB1F55">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34.77</w:t>
            </w:r>
          </w:p>
        </w:tc>
        <w:tc>
          <w:tcPr>
            <w:tcW w:w="650" w:type="pct"/>
            <w:tcBorders>
              <w:top w:val="single" w:color="auto" w:sz="4" w:space="0"/>
              <w:left w:val="single" w:color="auto" w:sz="4" w:space="0"/>
              <w:bottom w:val="single" w:color="auto" w:sz="4" w:space="0"/>
              <w:right w:val="single" w:color="auto" w:sz="4" w:space="0"/>
            </w:tcBorders>
            <w:vAlign w:val="center"/>
          </w:tcPr>
          <w:p w14:paraId="17BD7D34">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1,263,547,543.90</w:t>
            </w:r>
          </w:p>
        </w:tc>
        <w:tc>
          <w:tcPr>
            <w:tcW w:w="650" w:type="pct"/>
            <w:tcBorders>
              <w:top w:val="single" w:color="auto" w:sz="4" w:space="0"/>
              <w:left w:val="single" w:color="auto" w:sz="4" w:space="0"/>
              <w:bottom w:val="single" w:color="auto" w:sz="4" w:space="0"/>
              <w:right w:val="single" w:color="auto" w:sz="4" w:space="0"/>
            </w:tcBorders>
            <w:vAlign w:val="center"/>
          </w:tcPr>
          <w:p w14:paraId="223B5521">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2,078,937,797.92</w:t>
            </w:r>
          </w:p>
        </w:tc>
        <w:tc>
          <w:tcPr>
            <w:tcW w:w="263" w:type="pct"/>
            <w:tcBorders>
              <w:top w:val="single" w:color="auto" w:sz="4" w:space="0"/>
              <w:left w:val="single" w:color="auto" w:sz="4" w:space="0"/>
              <w:bottom w:val="single" w:color="auto" w:sz="4" w:space="0"/>
              <w:right w:val="single" w:color="auto" w:sz="4" w:space="0"/>
            </w:tcBorders>
            <w:vAlign w:val="center"/>
          </w:tcPr>
          <w:p w14:paraId="336AD0F7">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100.00</w:t>
            </w:r>
          </w:p>
        </w:tc>
        <w:tc>
          <w:tcPr>
            <w:tcW w:w="572" w:type="pct"/>
            <w:tcBorders>
              <w:top w:val="single" w:color="auto" w:sz="4" w:space="0"/>
              <w:left w:val="single" w:color="auto" w:sz="4" w:space="0"/>
              <w:bottom w:val="single" w:color="auto" w:sz="4" w:space="0"/>
              <w:right w:val="single" w:color="auto" w:sz="4" w:space="0"/>
            </w:tcBorders>
            <w:vAlign w:val="center"/>
          </w:tcPr>
          <w:p w14:paraId="2DB6066F">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773,287,707.01</w:t>
            </w:r>
          </w:p>
        </w:tc>
        <w:tc>
          <w:tcPr>
            <w:tcW w:w="224" w:type="pct"/>
            <w:tcBorders>
              <w:top w:val="single" w:color="auto" w:sz="4" w:space="0"/>
              <w:left w:val="single" w:color="auto" w:sz="4" w:space="0"/>
              <w:bottom w:val="single" w:color="auto" w:sz="4" w:space="0"/>
              <w:right w:val="single" w:color="auto" w:sz="4" w:space="0"/>
            </w:tcBorders>
            <w:vAlign w:val="center"/>
          </w:tcPr>
          <w:p w14:paraId="253BA84A">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37.20</w:t>
            </w:r>
          </w:p>
        </w:tc>
        <w:tc>
          <w:tcPr>
            <w:tcW w:w="656" w:type="pct"/>
            <w:tcBorders>
              <w:top w:val="single" w:color="auto" w:sz="4" w:space="0"/>
              <w:left w:val="single" w:color="auto" w:sz="4" w:space="0"/>
              <w:bottom w:val="single" w:color="auto" w:sz="4" w:space="0"/>
              <w:right w:val="single" w:color="auto" w:sz="4" w:space="0"/>
            </w:tcBorders>
            <w:vAlign w:val="center"/>
          </w:tcPr>
          <w:p w14:paraId="6CD31EA2">
            <w:pPr>
              <w:ind w:left="-53" w:leftChars="-25"/>
              <w:jc w:val="right"/>
              <w:rPr>
                <w:rFonts w:asciiTheme="minorEastAsia" w:hAnsiTheme="minorEastAsia" w:eastAsiaTheme="minorEastAsia"/>
                <w:spacing w:val="-20"/>
                <w:sz w:val="20"/>
                <w:szCs w:val="15"/>
              </w:rPr>
            </w:pPr>
            <w:r>
              <w:rPr>
                <w:rFonts w:asciiTheme="minorEastAsia" w:hAnsiTheme="minorEastAsia" w:eastAsiaTheme="minorEastAsia"/>
                <w:spacing w:val="-20"/>
                <w:sz w:val="20"/>
                <w:szCs w:val="15"/>
              </w:rPr>
              <w:t>1,305,650,090.91</w:t>
            </w:r>
          </w:p>
        </w:tc>
      </w:tr>
    </w:tbl>
    <w:p w14:paraId="2E306A5F">
      <w:pPr>
        <w:rPr>
          <w:color w:val="000000" w:themeColor="text1"/>
          <w14:textFill>
            <w14:solidFill>
              <w14:schemeClr w14:val="tx1"/>
            </w14:solidFill>
          </w14:textFill>
        </w:rPr>
      </w:pPr>
    </w:p>
    <w:bookmarkEnd w:id="165"/>
    <w:p w14:paraId="725EEBCE">
      <w:pPr>
        <w:rPr>
          <w:color w:val="000000" w:themeColor="text1"/>
          <w14:textFill>
            <w14:solidFill>
              <w14:schemeClr w14:val="tx1"/>
            </w14:solidFill>
          </w14:textFill>
        </w:rPr>
      </w:pPr>
      <w:bookmarkStart w:id="166" w:name="_Hlk10467187"/>
      <w:bookmarkStart w:id="167" w:name="_Hlk10467200"/>
      <w:r>
        <w:rPr>
          <w:rFonts w:hint="eastAsia"/>
          <w:color w:val="000000" w:themeColor="text1"/>
          <w14:textFill>
            <w14:solidFill>
              <w14:schemeClr w14:val="tx1"/>
            </w14:solidFill>
          </w14:textFill>
        </w:rPr>
        <w:t>按单项计提坏账准备：</w:t>
      </w:r>
      <w:bookmarkEnd w:id="166"/>
    </w:p>
    <w:sdt>
      <w:sdtPr>
        <w:rPr>
          <w:rFonts w:hint="eastAsia"/>
          <w:color w:val="000000" w:themeColor="text1"/>
          <w14:textFill>
            <w14:solidFill>
              <w14:schemeClr w14:val="tx1"/>
            </w14:solidFill>
          </w14:textFill>
        </w:rPr>
        <w:alias w:val="是否适用：按单项计提坏账准备的应收账款详细情况[双击切换]"/>
        <w:tag w:val="_GBC_e07c01cfb2fe4b05a2bb603b7f914946"/>
        <w:id w:val="-2038195719"/>
        <w:placeholder>
          <w:docPart w:val="GBC22222222222222222222222222222"/>
        </w:placeholder>
      </w:sdtPr>
      <w:sdtEndPr>
        <w:rPr>
          <w:rFonts w:hint="eastAsia"/>
          <w:color w:val="000000" w:themeColor="text1"/>
          <w14:textFill>
            <w14:solidFill>
              <w14:schemeClr w14:val="tx1"/>
            </w14:solidFill>
          </w14:textFill>
        </w:rPr>
      </w:sdtEndPr>
      <w:sdtContent>
        <w:p w14:paraId="327650E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bookmarkStart w:id="469" w:name="_GoBack"/>
          <w:bookmarkEnd w:id="469"/>
        </w:p>
      </w:sdtContent>
    </w:sdt>
    <w:p w14:paraId="0F871BA5">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单项计提坏账准备的应收账款详细情况"/>
          <w:tag w:val="_GBC_5737c621553040588c35a299b21bda52"/>
          <w:id w:val="14664688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单项计提坏账准备的应收账款详细情况"/>
          <w:tag w:val="_GBC_b6cb9fb35a4a4033912355f7cb997afb"/>
          <w:id w:val="12668004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699"/>
        <w:gridCol w:w="1701"/>
        <w:gridCol w:w="1699"/>
        <w:gridCol w:w="1851"/>
      </w:tblGrid>
      <w:tr w14:paraId="5CBC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886503527dee421ca2c31b493a41ab31"/>
            <w:id w:val="1846216689"/>
          </w:sdtPr>
          <w:sdtEndPr>
            <w:rPr>
              <w:sz w:val="18"/>
              <w:szCs w:val="18"/>
            </w:rPr>
          </w:sdtEndPr>
          <w:sdtContent>
            <w:tc>
              <w:tcPr>
                <w:tcW w:w="1160" w:type="pct"/>
                <w:vMerge w:val="restart"/>
                <w:vAlign w:val="center"/>
              </w:tcPr>
              <w:p w14:paraId="43BBFC8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名称</w:t>
                </w:r>
              </w:p>
            </w:tc>
          </w:sdtContent>
        </w:sdt>
        <w:sdt>
          <w:sdtPr>
            <w:rPr>
              <w:sz w:val="18"/>
              <w:szCs w:val="18"/>
            </w:rPr>
            <w:tag w:val="_PLD_e08f6e696f224538a07af6226cb97b93"/>
            <w:id w:val="-494273638"/>
          </w:sdtPr>
          <w:sdtEndPr>
            <w:rPr>
              <w:sz w:val="18"/>
              <w:szCs w:val="18"/>
            </w:rPr>
          </w:sdtEndPr>
          <w:sdtContent>
            <w:tc>
              <w:tcPr>
                <w:tcW w:w="3840" w:type="pct"/>
                <w:gridSpan w:val="4"/>
                <w:vAlign w:val="center"/>
              </w:tcPr>
              <w:p w14:paraId="1E5C91B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期末余额</w:t>
                </w:r>
              </w:p>
            </w:tc>
          </w:sdtContent>
        </w:sdt>
      </w:tr>
      <w:tr w14:paraId="0AE9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Merge w:val="continue"/>
          </w:tcPr>
          <w:p w14:paraId="2AAFD47B">
            <w:pPr>
              <w:jc w:val="center"/>
              <w:rPr>
                <w:color w:val="000000" w:themeColor="text1"/>
                <w:sz w:val="18"/>
                <w:szCs w:val="18"/>
                <w14:textFill>
                  <w14:solidFill>
                    <w14:schemeClr w14:val="tx1"/>
                  </w14:solidFill>
                </w14:textFill>
              </w:rPr>
            </w:pPr>
          </w:p>
        </w:tc>
        <w:sdt>
          <w:sdtPr>
            <w:rPr>
              <w:sz w:val="18"/>
              <w:szCs w:val="18"/>
            </w:rPr>
            <w:tag w:val="_PLD_464a1be46d05424da4883a8442e8eecd"/>
            <w:id w:val="-1473362342"/>
          </w:sdtPr>
          <w:sdtEndPr>
            <w:rPr>
              <w:sz w:val="18"/>
              <w:szCs w:val="18"/>
            </w:rPr>
          </w:sdtEndPr>
          <w:sdtContent>
            <w:tc>
              <w:tcPr>
                <w:tcW w:w="939" w:type="pct"/>
                <w:vAlign w:val="center"/>
              </w:tcPr>
              <w:p w14:paraId="51960A8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账面余额</w:t>
                </w:r>
              </w:p>
            </w:tc>
          </w:sdtContent>
        </w:sdt>
        <w:sdt>
          <w:sdtPr>
            <w:rPr>
              <w:sz w:val="18"/>
              <w:szCs w:val="18"/>
            </w:rPr>
            <w:tag w:val="_PLD_3d0d70541d9a48beb1c29f819592f107"/>
            <w:id w:val="1366175653"/>
          </w:sdtPr>
          <w:sdtEndPr>
            <w:rPr>
              <w:sz w:val="18"/>
              <w:szCs w:val="18"/>
            </w:rPr>
          </w:sdtEndPr>
          <w:sdtContent>
            <w:tc>
              <w:tcPr>
                <w:tcW w:w="940" w:type="pct"/>
                <w:vAlign w:val="center"/>
              </w:tcPr>
              <w:p w14:paraId="3081801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坏账准备</w:t>
                </w:r>
              </w:p>
            </w:tc>
          </w:sdtContent>
        </w:sdt>
        <w:sdt>
          <w:sdtPr>
            <w:rPr>
              <w:sz w:val="18"/>
              <w:szCs w:val="18"/>
            </w:rPr>
            <w:tag w:val="_PLD_76393245336e41aa891aec8c50271105"/>
            <w:id w:val="429475462"/>
          </w:sdtPr>
          <w:sdtEndPr>
            <w:rPr>
              <w:sz w:val="18"/>
              <w:szCs w:val="18"/>
            </w:rPr>
          </w:sdtEndPr>
          <w:sdtContent>
            <w:tc>
              <w:tcPr>
                <w:tcW w:w="939" w:type="pct"/>
                <w:vAlign w:val="center"/>
              </w:tcPr>
              <w:p w14:paraId="7D185C4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计提比例</w:t>
                </w:r>
                <w:r>
                  <w:rPr>
                    <w:rFonts w:hint="eastAsia"/>
                    <w:color w:val="000000" w:themeColor="text1"/>
                    <w:sz w:val="18"/>
                    <w:szCs w:val="18"/>
                    <w14:textFill>
                      <w14:solidFill>
                        <w14:schemeClr w14:val="tx1"/>
                      </w14:solidFill>
                    </w14:textFill>
                  </w:rPr>
                  <w:t>（%）</w:t>
                </w:r>
              </w:p>
            </w:tc>
          </w:sdtContent>
        </w:sdt>
        <w:sdt>
          <w:sdtPr>
            <w:rPr>
              <w:sz w:val="18"/>
              <w:szCs w:val="18"/>
            </w:rPr>
            <w:tag w:val="_PLD_950e8014be3245d1a45783884c32208d"/>
            <w:id w:val="-579599672"/>
          </w:sdtPr>
          <w:sdtEndPr>
            <w:rPr>
              <w:sz w:val="18"/>
              <w:szCs w:val="18"/>
            </w:rPr>
          </w:sdtEndPr>
          <w:sdtContent>
            <w:tc>
              <w:tcPr>
                <w:tcW w:w="1022" w:type="pct"/>
                <w:vAlign w:val="center"/>
              </w:tcPr>
              <w:p w14:paraId="5C1493A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计提理由</w:t>
                </w:r>
              </w:p>
            </w:tc>
          </w:sdtContent>
        </w:sdt>
      </w:tr>
      <w:tr w14:paraId="0569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172F03D5">
            <w:pPr>
              <w:rPr>
                <w:sz w:val="18"/>
                <w:szCs w:val="18"/>
              </w:rPr>
            </w:pPr>
            <w:r>
              <w:rPr>
                <w:sz w:val="18"/>
                <w:szCs w:val="18"/>
              </w:rPr>
              <w:t>KERMAN MOTOR CO.</w:t>
            </w:r>
          </w:p>
        </w:tc>
        <w:tc>
          <w:tcPr>
            <w:tcW w:w="939" w:type="pct"/>
            <w:vAlign w:val="center"/>
          </w:tcPr>
          <w:p w14:paraId="7E0CCF76">
            <w:pPr>
              <w:jc w:val="right"/>
              <w:rPr>
                <w:rFonts w:asciiTheme="minorEastAsia" w:hAnsiTheme="minorEastAsia" w:eastAsiaTheme="minorEastAsia"/>
                <w:sz w:val="18"/>
                <w:szCs w:val="18"/>
              </w:rPr>
            </w:pPr>
            <w:r>
              <w:rPr>
                <w:rFonts w:asciiTheme="minorEastAsia" w:hAnsiTheme="minorEastAsia" w:eastAsiaTheme="minorEastAsia"/>
                <w:sz w:val="18"/>
                <w:szCs w:val="18"/>
              </w:rPr>
              <w:t>535,670,893.20</w:t>
            </w:r>
          </w:p>
        </w:tc>
        <w:tc>
          <w:tcPr>
            <w:tcW w:w="940" w:type="pct"/>
            <w:vAlign w:val="center"/>
          </w:tcPr>
          <w:p w14:paraId="715FC1A0">
            <w:pPr>
              <w:jc w:val="right"/>
              <w:rPr>
                <w:rFonts w:asciiTheme="minorEastAsia" w:hAnsiTheme="minorEastAsia" w:eastAsiaTheme="minorEastAsia"/>
                <w:sz w:val="18"/>
                <w:szCs w:val="18"/>
              </w:rPr>
            </w:pPr>
            <w:r>
              <w:rPr>
                <w:rFonts w:asciiTheme="minorEastAsia" w:hAnsiTheme="minorEastAsia" w:eastAsiaTheme="minorEastAsia"/>
                <w:sz w:val="18"/>
                <w:szCs w:val="18"/>
              </w:rPr>
              <w:t>417,959,796.59</w:t>
            </w:r>
          </w:p>
        </w:tc>
        <w:tc>
          <w:tcPr>
            <w:tcW w:w="939" w:type="pct"/>
            <w:vAlign w:val="center"/>
          </w:tcPr>
          <w:p w14:paraId="2DCEBACC">
            <w:pPr>
              <w:jc w:val="right"/>
              <w:rPr>
                <w:rFonts w:asciiTheme="minorEastAsia" w:hAnsiTheme="minorEastAsia" w:eastAsiaTheme="minorEastAsia"/>
                <w:sz w:val="18"/>
                <w:szCs w:val="18"/>
              </w:rPr>
            </w:pPr>
            <w:r>
              <w:rPr>
                <w:rFonts w:asciiTheme="minorEastAsia" w:hAnsiTheme="minorEastAsia" w:eastAsiaTheme="minorEastAsia"/>
                <w:sz w:val="18"/>
                <w:szCs w:val="18"/>
              </w:rPr>
              <w:t>78.03</w:t>
            </w:r>
          </w:p>
        </w:tc>
        <w:tc>
          <w:tcPr>
            <w:tcW w:w="1022" w:type="pct"/>
            <w:vAlign w:val="center"/>
          </w:tcPr>
          <w:p w14:paraId="7180758C">
            <w:pPr>
              <w:jc w:val="center"/>
              <w:rPr>
                <w:rFonts w:asciiTheme="minorEastAsia" w:hAnsiTheme="minorEastAsia" w:eastAsiaTheme="minorEastAsia"/>
                <w:sz w:val="18"/>
                <w:szCs w:val="18"/>
              </w:rPr>
            </w:pPr>
            <w:r>
              <w:rPr>
                <w:rFonts w:asciiTheme="minorEastAsia" w:hAnsiTheme="minorEastAsia" w:eastAsiaTheme="minorEastAsia"/>
                <w:sz w:val="18"/>
                <w:szCs w:val="18"/>
              </w:rPr>
              <w:t>预计部分不能收回</w:t>
            </w:r>
          </w:p>
        </w:tc>
      </w:tr>
      <w:tr w14:paraId="7093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019B93D3">
            <w:pPr>
              <w:rPr>
                <w:sz w:val="18"/>
                <w:szCs w:val="18"/>
              </w:rPr>
            </w:pPr>
            <w:r>
              <w:rPr>
                <w:sz w:val="18"/>
                <w:szCs w:val="18"/>
              </w:rPr>
              <w:t>BAM KHODRO SERVICES AND TRADING CO.</w:t>
            </w:r>
          </w:p>
        </w:tc>
        <w:tc>
          <w:tcPr>
            <w:tcW w:w="939" w:type="pct"/>
            <w:vAlign w:val="center"/>
          </w:tcPr>
          <w:p w14:paraId="570113B1">
            <w:pPr>
              <w:jc w:val="right"/>
              <w:rPr>
                <w:rFonts w:asciiTheme="minorEastAsia" w:hAnsiTheme="minorEastAsia" w:eastAsiaTheme="minorEastAsia"/>
                <w:sz w:val="18"/>
                <w:szCs w:val="18"/>
              </w:rPr>
            </w:pPr>
            <w:r>
              <w:rPr>
                <w:rFonts w:asciiTheme="minorEastAsia" w:hAnsiTheme="minorEastAsia" w:eastAsiaTheme="minorEastAsia"/>
                <w:sz w:val="18"/>
                <w:szCs w:val="18"/>
              </w:rPr>
              <w:t>141,095,938.71</w:t>
            </w:r>
          </w:p>
        </w:tc>
        <w:tc>
          <w:tcPr>
            <w:tcW w:w="940" w:type="pct"/>
            <w:vAlign w:val="center"/>
          </w:tcPr>
          <w:p w14:paraId="0C489076">
            <w:pPr>
              <w:jc w:val="right"/>
              <w:rPr>
                <w:rFonts w:asciiTheme="minorEastAsia" w:hAnsiTheme="minorEastAsia" w:eastAsiaTheme="minorEastAsia"/>
                <w:sz w:val="18"/>
                <w:szCs w:val="18"/>
              </w:rPr>
            </w:pPr>
            <w:r>
              <w:rPr>
                <w:rFonts w:asciiTheme="minorEastAsia" w:hAnsiTheme="minorEastAsia" w:eastAsiaTheme="minorEastAsia"/>
                <w:sz w:val="18"/>
                <w:szCs w:val="18"/>
              </w:rPr>
              <w:t>141,095,938.71</w:t>
            </w:r>
          </w:p>
        </w:tc>
        <w:tc>
          <w:tcPr>
            <w:tcW w:w="939" w:type="pct"/>
            <w:vAlign w:val="center"/>
          </w:tcPr>
          <w:p w14:paraId="29B078CC">
            <w:pPr>
              <w:jc w:val="right"/>
              <w:rPr>
                <w:rFonts w:asciiTheme="minorEastAsia" w:hAnsiTheme="minorEastAsia" w:eastAsiaTheme="minorEastAsia"/>
                <w:sz w:val="18"/>
                <w:szCs w:val="18"/>
              </w:rPr>
            </w:pPr>
            <w:r>
              <w:rPr>
                <w:rFonts w:asciiTheme="minorEastAsia" w:hAnsiTheme="minorEastAsia" w:eastAsiaTheme="minorEastAsia"/>
                <w:sz w:val="18"/>
                <w:szCs w:val="18"/>
              </w:rPr>
              <w:t>100.00</w:t>
            </w:r>
          </w:p>
        </w:tc>
        <w:tc>
          <w:tcPr>
            <w:tcW w:w="1022" w:type="pct"/>
            <w:vAlign w:val="center"/>
          </w:tcPr>
          <w:p w14:paraId="32B4C7ED">
            <w:pPr>
              <w:jc w:val="center"/>
              <w:rPr>
                <w:rFonts w:asciiTheme="minorEastAsia" w:hAnsiTheme="minorEastAsia" w:eastAsiaTheme="minorEastAsia"/>
                <w:sz w:val="18"/>
                <w:szCs w:val="18"/>
              </w:rPr>
            </w:pPr>
            <w:r>
              <w:rPr>
                <w:rFonts w:asciiTheme="minorEastAsia" w:hAnsiTheme="minorEastAsia" w:eastAsiaTheme="minorEastAsia"/>
                <w:sz w:val="18"/>
                <w:szCs w:val="18"/>
              </w:rPr>
              <w:t>预计不能收回</w:t>
            </w:r>
          </w:p>
        </w:tc>
      </w:tr>
      <w:tr w14:paraId="5B41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7D06BB49">
            <w:pPr>
              <w:rPr>
                <w:sz w:val="18"/>
                <w:szCs w:val="18"/>
              </w:rPr>
            </w:pPr>
            <w:r>
              <w:rPr>
                <w:sz w:val="18"/>
                <w:szCs w:val="18"/>
              </w:rPr>
              <w:t>重庆飞帆汽车销售有限公司</w:t>
            </w:r>
          </w:p>
        </w:tc>
        <w:tc>
          <w:tcPr>
            <w:tcW w:w="939" w:type="pct"/>
            <w:vAlign w:val="center"/>
          </w:tcPr>
          <w:p w14:paraId="27A85BC6">
            <w:pPr>
              <w:jc w:val="right"/>
              <w:rPr>
                <w:rFonts w:asciiTheme="minorEastAsia" w:hAnsiTheme="minorEastAsia" w:eastAsiaTheme="minorEastAsia"/>
                <w:sz w:val="18"/>
                <w:szCs w:val="18"/>
              </w:rPr>
            </w:pPr>
            <w:r>
              <w:rPr>
                <w:rFonts w:asciiTheme="minorEastAsia" w:hAnsiTheme="minorEastAsia" w:eastAsiaTheme="minorEastAsia"/>
                <w:sz w:val="18"/>
                <w:szCs w:val="18"/>
              </w:rPr>
              <w:t>15,960,498.79</w:t>
            </w:r>
          </w:p>
        </w:tc>
        <w:tc>
          <w:tcPr>
            <w:tcW w:w="940" w:type="pct"/>
            <w:vAlign w:val="center"/>
          </w:tcPr>
          <w:p w14:paraId="3A7E68DF">
            <w:pPr>
              <w:jc w:val="right"/>
              <w:rPr>
                <w:rFonts w:asciiTheme="minorEastAsia" w:hAnsiTheme="minorEastAsia" w:eastAsiaTheme="minorEastAsia"/>
                <w:sz w:val="18"/>
                <w:szCs w:val="18"/>
              </w:rPr>
            </w:pPr>
            <w:r>
              <w:rPr>
                <w:rFonts w:asciiTheme="minorEastAsia" w:hAnsiTheme="minorEastAsia" w:eastAsiaTheme="minorEastAsia"/>
                <w:sz w:val="18"/>
                <w:szCs w:val="18"/>
              </w:rPr>
              <w:t>15,960,498.79</w:t>
            </w:r>
          </w:p>
        </w:tc>
        <w:tc>
          <w:tcPr>
            <w:tcW w:w="939" w:type="pct"/>
            <w:vAlign w:val="center"/>
          </w:tcPr>
          <w:p w14:paraId="7D023264">
            <w:pPr>
              <w:jc w:val="right"/>
              <w:rPr>
                <w:rFonts w:asciiTheme="minorEastAsia" w:hAnsiTheme="minorEastAsia" w:eastAsiaTheme="minorEastAsia"/>
                <w:sz w:val="18"/>
                <w:szCs w:val="18"/>
              </w:rPr>
            </w:pPr>
            <w:r>
              <w:rPr>
                <w:rFonts w:asciiTheme="minorEastAsia" w:hAnsiTheme="minorEastAsia" w:eastAsiaTheme="minorEastAsia"/>
                <w:sz w:val="18"/>
                <w:szCs w:val="18"/>
              </w:rPr>
              <w:t>100.00</w:t>
            </w:r>
          </w:p>
        </w:tc>
        <w:tc>
          <w:tcPr>
            <w:tcW w:w="1022" w:type="pct"/>
            <w:vAlign w:val="center"/>
          </w:tcPr>
          <w:p w14:paraId="173920F4">
            <w:pPr>
              <w:jc w:val="center"/>
              <w:rPr>
                <w:rFonts w:asciiTheme="minorEastAsia" w:hAnsiTheme="minorEastAsia" w:eastAsiaTheme="minorEastAsia"/>
                <w:sz w:val="18"/>
                <w:szCs w:val="18"/>
              </w:rPr>
            </w:pPr>
            <w:r>
              <w:rPr>
                <w:rFonts w:asciiTheme="minorEastAsia" w:hAnsiTheme="minorEastAsia" w:eastAsiaTheme="minorEastAsia"/>
                <w:sz w:val="18"/>
                <w:szCs w:val="18"/>
              </w:rPr>
              <w:t>预计不能收回</w:t>
            </w:r>
          </w:p>
        </w:tc>
      </w:tr>
      <w:tr w14:paraId="525E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7814C2FA">
            <w:pPr>
              <w:jc w:val="both"/>
              <w:rPr>
                <w:sz w:val="18"/>
                <w:szCs w:val="18"/>
              </w:rPr>
            </w:pPr>
            <w:r>
              <w:rPr>
                <w:sz w:val="18"/>
                <w:szCs w:val="18"/>
              </w:rPr>
              <w:t>其他</w:t>
            </w:r>
          </w:p>
        </w:tc>
        <w:tc>
          <w:tcPr>
            <w:tcW w:w="939" w:type="pct"/>
            <w:vAlign w:val="center"/>
          </w:tcPr>
          <w:p w14:paraId="3F5D8F9B">
            <w:pPr>
              <w:jc w:val="right"/>
              <w:rPr>
                <w:rFonts w:asciiTheme="minorEastAsia" w:hAnsiTheme="minorEastAsia" w:eastAsiaTheme="minorEastAsia"/>
                <w:sz w:val="18"/>
                <w:szCs w:val="18"/>
              </w:rPr>
            </w:pPr>
            <w:r>
              <w:rPr>
                <w:rFonts w:asciiTheme="minorEastAsia" w:hAnsiTheme="minorEastAsia" w:eastAsiaTheme="minorEastAsia"/>
                <w:sz w:val="18"/>
                <w:szCs w:val="18"/>
              </w:rPr>
              <w:t>47,929,256.47</w:t>
            </w:r>
          </w:p>
        </w:tc>
        <w:tc>
          <w:tcPr>
            <w:tcW w:w="940" w:type="pct"/>
            <w:vAlign w:val="center"/>
          </w:tcPr>
          <w:p w14:paraId="42C8CC7E">
            <w:pPr>
              <w:jc w:val="right"/>
              <w:rPr>
                <w:rFonts w:asciiTheme="minorEastAsia" w:hAnsiTheme="minorEastAsia" w:eastAsiaTheme="minorEastAsia"/>
                <w:sz w:val="18"/>
                <w:szCs w:val="18"/>
              </w:rPr>
            </w:pPr>
            <w:r>
              <w:rPr>
                <w:rFonts w:asciiTheme="minorEastAsia" w:hAnsiTheme="minorEastAsia" w:eastAsiaTheme="minorEastAsia"/>
                <w:sz w:val="18"/>
                <w:szCs w:val="18"/>
              </w:rPr>
              <w:t>43,883,465.30</w:t>
            </w:r>
          </w:p>
        </w:tc>
        <w:tc>
          <w:tcPr>
            <w:tcW w:w="939" w:type="pct"/>
            <w:vAlign w:val="center"/>
          </w:tcPr>
          <w:p w14:paraId="60DAF022">
            <w:pPr>
              <w:jc w:val="right"/>
              <w:rPr>
                <w:rFonts w:asciiTheme="minorEastAsia" w:hAnsiTheme="minorEastAsia" w:eastAsiaTheme="minorEastAsia"/>
                <w:sz w:val="18"/>
                <w:szCs w:val="18"/>
              </w:rPr>
            </w:pPr>
            <w:r>
              <w:rPr>
                <w:rFonts w:asciiTheme="minorEastAsia" w:hAnsiTheme="minorEastAsia" w:eastAsiaTheme="minorEastAsia"/>
                <w:sz w:val="18"/>
                <w:szCs w:val="18"/>
              </w:rPr>
              <w:t>91.56</w:t>
            </w:r>
          </w:p>
        </w:tc>
        <w:tc>
          <w:tcPr>
            <w:tcW w:w="1022" w:type="pct"/>
            <w:vAlign w:val="center"/>
          </w:tcPr>
          <w:p w14:paraId="3B610B2F">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预计</w:t>
            </w:r>
            <w:r>
              <w:rPr>
                <w:rFonts w:hint="eastAsia" w:asciiTheme="minorEastAsia" w:hAnsiTheme="minorEastAsia" w:eastAsiaTheme="minorEastAsia"/>
                <w:sz w:val="18"/>
                <w:szCs w:val="18"/>
                <w:lang w:val="en-US" w:eastAsia="zh-CN"/>
              </w:rPr>
              <w:t>部分</w:t>
            </w:r>
            <w:r>
              <w:rPr>
                <w:rFonts w:hint="eastAsia" w:asciiTheme="minorEastAsia" w:hAnsiTheme="minorEastAsia" w:eastAsiaTheme="minorEastAsia"/>
                <w:sz w:val="18"/>
                <w:szCs w:val="18"/>
              </w:rPr>
              <w:t>不能收回</w:t>
            </w:r>
          </w:p>
        </w:tc>
      </w:tr>
      <w:tr w14:paraId="3E5B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14:paraId="4E11916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合计</w:t>
            </w:r>
          </w:p>
        </w:tc>
        <w:tc>
          <w:tcPr>
            <w:tcW w:w="939" w:type="pct"/>
            <w:vAlign w:val="center"/>
          </w:tcPr>
          <w:p w14:paraId="11F2C4FB">
            <w:pPr>
              <w:jc w:val="right"/>
              <w:rPr>
                <w:rFonts w:asciiTheme="minorEastAsia" w:hAnsiTheme="minorEastAsia" w:eastAsiaTheme="minorEastAsia"/>
                <w:sz w:val="18"/>
                <w:szCs w:val="18"/>
              </w:rPr>
            </w:pPr>
            <w:r>
              <w:rPr>
                <w:rFonts w:asciiTheme="minorEastAsia" w:hAnsiTheme="minorEastAsia" w:eastAsiaTheme="minorEastAsia"/>
                <w:sz w:val="18"/>
                <w:szCs w:val="18"/>
              </w:rPr>
              <w:t>740,656,587.17</w:t>
            </w:r>
          </w:p>
        </w:tc>
        <w:tc>
          <w:tcPr>
            <w:tcW w:w="940" w:type="pct"/>
            <w:vAlign w:val="center"/>
          </w:tcPr>
          <w:p w14:paraId="0F6EFCDC">
            <w:pPr>
              <w:jc w:val="right"/>
              <w:rPr>
                <w:rFonts w:asciiTheme="minorEastAsia" w:hAnsiTheme="minorEastAsia" w:eastAsiaTheme="minorEastAsia"/>
                <w:sz w:val="18"/>
                <w:szCs w:val="18"/>
              </w:rPr>
            </w:pPr>
            <w:r>
              <w:rPr>
                <w:rFonts w:asciiTheme="minorEastAsia" w:hAnsiTheme="minorEastAsia" w:eastAsiaTheme="minorEastAsia"/>
                <w:sz w:val="18"/>
                <w:szCs w:val="18"/>
              </w:rPr>
              <w:t>618,899,699.39</w:t>
            </w:r>
          </w:p>
        </w:tc>
        <w:tc>
          <w:tcPr>
            <w:tcW w:w="939" w:type="pct"/>
            <w:vAlign w:val="center"/>
          </w:tcPr>
          <w:p w14:paraId="044793BA">
            <w:pPr>
              <w:jc w:val="right"/>
              <w:rPr>
                <w:rFonts w:asciiTheme="minorEastAsia" w:hAnsiTheme="minorEastAsia" w:eastAsiaTheme="minorEastAsia"/>
                <w:sz w:val="18"/>
                <w:szCs w:val="18"/>
              </w:rPr>
            </w:pPr>
            <w:r>
              <w:rPr>
                <w:rFonts w:asciiTheme="minorEastAsia" w:hAnsiTheme="minorEastAsia" w:eastAsiaTheme="minorEastAsia"/>
                <w:sz w:val="18"/>
                <w:szCs w:val="18"/>
              </w:rPr>
              <w:t>83.56</w:t>
            </w:r>
          </w:p>
        </w:tc>
        <w:tc>
          <w:tcPr>
            <w:tcW w:w="1022" w:type="pct"/>
            <w:vAlign w:val="center"/>
          </w:tcPr>
          <w:p w14:paraId="33563FB0">
            <w:pPr>
              <w:jc w:val="both"/>
              <w:rPr>
                <w:rFonts w:asciiTheme="minorEastAsia" w:hAnsiTheme="minorEastAsia" w:eastAsiaTheme="minorEastAsia"/>
                <w:color w:val="000000" w:themeColor="text1"/>
                <w:sz w:val="18"/>
                <w:szCs w:val="18"/>
                <w14:textFill>
                  <w14:solidFill>
                    <w14:schemeClr w14:val="tx1"/>
                  </w14:solidFill>
                </w14:textFill>
              </w:rPr>
            </w:pPr>
          </w:p>
        </w:tc>
      </w:tr>
    </w:tbl>
    <w:p w14:paraId="2893D00A"/>
    <w:p w14:paraId="7C4D5177">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应收账款说明[双击切换]"/>
        <w:tag w:val="_GBC_5058bdcf98524a1ba98e4618d094237d"/>
        <w:id w:val="139546951"/>
        <w:placeholder>
          <w:docPart w:val="GBC22222222222222222222222222222"/>
        </w:placeholder>
      </w:sdtPr>
      <w:sdtEndPr>
        <w:rPr>
          <w:color w:val="000000" w:themeColor="text1"/>
          <w14:textFill>
            <w14:solidFill>
              <w14:schemeClr w14:val="tx1"/>
            </w14:solidFill>
          </w14:textFill>
        </w:rPr>
      </w:sdtEndPr>
      <w:sdtContent>
        <w:p w14:paraId="53BE1C2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EBF3DA">
      <w:pPr>
        <w:rPr>
          <w:color w:val="000000" w:themeColor="text1"/>
          <w14:textFill>
            <w14:solidFill>
              <w14:schemeClr w14:val="tx1"/>
            </w14:solidFill>
          </w14:textFill>
        </w:rPr>
      </w:pPr>
    </w:p>
    <w:bookmarkEnd w:id="167"/>
    <w:p w14:paraId="2B61151B">
      <w:pPr>
        <w:rPr>
          <w:color w:val="000000" w:themeColor="text1"/>
          <w14:textFill>
            <w14:solidFill>
              <w14:schemeClr w14:val="tx1"/>
            </w14:solidFill>
          </w14:textFill>
        </w:rPr>
      </w:pPr>
      <w:bookmarkStart w:id="168" w:name="_Hlk10467225"/>
      <w:r>
        <w:rPr>
          <w:rFonts w:hint="eastAsia"/>
          <w:color w:val="000000" w:themeColor="text1"/>
          <w14:textFill>
            <w14:solidFill>
              <w14:schemeClr w14:val="tx1"/>
            </w14:solidFill>
          </w14:textFill>
        </w:rPr>
        <w:t>按组合计提坏账准备：</w:t>
      </w:r>
    </w:p>
    <w:sdt>
      <w:sdtPr>
        <w:rPr>
          <w:rFonts w:hint="eastAsia"/>
          <w:color w:val="000000" w:themeColor="text1"/>
          <w14:textFill>
            <w14:solidFill>
              <w14:schemeClr w14:val="tx1"/>
            </w14:solidFill>
          </w14:textFill>
        </w:rPr>
        <w:alias w:val="是否适用：按组合计提坏账准备的应收账款详细情况[双击切换]"/>
        <w:tag w:val="_GBC_47a07baa9a4f4c5ea6de193ae7b87e74"/>
        <w:id w:val="1962230324"/>
        <w:lock w:val="contentLocked"/>
        <w:placeholder>
          <w:docPart w:val="GBC22222222222222222222222222222"/>
        </w:placeholder>
      </w:sdtPr>
      <w:sdtEndPr>
        <w:rPr>
          <w:rFonts w:hint="eastAsia"/>
          <w:color w:val="000000" w:themeColor="text1"/>
          <w14:textFill>
            <w14:solidFill>
              <w14:schemeClr w14:val="tx1"/>
            </w14:solidFill>
          </w14:textFill>
        </w:rPr>
      </w:sdtEndPr>
      <w:sdtContent>
        <w:p w14:paraId="5A563B0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0C937D">
      <w:pPr>
        <w:rPr>
          <w:color w:val="000000" w:themeColor="text1"/>
          <w14:textFill>
            <w14:solidFill>
              <w14:schemeClr w14:val="tx1"/>
            </w14:solidFill>
          </w14:textFill>
        </w:rPr>
      </w:pPr>
      <w:bookmarkStart w:id="169" w:name="_Hlk533607573"/>
      <w:r>
        <w:rPr>
          <w:rFonts w:hint="eastAsia"/>
          <w:color w:val="000000" w:themeColor="text1"/>
          <w14:textFill>
            <w14:solidFill>
              <w14:schemeClr w14:val="tx1"/>
            </w14:solidFill>
          </w14:textFill>
        </w:rPr>
        <w:t>组合计提项目：</w:t>
      </w:r>
      <w:sdt>
        <w:sdtPr>
          <w:rPr>
            <w:rFonts w:hint="eastAsia"/>
            <w:color w:val="000000" w:themeColor="text1"/>
            <w14:textFill>
              <w14:solidFill>
                <w14:schemeClr w14:val="tx1"/>
              </w14:solidFill>
            </w14:textFill>
          </w:rPr>
          <w:alias w:val="按组合计提坏账准备的应收账款明细-组合名称"/>
          <w:tag w:val="_GBC_fec033684b6e412cabcd0e0ea1c6cb96"/>
          <w:id w:val="460086980"/>
          <w:placeholder>
            <w:docPart w:val="GBC22222222222222222222222222222"/>
          </w:placeholder>
          <w:comboBox>
            <w:listItem w:displayText="账龄组合" w:value="账龄组合"/>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账龄组合</w:t>
          </w:r>
        </w:sdtContent>
      </w:sdt>
    </w:p>
    <w:p w14:paraId="19973A88">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组合计提坏账准备的应收账款详细情况"/>
          <w:tag w:val="_GBC_ccac8c131a6748e699800a5f25e5efcf"/>
          <w:id w:val="-2814232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组合计提坏账准备的应收账款详细情况"/>
          <w:tag w:val="_GBC_f0296899749441bf8c33f5882df60a71"/>
          <w:id w:val="13336432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7"/>
        <w:gridCol w:w="2472"/>
        <w:gridCol w:w="2034"/>
        <w:gridCol w:w="2076"/>
      </w:tblGrid>
      <w:tr w14:paraId="47EC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31ca2a43a5247699c45fd6309aee7fd"/>
            <w:id w:val="216410285"/>
          </w:sdtPr>
          <w:sdtContent>
            <w:tc>
              <w:tcPr>
                <w:tcW w:w="1363" w:type="pct"/>
                <w:vMerge w:val="restart"/>
                <w:vAlign w:val="center"/>
              </w:tcPr>
              <w:p w14:paraId="4E27315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sdtContent>
        </w:sdt>
        <w:sdt>
          <w:sdtPr>
            <w:tag w:val="_PLD_271f4f470bff48e385b1a5d9080fde35"/>
            <w:id w:val="-860350498"/>
          </w:sdtPr>
          <w:sdtContent>
            <w:tc>
              <w:tcPr>
                <w:tcW w:w="3637" w:type="pct"/>
                <w:gridSpan w:val="3"/>
                <w:vAlign w:val="center"/>
              </w:tcPr>
              <w:p w14:paraId="3C2DCE3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38AA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Merge w:val="continue"/>
          </w:tcPr>
          <w:p w14:paraId="4B9449BC">
            <w:pPr>
              <w:jc w:val="center"/>
              <w:rPr>
                <w:color w:val="000000" w:themeColor="text1"/>
                <w14:textFill>
                  <w14:solidFill>
                    <w14:schemeClr w14:val="tx1"/>
                  </w14:solidFill>
                </w14:textFill>
              </w:rPr>
            </w:pPr>
          </w:p>
        </w:tc>
        <w:sdt>
          <w:sdtPr>
            <w:tag w:val="_PLD_e1c956de9b3b4544a5d0584eaaf6aea2"/>
            <w:id w:val="-255056481"/>
          </w:sdtPr>
          <w:sdtContent>
            <w:tc>
              <w:tcPr>
                <w:tcW w:w="1366" w:type="pct"/>
                <w:vAlign w:val="center"/>
              </w:tcPr>
              <w:p w14:paraId="35AEC59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0098acb8b7f640f29f65a14017e23f02"/>
            <w:id w:val="-1660223085"/>
          </w:sdtPr>
          <w:sdtContent>
            <w:tc>
              <w:tcPr>
                <w:tcW w:w="1124" w:type="pct"/>
                <w:vAlign w:val="center"/>
              </w:tcPr>
              <w:p w14:paraId="73A11DD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tc>
          </w:sdtContent>
        </w:sdt>
        <w:sdt>
          <w:sdtPr>
            <w:tag w:val="_PLD_290bbc3bde3c43c487996752ceb95160"/>
            <w:id w:val="-1390410202"/>
          </w:sdtPr>
          <w:sdtContent>
            <w:tc>
              <w:tcPr>
                <w:tcW w:w="1147" w:type="pct"/>
                <w:vAlign w:val="center"/>
              </w:tcPr>
              <w:p w14:paraId="5FAFE031">
                <w:pPr>
                  <w:jc w:val="center"/>
                  <w:rPr>
                    <w:color w:val="000000" w:themeColor="text1"/>
                    <w14:textFill>
                      <w14:solidFill>
                        <w14:schemeClr w14:val="tx1"/>
                      </w14:solidFill>
                    </w14:textFill>
                  </w:rPr>
                </w:pPr>
                <w:r>
                  <w:rPr>
                    <w:color w:val="000000" w:themeColor="text1"/>
                    <w14:textFill>
                      <w14:solidFill>
                        <w14:schemeClr w14:val="tx1"/>
                      </w14:solidFill>
                    </w14:textFill>
                  </w:rPr>
                  <w:t>计提比例</w:t>
                </w:r>
                <w:r>
                  <w:rPr>
                    <w:rFonts w:hint="eastAsia"/>
                    <w:color w:val="000000" w:themeColor="text1"/>
                    <w14:textFill>
                      <w14:solidFill>
                        <w14:schemeClr w14:val="tx1"/>
                      </w14:solidFill>
                    </w14:textFill>
                  </w:rPr>
                  <w:t>（%）</w:t>
                </w:r>
              </w:p>
            </w:tc>
          </w:sdtContent>
        </w:sdt>
      </w:tr>
      <w:tr w14:paraId="7177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2FE6CA32">
            <w:pPr>
              <w:jc w:val="both"/>
            </w:pPr>
            <w:r>
              <w:t>0-6个月（含6个月）</w:t>
            </w:r>
          </w:p>
        </w:tc>
        <w:tc>
          <w:tcPr>
            <w:tcW w:w="1366" w:type="pct"/>
            <w:vAlign w:val="center"/>
          </w:tcPr>
          <w:p w14:paraId="1EA030B1">
            <w:pPr>
              <w:jc w:val="right"/>
            </w:pPr>
            <w:r>
              <w:t>1,025,682,997.65</w:t>
            </w:r>
          </w:p>
        </w:tc>
        <w:tc>
          <w:tcPr>
            <w:tcW w:w="1124" w:type="pct"/>
            <w:vAlign w:val="center"/>
          </w:tcPr>
          <w:p w14:paraId="55366353">
            <w:pPr>
              <w:jc w:val="right"/>
            </w:pPr>
          </w:p>
        </w:tc>
        <w:tc>
          <w:tcPr>
            <w:tcW w:w="1147" w:type="pct"/>
            <w:vAlign w:val="center"/>
          </w:tcPr>
          <w:p w14:paraId="77A6C950">
            <w:pPr>
              <w:jc w:val="right"/>
            </w:pPr>
          </w:p>
        </w:tc>
      </w:tr>
      <w:tr w14:paraId="5624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71575F5F">
            <w:pPr>
              <w:jc w:val="both"/>
            </w:pPr>
            <w:r>
              <w:t>7-12个月（含12个月）</w:t>
            </w:r>
          </w:p>
        </w:tc>
        <w:tc>
          <w:tcPr>
            <w:tcW w:w="1366" w:type="pct"/>
            <w:vAlign w:val="center"/>
          </w:tcPr>
          <w:p w14:paraId="3B4452B9">
            <w:pPr>
              <w:jc w:val="right"/>
            </w:pPr>
            <w:r>
              <w:t>56,813,306.70</w:t>
            </w:r>
          </w:p>
        </w:tc>
        <w:tc>
          <w:tcPr>
            <w:tcW w:w="1124" w:type="pct"/>
            <w:vAlign w:val="center"/>
          </w:tcPr>
          <w:p w14:paraId="0F1BF835">
            <w:pPr>
              <w:jc w:val="right"/>
            </w:pPr>
            <w:r>
              <w:t>2,840,665.34</w:t>
            </w:r>
          </w:p>
        </w:tc>
        <w:tc>
          <w:tcPr>
            <w:tcW w:w="1147" w:type="pct"/>
            <w:vAlign w:val="center"/>
          </w:tcPr>
          <w:p w14:paraId="6695021C">
            <w:pPr>
              <w:jc w:val="right"/>
            </w:pPr>
            <w:r>
              <w:t>5.00</w:t>
            </w:r>
          </w:p>
        </w:tc>
      </w:tr>
      <w:tr w14:paraId="210A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0FB518B4">
            <w:pPr>
              <w:jc w:val="both"/>
            </w:pPr>
            <w:r>
              <w:t>1-2年（含2年）</w:t>
            </w:r>
          </w:p>
        </w:tc>
        <w:tc>
          <w:tcPr>
            <w:tcW w:w="1366" w:type="pct"/>
            <w:vAlign w:val="center"/>
          </w:tcPr>
          <w:p w14:paraId="331A4C03">
            <w:pPr>
              <w:jc w:val="right"/>
            </w:pPr>
            <w:r>
              <w:t>61,263,784.46</w:t>
            </w:r>
          </w:p>
        </w:tc>
        <w:tc>
          <w:tcPr>
            <w:tcW w:w="1124" w:type="pct"/>
            <w:vAlign w:val="center"/>
          </w:tcPr>
          <w:p w14:paraId="48F47BD9">
            <w:pPr>
              <w:jc w:val="right"/>
            </w:pPr>
            <w:r>
              <w:t>6,126,378.45</w:t>
            </w:r>
          </w:p>
        </w:tc>
        <w:tc>
          <w:tcPr>
            <w:tcW w:w="1147" w:type="pct"/>
            <w:vAlign w:val="center"/>
          </w:tcPr>
          <w:p w14:paraId="4762B238">
            <w:pPr>
              <w:jc w:val="right"/>
            </w:pPr>
            <w:r>
              <w:t>10.00</w:t>
            </w:r>
          </w:p>
        </w:tc>
      </w:tr>
      <w:tr w14:paraId="3AE7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751C3746">
            <w:pPr>
              <w:jc w:val="both"/>
            </w:pPr>
            <w:r>
              <w:t>2-3年（含3年）</w:t>
            </w:r>
          </w:p>
        </w:tc>
        <w:tc>
          <w:tcPr>
            <w:tcW w:w="1366" w:type="pct"/>
            <w:vAlign w:val="center"/>
          </w:tcPr>
          <w:p w14:paraId="52F5F1EB">
            <w:pPr>
              <w:jc w:val="right"/>
            </w:pPr>
            <w:r>
              <w:t>4,722,224.86</w:t>
            </w:r>
          </w:p>
        </w:tc>
        <w:tc>
          <w:tcPr>
            <w:tcW w:w="1124" w:type="pct"/>
            <w:vAlign w:val="center"/>
          </w:tcPr>
          <w:p w14:paraId="47EA4FC4">
            <w:pPr>
              <w:jc w:val="right"/>
            </w:pPr>
            <w:r>
              <w:t>1,416,667.46</w:t>
            </w:r>
          </w:p>
        </w:tc>
        <w:tc>
          <w:tcPr>
            <w:tcW w:w="1147" w:type="pct"/>
            <w:vAlign w:val="center"/>
          </w:tcPr>
          <w:p w14:paraId="63C04988">
            <w:pPr>
              <w:jc w:val="right"/>
            </w:pPr>
            <w:r>
              <w:t>30.00</w:t>
            </w:r>
          </w:p>
        </w:tc>
      </w:tr>
      <w:tr w14:paraId="089D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5DAF58ED">
            <w:pPr>
              <w:jc w:val="both"/>
            </w:pPr>
            <w:r>
              <w:t>3-4年（含4年）</w:t>
            </w:r>
          </w:p>
        </w:tc>
        <w:tc>
          <w:tcPr>
            <w:tcW w:w="1366" w:type="pct"/>
            <w:vAlign w:val="center"/>
          </w:tcPr>
          <w:p w14:paraId="4F4FC4AC">
            <w:pPr>
              <w:jc w:val="right"/>
            </w:pPr>
            <w:r>
              <w:t>6,035,885.50</w:t>
            </w:r>
          </w:p>
        </w:tc>
        <w:tc>
          <w:tcPr>
            <w:tcW w:w="1124" w:type="pct"/>
            <w:vAlign w:val="center"/>
          </w:tcPr>
          <w:p w14:paraId="2C2EC937">
            <w:pPr>
              <w:jc w:val="right"/>
            </w:pPr>
            <w:r>
              <w:t>3,017,942.76</w:t>
            </w:r>
          </w:p>
        </w:tc>
        <w:tc>
          <w:tcPr>
            <w:tcW w:w="1147" w:type="pct"/>
            <w:vAlign w:val="center"/>
          </w:tcPr>
          <w:p w14:paraId="3AA72866">
            <w:pPr>
              <w:jc w:val="right"/>
            </w:pPr>
            <w:r>
              <w:t>50.00</w:t>
            </w:r>
          </w:p>
        </w:tc>
      </w:tr>
      <w:tr w14:paraId="3092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1114A1B1">
            <w:pPr>
              <w:jc w:val="both"/>
            </w:pPr>
            <w:r>
              <w:t>4-5年（含5年）</w:t>
            </w:r>
          </w:p>
        </w:tc>
        <w:tc>
          <w:tcPr>
            <w:tcW w:w="1366" w:type="pct"/>
            <w:vAlign w:val="center"/>
          </w:tcPr>
          <w:p w14:paraId="182F7E9D">
            <w:pPr>
              <w:jc w:val="right"/>
            </w:pPr>
            <w:r>
              <w:t>3,370,554.88</w:t>
            </w:r>
          </w:p>
        </w:tc>
        <w:tc>
          <w:tcPr>
            <w:tcW w:w="1124" w:type="pct"/>
            <w:vAlign w:val="center"/>
          </w:tcPr>
          <w:p w14:paraId="751BF7B4">
            <w:pPr>
              <w:jc w:val="right"/>
            </w:pPr>
            <w:r>
              <w:t>2,696,443.92</w:t>
            </w:r>
          </w:p>
        </w:tc>
        <w:tc>
          <w:tcPr>
            <w:tcW w:w="1147" w:type="pct"/>
            <w:vAlign w:val="center"/>
          </w:tcPr>
          <w:p w14:paraId="5C892CB8">
            <w:pPr>
              <w:jc w:val="right"/>
            </w:pPr>
            <w:r>
              <w:t>80.00</w:t>
            </w:r>
          </w:p>
        </w:tc>
      </w:tr>
      <w:tr w14:paraId="3708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501769E8">
            <w:pPr>
              <w:jc w:val="both"/>
            </w:pPr>
            <w:r>
              <w:t>5年以上</w:t>
            </w:r>
          </w:p>
        </w:tc>
        <w:tc>
          <w:tcPr>
            <w:tcW w:w="1366" w:type="pct"/>
            <w:vAlign w:val="center"/>
          </w:tcPr>
          <w:p w14:paraId="56C9BE18">
            <w:pPr>
              <w:jc w:val="right"/>
            </w:pPr>
            <w:r>
              <w:t>38,427,969.71</w:t>
            </w:r>
          </w:p>
        </w:tc>
        <w:tc>
          <w:tcPr>
            <w:tcW w:w="1124" w:type="pct"/>
            <w:vAlign w:val="center"/>
          </w:tcPr>
          <w:p w14:paraId="6F9ED21B">
            <w:pPr>
              <w:jc w:val="right"/>
            </w:pPr>
            <w:r>
              <w:t>38,427,969.71</w:t>
            </w:r>
          </w:p>
        </w:tc>
        <w:tc>
          <w:tcPr>
            <w:tcW w:w="1147" w:type="pct"/>
            <w:vAlign w:val="center"/>
          </w:tcPr>
          <w:p w14:paraId="15A28E09">
            <w:pPr>
              <w:jc w:val="right"/>
            </w:pPr>
            <w:r>
              <w:t>100.00</w:t>
            </w:r>
          </w:p>
        </w:tc>
      </w:tr>
      <w:tr w14:paraId="4A4B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426DE26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66" w:type="pct"/>
            <w:vAlign w:val="center"/>
          </w:tcPr>
          <w:p w14:paraId="5FA917F4">
            <w:pPr>
              <w:jc w:val="right"/>
            </w:pPr>
            <w:r>
              <w:t>1,196,316,723.76</w:t>
            </w:r>
          </w:p>
        </w:tc>
        <w:tc>
          <w:tcPr>
            <w:tcW w:w="1124" w:type="pct"/>
            <w:vAlign w:val="center"/>
          </w:tcPr>
          <w:p w14:paraId="06D52213">
            <w:pPr>
              <w:jc w:val="right"/>
            </w:pPr>
            <w:r>
              <w:t>54,526,067.64</w:t>
            </w:r>
          </w:p>
        </w:tc>
        <w:tc>
          <w:tcPr>
            <w:tcW w:w="1147" w:type="pct"/>
            <w:vAlign w:val="center"/>
          </w:tcPr>
          <w:p w14:paraId="10C20120">
            <w:pPr>
              <w:jc w:val="right"/>
            </w:pPr>
            <w:r>
              <w:t>4.56</w:t>
            </w:r>
          </w:p>
        </w:tc>
      </w:tr>
    </w:tbl>
    <w:p w14:paraId="429EC326"/>
    <w:p w14:paraId="6495CFAB">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按组合计提坏账准备的说明：</w:t>
      </w:r>
    </w:p>
    <w:sdt>
      <w:sdtPr>
        <w:rPr>
          <w:color w:val="000000" w:themeColor="text1"/>
          <w14:textFill>
            <w14:solidFill>
              <w14:schemeClr w14:val="tx1"/>
            </w14:solidFill>
          </w14:textFill>
        </w:rPr>
        <w:alias w:val="是否适用：按组合计提坏账准备的应收账款确认标准[双击切换]"/>
        <w:tag w:val="_GBC_8361cfeb973b4073b7fdbd49a393b38c"/>
        <w:id w:val="980500745"/>
        <w:placeholder>
          <w:docPart w:val="GBC22222222222222222222222222222"/>
        </w:placeholder>
      </w:sdtPr>
      <w:sdtEndPr>
        <w:rPr>
          <w:color w:val="000000" w:themeColor="text1"/>
          <w14:textFill>
            <w14:solidFill>
              <w14:schemeClr w14:val="tx1"/>
            </w14:solidFill>
          </w14:textFill>
        </w:rPr>
      </w:sdtEndPr>
      <w:sdtContent>
        <w:p w14:paraId="66B0DFC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9FFA50">
      <w:pPr>
        <w:rPr>
          <w:color w:val="000000" w:themeColor="text1"/>
          <w14:textFill>
            <w14:solidFill>
              <w14:schemeClr w14:val="tx1"/>
            </w14:solidFill>
          </w14:textFill>
        </w:rPr>
      </w:pPr>
    </w:p>
    <w:bookmarkEnd w:id="168"/>
    <w:bookmarkEnd w:id="169"/>
    <w:p w14:paraId="67266159">
      <w:pPr>
        <w:rPr>
          <w:rFonts w:cstheme="minorBidi"/>
          <w:bCs/>
          <w:color w:val="000000" w:themeColor="text1"/>
          <w:szCs w:val="22"/>
          <w14:textFill>
            <w14:solidFill>
              <w14:schemeClr w14:val="tx1"/>
            </w14:solidFill>
          </w14:textFill>
        </w:rPr>
      </w:pPr>
      <w:bookmarkStart w:id="170" w:name="_Hlk154134618"/>
      <w:bookmarkStart w:id="171" w:name="_Hlk167885281"/>
      <w:bookmarkStart w:id="172" w:name="_Hlk153357523"/>
      <w:r>
        <w:rPr>
          <w:rFonts w:hint="eastAsia" w:cstheme="minorBidi"/>
          <w:color w:val="000000" w:themeColor="text1"/>
          <w:szCs w:val="22"/>
          <w14:textFill>
            <w14:solidFill>
              <w14:schemeClr w14:val="tx1"/>
            </w14:solidFill>
          </w14:textFill>
        </w:rPr>
        <w:t>按预期信用损失一般模型计提坏账准备</w:t>
      </w:r>
    </w:p>
    <w:sdt>
      <w:sdtPr>
        <w:rPr>
          <w:rFonts w:cstheme="minorBidi"/>
          <w:bCs/>
          <w:color w:val="000000" w:themeColor="text1"/>
          <w:szCs w:val="22"/>
          <w14:textFill>
            <w14:solidFill>
              <w14:schemeClr w14:val="tx1"/>
            </w14:solidFill>
          </w14:textFill>
        </w:rPr>
        <w:alias w:val="是否适用：按预期信用损失一般模型计提坏账准备[双击切换]"/>
        <w:tag w:val="_GBC_1d19b1b69e8344f18b14e15d329edea7"/>
        <w:id w:val="935489211"/>
        <w:placeholder>
          <w:docPart w:val="GBC22222222222222222222222222222"/>
        </w:placeholder>
      </w:sdtPr>
      <w:sdtEndPr>
        <w:rPr>
          <w:rFonts w:cstheme="minorBidi"/>
          <w:bCs/>
          <w:color w:val="000000" w:themeColor="text1"/>
          <w:szCs w:val="22"/>
          <w14:textFill>
            <w14:solidFill>
              <w14:schemeClr w14:val="tx1"/>
            </w14:solidFill>
          </w14:textFill>
        </w:rPr>
      </w:sdtEndPr>
      <w:sdtContent>
        <w:p w14:paraId="2C78056D">
          <w:pPr>
            <w:rPr>
              <w:rFonts w:cstheme="minorBidi"/>
              <w:bCs/>
              <w:color w:val="000000" w:themeColor="text1"/>
              <w:szCs w:val="22"/>
              <w14:textFill>
                <w14:solidFill>
                  <w14:schemeClr w14:val="tx1"/>
                </w14:solidFill>
              </w14:textFill>
            </w:rPr>
          </w:pP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color w:val="000000" w:themeColor="text1"/>
              <w:szCs w:val="22"/>
              <w14:textFill>
                <w14:solidFill>
                  <w14:schemeClr w14:val="tx1"/>
                </w14:solidFill>
              </w14:textFill>
            </w:rPr>
            <w:fldChar w:fldCharType="end"/>
          </w: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color w:val="000000" w:themeColor="text1"/>
              <w:szCs w:val="22"/>
              <w14:textFill>
                <w14:solidFill>
                  <w14:schemeClr w14:val="tx1"/>
                </w14:solidFill>
              </w14:textFill>
            </w:rPr>
            <w:fldChar w:fldCharType="end"/>
          </w:r>
        </w:p>
      </w:sdtContent>
    </w:sdt>
    <w:p w14:paraId="7F28FC6B">
      <w:pPr>
        <w:rPr>
          <w:color w:val="000000" w:themeColor="text1"/>
          <w14:textFill>
            <w14:solidFill>
              <w14:schemeClr w14:val="tx1"/>
            </w14:solidFill>
          </w14:textFill>
        </w:rPr>
      </w:pPr>
    </w:p>
    <w:p w14:paraId="1BF72575">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color w:val="000000" w:themeColor="text1"/>
          <w:szCs w:val="22"/>
          <w14:textFill>
            <w14:solidFill>
              <w14:schemeClr w14:val="tx1"/>
            </w14:solidFill>
          </w14:textFill>
        </w:rPr>
        <w:alias w:val="各阶段划分依据和坏账准备计提比例"/>
        <w:tag w:val="_GBC_d8e8411c0a8c4c56aa732db88b5aee2e"/>
        <w:id w:val="1166292614"/>
        <w:placeholder>
          <w:docPart w:val="GBC22222222222222222222222222222"/>
        </w:placeholder>
      </w:sdtPr>
      <w:sdtEndPr>
        <w:rPr>
          <w:rFonts w:cs="Times New Roman"/>
          <w:bCs/>
          <w:color w:val="000000" w:themeColor="text1"/>
          <w:szCs w:val="22"/>
          <w14:textFill>
            <w14:solidFill>
              <w14:schemeClr w14:val="tx1"/>
            </w14:solidFill>
          </w14:textFill>
        </w:rPr>
      </w:sdtEndPr>
      <w:sdtContent>
        <w:p w14:paraId="68D7EB3E">
          <w:pPr>
            <w:rPr>
              <w:rFonts w:cs="Times New Roman"/>
              <w:bCs/>
              <w:color w:val="000000" w:themeColor="text1"/>
              <w:szCs w:val="22"/>
              <w14:textFill>
                <w14:solidFill>
                  <w14:schemeClr w14:val="tx1"/>
                </w14:solidFill>
              </w14:textFill>
            </w:rPr>
          </w:pPr>
          <w:r>
            <w:rPr>
              <w:rFonts w:hint="eastAsia" w:cs="Times New Roman"/>
              <w:bCs/>
              <w:color w:val="000000" w:themeColor="text1"/>
              <w:szCs w:val="22"/>
              <w14:textFill>
                <w14:solidFill>
                  <w14:schemeClr w14:val="tx1"/>
                </w14:solidFill>
              </w14:textFill>
            </w:rPr>
            <w:t>无</w:t>
          </w:r>
        </w:p>
      </w:sdtContent>
    </w:sdt>
    <w:p w14:paraId="23831D5B">
      <w:pPr>
        <w:rPr>
          <w:rFonts w:asciiTheme="minorHAnsi" w:hAnsiTheme="minorHAnsi" w:cstheme="minorBidi"/>
          <w:b/>
          <w:bCs/>
          <w:color w:val="000000" w:themeColor="text1"/>
          <w:szCs w:val="22"/>
          <w14:textFill>
            <w14:solidFill>
              <w14:schemeClr w14:val="tx1"/>
            </w14:solidFill>
          </w14:textFill>
        </w:rPr>
      </w:pPr>
    </w:p>
    <w:p w14:paraId="10A59685">
      <w:pPr>
        <w:pStyle w:val="73"/>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对本期发生损失准备变动的应收账款账面余额显著变动的情况说明：</w:t>
      </w:r>
    </w:p>
    <w:sdt>
      <w:sdtPr>
        <w:rPr>
          <w:color w:val="000000" w:themeColor="text1"/>
          <w14:textFill>
            <w14:solidFill>
              <w14:schemeClr w14:val="tx1"/>
            </w14:solidFill>
          </w14:textFill>
        </w:rPr>
        <w:alias w:val="是否适用：对本期发生损失准备变动的账面余额显著变动的情况说明[双击切换]"/>
        <w:tag w:val="_GBC_69f0a67a74b04da0bfa388cc3243da42"/>
        <w:id w:val="196974817"/>
        <w:placeholder>
          <w:docPart w:val="GBC22222222222222222222222222222"/>
        </w:placeholder>
      </w:sdtPr>
      <w:sdtEndPr>
        <w:rPr>
          <w:color w:val="000000" w:themeColor="text1"/>
          <w14:textFill>
            <w14:solidFill>
              <w14:schemeClr w14:val="tx1"/>
            </w14:solidFill>
          </w14:textFill>
        </w:rPr>
      </w:sdtEndPr>
      <w:sdtContent>
        <w:p w14:paraId="75E39987">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04DEAD">
      <w:pPr>
        <w:rPr>
          <w:rFonts w:asciiTheme="minorHAnsi" w:hAnsiTheme="minorHAnsi" w:cstheme="minorBidi"/>
          <w:b/>
          <w:bCs/>
          <w:color w:val="000000" w:themeColor="text1"/>
          <w:szCs w:val="22"/>
          <w14:textFill>
            <w14:solidFill>
              <w14:schemeClr w14:val="tx1"/>
            </w14:solidFill>
          </w14:textFill>
        </w:rPr>
      </w:pPr>
    </w:p>
    <w:bookmarkEnd w:id="170"/>
    <w:bookmarkEnd w:id="171"/>
    <w:bookmarkEnd w:id="172"/>
    <w:p w14:paraId="034EC1B5">
      <w:pPr>
        <w:pStyle w:val="5"/>
        <w:numPr>
          <w:ilvl w:val="3"/>
          <w:numId w:val="43"/>
        </w:numPr>
        <w:ind w:left="426" w:hanging="426"/>
        <w:rPr>
          <w:color w:val="000000" w:themeColor="text1"/>
          <w14:textFill>
            <w14:solidFill>
              <w14:schemeClr w14:val="tx1"/>
            </w14:solidFill>
          </w14:textFill>
        </w:rPr>
      </w:pPr>
      <w:bookmarkStart w:id="173" w:name="_Hlk10467433"/>
      <w:r>
        <w:rPr>
          <w:rFonts w:hint="eastAsia"/>
          <w:color w:val="000000" w:themeColor="text1"/>
          <w14:textFill>
            <w14:solidFill>
              <w14:schemeClr w14:val="tx1"/>
            </w14:solidFill>
          </w14:textFill>
        </w:rPr>
        <w:t>坏账准备的情况</w:t>
      </w:r>
    </w:p>
    <w:sdt>
      <w:sdtPr>
        <w:rPr>
          <w:color w:val="000000" w:themeColor="text1"/>
          <w14:textFill>
            <w14:solidFill>
              <w14:schemeClr w14:val="tx1"/>
            </w14:solidFill>
          </w14:textFill>
        </w:rPr>
        <w:alias w:val="是否适用：应收账款坏账准备[双击切换]"/>
        <w:tag w:val="_GBC_fb482eb90dbc45c4a6420c45e8a46012"/>
        <w:id w:val="1293488289"/>
        <w:placeholder>
          <w:docPart w:val="GBC22222222222222222222222222222"/>
        </w:placeholder>
      </w:sdtPr>
      <w:sdtEndPr>
        <w:rPr>
          <w:color w:val="000000" w:themeColor="text1"/>
          <w14:textFill>
            <w14:solidFill>
              <w14:schemeClr w14:val="tx1"/>
            </w14:solidFill>
          </w14:textFill>
        </w:rPr>
      </w:sdtEndPr>
      <w:sdtContent>
        <w:p w14:paraId="48E4211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9A64FE">
      <w:pPr>
        <w:pStyle w:val="68"/>
        <w:snapToGrid w:val="0"/>
        <w:spacing w:line="240" w:lineRule="atLeast"/>
        <w:ind w:left="42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应收账款坏账准备"/>
          <w:tag w:val="_GBC_f681542ff42f497c9ed44328f301413f"/>
          <w:id w:val="9196854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应收账款坏账准备"/>
          <w:tag w:val="_GBC_79f82daaad1749fbb117cea0941b8667"/>
          <w:id w:val="18206899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bookmarkEnd w:id="173"/>
    <w:tbl>
      <w:tblPr>
        <w:tblStyle w:val="37"/>
        <w:tblW w:w="50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941"/>
        <w:gridCol w:w="1497"/>
        <w:gridCol w:w="1282"/>
        <w:gridCol w:w="1282"/>
        <w:gridCol w:w="1497"/>
        <w:gridCol w:w="1210"/>
        <w:gridCol w:w="1497"/>
      </w:tblGrid>
      <w:tr w14:paraId="2DD8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8"/>
              <w:szCs w:val="18"/>
            </w:rPr>
            <w:tag w:val="_PLD_82b0419f5c784cbe8b363ff715cfd4eb"/>
            <w:id w:val="-1166466030"/>
          </w:sdtPr>
          <w:sdtEndPr>
            <w:rPr>
              <w:sz w:val="18"/>
              <w:szCs w:val="18"/>
            </w:rPr>
          </w:sdtEndPr>
          <w:sdtContent>
            <w:tc>
              <w:tcPr>
                <w:tcW w:w="511" w:type="pct"/>
                <w:vMerge w:val="restart"/>
                <w:shd w:val="clear" w:color="auto" w:fill="FFFFFF"/>
                <w:vAlign w:val="center"/>
              </w:tcPr>
              <w:p w14:paraId="690AEC1E">
                <w:pPr>
                  <w:jc w:val="center"/>
                  <w:rPr>
                    <w:color w:val="000000" w:themeColor="text1"/>
                    <w:sz w:val="18"/>
                    <w:szCs w:val="18"/>
                    <w14:textFill>
                      <w14:solidFill>
                        <w14:schemeClr w14:val="tx1"/>
                      </w14:solidFill>
                    </w14:textFill>
                  </w:rPr>
                </w:pPr>
                <w:bookmarkStart w:id="174" w:name="_Hlk167885446"/>
                <w:r>
                  <w:rPr>
                    <w:color w:val="000000" w:themeColor="text1"/>
                    <w:sz w:val="18"/>
                    <w:szCs w:val="18"/>
                    <w14:textFill>
                      <w14:solidFill>
                        <w14:schemeClr w14:val="tx1"/>
                      </w14:solidFill>
                    </w14:textFill>
                  </w:rPr>
                  <w:t>类别</w:t>
                </w:r>
              </w:p>
            </w:tc>
          </w:sdtContent>
        </w:sdt>
        <w:sdt>
          <w:sdtPr>
            <w:rPr>
              <w:sz w:val="18"/>
              <w:szCs w:val="18"/>
            </w:rPr>
            <w:tag w:val="_PLD_6cba2c33cb334541980e3e13a6ee357d"/>
            <w:id w:val="194505452"/>
          </w:sdtPr>
          <w:sdtEndPr>
            <w:rPr>
              <w:sz w:val="18"/>
              <w:szCs w:val="18"/>
            </w:rPr>
          </w:sdtEndPr>
          <w:sdtContent>
            <w:tc>
              <w:tcPr>
                <w:tcW w:w="813" w:type="pct"/>
                <w:vMerge w:val="restart"/>
                <w:shd w:val="clear" w:color="auto" w:fill="FFFFFF"/>
                <w:vAlign w:val="center"/>
              </w:tcPr>
              <w:p w14:paraId="5454333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期初余额</w:t>
                </w:r>
              </w:p>
            </w:tc>
          </w:sdtContent>
        </w:sdt>
        <w:sdt>
          <w:sdtPr>
            <w:rPr>
              <w:sz w:val="18"/>
              <w:szCs w:val="18"/>
            </w:rPr>
            <w:tag w:val="_PLD_ec3d2e2cde2a4ba29c966861f9ca39c7"/>
            <w:id w:val="-559546164"/>
          </w:sdtPr>
          <w:sdtEndPr>
            <w:rPr>
              <w:sz w:val="18"/>
              <w:szCs w:val="18"/>
            </w:rPr>
          </w:sdtEndPr>
          <w:sdtContent>
            <w:tc>
              <w:tcPr>
                <w:tcW w:w="2862" w:type="pct"/>
                <w:gridSpan w:val="4"/>
                <w:shd w:val="clear" w:color="auto" w:fill="FFFFFF"/>
                <w:vAlign w:val="center"/>
              </w:tcPr>
              <w:p w14:paraId="2C032C1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本期变动</w:t>
                </w:r>
                <w:r>
                  <w:rPr>
                    <w:color w:val="000000" w:themeColor="text1"/>
                    <w:sz w:val="18"/>
                    <w:szCs w:val="18"/>
                    <w14:textFill>
                      <w14:solidFill>
                        <w14:schemeClr w14:val="tx1"/>
                      </w14:solidFill>
                    </w14:textFill>
                  </w:rPr>
                  <w:t>金额</w:t>
                </w:r>
              </w:p>
            </w:tc>
          </w:sdtContent>
        </w:sdt>
        <w:sdt>
          <w:sdtPr>
            <w:rPr>
              <w:sz w:val="18"/>
              <w:szCs w:val="18"/>
            </w:rPr>
            <w:tag w:val="_PLD_9c167d6d72f94e22aecc39ba0e735a78"/>
            <w:id w:val="-873771918"/>
          </w:sdtPr>
          <w:sdtEndPr>
            <w:rPr>
              <w:sz w:val="18"/>
              <w:szCs w:val="18"/>
            </w:rPr>
          </w:sdtEndPr>
          <w:sdtContent>
            <w:tc>
              <w:tcPr>
                <w:tcW w:w="813" w:type="pct"/>
                <w:vMerge w:val="restart"/>
                <w:shd w:val="clear" w:color="auto" w:fill="FFFFFF"/>
                <w:vAlign w:val="center"/>
              </w:tcPr>
              <w:p w14:paraId="35F22E7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期末余额</w:t>
                </w:r>
              </w:p>
            </w:tc>
          </w:sdtContent>
        </w:sdt>
      </w:tr>
      <w:tr w14:paraId="7796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11" w:type="pct"/>
            <w:vMerge w:val="continue"/>
            <w:shd w:val="clear" w:color="auto" w:fill="FFFFFF"/>
          </w:tcPr>
          <w:p w14:paraId="00222530">
            <w:pPr>
              <w:jc w:val="center"/>
              <w:rPr>
                <w:color w:val="000000" w:themeColor="text1"/>
                <w:sz w:val="18"/>
                <w:szCs w:val="18"/>
                <w14:textFill>
                  <w14:solidFill>
                    <w14:schemeClr w14:val="tx1"/>
                  </w14:solidFill>
                </w14:textFill>
              </w:rPr>
            </w:pPr>
          </w:p>
        </w:tc>
        <w:tc>
          <w:tcPr>
            <w:tcW w:w="813" w:type="pct"/>
            <w:vMerge w:val="continue"/>
            <w:shd w:val="clear" w:color="auto" w:fill="FFFFFF"/>
          </w:tcPr>
          <w:p w14:paraId="130ABFAD">
            <w:pPr>
              <w:jc w:val="center"/>
              <w:rPr>
                <w:color w:val="000000" w:themeColor="text1"/>
                <w:sz w:val="18"/>
                <w:szCs w:val="18"/>
                <w14:textFill>
                  <w14:solidFill>
                    <w14:schemeClr w14:val="tx1"/>
                  </w14:solidFill>
                </w14:textFill>
              </w:rPr>
            </w:pPr>
          </w:p>
        </w:tc>
        <w:sdt>
          <w:sdtPr>
            <w:rPr>
              <w:sz w:val="18"/>
              <w:szCs w:val="18"/>
            </w:rPr>
            <w:tag w:val="_PLD_6cba23a5661e46c88bed469159b39a72"/>
            <w:id w:val="-206339897"/>
          </w:sdtPr>
          <w:sdtEndPr>
            <w:rPr>
              <w:sz w:val="18"/>
              <w:szCs w:val="18"/>
            </w:rPr>
          </w:sdtEndPr>
          <w:sdtContent>
            <w:tc>
              <w:tcPr>
                <w:tcW w:w="696" w:type="pct"/>
                <w:shd w:val="clear" w:color="auto" w:fill="FFFFFF"/>
                <w:vAlign w:val="center"/>
              </w:tcPr>
              <w:p w14:paraId="2091C38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计提</w:t>
                </w:r>
              </w:p>
            </w:tc>
          </w:sdtContent>
        </w:sdt>
        <w:sdt>
          <w:sdtPr>
            <w:rPr>
              <w:sz w:val="18"/>
              <w:szCs w:val="18"/>
            </w:rPr>
            <w:tag w:val="_PLD_eaa82901608843c6947a0e537e8e0700"/>
            <w:id w:val="-1583448308"/>
          </w:sdtPr>
          <w:sdtEndPr>
            <w:rPr>
              <w:sz w:val="18"/>
              <w:szCs w:val="18"/>
            </w:rPr>
          </w:sdtEndPr>
          <w:sdtContent>
            <w:tc>
              <w:tcPr>
                <w:tcW w:w="696" w:type="pct"/>
                <w:shd w:val="clear" w:color="auto" w:fill="FFFFFF"/>
                <w:vAlign w:val="center"/>
              </w:tcPr>
              <w:p w14:paraId="6021163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收回或转回</w:t>
                </w:r>
              </w:p>
            </w:tc>
          </w:sdtContent>
        </w:sdt>
        <w:tc>
          <w:tcPr>
            <w:tcW w:w="813" w:type="pct"/>
            <w:shd w:val="clear" w:color="auto" w:fill="FFFFFF"/>
            <w:vAlign w:val="center"/>
          </w:tcPr>
          <w:sdt>
            <w:sdtPr>
              <w:rPr>
                <w:sz w:val="18"/>
                <w:szCs w:val="18"/>
              </w:rPr>
              <w:tag w:val="_PLD_4232da6e7f4d498bb5fd03aa253dd7d4"/>
              <w:id w:val="1336117243"/>
            </w:sdtPr>
            <w:sdtEndPr>
              <w:rPr>
                <w:sz w:val="18"/>
                <w:szCs w:val="18"/>
              </w:rPr>
            </w:sdtEndPr>
            <w:sdtContent>
              <w:p w14:paraId="02C2CCA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转销或核销</w:t>
                </w:r>
              </w:p>
            </w:sdtContent>
          </w:sdt>
        </w:tc>
        <w:tc>
          <w:tcPr>
            <w:tcW w:w="657" w:type="pct"/>
            <w:shd w:val="clear" w:color="auto" w:fill="FFFFFF"/>
            <w:vAlign w:val="center"/>
          </w:tcPr>
          <w:sdt>
            <w:sdtPr>
              <w:rPr>
                <w:sz w:val="18"/>
                <w:szCs w:val="18"/>
              </w:rPr>
              <w:tag w:val="_PLD_6a40df7ca60f4ded8af3453519948166"/>
              <w:id w:val="26376026"/>
            </w:sdtPr>
            <w:sdtEndPr>
              <w:rPr>
                <w:sz w:val="18"/>
                <w:szCs w:val="18"/>
              </w:rPr>
            </w:sdtEndPr>
            <w:sdtContent>
              <w:p w14:paraId="1CCC681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其他变动</w:t>
                </w:r>
              </w:p>
            </w:sdtContent>
          </w:sdt>
        </w:tc>
        <w:tc>
          <w:tcPr>
            <w:tcW w:w="813" w:type="pct"/>
            <w:vMerge w:val="continue"/>
            <w:shd w:val="clear" w:color="auto" w:fill="FFFFFF"/>
          </w:tcPr>
          <w:p w14:paraId="352405F2">
            <w:pPr>
              <w:jc w:val="right"/>
              <w:rPr>
                <w:color w:val="000000" w:themeColor="text1"/>
                <w:sz w:val="18"/>
                <w:szCs w:val="18"/>
                <w14:textFill>
                  <w14:solidFill>
                    <w14:schemeClr w14:val="tx1"/>
                  </w14:solidFill>
                </w14:textFill>
              </w:rPr>
            </w:pPr>
          </w:p>
        </w:tc>
      </w:tr>
      <w:tr w14:paraId="7F26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11" w:type="pct"/>
          </w:tcPr>
          <w:p w14:paraId="71A5A338">
            <w:pPr>
              <w:rPr>
                <w:sz w:val="18"/>
                <w:szCs w:val="18"/>
              </w:rPr>
            </w:pPr>
            <w:r>
              <w:rPr>
                <w:sz w:val="18"/>
                <w:szCs w:val="18"/>
              </w:rPr>
              <w:t>单项计提坏账准备的应收账款</w:t>
            </w:r>
          </w:p>
        </w:tc>
        <w:tc>
          <w:tcPr>
            <w:tcW w:w="813" w:type="pct"/>
            <w:vAlign w:val="center"/>
          </w:tcPr>
          <w:p w14:paraId="2EE78460">
            <w:pPr>
              <w:jc w:val="right"/>
              <w:rPr>
                <w:sz w:val="18"/>
                <w:szCs w:val="18"/>
              </w:rPr>
            </w:pPr>
            <w:r>
              <w:rPr>
                <w:sz w:val="18"/>
                <w:szCs w:val="18"/>
              </w:rPr>
              <w:t>721,936,171.76</w:t>
            </w:r>
          </w:p>
        </w:tc>
        <w:tc>
          <w:tcPr>
            <w:tcW w:w="696" w:type="pct"/>
            <w:vAlign w:val="center"/>
          </w:tcPr>
          <w:p w14:paraId="2B91640E">
            <w:pPr>
              <w:jc w:val="right"/>
              <w:rPr>
                <w:sz w:val="18"/>
                <w:szCs w:val="18"/>
              </w:rPr>
            </w:pPr>
            <w:r>
              <w:rPr>
                <w:sz w:val="18"/>
                <w:szCs w:val="18"/>
              </w:rPr>
              <w:t>-34,403.67</w:t>
            </w:r>
          </w:p>
        </w:tc>
        <w:tc>
          <w:tcPr>
            <w:tcW w:w="696" w:type="pct"/>
            <w:vAlign w:val="center"/>
          </w:tcPr>
          <w:p w14:paraId="6974EB10">
            <w:pPr>
              <w:jc w:val="right"/>
              <w:rPr>
                <w:sz w:val="18"/>
                <w:szCs w:val="18"/>
              </w:rPr>
            </w:pPr>
          </w:p>
        </w:tc>
        <w:tc>
          <w:tcPr>
            <w:tcW w:w="813" w:type="pct"/>
            <w:vAlign w:val="center"/>
          </w:tcPr>
          <w:p w14:paraId="07E91FDC">
            <w:pPr>
              <w:jc w:val="right"/>
              <w:rPr>
                <w:sz w:val="18"/>
                <w:szCs w:val="18"/>
              </w:rPr>
            </w:pPr>
            <w:r>
              <w:rPr>
                <w:sz w:val="18"/>
                <w:szCs w:val="18"/>
              </w:rPr>
              <w:t>103,002,068.70</w:t>
            </w:r>
          </w:p>
        </w:tc>
        <w:tc>
          <w:tcPr>
            <w:tcW w:w="657" w:type="pct"/>
            <w:vAlign w:val="center"/>
          </w:tcPr>
          <w:p w14:paraId="35209B29">
            <w:pPr>
              <w:jc w:val="right"/>
              <w:rPr>
                <w:sz w:val="18"/>
                <w:szCs w:val="18"/>
              </w:rPr>
            </w:pPr>
          </w:p>
        </w:tc>
        <w:tc>
          <w:tcPr>
            <w:tcW w:w="813" w:type="pct"/>
            <w:vAlign w:val="center"/>
          </w:tcPr>
          <w:p w14:paraId="18823030">
            <w:pPr>
              <w:jc w:val="right"/>
              <w:rPr>
                <w:sz w:val="18"/>
                <w:szCs w:val="18"/>
              </w:rPr>
            </w:pPr>
            <w:r>
              <w:rPr>
                <w:sz w:val="18"/>
                <w:szCs w:val="18"/>
              </w:rPr>
              <w:t>618,899,699.39</w:t>
            </w:r>
          </w:p>
        </w:tc>
      </w:tr>
      <w:tr w14:paraId="4EA3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11" w:type="pct"/>
          </w:tcPr>
          <w:p w14:paraId="6D98FCDE">
            <w:pPr>
              <w:rPr>
                <w:sz w:val="18"/>
                <w:szCs w:val="18"/>
              </w:rPr>
            </w:pPr>
            <w:r>
              <w:rPr>
                <w:sz w:val="18"/>
                <w:szCs w:val="18"/>
              </w:rPr>
              <w:t>按组合计提坏账准备的应收账款</w:t>
            </w:r>
          </w:p>
        </w:tc>
        <w:tc>
          <w:tcPr>
            <w:tcW w:w="813" w:type="pct"/>
            <w:vAlign w:val="center"/>
          </w:tcPr>
          <w:p w14:paraId="4F720B47">
            <w:pPr>
              <w:jc w:val="right"/>
              <w:rPr>
                <w:sz w:val="18"/>
                <w:szCs w:val="18"/>
              </w:rPr>
            </w:pPr>
            <w:r>
              <w:rPr>
                <w:sz w:val="18"/>
                <w:szCs w:val="18"/>
              </w:rPr>
              <w:t>51,351,535.25</w:t>
            </w:r>
          </w:p>
        </w:tc>
        <w:tc>
          <w:tcPr>
            <w:tcW w:w="696" w:type="pct"/>
            <w:vAlign w:val="center"/>
          </w:tcPr>
          <w:p w14:paraId="0272B132">
            <w:pPr>
              <w:jc w:val="right"/>
              <w:rPr>
                <w:sz w:val="18"/>
                <w:szCs w:val="18"/>
              </w:rPr>
            </w:pPr>
            <w:r>
              <w:rPr>
                <w:sz w:val="18"/>
                <w:szCs w:val="18"/>
              </w:rPr>
              <w:t>1,732,476.54</w:t>
            </w:r>
          </w:p>
        </w:tc>
        <w:tc>
          <w:tcPr>
            <w:tcW w:w="696" w:type="pct"/>
            <w:vAlign w:val="center"/>
          </w:tcPr>
          <w:p w14:paraId="455C2334">
            <w:pPr>
              <w:jc w:val="right"/>
              <w:rPr>
                <w:sz w:val="18"/>
                <w:szCs w:val="18"/>
              </w:rPr>
            </w:pPr>
            <w:r>
              <w:rPr>
                <w:sz w:val="18"/>
                <w:szCs w:val="18"/>
              </w:rPr>
              <w:t>2,873,286.22</w:t>
            </w:r>
          </w:p>
        </w:tc>
        <w:tc>
          <w:tcPr>
            <w:tcW w:w="813" w:type="pct"/>
            <w:vAlign w:val="center"/>
          </w:tcPr>
          <w:p w14:paraId="7E4B8AC5">
            <w:pPr>
              <w:jc w:val="right"/>
              <w:rPr>
                <w:sz w:val="18"/>
                <w:szCs w:val="18"/>
              </w:rPr>
            </w:pPr>
            <w:r>
              <w:rPr>
                <w:sz w:val="18"/>
                <w:szCs w:val="18"/>
              </w:rPr>
              <w:t>956,095.22</w:t>
            </w:r>
          </w:p>
        </w:tc>
        <w:tc>
          <w:tcPr>
            <w:tcW w:w="657" w:type="pct"/>
            <w:vAlign w:val="center"/>
          </w:tcPr>
          <w:p w14:paraId="28935F02">
            <w:pPr>
              <w:jc w:val="right"/>
              <w:rPr>
                <w:sz w:val="18"/>
                <w:szCs w:val="18"/>
              </w:rPr>
            </w:pPr>
            <w:r>
              <w:rPr>
                <w:sz w:val="18"/>
                <w:szCs w:val="18"/>
              </w:rPr>
              <w:t>-475,135.15</w:t>
            </w:r>
          </w:p>
        </w:tc>
        <w:tc>
          <w:tcPr>
            <w:tcW w:w="813" w:type="pct"/>
            <w:vAlign w:val="center"/>
          </w:tcPr>
          <w:p w14:paraId="1677080A">
            <w:pPr>
              <w:jc w:val="right"/>
              <w:rPr>
                <w:sz w:val="18"/>
                <w:szCs w:val="18"/>
              </w:rPr>
            </w:pPr>
            <w:r>
              <w:rPr>
                <w:sz w:val="18"/>
                <w:szCs w:val="18"/>
              </w:rPr>
              <w:t>54,526,067.64</w:t>
            </w:r>
          </w:p>
        </w:tc>
      </w:tr>
      <w:tr w14:paraId="4BDD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11" w:type="pct"/>
          </w:tcPr>
          <w:p w14:paraId="4D60B2F3">
            <w:pPr>
              <w:rPr>
                <w:sz w:val="18"/>
                <w:szCs w:val="18"/>
              </w:rPr>
            </w:pPr>
            <w:r>
              <w:rPr>
                <w:sz w:val="18"/>
                <w:szCs w:val="18"/>
              </w:rPr>
              <w:t>其中：账龄组合</w:t>
            </w:r>
          </w:p>
        </w:tc>
        <w:tc>
          <w:tcPr>
            <w:tcW w:w="813" w:type="pct"/>
            <w:vAlign w:val="center"/>
          </w:tcPr>
          <w:p w14:paraId="27104B99">
            <w:pPr>
              <w:jc w:val="right"/>
              <w:rPr>
                <w:sz w:val="18"/>
                <w:szCs w:val="18"/>
              </w:rPr>
            </w:pPr>
            <w:r>
              <w:rPr>
                <w:sz w:val="18"/>
                <w:szCs w:val="18"/>
              </w:rPr>
              <w:t>51,351,535.25</w:t>
            </w:r>
          </w:p>
        </w:tc>
        <w:tc>
          <w:tcPr>
            <w:tcW w:w="696" w:type="pct"/>
            <w:vAlign w:val="center"/>
          </w:tcPr>
          <w:p w14:paraId="6CFCDBFB">
            <w:pPr>
              <w:jc w:val="right"/>
              <w:rPr>
                <w:sz w:val="18"/>
                <w:szCs w:val="18"/>
              </w:rPr>
            </w:pPr>
            <w:r>
              <w:rPr>
                <w:sz w:val="18"/>
                <w:szCs w:val="18"/>
              </w:rPr>
              <w:t>1,732,476.54</w:t>
            </w:r>
          </w:p>
        </w:tc>
        <w:tc>
          <w:tcPr>
            <w:tcW w:w="696" w:type="pct"/>
            <w:vAlign w:val="center"/>
          </w:tcPr>
          <w:p w14:paraId="2E64A867">
            <w:pPr>
              <w:jc w:val="right"/>
              <w:rPr>
                <w:sz w:val="18"/>
                <w:szCs w:val="18"/>
              </w:rPr>
            </w:pPr>
            <w:r>
              <w:rPr>
                <w:sz w:val="18"/>
                <w:szCs w:val="18"/>
              </w:rPr>
              <w:t>2,873,286.22</w:t>
            </w:r>
          </w:p>
        </w:tc>
        <w:tc>
          <w:tcPr>
            <w:tcW w:w="813" w:type="pct"/>
            <w:vAlign w:val="center"/>
          </w:tcPr>
          <w:p w14:paraId="154610C7">
            <w:pPr>
              <w:jc w:val="right"/>
              <w:rPr>
                <w:sz w:val="18"/>
                <w:szCs w:val="18"/>
              </w:rPr>
            </w:pPr>
            <w:r>
              <w:rPr>
                <w:sz w:val="18"/>
                <w:szCs w:val="18"/>
              </w:rPr>
              <w:t>956,095.22</w:t>
            </w:r>
          </w:p>
        </w:tc>
        <w:tc>
          <w:tcPr>
            <w:tcW w:w="657" w:type="pct"/>
            <w:vAlign w:val="center"/>
          </w:tcPr>
          <w:p w14:paraId="4E746252">
            <w:pPr>
              <w:jc w:val="right"/>
              <w:rPr>
                <w:sz w:val="18"/>
                <w:szCs w:val="18"/>
              </w:rPr>
            </w:pPr>
            <w:r>
              <w:rPr>
                <w:sz w:val="18"/>
                <w:szCs w:val="18"/>
              </w:rPr>
              <w:t>-475,135.15</w:t>
            </w:r>
          </w:p>
        </w:tc>
        <w:tc>
          <w:tcPr>
            <w:tcW w:w="813" w:type="pct"/>
            <w:vAlign w:val="center"/>
          </w:tcPr>
          <w:p w14:paraId="48A3E6D7">
            <w:pPr>
              <w:jc w:val="right"/>
              <w:rPr>
                <w:sz w:val="18"/>
                <w:szCs w:val="18"/>
              </w:rPr>
            </w:pPr>
            <w:r>
              <w:rPr>
                <w:sz w:val="18"/>
                <w:szCs w:val="18"/>
              </w:rPr>
              <w:t>54,526,067.64</w:t>
            </w:r>
          </w:p>
        </w:tc>
      </w:tr>
      <w:tr w14:paraId="6B68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11" w:type="pct"/>
          </w:tcPr>
          <w:p w14:paraId="45CB114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合计</w:t>
            </w:r>
          </w:p>
        </w:tc>
        <w:tc>
          <w:tcPr>
            <w:tcW w:w="813" w:type="pct"/>
            <w:vAlign w:val="center"/>
          </w:tcPr>
          <w:p w14:paraId="34EE77F2">
            <w:pPr>
              <w:jc w:val="right"/>
              <w:rPr>
                <w:sz w:val="18"/>
                <w:szCs w:val="18"/>
              </w:rPr>
            </w:pPr>
            <w:r>
              <w:rPr>
                <w:sz w:val="18"/>
                <w:szCs w:val="18"/>
              </w:rPr>
              <w:t>773,287,707.01</w:t>
            </w:r>
          </w:p>
        </w:tc>
        <w:tc>
          <w:tcPr>
            <w:tcW w:w="696" w:type="pct"/>
            <w:vAlign w:val="center"/>
          </w:tcPr>
          <w:p w14:paraId="5D679BA9">
            <w:pPr>
              <w:jc w:val="right"/>
              <w:rPr>
                <w:sz w:val="18"/>
                <w:szCs w:val="18"/>
              </w:rPr>
            </w:pPr>
            <w:r>
              <w:rPr>
                <w:sz w:val="18"/>
                <w:szCs w:val="18"/>
              </w:rPr>
              <w:t>1,698,072.87</w:t>
            </w:r>
          </w:p>
        </w:tc>
        <w:tc>
          <w:tcPr>
            <w:tcW w:w="696" w:type="pct"/>
            <w:vAlign w:val="center"/>
          </w:tcPr>
          <w:p w14:paraId="5AF8A63A">
            <w:pPr>
              <w:jc w:val="right"/>
              <w:rPr>
                <w:sz w:val="18"/>
                <w:szCs w:val="18"/>
              </w:rPr>
            </w:pPr>
            <w:r>
              <w:rPr>
                <w:sz w:val="18"/>
                <w:szCs w:val="18"/>
              </w:rPr>
              <w:t>2,873,286.22</w:t>
            </w:r>
          </w:p>
        </w:tc>
        <w:tc>
          <w:tcPr>
            <w:tcW w:w="813" w:type="pct"/>
            <w:vAlign w:val="center"/>
          </w:tcPr>
          <w:p w14:paraId="2CBE748D">
            <w:pPr>
              <w:jc w:val="right"/>
              <w:rPr>
                <w:sz w:val="18"/>
                <w:szCs w:val="18"/>
              </w:rPr>
            </w:pPr>
            <w:r>
              <w:rPr>
                <w:sz w:val="18"/>
                <w:szCs w:val="18"/>
              </w:rPr>
              <w:t>103,958,163.92</w:t>
            </w:r>
          </w:p>
        </w:tc>
        <w:tc>
          <w:tcPr>
            <w:tcW w:w="657" w:type="pct"/>
            <w:vAlign w:val="center"/>
          </w:tcPr>
          <w:p w14:paraId="73F35CC9">
            <w:pPr>
              <w:jc w:val="right"/>
              <w:rPr>
                <w:sz w:val="18"/>
                <w:szCs w:val="18"/>
              </w:rPr>
            </w:pPr>
            <w:r>
              <w:rPr>
                <w:sz w:val="18"/>
                <w:szCs w:val="18"/>
              </w:rPr>
              <w:t>-475,135.15</w:t>
            </w:r>
          </w:p>
        </w:tc>
        <w:tc>
          <w:tcPr>
            <w:tcW w:w="813" w:type="pct"/>
            <w:vAlign w:val="center"/>
          </w:tcPr>
          <w:p w14:paraId="70D2F941">
            <w:pPr>
              <w:jc w:val="right"/>
              <w:rPr>
                <w:rFonts w:ascii="宋体" w:hAnsi="宋体"/>
                <w:sz w:val="18"/>
                <w:szCs w:val="18"/>
              </w:rPr>
            </w:pPr>
            <w:r>
              <w:rPr>
                <w:sz w:val="18"/>
                <w:szCs w:val="18"/>
              </w:rPr>
              <w:t>673,425,767.03</w:t>
            </w:r>
          </w:p>
        </w:tc>
      </w:tr>
    </w:tbl>
    <w:p w14:paraId="12FE6A80"/>
    <w:p w14:paraId="0E053FE1">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其他变动系海博瑞德（重庆）汽车动力控制系统有限公司股权变更，丧失对其控制，合并范围变化导致相关坏账准备减少。</w:t>
      </w:r>
    </w:p>
    <w:p w14:paraId="282D03C2"/>
    <w:p w14:paraId="7EA8B955">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其中本期坏账准备收回或转回金额重要的[双击切换]"/>
        <w:tag w:val="_GBC_782db13fff094d37b8b99f81224cac44"/>
        <w:id w:val="444667819"/>
        <w:placeholder>
          <w:docPart w:val="GBC22222222222222222222222222222"/>
        </w:placeholder>
      </w:sdtPr>
      <w:sdtEndPr>
        <w:rPr>
          <w:color w:val="000000" w:themeColor="text1"/>
          <w14:textFill>
            <w14:solidFill>
              <w14:schemeClr w14:val="tx1"/>
            </w14:solidFill>
          </w14:textFill>
        </w:rPr>
      </w:sdtEndPr>
      <w:sdtContent>
        <w:p w14:paraId="2F402E82">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FD11900"/>
    <w:p w14:paraId="6727BC66">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应收账款坏账准备情况的说明"/>
        <w:tag w:val="_GBC_112ac8bd16914f4682cf1367c6702f93"/>
        <w:id w:val="1210376577"/>
        <w:placeholder>
          <w:docPart w:val="GBC22222222222222222222222222222"/>
        </w:placeholder>
      </w:sdtPr>
      <w:sdtEndPr>
        <w:rPr>
          <w:color w:val="000000" w:themeColor="text1"/>
          <w14:textFill>
            <w14:solidFill>
              <w14:schemeClr w14:val="tx1"/>
            </w14:solidFill>
          </w14:textFill>
        </w:rPr>
      </w:sdtEndPr>
      <w:sdtContent>
        <w:p w14:paraId="672F0E64">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3A732598">
      <w:pPr>
        <w:ind w:right="-1594" w:rightChars="-759"/>
        <w:rPr>
          <w:rFonts w:cs="Times New Roman"/>
          <w:color w:val="000000" w:themeColor="text1"/>
          <w:kern w:val="2"/>
          <w14:textFill>
            <w14:solidFill>
              <w14:schemeClr w14:val="tx1"/>
            </w14:solidFill>
          </w14:textFill>
        </w:rPr>
      </w:pPr>
    </w:p>
    <w:bookmarkEnd w:id="174"/>
    <w:p w14:paraId="3AC8FDC4">
      <w:pPr>
        <w:pStyle w:val="5"/>
        <w:numPr>
          <w:ilvl w:val="3"/>
          <w:numId w:val="43"/>
        </w:numPr>
        <w:ind w:left="426" w:hanging="426"/>
        <w:rPr>
          <w:color w:val="000000" w:themeColor="text1"/>
          <w14:textFill>
            <w14:solidFill>
              <w14:schemeClr w14:val="tx1"/>
            </w14:solidFill>
          </w14:textFill>
        </w:rPr>
      </w:pPr>
      <w:r>
        <w:rPr>
          <w:rFonts w:hint="eastAsia"/>
          <w:color w:val="000000" w:themeColor="text1"/>
          <w14:textFill>
            <w14:solidFill>
              <w14:schemeClr w14:val="tx1"/>
            </w14:solidFill>
          </w14:textFill>
        </w:rPr>
        <w:t>本期实际核销的应收账款情况</w:t>
      </w:r>
    </w:p>
    <w:sdt>
      <w:sdtPr>
        <w:rPr>
          <w:color w:val="000000" w:themeColor="text1"/>
          <w14:textFill>
            <w14:solidFill>
              <w14:schemeClr w14:val="tx1"/>
            </w14:solidFill>
          </w14:textFill>
        </w:rPr>
        <w:alias w:val="是否适用：本期实际核销的应收账款情况[双击切换]"/>
        <w:tag w:val="_GBC_240341a3455747bb87ecabf420d94ec5"/>
        <w:id w:val="1977569893"/>
        <w:placeholder>
          <w:docPart w:val="GBC22222222222222222222222222222"/>
        </w:placeholder>
      </w:sdtPr>
      <w:sdtEndPr>
        <w:rPr>
          <w:color w:val="000000" w:themeColor="text1"/>
          <w14:textFill>
            <w14:solidFill>
              <w14:schemeClr w14:val="tx1"/>
            </w14:solidFill>
          </w14:textFill>
        </w:rPr>
      </w:sdtEndPr>
      <w:sdtContent>
        <w:p w14:paraId="558FC63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4BD8E7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本报告期实际核销的应收款项情况"/>
          <w:tag w:val="_GBC_97f637feeea84b2a8c01321339a44c9e"/>
          <w:id w:val="8461380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本报告期实际核销的应收款项情况"/>
          <w:tag w:val="_GBC_1e69e5173e614c0f8dd12c7f988c2a4e"/>
          <w:id w:val="-255722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3"/>
        <w:gridCol w:w="4776"/>
      </w:tblGrid>
      <w:tr w14:paraId="2265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731fe405bb4134af7ad46e8ca83d7e"/>
            <w:id w:val="1982265314"/>
          </w:sdtPr>
          <w:sdtContent>
            <w:tc>
              <w:tcPr>
                <w:tcW w:w="2361" w:type="pct"/>
                <w:vAlign w:val="center"/>
              </w:tcPr>
              <w:p w14:paraId="4310A7B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256a8b0b19c4d908f33771c40d2df26"/>
            <w:id w:val="-122004327"/>
          </w:sdtPr>
          <w:sdtContent>
            <w:tc>
              <w:tcPr>
                <w:tcW w:w="2639" w:type="pct"/>
              </w:tcPr>
              <w:p w14:paraId="145F358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核销金额</w:t>
                </w:r>
              </w:p>
            </w:tc>
          </w:sdtContent>
        </w:sdt>
      </w:tr>
      <w:tr w14:paraId="459C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1" w:type="pct"/>
          </w:tcPr>
          <w:p w14:paraId="6BA7EFE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实际核销的应收账款</w:t>
            </w:r>
          </w:p>
        </w:tc>
        <w:tc>
          <w:tcPr>
            <w:tcW w:w="2639" w:type="pct"/>
          </w:tcPr>
          <w:p w14:paraId="5ACD8C93">
            <w:pPr>
              <w:jc w:val="right"/>
            </w:pPr>
            <w:r>
              <w:t>103,958,163.92</w:t>
            </w:r>
          </w:p>
        </w:tc>
      </w:tr>
    </w:tbl>
    <w:p w14:paraId="71A92399">
      <w:pPr>
        <w:rPr>
          <w:color w:val="000000" w:themeColor="text1"/>
          <w14:textFill>
            <w14:solidFill>
              <w14:schemeClr w14:val="tx1"/>
            </w14:solidFill>
          </w14:textFill>
        </w:rPr>
      </w:pPr>
    </w:p>
    <w:p w14:paraId="1B07CF75">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其中重要的应收账款核销情况</w:t>
      </w:r>
    </w:p>
    <w:sdt>
      <w:sdtPr>
        <w:rPr>
          <w:color w:val="000000" w:themeColor="text1"/>
          <w14:textFill>
            <w14:solidFill>
              <w14:schemeClr w14:val="tx1"/>
            </w14:solidFill>
          </w14:textFill>
        </w:rPr>
        <w:alias w:val="是否适用：其中重要的应收账款核销情况[双击切换]"/>
        <w:tag w:val="_GBC_8a44f02ff52343a08b5e1e48c8b2cb3d"/>
        <w:id w:val="-1057544941"/>
        <w:placeholder>
          <w:docPart w:val="GBC22222222222222222222222222222"/>
        </w:placeholder>
      </w:sdtPr>
      <w:sdtEndPr>
        <w:rPr>
          <w:color w:val="000000" w:themeColor="text1"/>
          <w14:textFill>
            <w14:solidFill>
              <w14:schemeClr w14:val="tx1"/>
            </w14:solidFill>
          </w14:textFill>
        </w:rPr>
      </w:sdtEndPr>
      <w:sdtContent>
        <w:p w14:paraId="772A03D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4667DC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本报告期重要的应收账款核销情况"/>
          <w:tag w:val="_GBC_c7a04c444409452ca1a8e2a1e7d7b82c"/>
          <w:id w:val="-17463277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本报告期重要的应收账款核销情况"/>
          <w:tag w:val="_GBC_d5901c5422f147e18c5adac751eda8b8"/>
          <w:id w:val="-6432771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59"/>
        <w:gridCol w:w="1361"/>
        <w:gridCol w:w="1359"/>
        <w:gridCol w:w="1361"/>
        <w:gridCol w:w="1727"/>
        <w:gridCol w:w="1728"/>
      </w:tblGrid>
      <w:tr w14:paraId="56A7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c25e599bc7e48638256aa28f0a466c6"/>
            <w:id w:val="-18469239"/>
          </w:sdtPr>
          <w:sdtContent>
            <w:tc>
              <w:tcPr>
                <w:tcW w:w="764" w:type="pct"/>
                <w:vAlign w:val="center"/>
              </w:tcPr>
              <w:p w14:paraId="35719907">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单位名称</w:t>
                </w:r>
              </w:p>
            </w:tc>
          </w:sdtContent>
        </w:sdt>
        <w:sdt>
          <w:sdtPr>
            <w:tag w:val="_PLD_2fd65197ed6446e9a099b93e765d1057"/>
            <w:id w:val="-1660308705"/>
          </w:sdtPr>
          <w:sdtContent>
            <w:tc>
              <w:tcPr>
                <w:tcW w:w="765" w:type="pct"/>
                <w:vAlign w:val="center"/>
              </w:tcPr>
              <w:p w14:paraId="7625F988">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应收账款性质</w:t>
                </w:r>
              </w:p>
            </w:tc>
          </w:sdtContent>
        </w:sdt>
        <w:sdt>
          <w:sdtPr>
            <w:tag w:val="_PLD_7222fb7cad6d4fcaa3919f6127705623"/>
            <w:id w:val="457533352"/>
          </w:sdtPr>
          <w:sdtContent>
            <w:tc>
              <w:tcPr>
                <w:tcW w:w="764" w:type="pct"/>
                <w:vAlign w:val="center"/>
              </w:tcPr>
              <w:p w14:paraId="2952078B">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核销金额</w:t>
                </w:r>
              </w:p>
            </w:tc>
          </w:sdtContent>
        </w:sdt>
        <w:sdt>
          <w:sdtPr>
            <w:tag w:val="_PLD_0483ef9b4d184d2e9c5f03e99e5cdd83"/>
            <w:id w:val="-251595974"/>
          </w:sdtPr>
          <w:sdtContent>
            <w:tc>
              <w:tcPr>
                <w:tcW w:w="765" w:type="pct"/>
                <w:vAlign w:val="center"/>
              </w:tcPr>
              <w:p w14:paraId="0D029D2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核销原因</w:t>
                </w:r>
              </w:p>
            </w:tc>
          </w:sdtContent>
        </w:sdt>
        <w:sdt>
          <w:sdtPr>
            <w:tag w:val="_PLD_553be060ba9742d3a69af5978afb1f53"/>
            <w:id w:val="1949896085"/>
          </w:sdtPr>
          <w:sdtContent>
            <w:tc>
              <w:tcPr>
                <w:tcW w:w="971" w:type="pct"/>
                <w:vAlign w:val="center"/>
              </w:tcPr>
              <w:p w14:paraId="7DCAC709">
                <w:pPr>
                  <w:tabs>
                    <w:tab w:val="left" w:pos="225"/>
                    <w:tab w:val="center" w:pos="938"/>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履行的核销程序</w:t>
                </w:r>
              </w:p>
            </w:tc>
          </w:sdtContent>
        </w:sdt>
        <w:sdt>
          <w:sdtPr>
            <w:tag w:val="_PLD_e17ae73cd0b848f0992d559fd3b68e8a"/>
            <w:id w:val="1203826790"/>
          </w:sdtPr>
          <w:sdtContent>
            <w:tc>
              <w:tcPr>
                <w:tcW w:w="971" w:type="pct"/>
                <w:vAlign w:val="center"/>
              </w:tcPr>
              <w:p w14:paraId="1EEA9E83">
                <w:pPr>
                  <w:tabs>
                    <w:tab w:val="left" w:pos="225"/>
                    <w:tab w:val="center" w:pos="938"/>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款项是否由关联交易产生</w:t>
                </w:r>
              </w:p>
            </w:tc>
          </w:sdtContent>
        </w:sdt>
      </w:tr>
      <w:tr w14:paraId="5E4F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4" w:type="pct"/>
          </w:tcPr>
          <w:p w14:paraId="693F3A33">
            <w:pPr>
              <w:ind w:right="73"/>
              <w:jc w:val="center"/>
            </w:pPr>
            <w:r>
              <w:t>洛阳川铃摩托车销售有限公司</w:t>
            </w:r>
          </w:p>
        </w:tc>
        <w:tc>
          <w:tcPr>
            <w:tcW w:w="765" w:type="pct"/>
            <w:vAlign w:val="center"/>
          </w:tcPr>
          <w:p w14:paraId="57877D8F">
            <w:pPr>
              <w:ind w:right="73"/>
              <w:jc w:val="center"/>
            </w:pPr>
            <w:r>
              <w:rPr>
                <w:rFonts w:hint="eastAsia"/>
              </w:rPr>
              <w:t>货款</w:t>
            </w:r>
          </w:p>
        </w:tc>
        <w:tc>
          <w:tcPr>
            <w:tcW w:w="764" w:type="pct"/>
            <w:vAlign w:val="center"/>
          </w:tcPr>
          <w:p w14:paraId="48FB3B7E">
            <w:pPr>
              <w:ind w:right="73"/>
              <w:jc w:val="right"/>
            </w:pPr>
            <w:r>
              <w:t>25,812,330.82</w:t>
            </w:r>
          </w:p>
        </w:tc>
        <w:tc>
          <w:tcPr>
            <w:tcW w:w="765" w:type="pct"/>
            <w:vAlign w:val="center"/>
          </w:tcPr>
          <w:p w14:paraId="221FEC5B">
            <w:r>
              <w:rPr>
                <w:rFonts w:hint="eastAsia"/>
              </w:rPr>
              <w:t>诉讼已终本，无法收回</w:t>
            </w:r>
          </w:p>
        </w:tc>
        <w:tc>
          <w:tcPr>
            <w:tcW w:w="971" w:type="pct"/>
            <w:vAlign w:val="center"/>
          </w:tcPr>
          <w:p w14:paraId="7594B0DA">
            <w:pPr>
              <w:jc w:val="center"/>
            </w:pPr>
            <w:r>
              <w:rPr>
                <w:rFonts w:hint="eastAsia"/>
              </w:rPr>
              <w:t>总裁办公会审议</w:t>
            </w:r>
          </w:p>
        </w:tc>
        <w:sdt>
          <w:sdtPr>
            <w:rPr>
              <w:color w:val="000000" w:themeColor="text1"/>
              <w14:textFill>
                <w14:solidFill>
                  <w14:schemeClr w14:val="tx1"/>
                </w14:solidFill>
              </w14:textFill>
            </w:rPr>
            <w:alias w:val="重要的应收账款核销明细-款项是否因关联交易产生"/>
            <w:tag w:val="_GBC_47d46492c7d54e659c891fc15d95a36e"/>
            <w:id w:val="-307477339"/>
            <w:comboBox>
              <w:listItem w:displayText="是" w:value="true"/>
              <w:listItem w:displayText="否" w:value="false"/>
            </w:comboBox>
          </w:sdtPr>
          <w:sdtEndPr>
            <w:rPr>
              <w:color w:val="000000" w:themeColor="text1"/>
              <w14:textFill>
                <w14:solidFill>
                  <w14:schemeClr w14:val="tx1"/>
                </w14:solidFill>
              </w14:textFill>
            </w:rPr>
          </w:sdtEndPr>
          <w:sdtContent>
            <w:tc>
              <w:tcPr>
                <w:tcW w:w="971" w:type="pct"/>
                <w:vAlign w:val="center"/>
              </w:tcPr>
              <w:p w14:paraId="2546DA74">
                <w:pPr>
                  <w:jc w:val="center"/>
                  <w:rPr>
                    <w:color w:val="000000" w:themeColor="text1"/>
                    <w14:textFill>
                      <w14:solidFill>
                        <w14:schemeClr w14:val="tx1"/>
                      </w14:solidFill>
                    </w14:textFill>
                  </w:rPr>
                </w:pPr>
                <w:r>
                  <w:rPr>
                    <w:color w:val="000000" w:themeColor="text1"/>
                    <w14:textFill>
                      <w14:solidFill>
                        <w14:schemeClr w14:val="tx1"/>
                      </w14:solidFill>
                    </w14:textFill>
                  </w:rPr>
                  <w:t>否</w:t>
                </w:r>
              </w:p>
            </w:tc>
          </w:sdtContent>
        </w:sdt>
      </w:tr>
      <w:tr w14:paraId="5299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4" w:type="pct"/>
            <w:vAlign w:val="center"/>
          </w:tcPr>
          <w:p w14:paraId="0B0865FE">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65" w:type="pct"/>
          </w:tcPr>
          <w:p w14:paraId="3EBF2930">
            <w:pPr>
              <w:ind w:right="73"/>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764" w:type="pct"/>
          </w:tcPr>
          <w:p w14:paraId="19CE3002">
            <w:pPr>
              <w:ind w:right="73"/>
              <w:jc w:val="center"/>
            </w:pPr>
            <w:r>
              <w:t>25,812,330.82</w:t>
            </w:r>
          </w:p>
        </w:tc>
        <w:tc>
          <w:tcPr>
            <w:tcW w:w="765" w:type="pct"/>
          </w:tcPr>
          <w:p w14:paraId="32E5F1C4">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71" w:type="pct"/>
          </w:tcPr>
          <w:p w14:paraId="7A5ED4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971" w:type="pct"/>
          </w:tcPr>
          <w:p w14:paraId="23A19B57">
            <w:pPr>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bl>
    <w:p w14:paraId="059E311C"/>
    <w:p w14:paraId="65589F22">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应收账款核销说明：</w:t>
      </w:r>
    </w:p>
    <w:sdt>
      <w:sdtPr>
        <w:rPr>
          <w:color w:val="000000" w:themeColor="text1"/>
          <w14:textFill>
            <w14:solidFill>
              <w14:schemeClr w14:val="tx1"/>
            </w14:solidFill>
          </w14:textFill>
        </w:rPr>
        <w:alias w:val="是否适用：应收账款核销说明[双击切换]"/>
        <w:tag w:val="_GBC_69824b683b7348d5abc31b2f2e813757"/>
        <w:id w:val="-880319170"/>
        <w:placeholder>
          <w:docPart w:val="GBC22222222222222222222222222222"/>
        </w:placeholder>
      </w:sdtPr>
      <w:sdtEndPr>
        <w:rPr>
          <w:color w:val="000000" w:themeColor="text1"/>
          <w14:textFill>
            <w14:solidFill>
              <w14:schemeClr w14:val="tx1"/>
            </w14:solidFill>
          </w14:textFill>
        </w:rPr>
      </w:sdtEndPr>
      <w:sdtContent>
        <w:p w14:paraId="3CEEAA02">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8762E9">
      <w:pPr>
        <w:rPr>
          <w:color w:val="000000" w:themeColor="text1"/>
          <w14:textFill>
            <w14:solidFill>
              <w14:schemeClr w14:val="tx1"/>
            </w14:solidFill>
          </w14:textFill>
        </w:rPr>
      </w:pPr>
    </w:p>
    <w:p w14:paraId="5CF1D243">
      <w:pPr>
        <w:pStyle w:val="5"/>
        <w:numPr>
          <w:ilvl w:val="3"/>
          <w:numId w:val="43"/>
        </w:numPr>
        <w:ind w:left="426" w:hanging="426"/>
        <w:rPr>
          <w:color w:val="000000" w:themeColor="text1"/>
          <w14:textFill>
            <w14:solidFill>
              <w14:schemeClr w14:val="tx1"/>
            </w14:solidFill>
          </w14:textFill>
        </w:rPr>
      </w:pPr>
      <w:bookmarkStart w:id="175" w:name="_Hlk167885578"/>
      <w:r>
        <w:rPr>
          <w:rFonts w:hint="eastAsia"/>
          <w:color w:val="000000" w:themeColor="text1"/>
          <w14:textFill>
            <w14:solidFill>
              <w14:schemeClr w14:val="tx1"/>
            </w14:solidFill>
          </w14:textFill>
        </w:rPr>
        <w:t>按欠款方归集的期末余额前五名的应收账款和合同资产情况</w:t>
      </w:r>
    </w:p>
    <w:sdt>
      <w:sdtPr>
        <w:rPr>
          <w:rFonts w:hint="eastAsia"/>
          <w:color w:val="000000" w:themeColor="text1"/>
          <w14:textFill>
            <w14:solidFill>
              <w14:schemeClr w14:val="tx1"/>
            </w14:solidFill>
          </w14:textFill>
        </w:rPr>
        <w:alias w:val="是否适用：按欠款方归集的期末余额前五名的应收账款情况[双击切换]"/>
        <w:tag w:val="_GBC_23de179fe67e4dae836713363b228dc1"/>
        <w:id w:val="1138999189"/>
        <w:placeholder>
          <w:docPart w:val="GBC22222222222222222222222222222"/>
        </w:placeholder>
      </w:sdtPr>
      <w:sdtEndPr>
        <w:rPr>
          <w:rFonts w:hint="eastAsia"/>
          <w:color w:val="000000" w:themeColor="text1"/>
          <w14:textFill>
            <w14:solidFill>
              <w14:schemeClr w14:val="tx1"/>
            </w14:solidFill>
          </w14:textFill>
        </w:rPr>
      </w:sdtEndPr>
      <w:sdtContent>
        <w:p w14:paraId="19A94CC2">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38043E">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color w:val="000000" w:themeColor="text1"/>
            <w14:textFill>
              <w14:solidFill>
                <w14:schemeClr w14:val="tx1"/>
              </w14:solidFill>
            </w14:textFill>
          </w:rPr>
          <w:alias w:val="单位：财务附注：应收账款前五名欠款情况"/>
          <w:tag w:val="_GBC_7b83c21a9ac04b3f9556af0eefbf91af"/>
          <w:id w:val="73235496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收账款前五名欠款情况"/>
          <w:tag w:val="_GBC_aeac0acd27084bbe8582a2bdb9097b96"/>
          <w:id w:val="-10284876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759"/>
        <w:gridCol w:w="1358"/>
        <w:gridCol w:w="1686"/>
        <w:gridCol w:w="1358"/>
        <w:gridCol w:w="1530"/>
      </w:tblGrid>
      <w:tr w14:paraId="4597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sdt>
          <w:sdtPr>
            <w:tag w:val="_PLD_f9c6798381a549c8be592d88dde64345"/>
            <w:id w:val="180102532"/>
          </w:sdtPr>
          <w:sdtContent>
            <w:tc>
              <w:tcPr>
                <w:tcW w:w="833" w:type="pct"/>
                <w:vAlign w:val="center"/>
              </w:tcPr>
              <w:p w14:paraId="5C7DCF85">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单位名称</w:t>
                </w:r>
              </w:p>
            </w:tc>
          </w:sdtContent>
        </w:sdt>
        <w:sdt>
          <w:sdtPr>
            <w:tag w:val="_PLD_cb3675ff5adc4fc5a9134c43edda944a"/>
            <w:id w:val="-2069480714"/>
          </w:sdtPr>
          <w:sdtContent>
            <w:tc>
              <w:tcPr>
                <w:tcW w:w="833" w:type="pct"/>
                <w:vAlign w:val="center"/>
              </w:tcPr>
              <w:p w14:paraId="34AD2271">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应收账款期末余额</w:t>
                </w:r>
              </w:p>
            </w:tc>
          </w:sdtContent>
        </w:sdt>
        <w:sdt>
          <w:sdtPr>
            <w:tag w:val="_PLD_ef22e7c0e8d749caad8859816f6d3d6d"/>
            <w:id w:val="1265118539"/>
          </w:sdtPr>
          <w:sdtContent>
            <w:tc>
              <w:tcPr>
                <w:tcW w:w="833" w:type="pct"/>
                <w:vAlign w:val="center"/>
              </w:tcPr>
              <w:p w14:paraId="6186EEB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合同资产期末余额</w:t>
                </w:r>
              </w:p>
            </w:tc>
          </w:sdtContent>
        </w:sdt>
        <w:sdt>
          <w:sdtPr>
            <w:tag w:val="_PLD_d4247a30e2224be4b066f9eb3e8b3980"/>
            <w:id w:val="-505520959"/>
          </w:sdtPr>
          <w:sdtContent>
            <w:tc>
              <w:tcPr>
                <w:tcW w:w="833" w:type="pct"/>
                <w:vAlign w:val="center"/>
              </w:tcPr>
              <w:p w14:paraId="38F4F6A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应收账款和合同资产期末余额</w:t>
                </w:r>
              </w:p>
            </w:tc>
          </w:sdtContent>
        </w:sdt>
        <w:sdt>
          <w:sdtPr>
            <w:tag w:val="_PLD_973a396aab204cf2abdf2f7f405b9071"/>
            <w:id w:val="-1070725644"/>
          </w:sdtPr>
          <w:sdtContent>
            <w:tc>
              <w:tcPr>
                <w:tcW w:w="833" w:type="pct"/>
                <w:vAlign w:val="center"/>
              </w:tcPr>
              <w:p w14:paraId="243F02B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占应收账款和合同资产期末余额合计数的比例（%）</w:t>
                </w:r>
              </w:p>
            </w:tc>
          </w:sdtContent>
        </w:sdt>
        <w:sdt>
          <w:sdtPr>
            <w:tag w:val="_PLD_839fe6b484114addbcaeef57270c8a21"/>
            <w:id w:val="-1376768025"/>
          </w:sdtPr>
          <w:sdtContent>
            <w:tc>
              <w:tcPr>
                <w:tcW w:w="833" w:type="pct"/>
                <w:vAlign w:val="center"/>
              </w:tcPr>
              <w:p w14:paraId="5F87740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坏账准备期末余额</w:t>
                </w:r>
              </w:p>
            </w:tc>
          </w:sdtContent>
        </w:sdt>
      </w:tr>
      <w:tr w14:paraId="12C3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vAlign w:val="center"/>
          </w:tcPr>
          <w:p w14:paraId="242D390D">
            <w:pPr>
              <w:ind w:right="105"/>
              <w:jc w:val="center"/>
            </w:pPr>
            <w:r>
              <w:t>第一名</w:t>
            </w:r>
          </w:p>
        </w:tc>
        <w:tc>
          <w:tcPr>
            <w:tcW w:w="833" w:type="pct"/>
          </w:tcPr>
          <w:p w14:paraId="3F17120B">
            <w:pPr>
              <w:ind w:right="73"/>
              <w:jc w:val="right"/>
            </w:pPr>
            <w:r>
              <w:t>535,670,893.20</w:t>
            </w:r>
          </w:p>
        </w:tc>
        <w:tc>
          <w:tcPr>
            <w:tcW w:w="833" w:type="pct"/>
          </w:tcPr>
          <w:p w14:paraId="22F41CA7">
            <w:pPr>
              <w:jc w:val="right"/>
            </w:pPr>
          </w:p>
        </w:tc>
        <w:tc>
          <w:tcPr>
            <w:tcW w:w="833" w:type="pct"/>
          </w:tcPr>
          <w:p w14:paraId="26DAF280">
            <w:pPr>
              <w:jc w:val="right"/>
            </w:pPr>
            <w:r>
              <w:t>535,670,893.20</w:t>
            </w:r>
          </w:p>
        </w:tc>
        <w:tc>
          <w:tcPr>
            <w:tcW w:w="833" w:type="pct"/>
          </w:tcPr>
          <w:p w14:paraId="1C7A2A78">
            <w:pPr>
              <w:jc w:val="right"/>
            </w:pPr>
            <w:r>
              <w:t>27.66</w:t>
            </w:r>
          </w:p>
        </w:tc>
        <w:tc>
          <w:tcPr>
            <w:tcW w:w="833" w:type="pct"/>
          </w:tcPr>
          <w:p w14:paraId="05E0CB8F">
            <w:pPr>
              <w:jc w:val="right"/>
            </w:pPr>
            <w:r>
              <w:t>417,959,796.59</w:t>
            </w:r>
          </w:p>
        </w:tc>
      </w:tr>
      <w:tr w14:paraId="13AD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vAlign w:val="center"/>
          </w:tcPr>
          <w:p w14:paraId="63830D5D">
            <w:pPr>
              <w:ind w:right="105"/>
              <w:jc w:val="center"/>
            </w:pPr>
            <w:r>
              <w:t>第二名</w:t>
            </w:r>
          </w:p>
        </w:tc>
        <w:tc>
          <w:tcPr>
            <w:tcW w:w="833" w:type="pct"/>
          </w:tcPr>
          <w:p w14:paraId="033DAA5C">
            <w:pPr>
              <w:ind w:right="73"/>
              <w:jc w:val="right"/>
            </w:pPr>
            <w:r>
              <w:t>192,871,075.23</w:t>
            </w:r>
          </w:p>
        </w:tc>
        <w:tc>
          <w:tcPr>
            <w:tcW w:w="833" w:type="pct"/>
          </w:tcPr>
          <w:p w14:paraId="4CBBD6F3">
            <w:pPr>
              <w:jc w:val="right"/>
            </w:pPr>
          </w:p>
        </w:tc>
        <w:tc>
          <w:tcPr>
            <w:tcW w:w="833" w:type="pct"/>
          </w:tcPr>
          <w:p w14:paraId="2A4330CB">
            <w:pPr>
              <w:jc w:val="right"/>
            </w:pPr>
            <w:r>
              <w:t>192,871,075.23</w:t>
            </w:r>
          </w:p>
        </w:tc>
        <w:tc>
          <w:tcPr>
            <w:tcW w:w="833" w:type="pct"/>
          </w:tcPr>
          <w:p w14:paraId="78051666">
            <w:pPr>
              <w:jc w:val="right"/>
            </w:pPr>
            <w:r>
              <w:t>9.96</w:t>
            </w:r>
          </w:p>
        </w:tc>
        <w:tc>
          <w:tcPr>
            <w:tcW w:w="833" w:type="pct"/>
          </w:tcPr>
          <w:p w14:paraId="642458A2">
            <w:pPr>
              <w:jc w:val="right"/>
            </w:pPr>
          </w:p>
        </w:tc>
      </w:tr>
      <w:tr w14:paraId="49AB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vAlign w:val="center"/>
          </w:tcPr>
          <w:p w14:paraId="6EF5E37E">
            <w:pPr>
              <w:ind w:right="105"/>
              <w:jc w:val="center"/>
            </w:pPr>
            <w:r>
              <w:t>第三名</w:t>
            </w:r>
          </w:p>
        </w:tc>
        <w:tc>
          <w:tcPr>
            <w:tcW w:w="833" w:type="pct"/>
          </w:tcPr>
          <w:p w14:paraId="311106D0">
            <w:pPr>
              <w:ind w:right="73"/>
              <w:jc w:val="right"/>
            </w:pPr>
            <w:r>
              <w:t>176,377,212.69</w:t>
            </w:r>
          </w:p>
        </w:tc>
        <w:tc>
          <w:tcPr>
            <w:tcW w:w="833" w:type="pct"/>
          </w:tcPr>
          <w:p w14:paraId="7AB6FC33">
            <w:pPr>
              <w:jc w:val="right"/>
            </w:pPr>
          </w:p>
        </w:tc>
        <w:tc>
          <w:tcPr>
            <w:tcW w:w="833" w:type="pct"/>
          </w:tcPr>
          <w:p w14:paraId="1EFD7231">
            <w:pPr>
              <w:jc w:val="right"/>
            </w:pPr>
            <w:r>
              <w:t>176,377,212.69</w:t>
            </w:r>
          </w:p>
        </w:tc>
        <w:tc>
          <w:tcPr>
            <w:tcW w:w="833" w:type="pct"/>
          </w:tcPr>
          <w:p w14:paraId="59357275">
            <w:pPr>
              <w:jc w:val="right"/>
            </w:pPr>
            <w:r>
              <w:t>9.11</w:t>
            </w:r>
          </w:p>
        </w:tc>
        <w:tc>
          <w:tcPr>
            <w:tcW w:w="833" w:type="pct"/>
          </w:tcPr>
          <w:p w14:paraId="4F52D6F2">
            <w:pPr>
              <w:jc w:val="right"/>
            </w:pPr>
            <w:r>
              <w:t>3,011,460.00</w:t>
            </w:r>
          </w:p>
        </w:tc>
      </w:tr>
      <w:tr w14:paraId="1992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vAlign w:val="center"/>
          </w:tcPr>
          <w:p w14:paraId="46B54019">
            <w:pPr>
              <w:ind w:right="105"/>
              <w:jc w:val="center"/>
            </w:pPr>
            <w:r>
              <w:t>第四名</w:t>
            </w:r>
          </w:p>
        </w:tc>
        <w:tc>
          <w:tcPr>
            <w:tcW w:w="833" w:type="pct"/>
          </w:tcPr>
          <w:p w14:paraId="07790C10">
            <w:pPr>
              <w:ind w:right="73"/>
              <w:jc w:val="right"/>
            </w:pPr>
            <w:r>
              <w:t>141,095,938.71</w:t>
            </w:r>
          </w:p>
        </w:tc>
        <w:tc>
          <w:tcPr>
            <w:tcW w:w="833" w:type="pct"/>
          </w:tcPr>
          <w:p w14:paraId="5B95A593">
            <w:pPr>
              <w:jc w:val="right"/>
            </w:pPr>
          </w:p>
        </w:tc>
        <w:tc>
          <w:tcPr>
            <w:tcW w:w="833" w:type="pct"/>
          </w:tcPr>
          <w:p w14:paraId="029DF856">
            <w:pPr>
              <w:jc w:val="right"/>
            </w:pPr>
            <w:r>
              <w:t>141,095,938.71</w:t>
            </w:r>
          </w:p>
        </w:tc>
        <w:tc>
          <w:tcPr>
            <w:tcW w:w="833" w:type="pct"/>
          </w:tcPr>
          <w:p w14:paraId="092AD04F">
            <w:pPr>
              <w:jc w:val="right"/>
            </w:pPr>
            <w:r>
              <w:t>7.28</w:t>
            </w:r>
          </w:p>
        </w:tc>
        <w:tc>
          <w:tcPr>
            <w:tcW w:w="833" w:type="pct"/>
          </w:tcPr>
          <w:p w14:paraId="3BE92212">
            <w:pPr>
              <w:jc w:val="right"/>
            </w:pPr>
            <w:r>
              <w:t>141,095,938.71</w:t>
            </w:r>
          </w:p>
        </w:tc>
      </w:tr>
      <w:tr w14:paraId="768E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vAlign w:val="center"/>
          </w:tcPr>
          <w:p w14:paraId="43BF7FE1">
            <w:pPr>
              <w:ind w:right="105"/>
              <w:jc w:val="center"/>
            </w:pPr>
            <w:r>
              <w:t>第五名</w:t>
            </w:r>
          </w:p>
        </w:tc>
        <w:tc>
          <w:tcPr>
            <w:tcW w:w="833" w:type="pct"/>
          </w:tcPr>
          <w:p w14:paraId="4E0F1B99">
            <w:pPr>
              <w:ind w:right="73"/>
              <w:jc w:val="right"/>
            </w:pPr>
            <w:r>
              <w:t>80,201,028.89</w:t>
            </w:r>
          </w:p>
        </w:tc>
        <w:tc>
          <w:tcPr>
            <w:tcW w:w="833" w:type="pct"/>
          </w:tcPr>
          <w:p w14:paraId="7CCF9178">
            <w:pPr>
              <w:jc w:val="right"/>
            </w:pPr>
          </w:p>
        </w:tc>
        <w:tc>
          <w:tcPr>
            <w:tcW w:w="833" w:type="pct"/>
          </w:tcPr>
          <w:p w14:paraId="15139104">
            <w:pPr>
              <w:jc w:val="right"/>
            </w:pPr>
            <w:r>
              <w:t>80,201,028.89</w:t>
            </w:r>
          </w:p>
        </w:tc>
        <w:tc>
          <w:tcPr>
            <w:tcW w:w="833" w:type="pct"/>
          </w:tcPr>
          <w:p w14:paraId="08FC172B">
            <w:pPr>
              <w:jc w:val="right"/>
            </w:pPr>
            <w:r>
              <w:t>4.14</w:t>
            </w:r>
          </w:p>
        </w:tc>
        <w:tc>
          <w:tcPr>
            <w:tcW w:w="833" w:type="pct"/>
          </w:tcPr>
          <w:p w14:paraId="16ECDA3A">
            <w:pPr>
              <w:jc w:val="right"/>
            </w:pPr>
          </w:p>
        </w:tc>
      </w:tr>
      <w:tr w14:paraId="4542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3" w:type="pct"/>
            <w:vAlign w:val="center"/>
          </w:tcPr>
          <w:p w14:paraId="5CDD7FF0">
            <w:pPr>
              <w:ind w:right="105"/>
              <w:jc w:val="center"/>
            </w:pPr>
            <w:r>
              <w:rPr>
                <w:rFonts w:hint="eastAsia"/>
              </w:rPr>
              <w:t>合计</w:t>
            </w:r>
          </w:p>
        </w:tc>
        <w:tc>
          <w:tcPr>
            <w:tcW w:w="833" w:type="pct"/>
          </w:tcPr>
          <w:p w14:paraId="6230AD5A">
            <w:pPr>
              <w:ind w:right="73"/>
              <w:jc w:val="right"/>
            </w:pPr>
            <w:r>
              <w:t>1,126,216,148.72</w:t>
            </w:r>
          </w:p>
        </w:tc>
        <w:tc>
          <w:tcPr>
            <w:tcW w:w="833" w:type="pct"/>
          </w:tcPr>
          <w:p w14:paraId="11DFD4C9">
            <w:pPr>
              <w:jc w:val="right"/>
            </w:pPr>
          </w:p>
        </w:tc>
        <w:tc>
          <w:tcPr>
            <w:tcW w:w="833" w:type="pct"/>
          </w:tcPr>
          <w:p w14:paraId="65F43CE8">
            <w:pPr>
              <w:jc w:val="right"/>
            </w:pPr>
            <w:r>
              <w:t>1,126,216,148.72</w:t>
            </w:r>
          </w:p>
        </w:tc>
        <w:tc>
          <w:tcPr>
            <w:tcW w:w="833" w:type="pct"/>
          </w:tcPr>
          <w:p w14:paraId="70A71A30">
            <w:pPr>
              <w:jc w:val="right"/>
            </w:pPr>
            <w:r>
              <w:t>58.14</w:t>
            </w:r>
          </w:p>
        </w:tc>
        <w:tc>
          <w:tcPr>
            <w:tcW w:w="833" w:type="pct"/>
          </w:tcPr>
          <w:p w14:paraId="15480FBC">
            <w:pPr>
              <w:jc w:val="right"/>
            </w:pPr>
            <w:r>
              <w:t>562,067,195.30</w:t>
            </w:r>
          </w:p>
        </w:tc>
      </w:tr>
    </w:tbl>
    <w:p w14:paraId="525688EA"/>
    <w:p w14:paraId="112BAE56">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按欠款方归集的期末余额前五名的应收账款情况的说明"/>
        <w:tag w:val="_GBC_5c27d22f220747b1ae5c245364a28655"/>
        <w:id w:val="-259449889"/>
        <w:placeholder>
          <w:docPart w:val="GBC22222222222222222222222222222"/>
        </w:placeholder>
      </w:sdtPr>
      <w:sdtEndPr>
        <w:rPr>
          <w:color w:val="000000" w:themeColor="text1"/>
          <w14:textFill>
            <w14:solidFill>
              <w14:schemeClr w14:val="tx1"/>
            </w14:solidFill>
          </w14:textFill>
        </w:rPr>
      </w:sdtEndPr>
      <w:sdtContent>
        <w:p w14:paraId="0B96535B">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38AFE9FD">
      <w:pPr>
        <w:snapToGrid w:val="0"/>
        <w:spacing w:line="240" w:lineRule="atLeast"/>
        <w:rPr>
          <w:color w:val="000000" w:themeColor="text1"/>
          <w14:textFill>
            <w14:solidFill>
              <w14:schemeClr w14:val="tx1"/>
            </w14:solidFill>
          </w14:textFill>
        </w:rPr>
      </w:pPr>
    </w:p>
    <w:bookmarkEnd w:id="175"/>
    <w:p w14:paraId="0FEF106B">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rFonts w:hint="eastAsia"/>
          <w:color w:val="000000" w:themeColor="text1"/>
          <w14:textFill>
            <w14:solidFill>
              <w14:schemeClr w14:val="tx1"/>
            </w14:solidFill>
          </w14:textFill>
        </w:rPr>
        <w:alias w:val="是否适用：应收账款其他说明[双击切换]"/>
        <w:tag w:val="_GBC_c06434ba43c5400a80d620a65b730fd9"/>
        <w:id w:val="2126498642"/>
        <w:placeholder>
          <w:docPart w:val="GBC22222222222222222222222222222"/>
        </w:placeholder>
      </w:sdtPr>
      <w:sdtEndPr>
        <w:rPr>
          <w:rFonts w:hint="eastAsia"/>
          <w:color w:val="000000" w:themeColor="text1"/>
          <w14:textFill>
            <w14:solidFill>
              <w14:schemeClr w14:val="tx1"/>
            </w14:solidFill>
          </w14:textFill>
        </w:rPr>
      </w:sdtEndPr>
      <w:sdtContent>
        <w:p w14:paraId="480BDE57">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60725C">
      <w:pPr>
        <w:rPr>
          <w:color w:val="000000" w:themeColor="text1"/>
          <w14:textFill>
            <w14:solidFill>
              <w14:schemeClr w14:val="tx1"/>
            </w14:solidFill>
          </w14:textFill>
        </w:rPr>
      </w:pPr>
    </w:p>
    <w:p w14:paraId="28B46124">
      <w:pPr>
        <w:pStyle w:val="4"/>
        <w:numPr>
          <w:ilvl w:val="0"/>
          <w:numId w:val="41"/>
        </w:numPr>
        <w:rPr>
          <w:color w:val="000000" w:themeColor="text1"/>
          <w:szCs w:val="21"/>
          <w14:textFill>
            <w14:solidFill>
              <w14:schemeClr w14:val="tx1"/>
            </w14:solidFill>
          </w14:textFill>
        </w:rPr>
      </w:pPr>
      <w:bookmarkStart w:id="176" w:name="_Hlk10470760"/>
      <w:r>
        <w:rPr>
          <w:color w:val="000000" w:themeColor="text1"/>
          <w:szCs w:val="21"/>
          <w14:textFill>
            <w14:solidFill>
              <w14:schemeClr w14:val="tx1"/>
            </w14:solidFill>
          </w14:textFill>
        </w:rPr>
        <w:t>合同资产</w:t>
      </w:r>
    </w:p>
    <w:p w14:paraId="43D34AA7">
      <w:pPr>
        <w:pStyle w:val="5"/>
        <w:numPr>
          <w:ilvl w:val="3"/>
          <w:numId w:val="44"/>
        </w:numPr>
        <w:ind w:left="426" w:hanging="42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合同资产情况</w:t>
      </w:r>
    </w:p>
    <w:sdt>
      <w:sdtPr>
        <w:rPr>
          <w:color w:val="000000" w:themeColor="text1"/>
          <w14:textFill>
            <w14:solidFill>
              <w14:schemeClr w14:val="tx1"/>
            </w14:solidFill>
          </w14:textFill>
        </w:rPr>
        <w:alias w:val="是否适用：合同资产情况[双击切换]"/>
        <w:tag w:val="_GBC_d77156d135184e21a21238cac863494c"/>
        <w:id w:val="2017346088"/>
        <w:placeholder>
          <w:docPart w:val="GBC22222222222222222222222222222"/>
        </w:placeholder>
      </w:sdtPr>
      <w:sdtEndPr>
        <w:rPr>
          <w:color w:val="000000" w:themeColor="text1"/>
          <w14:textFill>
            <w14:solidFill>
              <w14:schemeClr w14:val="tx1"/>
            </w14:solidFill>
          </w14:textFill>
        </w:rPr>
      </w:sdtEndPr>
      <w:sdtContent>
        <w:p w14:paraId="4F1A89C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8876725">
      <w:pPr>
        <w:rPr>
          <w:color w:val="000000" w:themeColor="text1"/>
          <w14:textFill>
            <w14:solidFill>
              <w14:schemeClr w14:val="tx1"/>
            </w14:solidFill>
          </w14:textFill>
        </w:rPr>
      </w:pPr>
    </w:p>
    <w:bookmarkEnd w:id="176"/>
    <w:p w14:paraId="4DB6F0E7">
      <w:pPr>
        <w:pStyle w:val="5"/>
        <w:numPr>
          <w:ilvl w:val="3"/>
          <w:numId w:val="44"/>
        </w:numPr>
        <w:ind w:left="426" w:hanging="426"/>
        <w:rPr>
          <w:rFonts w:ascii="宋体" w:hAnsi="宋体"/>
          <w:color w:val="000000" w:themeColor="text1"/>
          <w14:textFill>
            <w14:solidFill>
              <w14:schemeClr w14:val="tx1"/>
            </w14:solidFill>
          </w14:textFill>
        </w:rPr>
      </w:pPr>
      <w:bookmarkStart w:id="177" w:name="_Hlk10470932"/>
      <w:bookmarkStart w:id="178" w:name="_Hlk10470942"/>
      <w:r>
        <w:rPr>
          <w:rFonts w:hint="eastAsia" w:ascii="宋体" w:hAnsi="宋体"/>
          <w:color w:val="000000" w:themeColor="text1"/>
          <w14:textFill>
            <w14:solidFill>
              <w14:schemeClr w14:val="tx1"/>
            </w14:solidFill>
          </w14:textFill>
        </w:rPr>
        <w:t>报告期内账面价值发生重大变动的金额和原因</w:t>
      </w:r>
      <w:bookmarkEnd w:id="177"/>
    </w:p>
    <w:sdt>
      <w:sdtPr>
        <w:rPr>
          <w:color w:val="000000" w:themeColor="text1"/>
          <w14:textFill>
            <w14:solidFill>
              <w14:schemeClr w14:val="tx1"/>
            </w14:solidFill>
          </w14:textFill>
        </w:rPr>
        <w:alias w:val="是否适用：合同资产账面价值发生重大变动[双击切换]"/>
        <w:tag w:val="_GBC_4cdeacc1c4f24682b8d7fe35b510e9c1"/>
        <w:id w:val="1293327021"/>
        <w:placeholder>
          <w:docPart w:val="GBC22222222222222222222222222222"/>
        </w:placeholder>
      </w:sdtPr>
      <w:sdtEndPr>
        <w:rPr>
          <w:color w:val="000000" w:themeColor="text1"/>
          <w14:textFill>
            <w14:solidFill>
              <w14:schemeClr w14:val="tx1"/>
            </w14:solidFill>
          </w14:textFill>
        </w:rPr>
      </w:sdtEndPr>
      <w:sdtContent>
        <w:p w14:paraId="63201BD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88C96E0">
      <w:pPr>
        <w:rPr>
          <w:color w:val="000000" w:themeColor="text1"/>
          <w14:textFill>
            <w14:solidFill>
              <w14:schemeClr w14:val="tx1"/>
            </w14:solidFill>
          </w14:textFill>
        </w:rPr>
      </w:pPr>
    </w:p>
    <w:bookmarkEnd w:id="178"/>
    <w:p w14:paraId="67418EF4">
      <w:pPr>
        <w:pStyle w:val="5"/>
        <w:numPr>
          <w:ilvl w:val="3"/>
          <w:numId w:val="44"/>
        </w:numPr>
        <w:ind w:left="426" w:hanging="426"/>
        <w:rPr>
          <w:rFonts w:ascii="宋体" w:hAnsi="宋体"/>
          <w:color w:val="000000" w:themeColor="text1"/>
          <w14:textFill>
            <w14:solidFill>
              <w14:schemeClr w14:val="tx1"/>
            </w14:solidFill>
          </w14:textFill>
        </w:rPr>
      </w:pPr>
      <w:bookmarkStart w:id="179" w:name="_Hlk153378989"/>
      <w:bookmarkStart w:id="180" w:name="_Hlk167887721"/>
      <w:r>
        <w:rPr>
          <w:rFonts w:hint="eastAsia" w:ascii="宋体" w:hAnsi="宋体"/>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按坏账计提方法分类披露[双击切换]"/>
        <w:tag w:val="_GBC_2da6ba8f38a7432c80d6aa0ccacbb195"/>
        <w:id w:val="959777106"/>
        <w:placeholder>
          <w:docPart w:val="GBC22222222222222222222222222222"/>
        </w:placeholder>
      </w:sdtPr>
      <w:sdtEndPr>
        <w:rPr>
          <w:color w:val="000000" w:themeColor="text1"/>
          <w14:textFill>
            <w14:solidFill>
              <w14:schemeClr w14:val="tx1"/>
            </w14:solidFill>
          </w14:textFill>
        </w:rPr>
      </w:sdtEndPr>
      <w:sdtContent>
        <w:p w14:paraId="3D9181C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B105BA7">
      <w:pPr>
        <w:rPr>
          <w:color w:val="000000" w:themeColor="text1"/>
          <w14:textFill>
            <w14:solidFill>
              <w14:schemeClr w14:val="tx1"/>
            </w14:solidFill>
          </w14:textFill>
        </w:rPr>
      </w:pPr>
    </w:p>
    <w:p w14:paraId="60C8ABEE">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c0b8b61f599949688a3e43c3f6163421"/>
        <w:id w:val="-339080166"/>
        <w:placeholder>
          <w:docPart w:val="GBC22222222222222222222222222222"/>
        </w:placeholder>
      </w:sdtPr>
      <w:sdtEndPr>
        <w:rPr>
          <w:color w:val="000000" w:themeColor="text1"/>
          <w14:textFill>
            <w14:solidFill>
              <w14:schemeClr w14:val="tx1"/>
            </w14:solidFill>
          </w14:textFill>
        </w:rPr>
      </w:sdtEndPr>
      <w:sdtContent>
        <w:p w14:paraId="4D342E1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9A775EF">
      <w:pPr>
        <w:rPr>
          <w:color w:val="000000" w:themeColor="text1"/>
          <w14:textFill>
            <w14:solidFill>
              <w14:schemeClr w14:val="tx1"/>
            </w14:solidFill>
          </w14:textFill>
        </w:rPr>
      </w:pPr>
    </w:p>
    <w:p w14:paraId="7408655F">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027a4c6e526b4492855a75bfb12d58be"/>
        <w:id w:val="-1946916146"/>
        <w:placeholder>
          <w:docPart w:val="GBC22222222222222222222222222222"/>
        </w:placeholder>
      </w:sdtPr>
      <w:sdtEndPr>
        <w:rPr>
          <w:color w:val="000000" w:themeColor="text1"/>
          <w14:textFill>
            <w14:solidFill>
              <w14:schemeClr w14:val="tx1"/>
            </w14:solidFill>
          </w14:textFill>
        </w:rPr>
      </w:sdtEndPr>
      <w:sdtContent>
        <w:p w14:paraId="78712BE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8C8817B">
      <w:pPr>
        <w:rPr>
          <w:color w:val="000000" w:themeColor="text1"/>
          <w14:textFill>
            <w14:solidFill>
              <w14:schemeClr w14:val="tx1"/>
            </w14:solidFill>
          </w14:textFill>
        </w:rPr>
      </w:pPr>
    </w:p>
    <w:p w14:paraId="341AEC99">
      <w:pPr>
        <w:rPr>
          <w:rFonts w:ascii="Calibri" w:hAnsi="Calibri" w:cs="Times New Roman"/>
          <w:bCs/>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color w:val="000000" w:themeColor="text1"/>
          <w:szCs w:val="22"/>
          <w14:textFill>
            <w14:solidFill>
              <w14:schemeClr w14:val="tx1"/>
            </w14:solidFill>
          </w14:textFill>
        </w:rPr>
        <w:alias w:val="是否适用：按组合计提坏账准备的详细情况[双击切换]"/>
        <w:tag w:val="_GBC_059f7dfd74cd41d4b2b8918cfc3d067f"/>
        <w:id w:val="-1145732768"/>
        <w:placeholder>
          <w:docPart w:val="GBC22222222222222222222222222222"/>
        </w:placeholder>
      </w:sdtPr>
      <w:sdtEndPr>
        <w:rPr>
          <w:rFonts w:ascii="Calibri" w:hAnsi="Calibri" w:cs="Times New Roman"/>
          <w:bCs/>
          <w:color w:val="000000" w:themeColor="text1"/>
          <w:szCs w:val="22"/>
          <w14:textFill>
            <w14:solidFill>
              <w14:schemeClr w14:val="tx1"/>
            </w14:solidFill>
          </w14:textFill>
        </w:rPr>
      </w:sdtEndPr>
      <w:sdtContent>
        <w:p w14:paraId="2AC361E6">
          <w:pPr>
            <w:rPr>
              <w:color w:val="000000" w:themeColor="text1"/>
              <w14:textFill>
                <w14:solidFill>
                  <w14:schemeClr w14:val="tx1"/>
                </w14:solidFill>
              </w14:textFill>
            </w:rPr>
          </w:pP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color w:val="000000" w:themeColor="text1"/>
              <w:szCs w:val="22"/>
              <w14:textFill>
                <w14:solidFill>
                  <w14:schemeClr w14:val="tx1"/>
                </w14:solidFill>
              </w14:textFill>
            </w:rPr>
            <w:fldChar w:fldCharType="end"/>
          </w: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color w:val="000000" w:themeColor="text1"/>
              <w:szCs w:val="22"/>
              <w14:textFill>
                <w14:solidFill>
                  <w14:schemeClr w14:val="tx1"/>
                </w14:solidFill>
              </w14:textFill>
            </w:rPr>
            <w:fldChar w:fldCharType="end"/>
          </w:r>
        </w:p>
      </w:sdtContent>
    </w:sdt>
    <w:p w14:paraId="48E450FA">
      <w:pPr>
        <w:rPr>
          <w:color w:val="000000" w:themeColor="text1"/>
          <w14:textFill>
            <w14:solidFill>
              <w14:schemeClr w14:val="tx1"/>
            </w14:solidFill>
          </w14:textFill>
        </w:rPr>
      </w:pPr>
    </w:p>
    <w:p w14:paraId="50483AEE">
      <w:pPr>
        <w:rPr>
          <w:rFonts w:ascii="Calibri" w:hAnsi="Calibri" w:cs="Times New Roman"/>
          <w:b/>
          <w:bCs/>
          <w:color w:val="000000" w:themeColor="text1"/>
          <w:szCs w:val="22"/>
          <w14:textFill>
            <w14:solidFill>
              <w14:schemeClr w14:val="tx1"/>
            </w14:solidFill>
          </w14:textFill>
        </w:rPr>
      </w:pPr>
    </w:p>
    <w:bookmarkEnd w:id="179"/>
    <w:p w14:paraId="762E851E">
      <w:pPr>
        <w:rPr>
          <w:rFonts w:cstheme="minorBidi"/>
          <w:bCs/>
          <w:color w:val="000000" w:themeColor="text1"/>
          <w:szCs w:val="22"/>
          <w14:textFill>
            <w14:solidFill>
              <w14:schemeClr w14:val="tx1"/>
            </w14:solidFill>
          </w14:textFill>
        </w:rPr>
      </w:pPr>
      <w:bookmarkStart w:id="181" w:name="_Hlk153379126"/>
      <w:bookmarkStart w:id="182" w:name="_Hlk154135145"/>
      <w:r>
        <w:rPr>
          <w:rFonts w:hint="eastAsia" w:cstheme="minorBidi"/>
          <w:color w:val="000000" w:themeColor="text1"/>
          <w:szCs w:val="22"/>
          <w14:textFill>
            <w14:solidFill>
              <w14:schemeClr w14:val="tx1"/>
            </w14:solidFill>
          </w14:textFill>
        </w:rPr>
        <w:t>按预期信用损失一般模型计提坏账准备</w:t>
      </w:r>
    </w:p>
    <w:sdt>
      <w:sdtPr>
        <w:rPr>
          <w:rFonts w:cstheme="minorBidi"/>
          <w:bCs/>
          <w:color w:val="000000" w:themeColor="text1"/>
          <w:szCs w:val="22"/>
          <w14:textFill>
            <w14:solidFill>
              <w14:schemeClr w14:val="tx1"/>
            </w14:solidFill>
          </w14:textFill>
        </w:rPr>
        <w:alias w:val="是否适用：按预期信用损失一般模型计提坏账准备[双击切换]"/>
        <w:tag w:val="_GBC_9ccc97f60d514bd1ad20e654db46063f"/>
        <w:id w:val="-1537652614"/>
        <w:placeholder>
          <w:docPart w:val="GBC22222222222222222222222222222"/>
        </w:placeholder>
      </w:sdtPr>
      <w:sdtEndPr>
        <w:rPr>
          <w:rFonts w:cstheme="minorBidi"/>
          <w:bCs/>
          <w:color w:val="000000" w:themeColor="text1"/>
          <w:szCs w:val="22"/>
          <w14:textFill>
            <w14:solidFill>
              <w14:schemeClr w14:val="tx1"/>
            </w14:solidFill>
          </w14:textFill>
        </w:rPr>
      </w:sdtEndPr>
      <w:sdtContent>
        <w:p w14:paraId="5A7C844D">
          <w:pPr>
            <w:rPr>
              <w:rFonts w:cstheme="minorBidi"/>
              <w:bCs/>
              <w:color w:val="000000" w:themeColor="text1"/>
              <w:szCs w:val="22"/>
              <w14:textFill>
                <w14:solidFill>
                  <w14:schemeClr w14:val="tx1"/>
                </w14:solidFill>
              </w14:textFill>
            </w:rPr>
          </w:pP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color w:val="000000" w:themeColor="text1"/>
              <w:szCs w:val="22"/>
              <w14:textFill>
                <w14:solidFill>
                  <w14:schemeClr w14:val="tx1"/>
                </w14:solidFill>
              </w14:textFill>
            </w:rPr>
            <w:fldChar w:fldCharType="end"/>
          </w: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color w:val="000000" w:themeColor="text1"/>
              <w:szCs w:val="22"/>
              <w14:textFill>
                <w14:solidFill>
                  <w14:schemeClr w14:val="tx1"/>
                </w14:solidFill>
              </w14:textFill>
            </w:rPr>
            <w:fldChar w:fldCharType="end"/>
          </w:r>
        </w:p>
      </w:sdtContent>
    </w:sdt>
    <w:p w14:paraId="20A0E16A">
      <w:pPr>
        <w:rPr>
          <w:color w:val="000000" w:themeColor="text1"/>
          <w14:textFill>
            <w14:solidFill>
              <w14:schemeClr w14:val="tx1"/>
            </w14:solidFill>
          </w14:textFill>
        </w:rPr>
      </w:pPr>
    </w:p>
    <w:p w14:paraId="7C5FDE9C">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color w:val="000000" w:themeColor="text1"/>
          <w:szCs w:val="22"/>
          <w14:textFill>
            <w14:solidFill>
              <w14:schemeClr w14:val="tx1"/>
            </w14:solidFill>
          </w14:textFill>
        </w:rPr>
        <w:alias w:val="各阶段划分依据和坏账准备计提比例"/>
        <w:tag w:val="_GBC_27f65e0b0d264d76ba6ef36044133df3"/>
        <w:id w:val="-773317931"/>
        <w:placeholder>
          <w:docPart w:val="GBC22222222222222222222222222222"/>
        </w:placeholder>
      </w:sdtPr>
      <w:sdtEndPr>
        <w:rPr>
          <w:rFonts w:cs="Times New Roman"/>
          <w:bCs/>
          <w:color w:val="000000" w:themeColor="text1"/>
          <w:szCs w:val="22"/>
          <w14:textFill>
            <w14:solidFill>
              <w14:schemeClr w14:val="tx1"/>
            </w14:solidFill>
          </w14:textFill>
        </w:rPr>
      </w:sdtEndPr>
      <w:sdtContent>
        <w:p w14:paraId="45E449B7">
          <w:pPr>
            <w:rPr>
              <w:rFonts w:cs="Times New Roman"/>
              <w:bCs/>
              <w:color w:val="000000" w:themeColor="text1"/>
              <w:szCs w:val="22"/>
              <w14:textFill>
                <w14:solidFill>
                  <w14:schemeClr w14:val="tx1"/>
                </w14:solidFill>
              </w14:textFill>
            </w:rPr>
          </w:pPr>
          <w:r>
            <w:rPr>
              <w:rFonts w:hint="eastAsia" w:cs="Times New Roman"/>
              <w:bCs/>
              <w:color w:val="000000" w:themeColor="text1"/>
              <w:szCs w:val="22"/>
              <w14:textFill>
                <w14:solidFill>
                  <w14:schemeClr w14:val="tx1"/>
                </w14:solidFill>
              </w14:textFill>
            </w:rPr>
            <w:t>无</w:t>
          </w:r>
        </w:p>
      </w:sdtContent>
    </w:sdt>
    <w:p w14:paraId="016938C8">
      <w:pPr>
        <w:pStyle w:val="56"/>
        <w:rPr>
          <w:color w:val="000000" w:themeColor="text1"/>
          <w:kern w:val="0"/>
          <w:szCs w:val="24"/>
          <w14:textFill>
            <w14:solidFill>
              <w14:schemeClr w14:val="tx1"/>
            </w14:solidFill>
          </w14:textFill>
        </w:rPr>
      </w:pPr>
    </w:p>
    <w:p w14:paraId="6755D9D6">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对本期发生损失准备变动的合同资产账面余额显著变动的情况说明：</w:t>
      </w:r>
    </w:p>
    <w:sdt>
      <w:sdtPr>
        <w:rPr>
          <w:color w:val="000000" w:themeColor="text1"/>
          <w14:textFill>
            <w14:solidFill>
              <w14:schemeClr w14:val="tx1"/>
            </w14:solidFill>
          </w14:textFill>
        </w:rPr>
        <w:alias w:val="是否适用：对本期发生损失准备变动的账面余额显著变动的情况说明[双击切换]"/>
        <w:tag w:val="_GBC_52ea8710f03d45c5bdb89559e11daa51"/>
        <w:id w:val="-1414474800"/>
        <w:placeholder>
          <w:docPart w:val="GBC22222222222222222222222222222"/>
        </w:placeholder>
      </w:sdtPr>
      <w:sdtEndPr>
        <w:rPr>
          <w:color w:val="000000" w:themeColor="text1"/>
          <w14:textFill>
            <w14:solidFill>
              <w14:schemeClr w14:val="tx1"/>
            </w14:solidFill>
          </w14:textFill>
        </w:rPr>
      </w:sdtEndPr>
      <w:sdtContent>
        <w:p w14:paraId="08AA7802">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4EA4B09">
      <w:pPr>
        <w:rPr>
          <w:rFonts w:asciiTheme="minorHAnsi" w:hAnsiTheme="minorHAnsi" w:cstheme="minorBidi"/>
          <w:b/>
          <w:bCs/>
          <w:color w:val="000000" w:themeColor="text1"/>
          <w:szCs w:val="22"/>
          <w14:textFill>
            <w14:solidFill>
              <w14:schemeClr w14:val="tx1"/>
            </w14:solidFill>
          </w14:textFill>
        </w:rPr>
      </w:pPr>
    </w:p>
    <w:bookmarkEnd w:id="180"/>
    <w:bookmarkEnd w:id="181"/>
    <w:bookmarkEnd w:id="182"/>
    <w:p w14:paraId="410E37EB">
      <w:pPr>
        <w:pStyle w:val="5"/>
        <w:numPr>
          <w:ilvl w:val="3"/>
          <w:numId w:val="44"/>
        </w:numPr>
        <w:ind w:left="426" w:hanging="426"/>
        <w:rPr>
          <w:rFonts w:ascii="宋体" w:hAnsi="宋体"/>
          <w:color w:val="000000" w:themeColor="text1"/>
          <w14:textFill>
            <w14:solidFill>
              <w14:schemeClr w14:val="tx1"/>
            </w14:solidFill>
          </w14:textFill>
        </w:rPr>
      </w:pPr>
      <w:bookmarkStart w:id="183" w:name="_Hlk10470956"/>
      <w:bookmarkStart w:id="184" w:name="_Hlk10470966"/>
      <w:r>
        <w:rPr>
          <w:rFonts w:hint="eastAsia" w:ascii="宋体" w:hAnsi="宋体"/>
          <w:color w:val="000000" w:themeColor="text1"/>
          <w14:textFill>
            <w14:solidFill>
              <w14:schemeClr w14:val="tx1"/>
            </w14:solidFill>
          </w14:textFill>
        </w:rPr>
        <w:t>本期合同资产计提坏账准备情况</w:t>
      </w:r>
      <w:bookmarkEnd w:id="183"/>
    </w:p>
    <w:sdt>
      <w:sdtPr>
        <w:rPr>
          <w:color w:val="000000" w:themeColor="text1"/>
          <w14:textFill>
            <w14:solidFill>
              <w14:schemeClr w14:val="tx1"/>
            </w14:solidFill>
          </w14:textFill>
        </w:rPr>
        <w:alias w:val="是否适用：合同资产减值准备[双击切换]"/>
        <w:tag w:val="_GBC_47f239b7a5d442b0a0a358017de09567"/>
        <w:id w:val="691263344"/>
        <w:placeholder>
          <w:docPart w:val="GBC22222222222222222222222222222"/>
        </w:placeholder>
      </w:sdtPr>
      <w:sdtEndPr>
        <w:rPr>
          <w:color w:val="000000" w:themeColor="text1"/>
          <w14:textFill>
            <w14:solidFill>
              <w14:schemeClr w14:val="tx1"/>
            </w14:solidFill>
          </w14:textFill>
        </w:rPr>
      </w:sdtEndPr>
      <w:sdtContent>
        <w:p w14:paraId="708EDCF6">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FB7398A">
      <w:pPr>
        <w:autoSpaceDE w:val="0"/>
        <w:autoSpaceDN w:val="0"/>
        <w:adjustRightInd w:val="0"/>
        <w:ind w:right="105" w:rightChars="50"/>
        <w:rPr>
          <w:color w:val="000000" w:themeColor="text1"/>
          <w14:textFill>
            <w14:solidFill>
              <w14:schemeClr w14:val="tx1"/>
            </w14:solidFill>
          </w14:textFill>
        </w:rPr>
      </w:pPr>
    </w:p>
    <w:bookmarkEnd w:id="184"/>
    <w:p w14:paraId="0BBB5B96">
      <w:pPr>
        <w:rPr>
          <w:color w:val="000000" w:themeColor="text1"/>
          <w14:textFill>
            <w14:solidFill>
              <w14:schemeClr w14:val="tx1"/>
            </w14:solidFill>
          </w14:textFill>
        </w:rPr>
      </w:pPr>
      <w:bookmarkStart w:id="185" w:name="_Hlk167888739"/>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5a496695d0eb4d6eaee4f7f7f7615f95"/>
        <w:id w:val="1616481641"/>
        <w:placeholder>
          <w:docPart w:val="GBC22222222222222222222222222222"/>
        </w:placeholder>
      </w:sdtPr>
      <w:sdtEndPr>
        <w:rPr>
          <w:color w:val="000000" w:themeColor="text1"/>
          <w14:textFill>
            <w14:solidFill>
              <w14:schemeClr w14:val="tx1"/>
            </w14:solidFill>
          </w14:textFill>
        </w:rPr>
      </w:sdtEndPr>
      <w:sdtContent>
        <w:p w14:paraId="16A3A63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0B75F67">
      <w:pPr>
        <w:rPr>
          <w:color w:val="000000" w:themeColor="text1"/>
          <w14:textFill>
            <w14:solidFill>
              <w14:schemeClr w14:val="tx1"/>
            </w14:solidFill>
          </w14:textFill>
        </w:rPr>
      </w:pPr>
    </w:p>
    <w:p w14:paraId="25E1171A">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1e07c21bc8844634b0354dd2ff775cf3"/>
        <w:id w:val="1426536083"/>
        <w:placeholder>
          <w:docPart w:val="GBC22222222222222222222222222222"/>
        </w:placeholder>
      </w:sdtPr>
      <w:sdtEndPr>
        <w:rPr>
          <w:color w:val="000000" w:themeColor="text1"/>
          <w14:textFill>
            <w14:solidFill>
              <w14:schemeClr w14:val="tx1"/>
            </w14:solidFill>
          </w14:textFill>
        </w:rPr>
      </w:sdtEndPr>
      <w:sdtContent>
        <w:p w14:paraId="505C3D45">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714F2D97">
      <w:pPr>
        <w:ind w:right="-1594" w:rightChars="-759"/>
        <w:rPr>
          <w:color w:val="000000" w:themeColor="text1"/>
          <w14:textFill>
            <w14:solidFill>
              <w14:schemeClr w14:val="tx1"/>
            </w14:solidFill>
          </w14:textFill>
        </w:rPr>
      </w:pPr>
    </w:p>
    <w:bookmarkEnd w:id="185"/>
    <w:p w14:paraId="2481E084">
      <w:pPr>
        <w:pStyle w:val="5"/>
        <w:numPr>
          <w:ilvl w:val="3"/>
          <w:numId w:val="44"/>
        </w:numPr>
        <w:ind w:left="426" w:hanging="426"/>
        <w:rPr>
          <w:rFonts w:ascii="宋体" w:hAnsi="宋体"/>
          <w:color w:val="000000" w:themeColor="text1"/>
          <w14:textFill>
            <w14:solidFill>
              <w14:schemeClr w14:val="tx1"/>
            </w14:solidFill>
          </w14:textFill>
        </w:rPr>
      </w:pPr>
      <w:bookmarkStart w:id="186" w:name="_Hlk153379426"/>
      <w:bookmarkStart w:id="187" w:name="_Hlk167888904"/>
      <w:r>
        <w:rPr>
          <w:rFonts w:hint="eastAsia" w:ascii="宋体" w:hAnsi="宋体"/>
          <w:color w:val="000000" w:themeColor="text1"/>
          <w14:textFill>
            <w14:solidFill>
              <w14:schemeClr w14:val="tx1"/>
            </w14:solidFill>
          </w14:textFill>
        </w:rPr>
        <w:t>本期实际核销的合同资产情况</w:t>
      </w:r>
    </w:p>
    <w:sdt>
      <w:sdtPr>
        <w:rPr>
          <w:color w:val="000000" w:themeColor="text1"/>
          <w14:textFill>
            <w14:solidFill>
              <w14:schemeClr w14:val="tx1"/>
            </w14:solidFill>
          </w14:textFill>
        </w:rPr>
        <w:alias w:val="是否适用：实际核销的情况[双击切换]"/>
        <w:tag w:val="_GBC_a2fe224348004dacb76f7686b01b39be"/>
        <w:id w:val="-368990376"/>
        <w:placeholder>
          <w:docPart w:val="GBC22222222222222222222222222222"/>
        </w:placeholder>
      </w:sdtPr>
      <w:sdtEndPr>
        <w:rPr>
          <w:color w:val="000000" w:themeColor="text1"/>
          <w14:textFill>
            <w14:solidFill>
              <w14:schemeClr w14:val="tx1"/>
            </w14:solidFill>
          </w14:textFill>
        </w:rPr>
      </w:sdtEndPr>
      <w:sdtContent>
        <w:p w14:paraId="39ACD85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A664D13">
      <w:pPr>
        <w:rPr>
          <w:color w:val="000000" w:themeColor="text1"/>
          <w14:textFill>
            <w14:solidFill>
              <w14:schemeClr w14:val="tx1"/>
            </w14:solidFill>
          </w14:textFill>
        </w:rPr>
      </w:pPr>
    </w:p>
    <w:p w14:paraId="372906C7">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其中重要的合同资产核销情况</w:t>
      </w:r>
    </w:p>
    <w:sdt>
      <w:sdtPr>
        <w:rPr>
          <w:rFonts w:hint="eastAsia"/>
          <w:color w:val="000000" w:themeColor="text1"/>
          <w14:textFill>
            <w14:solidFill>
              <w14:schemeClr w14:val="tx1"/>
            </w14:solidFill>
          </w14:textFill>
        </w:rPr>
        <w:alias w:val="是否适用：重要的核销情况[双击切换]"/>
        <w:tag w:val="_GBC_6bcd1c712b36426ab4d08b134810344a"/>
        <w:id w:val="802661771"/>
        <w:placeholder>
          <w:docPart w:val="GBC22222222222222222222222222222"/>
        </w:placeholder>
      </w:sdtPr>
      <w:sdtEndPr>
        <w:rPr>
          <w:rFonts w:hint="eastAsia"/>
          <w:color w:val="000000" w:themeColor="text1"/>
          <w14:textFill>
            <w14:solidFill>
              <w14:schemeClr w14:val="tx1"/>
            </w14:solidFill>
          </w14:textFill>
        </w:rPr>
      </w:sdtEndPr>
      <w:sdtContent>
        <w:p w14:paraId="6B481A1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554C463">
      <w:pPr>
        <w:rPr>
          <w:color w:val="000000" w:themeColor="text1"/>
          <w14:textFill>
            <w14:solidFill>
              <w14:schemeClr w14:val="tx1"/>
            </w14:solidFill>
          </w14:textFill>
        </w:rPr>
      </w:pPr>
    </w:p>
    <w:p w14:paraId="58B02699">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合同资产核销说明：</w:t>
      </w:r>
    </w:p>
    <w:sdt>
      <w:sdtPr>
        <w:rPr>
          <w:color w:val="000000" w:themeColor="text1"/>
          <w14:textFill>
            <w14:solidFill>
              <w14:schemeClr w14:val="tx1"/>
            </w14:solidFill>
          </w14:textFill>
        </w:rPr>
        <w:alias w:val="是否适用：核销说明[双击切换]"/>
        <w:tag w:val="_GBC_63a73902686f443c9c4dcd3cd18e6da4"/>
        <w:id w:val="521979124"/>
        <w:placeholder>
          <w:docPart w:val="GBC22222222222222222222222222222"/>
        </w:placeholder>
      </w:sdtPr>
      <w:sdtEndPr>
        <w:rPr>
          <w:color w:val="000000" w:themeColor="text1"/>
          <w14:textFill>
            <w14:solidFill>
              <w14:schemeClr w14:val="tx1"/>
            </w14:solidFill>
          </w14:textFill>
        </w:rPr>
      </w:sdtEndPr>
      <w:sdtContent>
        <w:p w14:paraId="2604BCFB">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F6F35E">
      <w:pPr>
        <w:rPr>
          <w:color w:val="000000" w:themeColor="text1"/>
          <w14:textFill>
            <w14:solidFill>
              <w14:schemeClr w14:val="tx1"/>
            </w14:solidFill>
          </w14:textFill>
        </w:rPr>
      </w:pPr>
    </w:p>
    <w:bookmarkEnd w:id="186"/>
    <w:bookmarkEnd w:id="187"/>
    <w:p w14:paraId="6D91DE12">
      <w:pPr>
        <w:rPr>
          <w:color w:val="000000" w:themeColor="text1"/>
          <w14:textFill>
            <w14:solidFill>
              <w14:schemeClr w14:val="tx1"/>
            </w14:solidFill>
          </w14:textFill>
        </w:rPr>
      </w:pPr>
      <w:bookmarkStart w:id="188" w:name="_Hlk10471002"/>
      <w:bookmarkStart w:id="189" w:name="_Hlk10471011"/>
      <w:r>
        <w:rPr>
          <w:rFonts w:hint="eastAsia"/>
          <w:color w:val="000000" w:themeColor="text1"/>
          <w14:textFill>
            <w14:solidFill>
              <w14:schemeClr w14:val="tx1"/>
            </w14:solidFill>
          </w14:textFill>
        </w:rPr>
        <w:t>其他说明：</w:t>
      </w:r>
      <w:bookmarkEnd w:id="188"/>
    </w:p>
    <w:sdt>
      <w:sdtPr>
        <w:rPr>
          <w:color w:val="000000" w:themeColor="text1"/>
          <w14:textFill>
            <w14:solidFill>
              <w14:schemeClr w14:val="tx1"/>
            </w14:solidFill>
          </w14:textFill>
        </w:rPr>
        <w:alias w:val="是否适用：合同资产其他说明[双击切换]"/>
        <w:tag w:val="_GBC_06cd3c0f93454d76bd0c7e20322e8a49"/>
        <w:id w:val="907340512"/>
        <w:placeholder>
          <w:docPart w:val="GBC22222222222222222222222222222"/>
        </w:placeholder>
      </w:sdtPr>
      <w:sdtEndPr>
        <w:rPr>
          <w:color w:val="000000" w:themeColor="text1"/>
          <w14:textFill>
            <w14:solidFill>
              <w14:schemeClr w14:val="tx1"/>
            </w14:solidFill>
          </w14:textFill>
        </w:rPr>
      </w:sdtEndPr>
      <w:sdtContent>
        <w:p w14:paraId="0A0A40D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89"/>
    <w:p w14:paraId="341B43A3">
      <w:pPr>
        <w:rPr>
          <w:color w:val="000000" w:themeColor="text1"/>
          <w14:textFill>
            <w14:solidFill>
              <w14:schemeClr w14:val="tx1"/>
            </w14:solidFill>
          </w14:textFill>
        </w:rPr>
      </w:pPr>
    </w:p>
    <w:p w14:paraId="112186EB">
      <w:pPr>
        <w:pStyle w:val="4"/>
        <w:numPr>
          <w:ilvl w:val="0"/>
          <w:numId w:val="41"/>
        </w:numPr>
        <w:rPr>
          <w:color w:val="000000" w:themeColor="text1"/>
          <w:szCs w:val="21"/>
          <w14:textFill>
            <w14:solidFill>
              <w14:schemeClr w14:val="tx1"/>
            </w14:solidFill>
          </w14:textFill>
        </w:rPr>
      </w:pPr>
      <w:bookmarkStart w:id="190" w:name="_Hlk24102175"/>
      <w:bookmarkStart w:id="191" w:name="_Hlk167889313"/>
      <w:r>
        <w:rPr>
          <w:color w:val="000000" w:themeColor="text1"/>
          <w:szCs w:val="21"/>
          <w14:textFill>
            <w14:solidFill>
              <w14:schemeClr w14:val="tx1"/>
            </w14:solidFill>
          </w14:textFill>
        </w:rPr>
        <w:t>应收款项融资</w:t>
      </w:r>
    </w:p>
    <w:p w14:paraId="203EC159">
      <w:pPr>
        <w:pStyle w:val="5"/>
        <w:numPr>
          <w:ilvl w:val="0"/>
          <w:numId w:val="45"/>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应收款项融资分类列示</w:t>
      </w:r>
    </w:p>
    <w:sdt>
      <w:sdtPr>
        <w:rPr>
          <w:color w:val="000000" w:themeColor="text1"/>
          <w14:textFill>
            <w14:solidFill>
              <w14:schemeClr w14:val="tx1"/>
            </w14:solidFill>
          </w14:textFill>
        </w:rPr>
        <w:alias w:val="是否适用：应收款项融资[双击切换]"/>
        <w:tag w:val="_GBC_ef490af2ae9646548061648e78d3873a"/>
        <w:id w:val="-78681704"/>
        <w:placeholder>
          <w:docPart w:val="GBC22222222222222222222222222222"/>
        </w:placeholder>
      </w:sdtPr>
      <w:sdtEndPr>
        <w:rPr>
          <w:color w:val="000000" w:themeColor="text1"/>
          <w14:textFill>
            <w14:solidFill>
              <w14:schemeClr w14:val="tx1"/>
            </w14:solidFill>
          </w14:textFill>
        </w:rPr>
      </w:sdtEndPr>
      <w:sdtContent>
        <w:p w14:paraId="414F809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2F18EF">
      <w:pPr>
        <w:ind w:left="420" w:right="-98"/>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应收款项融资"/>
          <w:tag w:val="_GBC_7cda8ff350bd4c7eba83f28198343ec1"/>
          <w:id w:val="13118358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应收款项融资"/>
          <w:tag w:val="_GBC_a63c9a5583bd46debcf8ddc8f5c8b5c5"/>
          <w:id w:val="-17714653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5"/>
        <w:gridCol w:w="2897"/>
        <w:gridCol w:w="2907"/>
      </w:tblGrid>
      <w:tr w14:paraId="50CA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rPr>
            <w:tag w:val="_PLD_17a5cb5b46ad4341aab7ca7400bbb71f"/>
            <w:id w:val="1555034158"/>
          </w:sdtPr>
          <w:sdtEndPr>
            <w:rPr>
              <w:rFonts w:asciiTheme="minorEastAsia" w:hAnsiTheme="minorEastAsia" w:eastAsiaTheme="minorEastAsia"/>
            </w:rPr>
          </w:sdtEndPr>
          <w:sdtContent>
            <w:tc>
              <w:tcPr>
                <w:tcW w:w="1793" w:type="pct"/>
                <w:vAlign w:val="center"/>
              </w:tcPr>
              <w:p w14:paraId="35F673E0">
                <w:pPr>
                  <w:jc w:val="center"/>
                  <w:rPr>
                    <w:rFonts w:asciiTheme="minorEastAsia" w:hAnsiTheme="minorEastAsia" w:eastAsiaTheme="minorEastAsia"/>
                    <w:color w:val="000000" w:themeColor="text1"/>
                    <w14:textFill>
                      <w14:solidFill>
                        <w14:schemeClr w14:val="tx1"/>
                      </w14:solidFill>
                    </w14:textFill>
                  </w:rPr>
                </w:pPr>
                <w:bookmarkStart w:id="192" w:name="_Hlk13057555"/>
                <w:bookmarkStart w:id="193" w:name="_Hlk12969247"/>
                <w:r>
                  <w:rPr>
                    <w:rFonts w:hint="eastAsia" w:asciiTheme="minorEastAsia" w:hAnsiTheme="minorEastAsia" w:eastAsiaTheme="minorEastAsia"/>
                    <w:color w:val="000000" w:themeColor="text1"/>
                    <w14:textFill>
                      <w14:solidFill>
                        <w14:schemeClr w14:val="tx1"/>
                      </w14:solidFill>
                    </w14:textFill>
                  </w:rPr>
                  <w:t>项目</w:t>
                </w:r>
              </w:p>
            </w:tc>
          </w:sdtContent>
        </w:sdt>
        <w:sdt>
          <w:sdtPr>
            <w:rPr>
              <w:rFonts w:asciiTheme="minorEastAsia" w:hAnsiTheme="minorEastAsia" w:eastAsiaTheme="minorEastAsia"/>
            </w:rPr>
            <w:tag w:val="_PLD_22382bb64684420586d7f6150fc2ba41"/>
            <w:id w:val="2067447391"/>
          </w:sdtPr>
          <w:sdtEndPr>
            <w:rPr>
              <w:rFonts w:asciiTheme="minorEastAsia" w:hAnsiTheme="minorEastAsia" w:eastAsiaTheme="minorEastAsia"/>
            </w:rPr>
          </w:sdtEndPr>
          <w:sdtContent>
            <w:tc>
              <w:tcPr>
                <w:tcW w:w="1601" w:type="pct"/>
                <w:vAlign w:val="center"/>
              </w:tcPr>
              <w:p w14:paraId="47B89D24">
                <w:pPr>
                  <w:autoSpaceDE w:val="0"/>
                  <w:autoSpaceDN w:val="0"/>
                  <w:adjustRightInd w:val="0"/>
                  <w:snapToGrid w:val="0"/>
                  <w:spacing w:line="240" w:lineRule="atLeas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期末余额</w:t>
                </w:r>
              </w:p>
            </w:tc>
          </w:sdtContent>
        </w:sdt>
        <w:sdt>
          <w:sdtPr>
            <w:rPr>
              <w:rFonts w:asciiTheme="minorEastAsia" w:hAnsiTheme="minorEastAsia" w:eastAsiaTheme="minorEastAsia"/>
            </w:rPr>
            <w:tag w:val="_PLD_ea864dd29d6649ad84845cfd97103d69"/>
            <w:id w:val="-1350090980"/>
          </w:sdtPr>
          <w:sdtEndPr>
            <w:rPr>
              <w:rFonts w:asciiTheme="minorEastAsia" w:hAnsiTheme="minorEastAsia" w:eastAsiaTheme="minorEastAsia"/>
            </w:rPr>
          </w:sdtEndPr>
          <w:sdtContent>
            <w:tc>
              <w:tcPr>
                <w:tcW w:w="1606" w:type="pct"/>
                <w:vAlign w:val="center"/>
              </w:tcPr>
              <w:p w14:paraId="73289170">
                <w:pPr>
                  <w:autoSpaceDE w:val="0"/>
                  <w:autoSpaceDN w:val="0"/>
                  <w:adjustRightInd w:val="0"/>
                  <w:snapToGrid w:val="0"/>
                  <w:spacing w:line="240" w:lineRule="atLeast"/>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期初余额</w:t>
                </w:r>
              </w:p>
            </w:tc>
          </w:sdtContent>
        </w:sdt>
      </w:tr>
      <w:tr w14:paraId="40CE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pct"/>
          </w:tcPr>
          <w:p w14:paraId="107F570B">
            <w:pPr>
              <w:jc w:val="center"/>
              <w:rPr>
                <w:rFonts w:cs="Times New Roman" w:asciiTheme="minorEastAsia" w:hAnsiTheme="minorEastAsia" w:eastAsiaTheme="minorEastAsia"/>
                <w:color w:val="000000"/>
              </w:rPr>
            </w:pPr>
            <w:r>
              <w:rPr>
                <w:rFonts w:cs="Times New Roman" w:asciiTheme="minorEastAsia" w:hAnsiTheme="minorEastAsia" w:eastAsiaTheme="minorEastAsia"/>
                <w:color w:val="000000"/>
              </w:rPr>
              <w:t>银行承兑汇票</w:t>
            </w:r>
          </w:p>
        </w:tc>
        <w:tc>
          <w:tcPr>
            <w:tcW w:w="1601" w:type="pct"/>
            <w:vAlign w:val="center"/>
          </w:tcPr>
          <w:p w14:paraId="3CAD3DBD">
            <w:pPr>
              <w:jc w:val="right"/>
              <w:rPr>
                <w:rFonts w:cs="Times New Roman" w:asciiTheme="minorEastAsia" w:hAnsiTheme="minorEastAsia" w:eastAsiaTheme="minorEastAsia"/>
                <w:color w:val="000000"/>
              </w:rPr>
            </w:pPr>
            <w:r>
              <w:rPr>
                <w:rFonts w:cs="Times New Roman" w:asciiTheme="minorEastAsia" w:hAnsiTheme="minorEastAsia" w:eastAsiaTheme="minorEastAsia"/>
                <w:color w:val="000000"/>
              </w:rPr>
              <w:t>248,761,333.31</w:t>
            </w:r>
          </w:p>
        </w:tc>
        <w:tc>
          <w:tcPr>
            <w:tcW w:w="1606" w:type="pct"/>
            <w:vAlign w:val="center"/>
          </w:tcPr>
          <w:p w14:paraId="1CAD192F">
            <w:pPr>
              <w:jc w:val="right"/>
              <w:rPr>
                <w:rFonts w:cs="Times New Roman" w:asciiTheme="minorEastAsia" w:hAnsiTheme="minorEastAsia" w:eastAsiaTheme="minorEastAsia"/>
                <w:color w:val="000000"/>
              </w:rPr>
            </w:pPr>
            <w:r>
              <w:rPr>
                <w:rFonts w:cs="Times New Roman" w:asciiTheme="minorEastAsia" w:hAnsiTheme="minorEastAsia" w:eastAsiaTheme="minorEastAsia"/>
                <w:color w:val="000000"/>
              </w:rPr>
              <w:t xml:space="preserve">24,235,235.08 </w:t>
            </w:r>
          </w:p>
        </w:tc>
      </w:tr>
      <w:tr w14:paraId="311E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3" w:type="pct"/>
            <w:vAlign w:val="center"/>
          </w:tcPr>
          <w:p w14:paraId="5402A84F">
            <w:pPr>
              <w:jc w:val="center"/>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合计</w:t>
            </w:r>
          </w:p>
        </w:tc>
        <w:tc>
          <w:tcPr>
            <w:tcW w:w="1601" w:type="pct"/>
            <w:vAlign w:val="center"/>
          </w:tcPr>
          <w:p w14:paraId="34A4B274">
            <w:pPr>
              <w:jc w:val="right"/>
              <w:rPr>
                <w:rFonts w:asciiTheme="minorEastAsia" w:hAnsiTheme="minorEastAsia" w:eastAsiaTheme="minorEastAsia"/>
              </w:rPr>
            </w:pPr>
            <w:r>
              <w:rPr>
                <w:rFonts w:asciiTheme="minorEastAsia" w:hAnsiTheme="minorEastAsia" w:eastAsiaTheme="minorEastAsia"/>
              </w:rPr>
              <w:t>248,761,333.31</w:t>
            </w:r>
          </w:p>
        </w:tc>
        <w:tc>
          <w:tcPr>
            <w:tcW w:w="1606" w:type="pct"/>
            <w:vAlign w:val="center"/>
          </w:tcPr>
          <w:p w14:paraId="2CEE7CF9">
            <w:pPr>
              <w:jc w:val="right"/>
              <w:rPr>
                <w:rFonts w:asciiTheme="minorEastAsia" w:hAnsiTheme="minorEastAsia" w:eastAsiaTheme="minorEastAsia"/>
              </w:rPr>
            </w:pPr>
            <w:r>
              <w:rPr>
                <w:rFonts w:asciiTheme="minorEastAsia" w:hAnsiTheme="minorEastAsia" w:eastAsiaTheme="minorEastAsia"/>
              </w:rPr>
              <w:t>24,235,235.08</w:t>
            </w:r>
          </w:p>
        </w:tc>
      </w:tr>
    </w:tbl>
    <w:p w14:paraId="3CEF19A8">
      <w:pPr>
        <w:rPr>
          <w:color w:val="000000" w:themeColor="text1"/>
          <w14:textFill>
            <w14:solidFill>
              <w14:schemeClr w14:val="tx1"/>
            </w14:solidFill>
          </w14:textFill>
        </w:rPr>
      </w:pPr>
    </w:p>
    <w:p w14:paraId="002F275A">
      <w:pPr>
        <w:pStyle w:val="5"/>
        <w:numPr>
          <w:ilvl w:val="0"/>
          <w:numId w:val="45"/>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期末公司已质押的应收款项融资</w:t>
      </w:r>
    </w:p>
    <w:sdt>
      <w:sdtPr>
        <w:rPr>
          <w:color w:val="000000" w:themeColor="text1"/>
          <w14:textFill>
            <w14:solidFill>
              <w14:schemeClr w14:val="tx1"/>
            </w14:solidFill>
          </w14:textFill>
        </w:rPr>
        <w:alias w:val="是否适用：期末公司已质押的应收款项融资[双击切换]"/>
        <w:tag w:val="_GBC_be6effae9a0c46449ee5beec6506abc0"/>
        <w:id w:val="1765331410"/>
        <w:placeholder>
          <w:docPart w:val="GBC22222222222222222222222222222"/>
        </w:placeholder>
      </w:sdtPr>
      <w:sdtEndPr>
        <w:rPr>
          <w:color w:val="000000" w:themeColor="text1"/>
          <w14:textFill>
            <w14:solidFill>
              <w14:schemeClr w14:val="tx1"/>
            </w14:solidFill>
          </w14:textFill>
        </w:rPr>
      </w:sdtEndPr>
      <w:sdtContent>
        <w:p w14:paraId="6B525F2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27831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期末公司已质押的应收款项融资"/>
          <w:tag w:val="_GBC_d5b5d76f0a1b4e0bb0b8d403771b727f"/>
          <w:id w:val="-61398092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期末公司已质押的应收款项融资"/>
          <w:tag w:val="_GBC_b989339573984609b5b10312d5c8b14f"/>
          <w:id w:val="-7978405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9"/>
        <w:gridCol w:w="4660"/>
      </w:tblGrid>
      <w:tr w14:paraId="7DB8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dc8a0be36b54cc3b427c5e0c2a2eaa3"/>
            <w:id w:val="1628499958"/>
          </w:sdtPr>
          <w:sdtContent>
            <w:tc>
              <w:tcPr>
                <w:tcW w:w="2425" w:type="pct"/>
                <w:tcBorders>
                  <w:top w:val="single" w:color="auto" w:sz="4" w:space="0"/>
                  <w:left w:val="single" w:color="auto" w:sz="4" w:space="0"/>
                  <w:bottom w:val="single" w:color="auto" w:sz="4" w:space="0"/>
                  <w:right w:val="single" w:color="auto" w:sz="4" w:space="0"/>
                </w:tcBorders>
                <w:vAlign w:val="center"/>
              </w:tcPr>
              <w:p w14:paraId="4E152FD2">
                <w:pPr>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56138168a7ea44908a9f9c168b7cbfeb"/>
            <w:id w:val="529999060"/>
          </w:sdtPr>
          <w:sdtContent>
            <w:tc>
              <w:tcPr>
                <w:tcW w:w="2575" w:type="pct"/>
                <w:tcBorders>
                  <w:top w:val="single" w:color="auto" w:sz="4" w:space="0"/>
                  <w:left w:val="single" w:color="auto" w:sz="4" w:space="0"/>
                  <w:bottom w:val="single" w:color="auto" w:sz="4" w:space="0"/>
                  <w:right w:val="single" w:color="auto" w:sz="4" w:space="0"/>
                </w:tcBorders>
                <w:vAlign w:val="center"/>
              </w:tcPr>
              <w:p w14:paraId="05599060">
                <w:pPr>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期末已质押金额</w:t>
                </w:r>
              </w:p>
            </w:tc>
          </w:sdtContent>
        </w:sdt>
      </w:tr>
      <w:tr w14:paraId="61D0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tcPr>
          <w:p w14:paraId="01AA3B0F">
            <w:pPr>
              <w:snapToGrid w:val="0"/>
              <w:spacing w:line="240" w:lineRule="atLeast"/>
              <w:jc w:val="center"/>
            </w:pPr>
            <w:r>
              <w:t>银行承兑汇票</w:t>
            </w:r>
          </w:p>
        </w:tc>
        <w:tc>
          <w:tcPr>
            <w:tcW w:w="2575" w:type="pct"/>
            <w:tcBorders>
              <w:top w:val="single" w:color="auto" w:sz="4" w:space="0"/>
              <w:left w:val="single" w:color="auto" w:sz="4" w:space="0"/>
              <w:bottom w:val="single" w:color="auto" w:sz="4" w:space="0"/>
              <w:right w:val="single" w:color="auto" w:sz="4" w:space="0"/>
            </w:tcBorders>
          </w:tcPr>
          <w:p w14:paraId="4157155D">
            <w:pPr>
              <w:snapToGrid w:val="0"/>
              <w:spacing w:line="240" w:lineRule="atLeast"/>
              <w:jc w:val="right"/>
            </w:pPr>
            <w:r>
              <w:t>234,968,596.32</w:t>
            </w:r>
          </w:p>
        </w:tc>
      </w:tr>
      <w:tr w14:paraId="5A66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pct"/>
            <w:tcBorders>
              <w:top w:val="single" w:color="auto" w:sz="4" w:space="0"/>
              <w:left w:val="single" w:color="auto" w:sz="4" w:space="0"/>
              <w:bottom w:val="single" w:color="auto" w:sz="4" w:space="0"/>
              <w:right w:val="single" w:color="auto" w:sz="4" w:space="0"/>
            </w:tcBorders>
            <w:vAlign w:val="center"/>
          </w:tcPr>
          <w:p w14:paraId="1A3B4744">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575" w:type="pct"/>
            <w:tcBorders>
              <w:top w:val="single" w:color="auto" w:sz="4" w:space="0"/>
              <w:left w:val="single" w:color="auto" w:sz="4" w:space="0"/>
              <w:bottom w:val="single" w:color="auto" w:sz="4" w:space="0"/>
              <w:right w:val="single" w:color="auto" w:sz="4" w:space="0"/>
            </w:tcBorders>
          </w:tcPr>
          <w:p w14:paraId="12486EF1">
            <w:pPr>
              <w:jc w:val="right"/>
            </w:pPr>
            <w:r>
              <w:t>234,968,596.32</w:t>
            </w:r>
          </w:p>
        </w:tc>
      </w:tr>
    </w:tbl>
    <w:p w14:paraId="011E2B3C"/>
    <w:p w14:paraId="57F32DA7">
      <w:pPr>
        <w:pStyle w:val="5"/>
        <w:numPr>
          <w:ilvl w:val="0"/>
          <w:numId w:val="45"/>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期末公司已背书或贴现且在资产负债表日尚未到期的应收款项融资</w:t>
      </w:r>
    </w:p>
    <w:sdt>
      <w:sdtPr>
        <w:rPr>
          <w:color w:val="000000" w:themeColor="text1"/>
          <w14:textFill>
            <w14:solidFill>
              <w14:schemeClr w14:val="tx1"/>
            </w14:solidFill>
          </w14:textFill>
        </w:rPr>
        <w:alias w:val="是否适用：期末公司已背书或贴现且在资产负债表日尚未到期的应收款项融资[双击切换]"/>
        <w:tag w:val="_GBC_5aba7034811c436e8fdb090306fae25a"/>
        <w:id w:val="741609242"/>
        <w:placeholder>
          <w:docPart w:val="GBC22222222222222222222222222222"/>
        </w:placeholder>
      </w:sdtPr>
      <w:sdtEndPr>
        <w:rPr>
          <w:color w:val="000000" w:themeColor="text1"/>
          <w14:textFill>
            <w14:solidFill>
              <w14:schemeClr w14:val="tx1"/>
            </w14:solidFill>
          </w14:textFill>
        </w:rPr>
      </w:sdtEndPr>
      <w:sdtContent>
        <w:p w14:paraId="7D24C16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5183EE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期末公司已背书或贴现且在资产负债表日尚未到期的应收款项融资"/>
          <w:tag w:val="_GBC_5629d3c7de2b430d964f79cd2922bbdd"/>
          <w:id w:val="-132435289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期末公司已背书或贴现且在资产负债表日尚未到期的应收款项融资"/>
          <w:tag w:val="_GBC_842647628955436292dcb5dbd82fc82a"/>
          <w:id w:val="17461460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3050"/>
        <w:gridCol w:w="3122"/>
      </w:tblGrid>
      <w:tr w14:paraId="23F4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1ee0c7055824e0a8c4e9342c43c1998"/>
            <w:id w:val="1342504012"/>
          </w:sdtPr>
          <w:sdtContent>
            <w:tc>
              <w:tcPr>
                <w:tcW w:w="2877" w:type="dxa"/>
                <w:vAlign w:val="center"/>
              </w:tcPr>
              <w:p w14:paraId="6673AE5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e215b5b595d4f9087594da41584b53d"/>
            <w:id w:val="1762949598"/>
          </w:sdtPr>
          <w:sdtContent>
            <w:tc>
              <w:tcPr>
                <w:tcW w:w="3050" w:type="dxa"/>
                <w:vAlign w:val="center"/>
              </w:tcPr>
              <w:p w14:paraId="2DF0AE3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期末终止确认金额</w:t>
                </w:r>
              </w:p>
            </w:tc>
          </w:sdtContent>
        </w:sdt>
        <w:sdt>
          <w:sdtPr>
            <w:tag w:val="_PLD_a58273833d134754b8f63be5a98d3b7b"/>
            <w:id w:val="-1748724063"/>
          </w:sdtPr>
          <w:sdtContent>
            <w:tc>
              <w:tcPr>
                <w:tcW w:w="3122" w:type="dxa"/>
                <w:vAlign w:val="center"/>
              </w:tcPr>
              <w:p w14:paraId="3D90238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期末未终止确认金额</w:t>
                </w:r>
              </w:p>
            </w:tc>
          </w:sdtContent>
        </w:sdt>
      </w:tr>
      <w:tr w14:paraId="6C34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77" w:type="dxa"/>
          </w:tcPr>
          <w:p w14:paraId="3E13C12B">
            <w:pPr>
              <w:jc w:val="center"/>
            </w:pPr>
            <w:r>
              <w:t>银行承兑汇票</w:t>
            </w:r>
          </w:p>
        </w:tc>
        <w:tc>
          <w:tcPr>
            <w:tcW w:w="3050" w:type="dxa"/>
          </w:tcPr>
          <w:p w14:paraId="3F3494D0">
            <w:pPr>
              <w:jc w:val="right"/>
            </w:pPr>
            <w:r>
              <w:t>3,023,329,595.68</w:t>
            </w:r>
          </w:p>
        </w:tc>
        <w:tc>
          <w:tcPr>
            <w:tcW w:w="3122" w:type="dxa"/>
          </w:tcPr>
          <w:p w14:paraId="6A6ED183">
            <w:pPr>
              <w:jc w:val="right"/>
            </w:pPr>
          </w:p>
        </w:tc>
      </w:tr>
      <w:tr w14:paraId="776C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77" w:type="dxa"/>
            <w:vAlign w:val="center"/>
          </w:tcPr>
          <w:p w14:paraId="7990730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3050" w:type="dxa"/>
          </w:tcPr>
          <w:p w14:paraId="7727DA21">
            <w:pPr>
              <w:jc w:val="right"/>
            </w:pPr>
            <w:r>
              <w:t>3,023,329,595.68</w:t>
            </w:r>
          </w:p>
        </w:tc>
        <w:tc>
          <w:tcPr>
            <w:tcW w:w="3122" w:type="dxa"/>
          </w:tcPr>
          <w:p w14:paraId="3FA70CF9">
            <w:pPr>
              <w:jc w:val="right"/>
            </w:pPr>
          </w:p>
        </w:tc>
      </w:tr>
    </w:tbl>
    <w:p w14:paraId="29F12005"/>
    <w:p w14:paraId="00E72426">
      <w:pPr>
        <w:pStyle w:val="5"/>
        <w:numPr>
          <w:ilvl w:val="0"/>
          <w:numId w:val="45"/>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按坏账计提方法分类披露[双击切换]"/>
        <w:tag w:val="_GBC_405ca68f760443499c1bd1a1fa1e9e7d"/>
        <w:id w:val="-306547248"/>
        <w:placeholder>
          <w:docPart w:val="GBC22222222222222222222222222222"/>
        </w:placeholder>
      </w:sdtPr>
      <w:sdtEndPr>
        <w:rPr>
          <w:color w:val="000000" w:themeColor="text1"/>
          <w14:textFill>
            <w14:solidFill>
              <w14:schemeClr w14:val="tx1"/>
            </w14:solidFill>
          </w14:textFill>
        </w:rPr>
      </w:sdtEndPr>
      <w:sdtContent>
        <w:p w14:paraId="68AE59E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A3FB12D">
      <w:pPr>
        <w:rPr>
          <w:color w:val="000000" w:themeColor="text1"/>
          <w14:textFill>
            <w14:solidFill>
              <w14:schemeClr w14:val="tx1"/>
            </w14:solidFill>
          </w14:textFill>
        </w:rPr>
      </w:pPr>
    </w:p>
    <w:p w14:paraId="34EC34B7">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70906d84159d4210b15e17fb2293500d"/>
        <w:id w:val="148261379"/>
        <w:placeholder>
          <w:docPart w:val="GBC22222222222222222222222222222"/>
        </w:placeholder>
      </w:sdtPr>
      <w:sdtEndPr>
        <w:rPr>
          <w:color w:val="000000" w:themeColor="text1"/>
          <w14:textFill>
            <w14:solidFill>
              <w14:schemeClr w14:val="tx1"/>
            </w14:solidFill>
          </w14:textFill>
        </w:rPr>
      </w:sdtEndPr>
      <w:sdtContent>
        <w:p w14:paraId="1E90A38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E1DF07">
      <w:pPr>
        <w:rPr>
          <w:color w:val="000000" w:themeColor="text1"/>
          <w14:textFill>
            <w14:solidFill>
              <w14:schemeClr w14:val="tx1"/>
            </w14:solidFill>
          </w14:textFill>
        </w:rPr>
      </w:pPr>
    </w:p>
    <w:p w14:paraId="519EDDD2">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f71cdd4ebdc046418cd6f9214346df97"/>
        <w:id w:val="-1559319811"/>
        <w:placeholder>
          <w:docPart w:val="GBC22222222222222222222222222222"/>
        </w:placeholder>
      </w:sdtPr>
      <w:sdtEndPr>
        <w:rPr>
          <w:color w:val="000000" w:themeColor="text1"/>
          <w14:textFill>
            <w14:solidFill>
              <w14:schemeClr w14:val="tx1"/>
            </w14:solidFill>
          </w14:textFill>
        </w:rPr>
      </w:sdtEndPr>
      <w:sdtContent>
        <w:p w14:paraId="6CB7B20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3D235D1">
      <w:pPr>
        <w:rPr>
          <w:color w:val="000000" w:themeColor="text1"/>
          <w14:textFill>
            <w14:solidFill>
              <w14:schemeClr w14:val="tx1"/>
            </w14:solidFill>
          </w14:textFill>
        </w:rPr>
      </w:pPr>
    </w:p>
    <w:p w14:paraId="7C63422A">
      <w:pPr>
        <w:rPr>
          <w:rFonts w:ascii="Calibri" w:hAnsi="Calibri" w:cs="Times New Roman"/>
          <w:bCs/>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color w:val="000000" w:themeColor="text1"/>
          <w:szCs w:val="22"/>
          <w14:textFill>
            <w14:solidFill>
              <w14:schemeClr w14:val="tx1"/>
            </w14:solidFill>
          </w14:textFill>
        </w:rPr>
        <w:alias w:val="是否适用：按组合计提坏账准备的详细情况[双击切换]"/>
        <w:tag w:val="_GBC_02191f78423f4f4ca97cd31179bf21d5"/>
        <w:id w:val="117657445"/>
        <w:placeholder>
          <w:docPart w:val="GBC22222222222222222222222222222"/>
        </w:placeholder>
      </w:sdtPr>
      <w:sdtEndPr>
        <w:rPr>
          <w:rFonts w:ascii="Calibri" w:hAnsi="Calibri" w:cs="Times New Roman"/>
          <w:bCs/>
          <w:color w:val="000000" w:themeColor="text1"/>
          <w:szCs w:val="22"/>
          <w14:textFill>
            <w14:solidFill>
              <w14:schemeClr w14:val="tx1"/>
            </w14:solidFill>
          </w14:textFill>
        </w:rPr>
      </w:sdtEndPr>
      <w:sdtContent>
        <w:p w14:paraId="615DED34">
          <w:pPr>
            <w:rPr>
              <w:color w:val="000000" w:themeColor="text1"/>
              <w14:textFill>
                <w14:solidFill>
                  <w14:schemeClr w14:val="tx1"/>
                </w14:solidFill>
              </w14:textFill>
            </w:rPr>
          </w:pP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color w:val="000000" w:themeColor="text1"/>
              <w:szCs w:val="22"/>
              <w14:textFill>
                <w14:solidFill>
                  <w14:schemeClr w14:val="tx1"/>
                </w14:solidFill>
              </w14:textFill>
            </w:rPr>
            <w:fldChar w:fldCharType="end"/>
          </w: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color w:val="000000" w:themeColor="text1"/>
              <w:szCs w:val="22"/>
              <w14:textFill>
                <w14:solidFill>
                  <w14:schemeClr w14:val="tx1"/>
                </w14:solidFill>
              </w14:textFill>
            </w:rPr>
            <w:fldChar w:fldCharType="end"/>
          </w:r>
        </w:p>
      </w:sdtContent>
    </w:sdt>
    <w:p w14:paraId="0F6BF309">
      <w:pPr>
        <w:rPr>
          <w:color w:val="000000" w:themeColor="text1"/>
          <w14:textFill>
            <w14:solidFill>
              <w14:schemeClr w14:val="tx1"/>
            </w14:solidFill>
          </w14:textFill>
        </w:rPr>
      </w:pPr>
    </w:p>
    <w:p w14:paraId="282024CF">
      <w:pPr>
        <w:rPr>
          <w:rFonts w:ascii="Calibri" w:hAnsi="Calibri" w:cs="Times New Roman"/>
          <w:b/>
          <w:bCs/>
          <w:color w:val="000000" w:themeColor="text1"/>
          <w:szCs w:val="22"/>
          <w14:textFill>
            <w14:solidFill>
              <w14:schemeClr w14:val="tx1"/>
            </w14:solidFill>
          </w14:textFill>
        </w:rPr>
      </w:pPr>
    </w:p>
    <w:p w14:paraId="7A864236">
      <w:pPr>
        <w:rPr>
          <w:rFonts w:cstheme="minorBidi"/>
          <w:bCs/>
          <w:color w:val="000000" w:themeColor="text1"/>
          <w:szCs w:val="22"/>
          <w14:textFill>
            <w14:solidFill>
              <w14:schemeClr w14:val="tx1"/>
            </w14:solidFill>
          </w14:textFill>
        </w:rPr>
      </w:pPr>
      <w:bookmarkStart w:id="194" w:name="_Hlk153372713"/>
      <w:bookmarkStart w:id="195" w:name="_Hlk154134692"/>
      <w:r>
        <w:rPr>
          <w:rFonts w:hint="eastAsia" w:cstheme="minorBidi"/>
          <w:color w:val="000000" w:themeColor="text1"/>
          <w:szCs w:val="22"/>
          <w14:textFill>
            <w14:solidFill>
              <w14:schemeClr w14:val="tx1"/>
            </w14:solidFill>
          </w14:textFill>
        </w:rPr>
        <w:t>按预期信用损失一般模型计提坏账准备</w:t>
      </w:r>
    </w:p>
    <w:sdt>
      <w:sdtPr>
        <w:rPr>
          <w:rFonts w:cstheme="minorBidi"/>
          <w:bCs/>
          <w:color w:val="000000" w:themeColor="text1"/>
          <w:szCs w:val="22"/>
          <w14:textFill>
            <w14:solidFill>
              <w14:schemeClr w14:val="tx1"/>
            </w14:solidFill>
          </w14:textFill>
        </w:rPr>
        <w:alias w:val="是否适用：按预期信用损失一般模型计提坏账准备[双击切换]"/>
        <w:tag w:val="_GBC_205986a144f344f78129e3fba39b34ca"/>
        <w:id w:val="438655449"/>
        <w:placeholder>
          <w:docPart w:val="GBC22222222222222222222222222222"/>
        </w:placeholder>
      </w:sdtPr>
      <w:sdtEndPr>
        <w:rPr>
          <w:rFonts w:cstheme="minorBidi"/>
          <w:bCs/>
          <w:color w:val="000000" w:themeColor="text1"/>
          <w:szCs w:val="22"/>
          <w14:textFill>
            <w14:solidFill>
              <w14:schemeClr w14:val="tx1"/>
            </w14:solidFill>
          </w14:textFill>
        </w:rPr>
      </w:sdtEndPr>
      <w:sdtContent>
        <w:p w14:paraId="1811FD70">
          <w:pPr>
            <w:rPr>
              <w:rFonts w:cstheme="minorBidi"/>
              <w:bCs/>
              <w:color w:val="000000" w:themeColor="text1"/>
              <w:szCs w:val="22"/>
              <w14:textFill>
                <w14:solidFill>
                  <w14:schemeClr w14:val="tx1"/>
                </w14:solidFill>
              </w14:textFill>
            </w:rPr>
          </w:pP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□适用 </w:instrText>
          </w:r>
          <w:r>
            <w:rPr>
              <w:rFonts w:ascii="宋体" w:hAnsi="宋体" w:cstheme="minorBidi"/>
              <w:bCs/>
              <w:color w:val="000000" w:themeColor="text1"/>
              <w:szCs w:val="22"/>
              <w14:textFill>
                <w14:solidFill>
                  <w14:schemeClr w14:val="tx1"/>
                </w14:solidFill>
              </w14:textFill>
            </w:rPr>
            <w:fldChar w:fldCharType="end"/>
          </w: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color w:val="000000" w:themeColor="text1"/>
              <w:szCs w:val="22"/>
              <w14:textFill>
                <w14:solidFill>
                  <w14:schemeClr w14:val="tx1"/>
                </w14:solidFill>
              </w14:textFill>
            </w:rPr>
            <w:fldChar w:fldCharType="end"/>
          </w:r>
        </w:p>
      </w:sdtContent>
    </w:sdt>
    <w:p w14:paraId="72F09EF9">
      <w:pPr>
        <w:rPr>
          <w:color w:val="000000" w:themeColor="text1"/>
          <w14:textFill>
            <w14:solidFill>
              <w14:schemeClr w14:val="tx1"/>
            </w14:solidFill>
          </w14:textFill>
        </w:rPr>
      </w:pPr>
    </w:p>
    <w:p w14:paraId="1478D18D">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color w:val="000000" w:themeColor="text1"/>
          <w:szCs w:val="22"/>
          <w14:textFill>
            <w14:solidFill>
              <w14:schemeClr w14:val="tx1"/>
            </w14:solidFill>
          </w14:textFill>
        </w:rPr>
        <w:alias w:val="各阶段划分依据和坏账准备计提比例"/>
        <w:tag w:val="_GBC_ad44af7652e14ebaa2475a018590c7f5"/>
        <w:id w:val="714938536"/>
        <w:placeholder>
          <w:docPart w:val="GBC22222222222222222222222222222"/>
        </w:placeholder>
      </w:sdtPr>
      <w:sdtEndPr>
        <w:rPr>
          <w:rFonts w:cs="Times New Roman"/>
          <w:bCs/>
          <w:color w:val="000000" w:themeColor="text1"/>
          <w:szCs w:val="22"/>
          <w14:textFill>
            <w14:solidFill>
              <w14:schemeClr w14:val="tx1"/>
            </w14:solidFill>
          </w14:textFill>
        </w:rPr>
      </w:sdtEndPr>
      <w:sdtContent>
        <w:p w14:paraId="1AC9C621">
          <w:pPr>
            <w:rPr>
              <w:rFonts w:cs="Times New Roman"/>
              <w:bCs/>
              <w:color w:val="000000" w:themeColor="text1"/>
              <w:szCs w:val="22"/>
              <w14:textFill>
                <w14:solidFill>
                  <w14:schemeClr w14:val="tx1"/>
                </w14:solidFill>
              </w14:textFill>
            </w:rPr>
          </w:pPr>
          <w:r>
            <w:rPr>
              <w:rFonts w:hint="eastAsia" w:cs="Times New Roman"/>
              <w:bCs/>
              <w:color w:val="000000" w:themeColor="text1"/>
              <w:szCs w:val="22"/>
              <w14:textFill>
                <w14:solidFill>
                  <w14:schemeClr w14:val="tx1"/>
                </w14:solidFill>
              </w14:textFill>
            </w:rPr>
            <w:t>无</w:t>
          </w:r>
        </w:p>
      </w:sdtContent>
    </w:sdt>
    <w:p w14:paraId="7FE90FDE">
      <w:pPr>
        <w:rPr>
          <w:rFonts w:asciiTheme="minorHAnsi" w:hAnsiTheme="minorHAnsi" w:cstheme="minorBidi"/>
          <w:b/>
          <w:bCs/>
          <w:color w:val="000000" w:themeColor="text1"/>
          <w:szCs w:val="22"/>
          <w14:textFill>
            <w14:solidFill>
              <w14:schemeClr w14:val="tx1"/>
            </w14:solidFill>
          </w14:textFill>
        </w:rPr>
      </w:pPr>
    </w:p>
    <w:p w14:paraId="7C02C9E6">
      <w:pPr>
        <w:pStyle w:val="73"/>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对本期发生损失准备变动的应收款项融资账面余额显著变动的情况说明：</w:t>
      </w:r>
    </w:p>
    <w:sdt>
      <w:sdtPr>
        <w:rPr>
          <w:color w:val="000000" w:themeColor="text1"/>
          <w14:textFill>
            <w14:solidFill>
              <w14:schemeClr w14:val="tx1"/>
            </w14:solidFill>
          </w14:textFill>
        </w:rPr>
        <w:alias w:val="是否适用：对本期发生损失准备变动的账面余额显著变动的情况说明[双击切换]"/>
        <w:tag w:val="_GBC_ae382171e73840ef92b5fb34fa844e9f"/>
        <w:id w:val="796030681"/>
        <w:placeholder>
          <w:docPart w:val="GBC22222222222222222222222222222"/>
        </w:placeholder>
      </w:sdtPr>
      <w:sdtEndPr>
        <w:rPr>
          <w:color w:val="000000" w:themeColor="text1"/>
          <w14:textFill>
            <w14:solidFill>
              <w14:schemeClr w14:val="tx1"/>
            </w14:solidFill>
          </w14:textFill>
        </w:rPr>
      </w:sdtEndPr>
      <w:sdtContent>
        <w:p w14:paraId="0D7FFE07">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27F7C89">
      <w:pPr>
        <w:rPr>
          <w:rFonts w:asciiTheme="minorHAnsi" w:hAnsiTheme="minorHAnsi" w:cstheme="minorBidi"/>
          <w:b/>
          <w:bCs/>
          <w:color w:val="000000" w:themeColor="text1"/>
          <w:szCs w:val="22"/>
          <w14:textFill>
            <w14:solidFill>
              <w14:schemeClr w14:val="tx1"/>
            </w14:solidFill>
          </w14:textFill>
        </w:rPr>
      </w:pPr>
    </w:p>
    <w:bookmarkEnd w:id="194"/>
    <w:bookmarkEnd w:id="195"/>
    <w:p w14:paraId="1ABAFAA4">
      <w:pPr>
        <w:pStyle w:val="5"/>
        <w:numPr>
          <w:ilvl w:val="0"/>
          <w:numId w:val="45"/>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坏账准备的情况</w:t>
      </w:r>
    </w:p>
    <w:sdt>
      <w:sdtPr>
        <w:rPr>
          <w:color w:val="000000" w:themeColor="text1"/>
          <w14:textFill>
            <w14:solidFill>
              <w14:schemeClr w14:val="tx1"/>
            </w14:solidFill>
          </w14:textFill>
        </w:rPr>
        <w:alias w:val="是否适用：坏账准备情况[双击切换]"/>
        <w:tag w:val="_GBC_808e84ec9b034cfdb05b2cba07546530"/>
        <w:id w:val="-792600127"/>
        <w:placeholder>
          <w:docPart w:val="GBC22222222222222222222222222222"/>
        </w:placeholder>
      </w:sdtPr>
      <w:sdtEndPr>
        <w:rPr>
          <w:color w:val="000000" w:themeColor="text1"/>
          <w14:textFill>
            <w14:solidFill>
              <w14:schemeClr w14:val="tx1"/>
            </w14:solidFill>
          </w14:textFill>
        </w:rPr>
      </w:sdtEndPr>
      <w:sdtContent>
        <w:p w14:paraId="37191A6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8397AE">
      <w:pPr>
        <w:rPr>
          <w:color w:val="000000" w:themeColor="text1"/>
          <w14:textFill>
            <w14:solidFill>
              <w14:schemeClr w14:val="tx1"/>
            </w14:solidFill>
          </w14:textFill>
        </w:rPr>
      </w:pPr>
    </w:p>
    <w:p w14:paraId="7E20C14D">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382a7c63c3664661a21baa08f6ba86a8"/>
        <w:id w:val="488524434"/>
        <w:placeholder>
          <w:docPart w:val="GBC22222222222222222222222222222"/>
        </w:placeholder>
      </w:sdtPr>
      <w:sdtEndPr>
        <w:rPr>
          <w:color w:val="000000" w:themeColor="text1"/>
          <w14:textFill>
            <w14:solidFill>
              <w14:schemeClr w14:val="tx1"/>
            </w14:solidFill>
          </w14:textFill>
        </w:rPr>
      </w:sdtEndPr>
      <w:sdtContent>
        <w:p w14:paraId="37E0AD4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98B148">
      <w:pPr>
        <w:rPr>
          <w:color w:val="000000" w:themeColor="text1"/>
          <w14:textFill>
            <w14:solidFill>
              <w14:schemeClr w14:val="tx1"/>
            </w14:solidFill>
          </w14:textFill>
        </w:rPr>
      </w:pPr>
    </w:p>
    <w:p w14:paraId="56A492E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61ca0a7cb2a147fba52fe081c3ffe8b1"/>
        <w:id w:val="86357585"/>
        <w:placeholder>
          <w:docPart w:val="GBC22222222222222222222222222222"/>
        </w:placeholder>
      </w:sdtPr>
      <w:sdtEndPr>
        <w:rPr>
          <w:color w:val="000000" w:themeColor="text1"/>
          <w14:textFill>
            <w14:solidFill>
              <w14:schemeClr w14:val="tx1"/>
            </w14:solidFill>
          </w14:textFill>
        </w:rPr>
      </w:sdtEndPr>
      <w:sdtContent>
        <w:p w14:paraId="1E15B5B7">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E6CBE88">
      <w:pPr>
        <w:ind w:right="-1594" w:rightChars="-759"/>
        <w:rPr>
          <w:color w:val="000000" w:themeColor="text1"/>
          <w14:textFill>
            <w14:solidFill>
              <w14:schemeClr w14:val="tx1"/>
            </w14:solidFill>
          </w14:textFill>
        </w:rPr>
      </w:pPr>
    </w:p>
    <w:p w14:paraId="37418B31">
      <w:pPr>
        <w:pStyle w:val="5"/>
        <w:numPr>
          <w:ilvl w:val="0"/>
          <w:numId w:val="45"/>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本期实际核销的应收款项融资情况</w:t>
      </w:r>
    </w:p>
    <w:sdt>
      <w:sdtPr>
        <w:rPr>
          <w:color w:val="000000" w:themeColor="text1"/>
          <w14:textFill>
            <w14:solidFill>
              <w14:schemeClr w14:val="tx1"/>
            </w14:solidFill>
          </w14:textFill>
        </w:rPr>
        <w:alias w:val="是否适用：实际核销的情况[双击切换]"/>
        <w:tag w:val="_GBC_a2d69dfc601543db9955bbac18a0162c"/>
        <w:id w:val="-1399894756"/>
        <w:placeholder>
          <w:docPart w:val="GBC22222222222222222222222222222"/>
        </w:placeholder>
      </w:sdtPr>
      <w:sdtEndPr>
        <w:rPr>
          <w:color w:val="000000" w:themeColor="text1"/>
          <w14:textFill>
            <w14:solidFill>
              <w14:schemeClr w14:val="tx1"/>
            </w14:solidFill>
          </w14:textFill>
        </w:rPr>
      </w:sdtEndPr>
      <w:sdtContent>
        <w:p w14:paraId="26746F3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97D01E">
      <w:pPr>
        <w:rPr>
          <w:color w:val="000000" w:themeColor="text1"/>
          <w14:textFill>
            <w14:solidFill>
              <w14:schemeClr w14:val="tx1"/>
            </w14:solidFill>
          </w14:textFill>
        </w:rPr>
      </w:pPr>
    </w:p>
    <w:p w14:paraId="73DDDA17">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其中重要的应收款项融资核销情况</w:t>
      </w:r>
    </w:p>
    <w:sdt>
      <w:sdtPr>
        <w:rPr>
          <w:rFonts w:hint="eastAsia"/>
          <w:color w:val="000000" w:themeColor="text1"/>
          <w14:textFill>
            <w14:solidFill>
              <w14:schemeClr w14:val="tx1"/>
            </w14:solidFill>
          </w14:textFill>
        </w:rPr>
        <w:alias w:val="是否适用：重要的核销情况[双击切换]"/>
        <w:tag w:val="_GBC_1b7bee0edc57444896650801ca80ffe4"/>
        <w:id w:val="1963922057"/>
        <w:placeholder>
          <w:docPart w:val="GBC22222222222222222222222222222"/>
        </w:placeholder>
      </w:sdtPr>
      <w:sdtEndPr>
        <w:rPr>
          <w:rFonts w:hint="eastAsia"/>
          <w:color w:val="000000" w:themeColor="text1"/>
          <w14:textFill>
            <w14:solidFill>
              <w14:schemeClr w14:val="tx1"/>
            </w14:solidFill>
          </w14:textFill>
        </w:rPr>
      </w:sdtEndPr>
      <w:sdtContent>
        <w:p w14:paraId="14E7F70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3249052">
      <w:pPr>
        <w:rPr>
          <w:color w:val="000000" w:themeColor="text1"/>
          <w14:textFill>
            <w14:solidFill>
              <w14:schemeClr w14:val="tx1"/>
            </w14:solidFill>
          </w14:textFill>
        </w:rPr>
      </w:pPr>
    </w:p>
    <w:p w14:paraId="6AEB3ADB">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核销说明[双击切换]"/>
        <w:tag w:val="_GBC_488ea774dd4f4c1d882f56da574ad29c"/>
        <w:id w:val="1720864244"/>
        <w:placeholder>
          <w:docPart w:val="GBC22222222222222222222222222222"/>
        </w:placeholder>
      </w:sdtPr>
      <w:sdtEndPr>
        <w:rPr>
          <w:color w:val="000000" w:themeColor="text1"/>
          <w14:textFill>
            <w14:solidFill>
              <w14:schemeClr w14:val="tx1"/>
            </w14:solidFill>
          </w14:textFill>
        </w:rPr>
      </w:sdtEndPr>
      <w:sdtContent>
        <w:p w14:paraId="3234C89D">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3BAA24B">
      <w:pPr>
        <w:rPr>
          <w:color w:val="000000" w:themeColor="text1"/>
          <w14:textFill>
            <w14:solidFill>
              <w14:schemeClr w14:val="tx1"/>
            </w14:solidFill>
          </w14:textFill>
        </w:rPr>
      </w:pPr>
    </w:p>
    <w:p w14:paraId="6A190FB3">
      <w:pPr>
        <w:pStyle w:val="5"/>
        <w:numPr>
          <w:ilvl w:val="0"/>
          <w:numId w:val="45"/>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应收款项融资本期增减变动及公允价值变动情况：</w:t>
      </w:r>
    </w:p>
    <w:sdt>
      <w:sdtPr>
        <w:rPr>
          <w:rFonts w:hint="eastAsia"/>
          <w:color w:val="000000" w:themeColor="text1"/>
          <w14:textFill>
            <w14:solidFill>
              <w14:schemeClr w14:val="tx1"/>
            </w14:solidFill>
          </w14:textFill>
        </w:rPr>
        <w:alias w:val="是否适用：应收款项融资本期增减变动及公允价值变动情况[双击切换]"/>
        <w:tag w:val="_GBC_229d012533ea43b7b63c184aa0b161d0"/>
        <w:id w:val="-246426337"/>
        <w:placeholder>
          <w:docPart w:val="GBC22222222222222222222222222222"/>
        </w:placeholder>
      </w:sdtPr>
      <w:sdtEndPr>
        <w:rPr>
          <w:rFonts w:hint="eastAsia"/>
          <w:color w:val="000000" w:themeColor="text1"/>
          <w14:textFill>
            <w14:solidFill>
              <w14:schemeClr w14:val="tx1"/>
            </w14:solidFill>
          </w14:textFill>
        </w:rPr>
      </w:sdtEndPr>
      <w:sdtContent>
        <w:p w14:paraId="27B7386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E366F7A">
      <w:pPr>
        <w:rPr>
          <w:color w:val="000000" w:themeColor="text1"/>
          <w14:textFill>
            <w14:solidFill>
              <w14:schemeClr w14:val="tx1"/>
            </w14:solidFill>
          </w14:textFill>
        </w:rPr>
      </w:pPr>
    </w:p>
    <w:bookmarkEnd w:id="190"/>
    <w:bookmarkEnd w:id="192"/>
    <w:bookmarkEnd w:id="193"/>
    <w:p w14:paraId="3122E419">
      <w:pPr>
        <w:pStyle w:val="5"/>
        <w:numPr>
          <w:ilvl w:val="0"/>
          <w:numId w:val="45"/>
        </w:numPr>
        <w:tabs>
          <w:tab w:val="left" w:pos="360"/>
        </w:tabs>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是否适用：应收款项融资其他说明[双击切换]"/>
        <w:tag w:val="_GBC_f2fd5be9d56145ea8eaacde595a4b245"/>
        <w:id w:val="1915124684"/>
        <w:placeholder>
          <w:docPart w:val="GBC22222222222222222222222222222"/>
        </w:placeholder>
      </w:sdtPr>
      <w:sdtEndPr>
        <w:rPr>
          <w:rFonts w:hint="eastAsia"/>
          <w:color w:val="000000" w:themeColor="text1"/>
          <w14:textFill>
            <w14:solidFill>
              <w14:schemeClr w14:val="tx1"/>
            </w14:solidFill>
          </w14:textFill>
        </w:rPr>
      </w:sdtEndPr>
      <w:sdtContent>
        <w:p w14:paraId="15016EBC">
          <w:pPr>
            <w:rPr>
              <w:color w:val="000000" w:themeColor="text1"/>
              <w14:textFill>
                <w14:solidFill>
                  <w14:schemeClr w14:val="tx1"/>
                </w14:solidFill>
              </w14:textFill>
            </w:rPr>
          </w:pPr>
          <w:bookmarkStart w:id="196" w:name="_Hlk13057390"/>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196"/>
    <w:p w14:paraId="358629D1">
      <w:pPr>
        <w:rPr>
          <w:color w:val="000000" w:themeColor="text1"/>
          <w14:textFill>
            <w14:solidFill>
              <w14:schemeClr w14:val="tx1"/>
            </w14:solidFill>
          </w14:textFill>
        </w:rPr>
      </w:pPr>
    </w:p>
    <w:bookmarkEnd w:id="191"/>
    <w:p w14:paraId="67E70D1B">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预付款项</w:t>
      </w:r>
    </w:p>
    <w:p w14:paraId="1F1658BB">
      <w:pPr>
        <w:pStyle w:val="5"/>
        <w:numPr>
          <w:ilvl w:val="0"/>
          <w:numId w:val="46"/>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预付款项按账龄列示</w:t>
      </w:r>
    </w:p>
    <w:sdt>
      <w:sdtPr>
        <w:rPr>
          <w:color w:val="000000" w:themeColor="text1"/>
          <w14:textFill>
            <w14:solidFill>
              <w14:schemeClr w14:val="tx1"/>
            </w14:solidFill>
          </w14:textFill>
        </w:rPr>
        <w:alias w:val="是否适用：预付款项按账龄列示[双击切换]"/>
        <w:tag w:val="_GBC_af3b3e24767e48f7a70a5cfa609407a2"/>
        <w:id w:val="-1579665585"/>
        <w:placeholder>
          <w:docPart w:val="GBC22222222222222222222222222222"/>
        </w:placeholder>
      </w:sdtPr>
      <w:sdtEndPr>
        <w:rPr>
          <w:color w:val="000000" w:themeColor="text1"/>
          <w14:textFill>
            <w14:solidFill>
              <w14:schemeClr w14:val="tx1"/>
            </w14:solidFill>
          </w14:textFill>
        </w:rPr>
      </w:sdtEndPr>
      <w:sdtContent>
        <w:p w14:paraId="312E297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00CBBBC">
      <w:pPr>
        <w:jc w:val="right"/>
        <w:rPr>
          <w:b/>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预付账款账龄"/>
          <w:tag w:val="_GBC_9eb28bbf7d374cdf965c7e133b610fb3"/>
          <w:id w:val="4623129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预付账款账龄"/>
          <w:tag w:val="_GBC_d491347f74764df5af3312ad7a0a92e5"/>
          <w:id w:val="-6358750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59"/>
        <w:gridCol w:w="1892"/>
        <w:gridCol w:w="1877"/>
        <w:gridCol w:w="1875"/>
        <w:gridCol w:w="1892"/>
      </w:tblGrid>
      <w:tr w14:paraId="40C0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37" w:hRule="atLeast"/>
        </w:trPr>
        <w:sdt>
          <w:sdtPr>
            <w:tag w:val="_PLD_159a64f22a4a4b1ab31846b4d6034c4c"/>
            <w:id w:val="1497849908"/>
          </w:sdtPr>
          <w:sdtContent>
            <w:tc>
              <w:tcPr>
                <w:tcW w:w="764" w:type="pct"/>
                <w:vMerge w:val="restart"/>
                <w:vAlign w:val="center"/>
              </w:tcPr>
              <w:p w14:paraId="10754C8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6ca82cba92a649d08c6ceb86dd951ef3"/>
            <w:id w:val="-248811877"/>
          </w:sdtPr>
          <w:sdtContent>
            <w:tc>
              <w:tcPr>
                <w:tcW w:w="2118" w:type="pct"/>
                <w:gridSpan w:val="2"/>
                <w:vAlign w:val="center"/>
              </w:tcPr>
              <w:p w14:paraId="2E8E306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365dab2f8fd246d79543ed0d2e6dcab7"/>
            <w:id w:val="-2078121301"/>
          </w:sdtPr>
          <w:sdtContent>
            <w:tc>
              <w:tcPr>
                <w:tcW w:w="2117" w:type="pct"/>
                <w:gridSpan w:val="2"/>
                <w:vAlign w:val="center"/>
              </w:tcPr>
              <w:p w14:paraId="233ED9B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752F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4" w:type="pct"/>
            <w:vMerge w:val="continue"/>
          </w:tcPr>
          <w:p w14:paraId="41EC5111">
            <w:pPr>
              <w:rPr>
                <w:color w:val="000000" w:themeColor="text1"/>
                <w14:textFill>
                  <w14:solidFill>
                    <w14:schemeClr w14:val="tx1"/>
                  </w14:solidFill>
                </w14:textFill>
              </w:rPr>
            </w:pPr>
          </w:p>
        </w:tc>
        <w:sdt>
          <w:sdtPr>
            <w:tag w:val="_PLD_a9d7b721cfa446e9ae31149380da5970"/>
            <w:id w:val="-1975898013"/>
          </w:sdtPr>
          <w:sdtContent>
            <w:tc>
              <w:tcPr>
                <w:tcW w:w="1063" w:type="pct"/>
                <w:vAlign w:val="center"/>
              </w:tcPr>
              <w:p w14:paraId="4081498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2d8b8f523dcd4c95815b7c8fd528129d"/>
            <w:id w:val="-1563100641"/>
          </w:sdtPr>
          <w:sdtContent>
            <w:tc>
              <w:tcPr>
                <w:tcW w:w="1055" w:type="pct"/>
                <w:vAlign w:val="center"/>
              </w:tcPr>
              <w:p w14:paraId="4974603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比例</w:t>
                </w:r>
                <w:r>
                  <w:rPr>
                    <w:color w:val="000000" w:themeColor="text1"/>
                    <w14:textFill>
                      <w14:solidFill>
                        <w14:schemeClr w14:val="tx1"/>
                      </w14:solidFill>
                    </w14:textFill>
                  </w:rPr>
                  <w:t>(%)</w:t>
                </w:r>
              </w:p>
            </w:tc>
          </w:sdtContent>
        </w:sdt>
        <w:sdt>
          <w:sdtPr>
            <w:tag w:val="_PLD_f01816a56b3f4ec1a7d603d3ac318eb1"/>
            <w:id w:val="-415164180"/>
          </w:sdtPr>
          <w:sdtContent>
            <w:tc>
              <w:tcPr>
                <w:tcW w:w="1054" w:type="pct"/>
                <w:vAlign w:val="center"/>
              </w:tcPr>
              <w:p w14:paraId="3688756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金额</w:t>
                </w:r>
              </w:p>
            </w:tc>
          </w:sdtContent>
        </w:sdt>
        <w:sdt>
          <w:sdtPr>
            <w:tag w:val="_PLD_55adcab5f9be4d24b3d0faaf5403e89a"/>
            <w:id w:val="1823775024"/>
          </w:sdtPr>
          <w:sdtContent>
            <w:tc>
              <w:tcPr>
                <w:tcW w:w="1063" w:type="pct"/>
                <w:vAlign w:val="center"/>
              </w:tcPr>
              <w:p w14:paraId="3F75770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比例</w:t>
                </w:r>
                <w:r>
                  <w:rPr>
                    <w:color w:val="000000" w:themeColor="text1"/>
                    <w14:textFill>
                      <w14:solidFill>
                        <w14:schemeClr w14:val="tx1"/>
                      </w14:solidFill>
                    </w14:textFill>
                  </w:rPr>
                  <w:t>(%)</w:t>
                </w:r>
              </w:p>
            </w:tc>
          </w:sdtContent>
        </w:sdt>
      </w:tr>
      <w:tr w14:paraId="5F7E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4" w:type="pct"/>
          </w:tcPr>
          <w:p w14:paraId="29E6281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1年以内</w:t>
            </w:r>
          </w:p>
        </w:tc>
        <w:tc>
          <w:tcPr>
            <w:tcW w:w="1063" w:type="pct"/>
            <w:vAlign w:val="center"/>
          </w:tcPr>
          <w:p w14:paraId="40BD50AD">
            <w:pPr>
              <w:jc w:val="right"/>
            </w:pPr>
            <w:r>
              <w:t>10,211,961.95</w:t>
            </w:r>
          </w:p>
        </w:tc>
        <w:tc>
          <w:tcPr>
            <w:tcW w:w="1055" w:type="pct"/>
            <w:vAlign w:val="center"/>
          </w:tcPr>
          <w:p w14:paraId="5046237C">
            <w:pPr>
              <w:jc w:val="right"/>
            </w:pPr>
            <w:r>
              <w:t>62.77</w:t>
            </w:r>
          </w:p>
        </w:tc>
        <w:tc>
          <w:tcPr>
            <w:tcW w:w="1054" w:type="pct"/>
            <w:vAlign w:val="center"/>
          </w:tcPr>
          <w:p w14:paraId="0FB2C82A">
            <w:pPr>
              <w:jc w:val="right"/>
            </w:pPr>
            <w:r>
              <w:t>11,066,974.59</w:t>
            </w:r>
          </w:p>
        </w:tc>
        <w:tc>
          <w:tcPr>
            <w:tcW w:w="1063" w:type="pct"/>
            <w:vAlign w:val="center"/>
          </w:tcPr>
          <w:p w14:paraId="45796CA0">
            <w:pPr>
              <w:jc w:val="right"/>
            </w:pPr>
            <w:r>
              <w:t>57.15</w:t>
            </w:r>
          </w:p>
        </w:tc>
      </w:tr>
      <w:tr w14:paraId="51E1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4" w:type="pct"/>
          </w:tcPr>
          <w:p w14:paraId="32D501A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1至2年</w:t>
            </w:r>
          </w:p>
        </w:tc>
        <w:tc>
          <w:tcPr>
            <w:tcW w:w="1063" w:type="pct"/>
            <w:vAlign w:val="center"/>
          </w:tcPr>
          <w:p w14:paraId="1D7354E0">
            <w:pPr>
              <w:jc w:val="right"/>
            </w:pPr>
            <w:r>
              <w:t>448,729.99</w:t>
            </w:r>
          </w:p>
        </w:tc>
        <w:tc>
          <w:tcPr>
            <w:tcW w:w="1055" w:type="pct"/>
            <w:vAlign w:val="center"/>
          </w:tcPr>
          <w:p w14:paraId="49779CF4">
            <w:pPr>
              <w:jc w:val="right"/>
            </w:pPr>
            <w:r>
              <w:t>2.76</w:t>
            </w:r>
          </w:p>
        </w:tc>
        <w:tc>
          <w:tcPr>
            <w:tcW w:w="1054" w:type="pct"/>
            <w:vAlign w:val="center"/>
          </w:tcPr>
          <w:p w14:paraId="2840FEC6">
            <w:pPr>
              <w:jc w:val="right"/>
            </w:pPr>
            <w:r>
              <w:t>1,072,482.99</w:t>
            </w:r>
          </w:p>
        </w:tc>
        <w:tc>
          <w:tcPr>
            <w:tcW w:w="1063" w:type="pct"/>
            <w:vAlign w:val="center"/>
          </w:tcPr>
          <w:p w14:paraId="71634B70">
            <w:pPr>
              <w:jc w:val="right"/>
            </w:pPr>
            <w:r>
              <w:t>5.54</w:t>
            </w:r>
          </w:p>
        </w:tc>
      </w:tr>
      <w:tr w14:paraId="2A59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4" w:type="pct"/>
          </w:tcPr>
          <w:p w14:paraId="5C6CB10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2至3年</w:t>
            </w:r>
          </w:p>
        </w:tc>
        <w:tc>
          <w:tcPr>
            <w:tcW w:w="1063" w:type="pct"/>
            <w:vAlign w:val="center"/>
          </w:tcPr>
          <w:p w14:paraId="390CFF5F">
            <w:pPr>
              <w:jc w:val="right"/>
            </w:pPr>
            <w:r>
              <w:t>888,080.01</w:t>
            </w:r>
          </w:p>
        </w:tc>
        <w:tc>
          <w:tcPr>
            <w:tcW w:w="1055" w:type="pct"/>
            <w:vAlign w:val="center"/>
          </w:tcPr>
          <w:p w14:paraId="60649AFF">
            <w:pPr>
              <w:jc w:val="right"/>
            </w:pPr>
            <w:r>
              <w:t>5.46</w:t>
            </w:r>
          </w:p>
        </w:tc>
        <w:tc>
          <w:tcPr>
            <w:tcW w:w="1054" w:type="pct"/>
            <w:vAlign w:val="center"/>
          </w:tcPr>
          <w:p w14:paraId="7F52D1FE">
            <w:pPr>
              <w:jc w:val="right"/>
            </w:pPr>
            <w:r>
              <w:t>555,198.31</w:t>
            </w:r>
          </w:p>
        </w:tc>
        <w:tc>
          <w:tcPr>
            <w:tcW w:w="1063" w:type="pct"/>
            <w:vAlign w:val="center"/>
          </w:tcPr>
          <w:p w14:paraId="6217286A">
            <w:pPr>
              <w:jc w:val="right"/>
            </w:pPr>
            <w:r>
              <w:t>2.87</w:t>
            </w:r>
          </w:p>
        </w:tc>
      </w:tr>
      <w:tr w14:paraId="57B2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4" w:type="pct"/>
          </w:tcPr>
          <w:p w14:paraId="1A8AA01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3年以上</w:t>
            </w:r>
          </w:p>
        </w:tc>
        <w:tc>
          <w:tcPr>
            <w:tcW w:w="1063" w:type="pct"/>
            <w:vAlign w:val="center"/>
          </w:tcPr>
          <w:p w14:paraId="1AA6D502">
            <w:pPr>
              <w:jc w:val="right"/>
            </w:pPr>
            <w:r>
              <w:t>4,719,481.09</w:t>
            </w:r>
          </w:p>
        </w:tc>
        <w:tc>
          <w:tcPr>
            <w:tcW w:w="1055" w:type="pct"/>
            <w:vAlign w:val="center"/>
          </w:tcPr>
          <w:p w14:paraId="66F28424">
            <w:pPr>
              <w:jc w:val="right"/>
            </w:pPr>
            <w:r>
              <w:t>29.01</w:t>
            </w:r>
          </w:p>
        </w:tc>
        <w:tc>
          <w:tcPr>
            <w:tcW w:w="1054" w:type="pct"/>
            <w:vAlign w:val="center"/>
          </w:tcPr>
          <w:p w14:paraId="2E69AE11">
            <w:pPr>
              <w:jc w:val="right"/>
            </w:pPr>
            <w:r>
              <w:t>6,669,074.33</w:t>
            </w:r>
          </w:p>
        </w:tc>
        <w:tc>
          <w:tcPr>
            <w:tcW w:w="1063" w:type="pct"/>
            <w:vAlign w:val="center"/>
          </w:tcPr>
          <w:p w14:paraId="250EE4CE">
            <w:pPr>
              <w:jc w:val="right"/>
            </w:pPr>
            <w:r>
              <w:t>34.44</w:t>
            </w:r>
          </w:p>
        </w:tc>
      </w:tr>
      <w:tr w14:paraId="27CC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64" w:type="pct"/>
          </w:tcPr>
          <w:p w14:paraId="09486DD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063" w:type="pct"/>
            <w:vAlign w:val="center"/>
          </w:tcPr>
          <w:p w14:paraId="19C4403C">
            <w:pPr>
              <w:jc w:val="right"/>
            </w:pPr>
            <w:r>
              <w:t>16,268,253.04</w:t>
            </w:r>
          </w:p>
        </w:tc>
        <w:tc>
          <w:tcPr>
            <w:tcW w:w="1055" w:type="pct"/>
            <w:vAlign w:val="center"/>
          </w:tcPr>
          <w:p w14:paraId="439FA3FA">
            <w:pPr>
              <w:jc w:val="right"/>
            </w:pPr>
            <w:r>
              <w:t>100.00</w:t>
            </w:r>
          </w:p>
        </w:tc>
        <w:tc>
          <w:tcPr>
            <w:tcW w:w="1054" w:type="pct"/>
            <w:vAlign w:val="center"/>
          </w:tcPr>
          <w:p w14:paraId="7F1D822B">
            <w:pPr>
              <w:jc w:val="right"/>
            </w:pPr>
            <w:r>
              <w:t>19,363,730.22</w:t>
            </w:r>
          </w:p>
        </w:tc>
        <w:tc>
          <w:tcPr>
            <w:tcW w:w="1063" w:type="pct"/>
            <w:vAlign w:val="center"/>
          </w:tcPr>
          <w:p w14:paraId="7FC2BAED">
            <w:pPr>
              <w:jc w:val="right"/>
            </w:pPr>
            <w:r>
              <w:t>100.00</w:t>
            </w:r>
          </w:p>
        </w:tc>
      </w:tr>
    </w:tbl>
    <w:p w14:paraId="79EA7D61">
      <w:pPr>
        <w:rPr>
          <w:color w:val="000000" w:themeColor="text1"/>
          <w14:textFill>
            <w14:solidFill>
              <w14:schemeClr w14:val="tx1"/>
            </w14:solidFill>
          </w14:textFill>
        </w:rPr>
      </w:pPr>
      <w:r>
        <w:rPr>
          <w:rFonts w:hint="eastAsia"/>
          <w:color w:val="000000" w:themeColor="text1"/>
          <w14:textFill>
            <w14:solidFill>
              <w14:schemeClr w14:val="tx1"/>
            </w14:solidFill>
          </w14:textFill>
        </w:rPr>
        <w:t>账龄超过1年且金额重要的预付款项未及时结算原因</w:t>
      </w:r>
      <w:r>
        <w:rPr>
          <w:color w:val="000000" w:themeColor="text1"/>
          <w14:textFill>
            <w14:solidFill>
              <w14:schemeClr w14:val="tx1"/>
            </w14:solidFill>
          </w14:textFill>
        </w:rPr>
        <w:t>的说明：</w:t>
      </w:r>
    </w:p>
    <w:sdt>
      <w:sdtPr>
        <w:rPr>
          <w:color w:val="000000" w:themeColor="text1"/>
          <w14:textFill>
            <w14:solidFill>
              <w14:schemeClr w14:val="tx1"/>
            </w14:solidFill>
          </w14:textFill>
        </w:rPr>
        <w:alias w:val="账龄超过1年且金额重要的预付款项未及时结算原因的说明"/>
        <w:tag w:val="_GBC_174a9654172e49e09cdbf18d854fdd51"/>
        <w:id w:val="679003503"/>
        <w:placeholder>
          <w:docPart w:val="GBC22222222222222222222222222222"/>
        </w:placeholder>
      </w:sdtPr>
      <w:sdtEndPr>
        <w:rPr>
          <w:color w:val="000000" w:themeColor="text1"/>
          <w14:textFill>
            <w14:solidFill>
              <w14:schemeClr w14:val="tx1"/>
            </w14:solidFill>
          </w14:textFill>
        </w:rPr>
      </w:sdtEndPr>
      <w:sdtContent>
        <w:p w14:paraId="6A0A62F4">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0C990B24">
      <w:pPr>
        <w:rPr>
          <w:color w:val="000000" w:themeColor="text1"/>
          <w14:textFill>
            <w14:solidFill>
              <w14:schemeClr w14:val="tx1"/>
            </w14:solidFill>
          </w14:textFill>
        </w:rPr>
      </w:pPr>
    </w:p>
    <w:p w14:paraId="09AD15EC">
      <w:pPr>
        <w:pStyle w:val="5"/>
        <w:numPr>
          <w:ilvl w:val="0"/>
          <w:numId w:val="46"/>
        </w:numPr>
        <w:tabs>
          <w:tab w:val="left" w:pos="616"/>
        </w:tabs>
        <w:rPr>
          <w:rFonts w:ascii="宋体" w:hAnsi="宋体"/>
          <w:color w:val="000000" w:themeColor="text1"/>
          <w14:textFill>
            <w14:solidFill>
              <w14:schemeClr w14:val="tx1"/>
            </w14:solidFill>
          </w14:textFill>
        </w:rPr>
      </w:pPr>
      <w:bookmarkStart w:id="197" w:name="_Hlk199853551"/>
      <w:r>
        <w:rPr>
          <w:rFonts w:hint="eastAsia" w:ascii="宋体" w:hAnsi="宋体"/>
          <w:color w:val="000000" w:themeColor="text1"/>
          <w14:textFill>
            <w14:solidFill>
              <w14:schemeClr w14:val="tx1"/>
            </w14:solidFill>
          </w14:textFill>
        </w:rPr>
        <w:t>按预付对象归集的期末余额前五名的预付款情况</w:t>
      </w:r>
    </w:p>
    <w:sdt>
      <w:sdtPr>
        <w:rPr>
          <w:rFonts w:hint="eastAsia"/>
          <w:color w:val="000000" w:themeColor="text1"/>
          <w14:textFill>
            <w14:solidFill>
              <w14:schemeClr w14:val="tx1"/>
            </w14:solidFill>
          </w14:textFill>
        </w:rPr>
        <w:alias w:val="是否适用：按预付对象归集的期末余额前五名的预付款情况[双击切换]"/>
        <w:tag w:val="_GBC_a1864f04af6d49bdb434d74a7f29f8c3"/>
        <w:id w:val="-1783411861"/>
        <w:placeholder>
          <w:docPart w:val="GBC22222222222222222222222222222"/>
        </w:placeholder>
      </w:sdtPr>
      <w:sdtEndPr>
        <w:rPr>
          <w:rFonts w:hint="eastAsia"/>
          <w:color w:val="000000" w:themeColor="text1"/>
          <w14:textFill>
            <w14:solidFill>
              <w14:schemeClr w14:val="tx1"/>
            </w14:solidFill>
          </w14:textFill>
        </w:rPr>
      </w:sdtEndPr>
      <w:sdtContent>
        <w:p w14:paraId="6DCDD551">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FBDDDEB">
      <w:pPr>
        <w:snapToGrid w:val="0"/>
        <w:spacing w:line="240" w:lineRule="atLeast"/>
        <w:jc w:val="right"/>
      </w:pPr>
      <w:r>
        <w:rPr>
          <w:rFonts w:hint="eastAsia"/>
        </w:rPr>
        <w:t>单位：</w:t>
      </w:r>
      <w:sdt>
        <w:sdtPr>
          <w:rPr>
            <w:rFonts w:hint="eastAsia"/>
          </w:rPr>
          <w:alias w:val="单位：按预付对象归集的期末余额前五名的预付款情况"/>
          <w:tag w:val="_GBC_60474912a059478aa7a052f29a7878f6"/>
          <w:id w:val="-166848343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Pr>
              <w:rFonts w:hint="eastAsia"/>
            </w:rPr>
            <w:t>元</w:t>
          </w:r>
        </w:sdtContent>
      </w:sdt>
      <w:r>
        <w:rPr>
          <w:rFonts w:hint="eastAsia"/>
        </w:rPr>
        <w:t xml:space="preserve">  币种：</w:t>
      </w:r>
      <w:sdt>
        <w:sdtPr>
          <w:rPr>
            <w:rFonts w:hint="eastAsia"/>
          </w:rPr>
          <w:alias w:val="币种：按预付对象归集的期末余额前五名的预付款情况"/>
          <w:tag w:val="_GBC_bd430b918c86452ca29c59c0866e9f4e"/>
          <w:id w:val="7001366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1"/>
        <w:gridCol w:w="3013"/>
        <w:gridCol w:w="3014"/>
      </w:tblGrid>
      <w:tr w14:paraId="094B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d1820e97fc2b412296b96c0151dea923"/>
            <w:id w:val="1177153719"/>
          </w:sdtPr>
          <w:sdtContent>
            <w:tc>
              <w:tcPr>
                <w:tcW w:w="1666" w:type="pct"/>
                <w:vAlign w:val="center"/>
              </w:tcPr>
              <w:p w14:paraId="4B054D82">
                <w:pPr>
                  <w:ind w:right="105"/>
                  <w:jc w:val="center"/>
                </w:pPr>
                <w:r>
                  <w:rPr>
                    <w:rFonts w:hint="eastAsia"/>
                  </w:rPr>
                  <w:t>单位名称</w:t>
                </w:r>
              </w:p>
            </w:tc>
          </w:sdtContent>
        </w:sdt>
        <w:sdt>
          <w:sdtPr>
            <w:tag w:val="_PLD_ea2392e4fefe4be5b353e22520ae4d4e"/>
            <w:id w:val="405422096"/>
          </w:sdtPr>
          <w:sdtContent>
            <w:tc>
              <w:tcPr>
                <w:tcW w:w="1667" w:type="pct"/>
                <w:vAlign w:val="center"/>
              </w:tcPr>
              <w:p w14:paraId="18D2AE29">
                <w:pPr>
                  <w:ind w:right="73"/>
                  <w:jc w:val="center"/>
                </w:pPr>
                <w:r>
                  <w:rPr>
                    <w:rFonts w:hint="eastAsia"/>
                  </w:rPr>
                  <w:t>期末余额</w:t>
                </w:r>
              </w:p>
            </w:tc>
          </w:sdtContent>
        </w:sdt>
        <w:sdt>
          <w:sdtPr>
            <w:tag w:val="_PLD_0c082a2df5b041d9ab1489c29022c66c"/>
            <w:id w:val="51507826"/>
          </w:sdtPr>
          <w:sdtContent>
            <w:tc>
              <w:tcPr>
                <w:tcW w:w="1667" w:type="pct"/>
                <w:vAlign w:val="center"/>
              </w:tcPr>
              <w:p w14:paraId="64FF3391">
                <w:pPr>
                  <w:jc w:val="center"/>
                </w:pPr>
                <w:r>
                  <w:rPr>
                    <w:rFonts w:hint="eastAsia"/>
                  </w:rPr>
                  <w:t>占预付款项期末余额合计数的比例(</w:t>
                </w:r>
                <w:r>
                  <w:t>%)</w:t>
                </w:r>
              </w:p>
            </w:tc>
          </w:sdtContent>
        </w:sdt>
      </w:tr>
      <w:tr w14:paraId="38EB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14:paraId="3C1F32F2">
            <w:pPr>
              <w:ind w:right="105"/>
              <w:jc w:val="center"/>
            </w:pPr>
            <w:r>
              <w:t>第一名</w:t>
            </w:r>
          </w:p>
        </w:tc>
        <w:tc>
          <w:tcPr>
            <w:tcW w:w="1667" w:type="pct"/>
          </w:tcPr>
          <w:p w14:paraId="01850075">
            <w:pPr>
              <w:ind w:right="73"/>
              <w:jc w:val="right"/>
            </w:pPr>
            <w:r>
              <w:t>1,439,848.50</w:t>
            </w:r>
          </w:p>
        </w:tc>
        <w:tc>
          <w:tcPr>
            <w:tcW w:w="1667" w:type="pct"/>
          </w:tcPr>
          <w:p w14:paraId="13440F26">
            <w:pPr>
              <w:jc w:val="right"/>
            </w:pPr>
            <w:r>
              <w:t>8.85</w:t>
            </w:r>
          </w:p>
        </w:tc>
      </w:tr>
      <w:tr w14:paraId="7EFD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14:paraId="7A1A27D9">
            <w:pPr>
              <w:ind w:right="105"/>
              <w:jc w:val="center"/>
            </w:pPr>
            <w:r>
              <w:t>第二名</w:t>
            </w:r>
          </w:p>
        </w:tc>
        <w:tc>
          <w:tcPr>
            <w:tcW w:w="1667" w:type="pct"/>
          </w:tcPr>
          <w:p w14:paraId="06801A49">
            <w:pPr>
              <w:ind w:right="73"/>
              <w:jc w:val="right"/>
            </w:pPr>
            <w:r>
              <w:t>1,161,104.86</w:t>
            </w:r>
          </w:p>
        </w:tc>
        <w:tc>
          <w:tcPr>
            <w:tcW w:w="1667" w:type="pct"/>
          </w:tcPr>
          <w:p w14:paraId="5ACF4AC7">
            <w:pPr>
              <w:jc w:val="right"/>
            </w:pPr>
            <w:r>
              <w:t>7.14</w:t>
            </w:r>
          </w:p>
        </w:tc>
      </w:tr>
      <w:tr w14:paraId="7D03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14:paraId="674BDDF1">
            <w:pPr>
              <w:ind w:right="105"/>
              <w:jc w:val="center"/>
            </w:pPr>
            <w:r>
              <w:t>第三名</w:t>
            </w:r>
          </w:p>
        </w:tc>
        <w:tc>
          <w:tcPr>
            <w:tcW w:w="1667" w:type="pct"/>
          </w:tcPr>
          <w:p w14:paraId="758743A4">
            <w:pPr>
              <w:ind w:right="73"/>
              <w:jc w:val="right"/>
            </w:pPr>
            <w:r>
              <w:t>903,096.00</w:t>
            </w:r>
          </w:p>
        </w:tc>
        <w:tc>
          <w:tcPr>
            <w:tcW w:w="1667" w:type="pct"/>
          </w:tcPr>
          <w:p w14:paraId="362247A1">
            <w:pPr>
              <w:jc w:val="right"/>
            </w:pPr>
            <w:r>
              <w:t>5.55</w:t>
            </w:r>
          </w:p>
        </w:tc>
      </w:tr>
      <w:tr w14:paraId="6FEC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14:paraId="29FA8B96">
            <w:pPr>
              <w:ind w:right="105"/>
              <w:jc w:val="center"/>
            </w:pPr>
            <w:r>
              <w:t>第四名</w:t>
            </w:r>
          </w:p>
        </w:tc>
        <w:tc>
          <w:tcPr>
            <w:tcW w:w="1667" w:type="pct"/>
          </w:tcPr>
          <w:p w14:paraId="7FE25E3A">
            <w:pPr>
              <w:ind w:right="73"/>
              <w:jc w:val="right"/>
            </w:pPr>
            <w:r>
              <w:t>820,000.00</w:t>
            </w:r>
          </w:p>
        </w:tc>
        <w:tc>
          <w:tcPr>
            <w:tcW w:w="1667" w:type="pct"/>
          </w:tcPr>
          <w:p w14:paraId="10104F23">
            <w:pPr>
              <w:jc w:val="right"/>
            </w:pPr>
            <w:r>
              <w:t>5.04</w:t>
            </w:r>
          </w:p>
        </w:tc>
      </w:tr>
      <w:tr w14:paraId="0FEC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14:paraId="2833C04F">
            <w:pPr>
              <w:ind w:right="105"/>
              <w:jc w:val="center"/>
            </w:pPr>
            <w:r>
              <w:t>第五名</w:t>
            </w:r>
          </w:p>
        </w:tc>
        <w:tc>
          <w:tcPr>
            <w:tcW w:w="1667" w:type="pct"/>
          </w:tcPr>
          <w:p w14:paraId="1B7628C2">
            <w:pPr>
              <w:ind w:right="73"/>
              <w:jc w:val="right"/>
            </w:pPr>
            <w:r>
              <w:t>790,400.00</w:t>
            </w:r>
          </w:p>
        </w:tc>
        <w:tc>
          <w:tcPr>
            <w:tcW w:w="1667" w:type="pct"/>
          </w:tcPr>
          <w:p w14:paraId="2FB66811">
            <w:pPr>
              <w:jc w:val="right"/>
            </w:pPr>
            <w:r>
              <w:t>4.86</w:t>
            </w:r>
          </w:p>
        </w:tc>
      </w:tr>
      <w:tr w14:paraId="686B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66" w:type="pct"/>
          </w:tcPr>
          <w:p w14:paraId="1A591D2D">
            <w:pPr>
              <w:ind w:right="105"/>
              <w:jc w:val="center"/>
            </w:pPr>
            <w:r>
              <w:rPr>
                <w:rFonts w:hint="eastAsia"/>
              </w:rPr>
              <w:t>合计</w:t>
            </w:r>
          </w:p>
        </w:tc>
        <w:tc>
          <w:tcPr>
            <w:tcW w:w="1667" w:type="pct"/>
          </w:tcPr>
          <w:p w14:paraId="3B187F52">
            <w:pPr>
              <w:ind w:right="73"/>
              <w:jc w:val="right"/>
            </w:pPr>
            <w:r>
              <w:t>5,114,449.36</w:t>
            </w:r>
          </w:p>
        </w:tc>
        <w:tc>
          <w:tcPr>
            <w:tcW w:w="1667" w:type="pct"/>
          </w:tcPr>
          <w:p w14:paraId="4EB9F216">
            <w:pPr>
              <w:jc w:val="right"/>
            </w:pPr>
            <w:r>
              <w:t>31.44</w:t>
            </w:r>
          </w:p>
        </w:tc>
      </w:tr>
    </w:tbl>
    <w:p w14:paraId="5D492C52"/>
    <w:p w14:paraId="1C8517A8">
      <w:pPr>
        <w:snapToGrid w:val="0"/>
        <w:spacing w:line="240" w:lineRule="atLeast"/>
      </w:pPr>
      <w:r>
        <w:rPr>
          <w:rFonts w:hint="eastAsia"/>
        </w:rPr>
        <w:t>其他说明：</w:t>
      </w:r>
    </w:p>
    <w:sdt>
      <w:sdtPr>
        <w:rPr>
          <w:color w:val="000000" w:themeColor="text1"/>
          <w14:textFill>
            <w14:solidFill>
              <w14:schemeClr w14:val="tx1"/>
            </w14:solidFill>
          </w14:textFill>
        </w:rPr>
        <w:alias w:val="按预付对象归集的期末余额前五名的预付款情况的说明"/>
        <w:tag w:val="_GBC_e2f1aa285f174786838e4fcd54656fec"/>
        <w:id w:val="1986893926"/>
        <w:placeholder>
          <w:docPart w:val="GBC22222222222222222222222222222"/>
        </w:placeholder>
      </w:sdtPr>
      <w:sdtEndPr>
        <w:rPr>
          <w:color w:val="000000" w:themeColor="text1"/>
          <w14:textFill>
            <w14:solidFill>
              <w14:schemeClr w14:val="tx1"/>
            </w14:solidFill>
          </w14:textFill>
        </w:rPr>
      </w:sdtEndPr>
      <w:sdtContent>
        <w:p w14:paraId="7B99DCC6">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32580DC">
      <w:pPr>
        <w:snapToGrid w:val="0"/>
        <w:spacing w:line="240" w:lineRule="atLeast"/>
        <w:rPr>
          <w:color w:val="000000" w:themeColor="text1"/>
          <w14:textFill>
            <w14:solidFill>
              <w14:schemeClr w14:val="tx1"/>
            </w14:solidFill>
          </w14:textFill>
        </w:rPr>
      </w:pPr>
    </w:p>
    <w:bookmarkEnd w:id="197"/>
    <w:p w14:paraId="45F49E64">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预付帐款的说明[双击切换]"/>
        <w:tag w:val="_GBC_c712ee6483d44c77b1f563e552689c6d"/>
        <w:id w:val="-513840343"/>
        <w:placeholder>
          <w:docPart w:val="GBC22222222222222222222222222222"/>
        </w:placeholder>
      </w:sdtPr>
      <w:sdtEndPr>
        <w:rPr>
          <w:color w:val="000000" w:themeColor="text1"/>
          <w14:textFill>
            <w14:solidFill>
              <w14:schemeClr w14:val="tx1"/>
            </w14:solidFill>
          </w14:textFill>
        </w:rPr>
      </w:sdtEndPr>
      <w:sdtContent>
        <w:p w14:paraId="0A092F9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317EE93">
      <w:pPr>
        <w:rPr>
          <w:color w:val="000000" w:themeColor="text1"/>
          <w14:textFill>
            <w14:solidFill>
              <w14:schemeClr w14:val="tx1"/>
            </w14:solidFill>
          </w14:textFill>
        </w:rPr>
      </w:pPr>
    </w:p>
    <w:p w14:paraId="53A6089C">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其他应收款</w:t>
      </w:r>
    </w:p>
    <w:p w14:paraId="04935769">
      <w:pPr>
        <w:pStyle w:val="5"/>
        <w:rPr>
          <w:rFonts w:ascii="宋体" w:hAnsi="宋体"/>
          <w:color w:val="000000" w:themeColor="text1"/>
          <w14:textFill>
            <w14:solidFill>
              <w14:schemeClr w14:val="tx1"/>
            </w14:solidFill>
          </w14:textFill>
        </w:rPr>
      </w:pPr>
      <w:bookmarkStart w:id="198" w:name="_Hlk10467611"/>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其他应收款分类列示[双击切换]"/>
        <w:tag w:val="_GBC_23e3e9ad53624abaaa00fc7f7c24842a"/>
        <w:id w:val="1272504581"/>
        <w:placeholder>
          <w:docPart w:val="GBC22222222222222222222222222222"/>
        </w:placeholder>
      </w:sdtPr>
      <w:sdtEndPr>
        <w:rPr>
          <w:color w:val="000000" w:themeColor="text1"/>
          <w14:textFill>
            <w14:solidFill>
              <w14:schemeClr w14:val="tx1"/>
            </w14:solidFill>
          </w14:textFill>
        </w:rPr>
      </w:sdtEndPr>
      <w:sdtContent>
        <w:p w14:paraId="1A15C82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56FF9B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应收款分类列示"/>
          <w:tag w:val="_GBC_b73f89c776a341249ed520fe726b4db9"/>
          <w:id w:val="-2970686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应收款分类列示"/>
          <w:tag w:val="_GBC_a23554f2403346ea97b8fb1ef551ebe4"/>
          <w:id w:val="-9547847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8"/>
        <w:gridCol w:w="2939"/>
        <w:gridCol w:w="2922"/>
      </w:tblGrid>
      <w:tr w14:paraId="4BD7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b049b9a7f344665a70a23c402afbda5"/>
            <w:id w:val="1819533345"/>
          </w:sdtPr>
          <w:sdtContent>
            <w:tc>
              <w:tcPr>
                <w:tcW w:w="1765" w:type="pct"/>
                <w:vAlign w:val="center"/>
              </w:tcPr>
              <w:p w14:paraId="455A2AB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550a4ba0fb444ea69297bd36780a7618"/>
            <w:id w:val="-1369748832"/>
          </w:sdtPr>
          <w:sdtContent>
            <w:tc>
              <w:tcPr>
                <w:tcW w:w="1622" w:type="pct"/>
                <w:vAlign w:val="center"/>
              </w:tcPr>
              <w:p w14:paraId="4C78623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d58c3f70487c440b99a9f440a2d57d1e"/>
            <w:id w:val="1078560341"/>
          </w:sdtPr>
          <w:sdtContent>
            <w:tc>
              <w:tcPr>
                <w:tcW w:w="1613" w:type="pct"/>
                <w:vAlign w:val="center"/>
              </w:tcPr>
              <w:p w14:paraId="044CDCC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2845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5" w:type="pct"/>
          </w:tcPr>
          <w:p w14:paraId="0D3D8790">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应收利息</w:t>
            </w:r>
          </w:p>
        </w:tc>
        <w:tc>
          <w:tcPr>
            <w:tcW w:w="1622" w:type="pct"/>
            <w:vAlign w:val="center"/>
          </w:tcPr>
          <w:p w14:paraId="35C84D14">
            <w:pPr>
              <w:jc w:val="right"/>
            </w:pPr>
          </w:p>
        </w:tc>
        <w:tc>
          <w:tcPr>
            <w:tcW w:w="1613" w:type="pct"/>
            <w:vAlign w:val="center"/>
          </w:tcPr>
          <w:p w14:paraId="4EBA4A41">
            <w:pPr>
              <w:jc w:val="right"/>
              <w:rPr>
                <w:rFonts w:eastAsia="Times New Roman" w:cs="Times New Roman"/>
                <w:sz w:val="20"/>
                <w:szCs w:val="20"/>
              </w:rPr>
            </w:pPr>
          </w:p>
        </w:tc>
      </w:tr>
      <w:tr w14:paraId="072A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5" w:type="pct"/>
          </w:tcPr>
          <w:p w14:paraId="2C29462C">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应收股利</w:t>
            </w:r>
          </w:p>
        </w:tc>
        <w:tc>
          <w:tcPr>
            <w:tcW w:w="1622" w:type="pct"/>
            <w:vAlign w:val="center"/>
          </w:tcPr>
          <w:p w14:paraId="3DC1A484">
            <w:pPr>
              <w:jc w:val="right"/>
              <w:rPr>
                <w:rFonts w:ascii="宋体" w:hAnsi="宋体"/>
                <w:sz w:val="24"/>
                <w:szCs w:val="24"/>
              </w:rPr>
            </w:pPr>
            <w:r>
              <w:t>1,000,000.00</w:t>
            </w:r>
          </w:p>
        </w:tc>
        <w:tc>
          <w:tcPr>
            <w:tcW w:w="1613" w:type="pct"/>
            <w:vAlign w:val="center"/>
          </w:tcPr>
          <w:p w14:paraId="0C86C8E8">
            <w:pPr>
              <w:jc w:val="right"/>
            </w:pPr>
            <w:r>
              <w:t>1,000,000.00</w:t>
            </w:r>
          </w:p>
        </w:tc>
      </w:tr>
      <w:tr w14:paraId="18C1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5" w:type="pct"/>
          </w:tcPr>
          <w:p w14:paraId="537336B9">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w:t>
            </w:r>
          </w:p>
        </w:tc>
        <w:tc>
          <w:tcPr>
            <w:tcW w:w="1622" w:type="pct"/>
            <w:vAlign w:val="center"/>
          </w:tcPr>
          <w:p w14:paraId="5B154A56">
            <w:pPr>
              <w:jc w:val="right"/>
            </w:pPr>
            <w:r>
              <w:t>183,651,601.17</w:t>
            </w:r>
          </w:p>
        </w:tc>
        <w:tc>
          <w:tcPr>
            <w:tcW w:w="1613" w:type="pct"/>
            <w:vAlign w:val="center"/>
          </w:tcPr>
          <w:p w14:paraId="0E4D7036">
            <w:pPr>
              <w:jc w:val="right"/>
            </w:pPr>
            <w:r>
              <w:t>296,068,762.66</w:t>
            </w:r>
          </w:p>
        </w:tc>
      </w:tr>
      <w:tr w14:paraId="6B2A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5" w:type="pct"/>
          </w:tcPr>
          <w:p w14:paraId="3D787DC4">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22" w:type="pct"/>
            <w:vAlign w:val="center"/>
          </w:tcPr>
          <w:p w14:paraId="03B00398">
            <w:pPr>
              <w:jc w:val="right"/>
            </w:pPr>
            <w:r>
              <w:t>184,651,601.17</w:t>
            </w:r>
          </w:p>
        </w:tc>
        <w:tc>
          <w:tcPr>
            <w:tcW w:w="1613" w:type="pct"/>
            <w:vAlign w:val="center"/>
          </w:tcPr>
          <w:p w14:paraId="2E38FDBF">
            <w:pPr>
              <w:jc w:val="right"/>
            </w:pPr>
            <w:r>
              <w:t>297,068,762.66</w:t>
            </w:r>
          </w:p>
        </w:tc>
      </w:tr>
    </w:tbl>
    <w:p w14:paraId="374E02BC">
      <w:pPr>
        <w:rPr>
          <w:color w:val="000000" w:themeColor="text1"/>
          <w14:textFill>
            <w14:solidFill>
              <w14:schemeClr w14:val="tx1"/>
            </w14:solidFill>
          </w14:textFill>
        </w:rPr>
      </w:pPr>
      <w:bookmarkStart w:id="199" w:name="_Hlk532906097"/>
      <w:r>
        <w:t>注:上表中其他应收款指扣除应收利息、应收股利后的其他应收款。</w:t>
      </w:r>
    </w:p>
    <w:p w14:paraId="5ECB06BE">
      <w:pPr>
        <w:rPr>
          <w:color w:val="000000" w:themeColor="text1"/>
          <w14:textFill>
            <w14:solidFill>
              <w14:schemeClr w14:val="tx1"/>
            </w14:solidFill>
          </w14:textFill>
        </w:rPr>
      </w:pPr>
    </w:p>
    <w:p w14:paraId="7667E900">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bookmarkEnd w:id="199"/>
    </w:p>
    <w:sdt>
      <w:sdtPr>
        <w:rPr>
          <w:color w:val="000000" w:themeColor="text1"/>
          <w14:textFill>
            <w14:solidFill>
              <w14:schemeClr w14:val="tx1"/>
            </w14:solidFill>
          </w14:textFill>
        </w:rPr>
        <w:alias w:val="是否适用：其他应收款分类列示其他说明[双击切换]"/>
        <w:tag w:val="_GBC_73a4089b33094d13b0ea7c9bf8cfb58f"/>
        <w:id w:val="-733003227"/>
        <w:placeholder>
          <w:docPart w:val="GBC22222222222222222222222222222"/>
        </w:placeholder>
      </w:sdtPr>
      <w:sdtEndPr>
        <w:rPr>
          <w:color w:val="000000" w:themeColor="text1"/>
          <w14:textFill>
            <w14:solidFill>
              <w14:schemeClr w14:val="tx1"/>
            </w14:solidFill>
          </w14:textFill>
        </w:rPr>
      </w:sdtEndPr>
      <w:sdtContent>
        <w:p w14:paraId="0A44882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C233B13">
      <w:pPr>
        <w:rPr>
          <w:color w:val="000000" w:themeColor="text1"/>
          <w14:textFill>
            <w14:solidFill>
              <w14:schemeClr w14:val="tx1"/>
            </w14:solidFill>
          </w14:textFill>
        </w:rPr>
      </w:pPr>
    </w:p>
    <w:bookmarkEnd w:id="198"/>
    <w:p w14:paraId="5F02420E">
      <w:pPr>
        <w:pStyle w:val="5"/>
        <w:tabs>
          <w:tab w:val="left" w:pos="546"/>
        </w:tabs>
        <w:rPr>
          <w:rFonts w:ascii="宋体" w:hAnsi="宋体"/>
          <w:color w:val="000000" w:themeColor="text1"/>
          <w14:textFill>
            <w14:solidFill>
              <w14:schemeClr w14:val="tx1"/>
            </w14:solidFill>
          </w14:textFill>
        </w:rPr>
      </w:pPr>
      <w:r>
        <w:rPr>
          <w:rFonts w:hint="eastAsia" w:ascii="宋体" w:hAnsi="宋体" w:cs="宋体"/>
          <w:color w:val="000000" w:themeColor="text1"/>
          <w:kern w:val="0"/>
          <w:szCs w:val="22"/>
          <w14:textFill>
            <w14:solidFill>
              <w14:schemeClr w14:val="tx1"/>
            </w14:solidFill>
          </w14:textFill>
        </w:rPr>
        <w:t>应收利息</w:t>
      </w:r>
    </w:p>
    <w:p w14:paraId="32E0C288">
      <w:pPr>
        <w:pStyle w:val="6"/>
        <w:numPr>
          <w:ilvl w:val="0"/>
          <w:numId w:val="47"/>
        </w:numPr>
      </w:pPr>
      <w:r>
        <w:rPr>
          <w:rFonts w:hint="eastAsia"/>
        </w:rPr>
        <w:t>应收利息分类</w:t>
      </w:r>
    </w:p>
    <w:sdt>
      <w:sdtPr>
        <w:rPr>
          <w:color w:val="000000" w:themeColor="text1"/>
          <w14:textFill>
            <w14:solidFill>
              <w14:schemeClr w14:val="tx1"/>
            </w14:solidFill>
          </w14:textFill>
        </w:rPr>
        <w:alias w:val="是否适用：应收利息分类[双击切换]"/>
        <w:tag w:val="_GBC_86f9e9a81d7d4e07ae6873a88ddf6cc7"/>
        <w:id w:val="-712727681"/>
        <w:placeholder>
          <w:docPart w:val="GBC22222222222222222222222222222"/>
        </w:placeholder>
      </w:sdtPr>
      <w:sdtEndPr>
        <w:rPr>
          <w:color w:val="000000" w:themeColor="text1"/>
          <w14:textFill>
            <w14:solidFill>
              <w14:schemeClr w14:val="tx1"/>
            </w14:solidFill>
          </w14:textFill>
        </w:rPr>
      </w:sdtEndPr>
      <w:sdtContent>
        <w:p w14:paraId="4C7A096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058A0A">
      <w:pPr>
        <w:rPr>
          <w:color w:val="000000" w:themeColor="text1"/>
          <w14:textFill>
            <w14:solidFill>
              <w14:schemeClr w14:val="tx1"/>
            </w14:solidFill>
          </w14:textFill>
        </w:rPr>
      </w:pPr>
    </w:p>
    <w:p w14:paraId="7F316C2C">
      <w:pPr>
        <w:pStyle w:val="6"/>
        <w:numPr>
          <w:ilvl w:val="0"/>
          <w:numId w:val="47"/>
        </w:numPr>
      </w:pPr>
      <w:r>
        <w:rPr>
          <w:rFonts w:hint="eastAsia"/>
        </w:rPr>
        <w:t>重要逾期利息</w:t>
      </w:r>
    </w:p>
    <w:sdt>
      <w:sdtPr>
        <w:rPr>
          <w:color w:val="000000" w:themeColor="text1"/>
          <w14:textFill>
            <w14:solidFill>
              <w14:schemeClr w14:val="tx1"/>
            </w14:solidFill>
          </w14:textFill>
        </w:rPr>
        <w:alias w:val="是否适用：重要逾期利息[双击切换]"/>
        <w:tag w:val="_GBC_4554f307ef2241a583829b74df8ef0c3"/>
        <w:id w:val="-1843009347"/>
        <w:placeholder>
          <w:docPart w:val="GBC22222222222222222222222222222"/>
        </w:placeholder>
      </w:sdtPr>
      <w:sdtEndPr>
        <w:rPr>
          <w:color w:val="000000" w:themeColor="text1"/>
          <w14:textFill>
            <w14:solidFill>
              <w14:schemeClr w14:val="tx1"/>
            </w14:solidFill>
          </w14:textFill>
        </w:rPr>
      </w:sdtEndPr>
      <w:sdtContent>
        <w:p w14:paraId="127FA71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FDFC973">
      <w:pPr>
        <w:rPr>
          <w:color w:val="000000" w:themeColor="text1"/>
          <w14:textFill>
            <w14:solidFill>
              <w14:schemeClr w14:val="tx1"/>
            </w14:solidFill>
          </w14:textFill>
        </w:rPr>
      </w:pPr>
    </w:p>
    <w:p w14:paraId="44242361">
      <w:pPr>
        <w:pStyle w:val="6"/>
        <w:numPr>
          <w:ilvl w:val="0"/>
          <w:numId w:val="47"/>
        </w:numPr>
      </w:pPr>
      <w:bookmarkStart w:id="200" w:name="_Hlk167889561"/>
      <w:bookmarkStart w:id="201" w:name="_Hlk153374831"/>
      <w:r>
        <w:rPr>
          <w:rFonts w:hint="eastAsia"/>
        </w:rPr>
        <w:t>按坏账计提方法分类披露</w:t>
      </w:r>
    </w:p>
    <w:sdt>
      <w:sdtPr>
        <w:rPr>
          <w:color w:val="000000" w:themeColor="text1"/>
          <w14:textFill>
            <w14:solidFill>
              <w14:schemeClr w14:val="tx1"/>
            </w14:solidFill>
          </w14:textFill>
        </w:rPr>
        <w:alias w:val="是否适用：按坏账计提方法分类披露[双击切换]"/>
        <w:tag w:val="_GBC_e7c7032e67f14d5baddb2d7b0cdebf38"/>
        <w:id w:val="363799867"/>
        <w:placeholder>
          <w:docPart w:val="GBC22222222222222222222222222222"/>
        </w:placeholder>
      </w:sdtPr>
      <w:sdtEndPr>
        <w:rPr>
          <w:color w:val="000000" w:themeColor="text1"/>
          <w14:textFill>
            <w14:solidFill>
              <w14:schemeClr w14:val="tx1"/>
            </w14:solidFill>
          </w14:textFill>
        </w:rPr>
      </w:sdtEndPr>
      <w:sdtContent>
        <w:p w14:paraId="38ECA9A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DF04485">
      <w:pPr>
        <w:rPr>
          <w:color w:val="000000" w:themeColor="text1"/>
          <w14:textFill>
            <w14:solidFill>
              <w14:schemeClr w14:val="tx1"/>
            </w14:solidFill>
          </w14:textFill>
        </w:rPr>
      </w:pPr>
    </w:p>
    <w:p w14:paraId="40CB39B2">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07ebcd379e854ad8bd9de0d3ef457583"/>
        <w:id w:val="-1792659439"/>
        <w:placeholder>
          <w:docPart w:val="GBC22222222222222222222222222222"/>
        </w:placeholder>
      </w:sdtPr>
      <w:sdtEndPr>
        <w:rPr>
          <w:color w:val="000000" w:themeColor="text1"/>
          <w14:textFill>
            <w14:solidFill>
              <w14:schemeClr w14:val="tx1"/>
            </w14:solidFill>
          </w14:textFill>
        </w:rPr>
      </w:sdtEndPr>
      <w:sdtContent>
        <w:p w14:paraId="42CCA21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4CB077D">
      <w:pPr>
        <w:rPr>
          <w:color w:val="000000" w:themeColor="text1"/>
          <w14:textFill>
            <w14:solidFill>
              <w14:schemeClr w14:val="tx1"/>
            </w14:solidFill>
          </w14:textFill>
        </w:rPr>
      </w:pPr>
    </w:p>
    <w:p w14:paraId="45CE2BA3">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5e47d50d50fc4b3095057ac3908e407b"/>
        <w:id w:val="1440033209"/>
        <w:placeholder>
          <w:docPart w:val="GBC22222222222222222222222222222"/>
        </w:placeholder>
      </w:sdtPr>
      <w:sdtEndPr>
        <w:rPr>
          <w:color w:val="000000" w:themeColor="text1"/>
          <w14:textFill>
            <w14:solidFill>
              <w14:schemeClr w14:val="tx1"/>
            </w14:solidFill>
          </w14:textFill>
        </w:rPr>
      </w:sdtEndPr>
      <w:sdtContent>
        <w:p w14:paraId="6EE6A63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7668D72">
      <w:pPr>
        <w:rPr>
          <w:color w:val="000000" w:themeColor="text1"/>
          <w14:textFill>
            <w14:solidFill>
              <w14:schemeClr w14:val="tx1"/>
            </w14:solidFill>
          </w14:textFill>
        </w:rPr>
      </w:pPr>
    </w:p>
    <w:p w14:paraId="3FADA929">
      <w:pPr>
        <w:rPr>
          <w:rFonts w:ascii="Calibri" w:hAnsi="Calibri" w:cs="Times New Roman"/>
          <w:bCs/>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color w:val="000000" w:themeColor="text1"/>
          <w:szCs w:val="22"/>
          <w14:textFill>
            <w14:solidFill>
              <w14:schemeClr w14:val="tx1"/>
            </w14:solidFill>
          </w14:textFill>
        </w:rPr>
        <w:alias w:val="是否适用：按组合计提坏账准备的详细情况[双击切换]"/>
        <w:tag w:val="_GBC_0dc49505e0b44d56bf15079c4ea20a9a"/>
        <w:id w:val="-603805305"/>
        <w:placeholder>
          <w:docPart w:val="GBC22222222222222222222222222222"/>
        </w:placeholder>
      </w:sdtPr>
      <w:sdtEndPr>
        <w:rPr>
          <w:rFonts w:ascii="Calibri" w:hAnsi="Calibri" w:cs="Times New Roman"/>
          <w:bCs/>
          <w:color w:val="000000" w:themeColor="text1"/>
          <w:szCs w:val="22"/>
          <w14:textFill>
            <w14:solidFill>
              <w14:schemeClr w14:val="tx1"/>
            </w14:solidFill>
          </w14:textFill>
        </w:rPr>
      </w:sdtEndPr>
      <w:sdtContent>
        <w:p w14:paraId="7A348BB9">
          <w:pPr>
            <w:rPr>
              <w:color w:val="000000" w:themeColor="text1"/>
              <w14:textFill>
                <w14:solidFill>
                  <w14:schemeClr w14:val="tx1"/>
                </w14:solidFill>
              </w14:textFill>
            </w:rPr>
          </w:pP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color w:val="000000" w:themeColor="text1"/>
              <w:szCs w:val="22"/>
              <w14:textFill>
                <w14:solidFill>
                  <w14:schemeClr w14:val="tx1"/>
                </w14:solidFill>
              </w14:textFill>
            </w:rPr>
            <w:fldChar w:fldCharType="end"/>
          </w: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color w:val="000000" w:themeColor="text1"/>
              <w:szCs w:val="22"/>
              <w14:textFill>
                <w14:solidFill>
                  <w14:schemeClr w14:val="tx1"/>
                </w14:solidFill>
              </w14:textFill>
            </w:rPr>
            <w:fldChar w:fldCharType="end"/>
          </w:r>
        </w:p>
      </w:sdtContent>
    </w:sdt>
    <w:p w14:paraId="244D50F5">
      <w:pPr>
        <w:rPr>
          <w:color w:val="000000" w:themeColor="text1"/>
          <w14:textFill>
            <w14:solidFill>
              <w14:schemeClr w14:val="tx1"/>
            </w14:solidFill>
          </w14:textFill>
        </w:rPr>
      </w:pPr>
    </w:p>
    <w:p w14:paraId="5B28DE33">
      <w:pPr>
        <w:rPr>
          <w:rFonts w:ascii="Calibri" w:hAnsi="Calibri" w:cs="Times New Roman"/>
          <w:b/>
          <w:bCs/>
          <w:color w:val="000000" w:themeColor="text1"/>
          <w:szCs w:val="22"/>
          <w14:textFill>
            <w14:solidFill>
              <w14:schemeClr w14:val="tx1"/>
            </w14:solidFill>
          </w14:textFill>
        </w:rPr>
      </w:pPr>
    </w:p>
    <w:bookmarkEnd w:id="200"/>
    <w:bookmarkEnd w:id="201"/>
    <w:p w14:paraId="07A3A779">
      <w:pPr>
        <w:pStyle w:val="6"/>
        <w:numPr>
          <w:ilvl w:val="0"/>
          <w:numId w:val="47"/>
        </w:numPr>
      </w:pPr>
      <w:bookmarkStart w:id="202" w:name="_Hlk10468247"/>
      <w:r>
        <w:rPr>
          <w:rFonts w:hint="eastAsia"/>
        </w:rPr>
        <w:t>按预期信用损失一般模型计提坏账准备</w:t>
      </w:r>
    </w:p>
    <w:sdt>
      <w:sdtPr>
        <w:rPr>
          <w:color w:val="000000" w:themeColor="text1"/>
          <w14:textFill>
            <w14:solidFill>
              <w14:schemeClr w14:val="tx1"/>
            </w14:solidFill>
          </w14:textFill>
        </w:rPr>
        <w:alias w:val="是否适用：应收利息坏账准备调节表[双击切换]"/>
        <w:tag w:val="_GBC_2081adab30854417bcfae25caae8c9f9"/>
        <w:id w:val="-124385358"/>
        <w:placeholder>
          <w:docPart w:val="GBC22222222222222222222222222222"/>
        </w:placeholder>
      </w:sdtPr>
      <w:sdtEndPr>
        <w:rPr>
          <w:color w:val="000000" w:themeColor="text1"/>
          <w14:textFill>
            <w14:solidFill>
              <w14:schemeClr w14:val="tx1"/>
            </w14:solidFill>
          </w14:textFill>
        </w:rPr>
      </w:sdtEndPr>
      <w:sdtContent>
        <w:p w14:paraId="733F77B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CF5201">
      <w:pPr>
        <w:autoSpaceDE w:val="0"/>
        <w:autoSpaceDN w:val="0"/>
        <w:adjustRightInd w:val="0"/>
        <w:ind w:right="105" w:rightChars="50"/>
        <w:rPr>
          <w:color w:val="000000" w:themeColor="text1"/>
          <w14:textFill>
            <w14:solidFill>
              <w14:schemeClr w14:val="tx1"/>
            </w14:solidFill>
          </w14:textFill>
        </w:rPr>
      </w:pPr>
    </w:p>
    <w:p w14:paraId="54E19E67">
      <w:pPr>
        <w:rPr>
          <w:color w:val="000000" w:themeColor="text1"/>
          <w14:textFill>
            <w14:solidFill>
              <w14:schemeClr w14:val="tx1"/>
            </w14:solidFill>
          </w14:textFill>
        </w:rPr>
      </w:pPr>
    </w:p>
    <w:bookmarkEnd w:id="202"/>
    <w:p w14:paraId="5055ED29">
      <w:pPr>
        <w:pStyle w:val="6"/>
        <w:numPr>
          <w:ilvl w:val="0"/>
          <w:numId w:val="47"/>
        </w:numPr>
      </w:pPr>
      <w:bookmarkStart w:id="203" w:name="_Hlk167889778"/>
      <w:bookmarkStart w:id="204" w:name="_Hlk153375041"/>
      <w:r>
        <w:rPr>
          <w:rFonts w:hint="eastAsia"/>
        </w:rPr>
        <w:t>坏账准备的情况</w:t>
      </w:r>
    </w:p>
    <w:sdt>
      <w:sdtPr>
        <w:rPr>
          <w:color w:val="000000" w:themeColor="text1"/>
          <w14:textFill>
            <w14:solidFill>
              <w14:schemeClr w14:val="tx1"/>
            </w14:solidFill>
          </w14:textFill>
        </w:rPr>
        <w:alias w:val="是否适用：坏账准备情况[双击切换]"/>
        <w:tag w:val="_GBC_4a551e6f1c064b2d9170d6f608a5d12b"/>
        <w:id w:val="-1947539384"/>
        <w:placeholder>
          <w:docPart w:val="GBC22222222222222222222222222222"/>
        </w:placeholder>
      </w:sdtPr>
      <w:sdtEndPr>
        <w:rPr>
          <w:color w:val="000000" w:themeColor="text1"/>
          <w14:textFill>
            <w14:solidFill>
              <w14:schemeClr w14:val="tx1"/>
            </w14:solidFill>
          </w14:textFill>
        </w:rPr>
      </w:sdtEndPr>
      <w:sdtContent>
        <w:p w14:paraId="0B3AEE0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5A8EC3">
      <w:pPr>
        <w:rPr>
          <w:color w:val="000000" w:themeColor="text1"/>
          <w14:textFill>
            <w14:solidFill>
              <w14:schemeClr w14:val="tx1"/>
            </w14:solidFill>
          </w14:textFill>
        </w:rPr>
      </w:pPr>
    </w:p>
    <w:p w14:paraId="1034E09E">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5092fe8f9b7d425eb163b84fd07f53f0"/>
        <w:id w:val="-2145419262"/>
        <w:placeholder>
          <w:docPart w:val="GBC22222222222222222222222222222"/>
        </w:placeholder>
      </w:sdtPr>
      <w:sdtEndPr>
        <w:rPr>
          <w:color w:val="000000" w:themeColor="text1"/>
          <w14:textFill>
            <w14:solidFill>
              <w14:schemeClr w14:val="tx1"/>
            </w14:solidFill>
          </w14:textFill>
        </w:rPr>
      </w:sdtEndPr>
      <w:sdtContent>
        <w:p w14:paraId="42B2705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F4B3EB7">
      <w:pPr>
        <w:rPr>
          <w:color w:val="000000" w:themeColor="text1"/>
          <w14:textFill>
            <w14:solidFill>
              <w14:schemeClr w14:val="tx1"/>
            </w14:solidFill>
          </w14:textFill>
        </w:rPr>
      </w:pPr>
    </w:p>
    <w:p w14:paraId="57CDA37B">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456f6a2707124917aced7af3ec2980f6"/>
        <w:id w:val="445520316"/>
        <w:placeholder>
          <w:docPart w:val="GBC22222222222222222222222222222"/>
        </w:placeholder>
      </w:sdtPr>
      <w:sdtEndPr>
        <w:rPr>
          <w:color w:val="000000" w:themeColor="text1"/>
          <w14:textFill>
            <w14:solidFill>
              <w14:schemeClr w14:val="tx1"/>
            </w14:solidFill>
          </w14:textFill>
        </w:rPr>
      </w:sdtEndPr>
      <w:sdtContent>
        <w:p w14:paraId="26882B85">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06E21F6F">
      <w:pPr>
        <w:ind w:right="-1594" w:rightChars="-759"/>
        <w:rPr>
          <w:color w:val="000000" w:themeColor="text1"/>
          <w14:textFill>
            <w14:solidFill>
              <w14:schemeClr w14:val="tx1"/>
            </w14:solidFill>
          </w14:textFill>
        </w:rPr>
      </w:pPr>
    </w:p>
    <w:p w14:paraId="7BDCE6A9">
      <w:pPr>
        <w:pStyle w:val="6"/>
        <w:numPr>
          <w:ilvl w:val="0"/>
          <w:numId w:val="47"/>
        </w:numPr>
      </w:pPr>
      <w:r>
        <w:rPr>
          <w:rFonts w:hint="eastAsia"/>
        </w:rPr>
        <w:t>本期实际核销的应收利息情况</w:t>
      </w:r>
    </w:p>
    <w:sdt>
      <w:sdtPr>
        <w:rPr>
          <w:color w:val="000000" w:themeColor="text1"/>
          <w14:textFill>
            <w14:solidFill>
              <w14:schemeClr w14:val="tx1"/>
            </w14:solidFill>
          </w14:textFill>
        </w:rPr>
        <w:alias w:val="是否适用：实际核销的情况[双击切换]"/>
        <w:tag w:val="_GBC_4b850c38d1264ec6b7921671d08b78eb"/>
        <w:id w:val="-2041812010"/>
        <w:placeholder>
          <w:docPart w:val="GBC22222222222222222222222222222"/>
        </w:placeholder>
      </w:sdtPr>
      <w:sdtEndPr>
        <w:rPr>
          <w:color w:val="000000" w:themeColor="text1"/>
          <w14:textFill>
            <w14:solidFill>
              <w14:schemeClr w14:val="tx1"/>
            </w14:solidFill>
          </w14:textFill>
        </w:rPr>
      </w:sdtEndPr>
      <w:sdtContent>
        <w:p w14:paraId="1552EC3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57081D8">
      <w:pPr>
        <w:rPr>
          <w:color w:val="000000" w:themeColor="text1"/>
          <w14:textFill>
            <w14:solidFill>
              <w14:schemeClr w14:val="tx1"/>
            </w14:solidFill>
          </w14:textFill>
        </w:rPr>
      </w:pPr>
    </w:p>
    <w:p w14:paraId="30DE51B3">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其中重要的应收利息核销情况</w:t>
      </w:r>
    </w:p>
    <w:sdt>
      <w:sdtPr>
        <w:rPr>
          <w:rFonts w:hint="eastAsia"/>
          <w:color w:val="000000" w:themeColor="text1"/>
          <w14:textFill>
            <w14:solidFill>
              <w14:schemeClr w14:val="tx1"/>
            </w14:solidFill>
          </w14:textFill>
        </w:rPr>
        <w:alias w:val="是否适用：重要的核销情况[双击切换]"/>
        <w:tag w:val="_GBC_01d7a4e15dbb43749e9afdba26e20527"/>
        <w:id w:val="1233593001"/>
        <w:placeholder>
          <w:docPart w:val="GBC22222222222222222222222222222"/>
        </w:placeholder>
      </w:sdtPr>
      <w:sdtEndPr>
        <w:rPr>
          <w:rFonts w:hint="eastAsia"/>
          <w:color w:val="000000" w:themeColor="text1"/>
          <w14:textFill>
            <w14:solidFill>
              <w14:schemeClr w14:val="tx1"/>
            </w14:solidFill>
          </w14:textFill>
        </w:rPr>
      </w:sdtEndPr>
      <w:sdtContent>
        <w:p w14:paraId="777C6AA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8B8BF6">
      <w:pPr>
        <w:rPr>
          <w:color w:val="000000" w:themeColor="text1"/>
          <w14:textFill>
            <w14:solidFill>
              <w14:schemeClr w14:val="tx1"/>
            </w14:solidFill>
          </w14:textFill>
        </w:rPr>
      </w:pPr>
    </w:p>
    <w:p w14:paraId="75F420A8">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核销说明[双击切换]"/>
        <w:tag w:val="_GBC_fa943be869f247e4945a7336e3ce2e1f"/>
        <w:id w:val="75565670"/>
        <w:placeholder>
          <w:docPart w:val="GBC22222222222222222222222222222"/>
        </w:placeholder>
      </w:sdtPr>
      <w:sdtEndPr>
        <w:rPr>
          <w:color w:val="000000" w:themeColor="text1"/>
          <w14:textFill>
            <w14:solidFill>
              <w14:schemeClr w14:val="tx1"/>
            </w14:solidFill>
          </w14:textFill>
        </w:rPr>
      </w:sdtEndPr>
      <w:sdtContent>
        <w:p w14:paraId="18058257">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C0BDEB4">
      <w:pPr>
        <w:rPr>
          <w:color w:val="000000" w:themeColor="text1"/>
          <w14:textFill>
            <w14:solidFill>
              <w14:schemeClr w14:val="tx1"/>
            </w14:solidFill>
          </w14:textFill>
        </w:rPr>
      </w:pPr>
    </w:p>
    <w:bookmarkEnd w:id="203"/>
    <w:bookmarkEnd w:id="204"/>
    <w:p w14:paraId="26725FFD">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收利息的说明[双击切换]"/>
        <w:tag w:val="_GBC_9fcbab94f58048baace4761ca17ae925"/>
        <w:id w:val="749931903"/>
        <w:placeholder>
          <w:docPart w:val="GBC22222222222222222222222222222"/>
        </w:placeholder>
      </w:sdtPr>
      <w:sdtEndPr>
        <w:rPr>
          <w:color w:val="000000" w:themeColor="text1"/>
          <w14:textFill>
            <w14:solidFill>
              <w14:schemeClr w14:val="tx1"/>
            </w14:solidFill>
          </w14:textFill>
        </w:rPr>
      </w:sdtEndPr>
      <w:sdtContent>
        <w:p w14:paraId="5F074B1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FBBF431">
      <w:pPr>
        <w:rPr>
          <w:color w:val="000000" w:themeColor="text1"/>
          <w14:textFill>
            <w14:solidFill>
              <w14:schemeClr w14:val="tx1"/>
            </w14:solidFill>
          </w14:textFill>
        </w:rPr>
      </w:pPr>
    </w:p>
    <w:p w14:paraId="00802FE2">
      <w:pPr>
        <w:pStyle w:val="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应收股利</w:t>
      </w:r>
    </w:p>
    <w:p w14:paraId="51698A92">
      <w:pPr>
        <w:pStyle w:val="6"/>
        <w:numPr>
          <w:ilvl w:val="0"/>
          <w:numId w:val="48"/>
        </w:numPr>
      </w:pPr>
      <w:r>
        <w:rPr>
          <w:rFonts w:hint="eastAsia"/>
        </w:rPr>
        <w:t>应收股利</w:t>
      </w:r>
    </w:p>
    <w:sdt>
      <w:sdtPr>
        <w:rPr>
          <w:color w:val="000000" w:themeColor="text1"/>
          <w14:textFill>
            <w14:solidFill>
              <w14:schemeClr w14:val="tx1"/>
            </w14:solidFill>
          </w14:textFill>
        </w:rPr>
        <w:alias w:val="是否适用：应收股利[双击切换]"/>
        <w:tag w:val="_GBC_002b8ba295db406eb34a179aa27a4801"/>
        <w:id w:val="150808994"/>
        <w:placeholder>
          <w:docPart w:val="GBC22222222222222222222222222222"/>
        </w:placeholder>
      </w:sdtPr>
      <w:sdtEndPr>
        <w:rPr>
          <w:color w:val="000000" w:themeColor="text1"/>
          <w14:textFill>
            <w14:solidFill>
              <w14:schemeClr w14:val="tx1"/>
            </w14:solidFill>
          </w14:textFill>
        </w:rPr>
      </w:sdtEndPr>
      <w:sdtContent>
        <w:p w14:paraId="7B80B88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F9EBD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收股利"/>
          <w:tag w:val="_GBC_21cf7178837042889094b06d89cb1845"/>
          <w:id w:val="17498403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收股利"/>
          <w:tag w:val="_GBC_d4486348b4bd4056afd97c6bb061623e"/>
          <w:id w:val="7720590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5"/>
        <w:gridCol w:w="2492"/>
        <w:gridCol w:w="2492"/>
      </w:tblGrid>
      <w:tr w14:paraId="390C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240773011804aa5a4245c98b5f473de"/>
            <w:id w:val="-1720662810"/>
          </w:sdtPr>
          <w:sdtContent>
            <w:tc>
              <w:tcPr>
                <w:tcW w:w="2246" w:type="pct"/>
                <w:vAlign w:val="center"/>
              </w:tcPr>
              <w:p w14:paraId="6CC921A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项目(或被投资单位)</w:t>
                </w:r>
              </w:p>
            </w:tc>
          </w:sdtContent>
        </w:sdt>
        <w:sdt>
          <w:sdtPr>
            <w:tag w:val="_PLD_cadc07ed6f504e63b41def670f3c2338"/>
            <w:id w:val="288864505"/>
          </w:sdtPr>
          <w:sdtContent>
            <w:tc>
              <w:tcPr>
                <w:tcW w:w="1377" w:type="pct"/>
                <w:vAlign w:val="center"/>
              </w:tcPr>
              <w:p w14:paraId="08C93A8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33c992e918b546739aa3d8a0d43ef633"/>
            <w:id w:val="-1963412561"/>
          </w:sdtPr>
          <w:sdtContent>
            <w:tc>
              <w:tcPr>
                <w:tcW w:w="1377" w:type="pct"/>
                <w:vAlign w:val="center"/>
              </w:tcPr>
              <w:p w14:paraId="6E23D0E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3C8F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6AD17DD9">
            <w:r>
              <w:t>重庆新能源汽车融资租赁有限公司</w:t>
            </w:r>
          </w:p>
        </w:tc>
        <w:tc>
          <w:tcPr>
            <w:tcW w:w="1377" w:type="pct"/>
          </w:tcPr>
          <w:p w14:paraId="02320416">
            <w:pPr>
              <w:jc w:val="right"/>
            </w:pPr>
            <w:r>
              <w:t>11,727,677.71</w:t>
            </w:r>
          </w:p>
        </w:tc>
        <w:tc>
          <w:tcPr>
            <w:tcW w:w="1377" w:type="pct"/>
          </w:tcPr>
          <w:p w14:paraId="67D50094">
            <w:pPr>
              <w:jc w:val="right"/>
            </w:pPr>
            <w:r>
              <w:t>11,727,677.71</w:t>
            </w:r>
          </w:p>
        </w:tc>
      </w:tr>
      <w:tr w14:paraId="26D1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18BFA7D5">
            <w:r>
              <w:t>新能源汽车产业发展（重庆）有限公司</w:t>
            </w:r>
          </w:p>
        </w:tc>
        <w:tc>
          <w:tcPr>
            <w:tcW w:w="1377" w:type="pct"/>
          </w:tcPr>
          <w:p w14:paraId="4B9B00DF">
            <w:pPr>
              <w:jc w:val="right"/>
            </w:pPr>
            <w:r>
              <w:t>1,000,000.00</w:t>
            </w:r>
          </w:p>
        </w:tc>
        <w:tc>
          <w:tcPr>
            <w:tcW w:w="1377" w:type="pct"/>
          </w:tcPr>
          <w:p w14:paraId="019E0E01">
            <w:pPr>
              <w:jc w:val="right"/>
            </w:pPr>
            <w:r>
              <w:t>1,000,000.00</w:t>
            </w:r>
          </w:p>
        </w:tc>
      </w:tr>
      <w:tr w14:paraId="1B29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Pr>
          <w:p w14:paraId="41C74BC0">
            <w:r>
              <w:t>减：坏账准备</w:t>
            </w:r>
          </w:p>
        </w:tc>
        <w:tc>
          <w:tcPr>
            <w:tcW w:w="1377" w:type="pct"/>
          </w:tcPr>
          <w:p w14:paraId="00362067">
            <w:pPr>
              <w:jc w:val="right"/>
            </w:pPr>
            <w:r>
              <w:t>11,727,677.71</w:t>
            </w:r>
          </w:p>
        </w:tc>
        <w:tc>
          <w:tcPr>
            <w:tcW w:w="1377" w:type="pct"/>
          </w:tcPr>
          <w:p w14:paraId="3D4C6E6D">
            <w:pPr>
              <w:jc w:val="right"/>
            </w:pPr>
            <w:r>
              <w:t>11,727,677.71</w:t>
            </w:r>
          </w:p>
        </w:tc>
      </w:tr>
      <w:tr w14:paraId="52EE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vAlign w:val="center"/>
          </w:tcPr>
          <w:p w14:paraId="00C271F3">
            <w:pPr>
              <w:jc w:val="center"/>
            </w:pPr>
            <w:r>
              <w:rPr>
                <w:rFonts w:hint="eastAsia"/>
              </w:rPr>
              <w:t>合计</w:t>
            </w:r>
          </w:p>
        </w:tc>
        <w:tc>
          <w:tcPr>
            <w:tcW w:w="1377" w:type="pct"/>
          </w:tcPr>
          <w:p w14:paraId="02262308">
            <w:pPr>
              <w:jc w:val="right"/>
            </w:pPr>
            <w:r>
              <w:t>1,000,000.00</w:t>
            </w:r>
          </w:p>
        </w:tc>
        <w:tc>
          <w:tcPr>
            <w:tcW w:w="1377" w:type="pct"/>
          </w:tcPr>
          <w:p w14:paraId="6C2D43A9">
            <w:pPr>
              <w:jc w:val="right"/>
            </w:pPr>
            <w:r>
              <w:t>1,000,000.00</w:t>
            </w:r>
          </w:p>
        </w:tc>
      </w:tr>
    </w:tbl>
    <w:p w14:paraId="51631365"/>
    <w:p w14:paraId="03749C48">
      <w:pPr>
        <w:pStyle w:val="6"/>
        <w:numPr>
          <w:ilvl w:val="0"/>
          <w:numId w:val="48"/>
        </w:numPr>
      </w:pPr>
      <w:r>
        <w:rPr>
          <w:rFonts w:hint="eastAsia"/>
        </w:rPr>
        <w:t>重要的账龄超过1年的应收股利</w:t>
      </w:r>
    </w:p>
    <w:p w14:paraId="64072A5C">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重要的账龄超过1年的应收股利[双击切换]"/>
          <w:tag w:val="_GBC_9aa7ef4a3c0c40638901a5b7f6224231"/>
          <w:id w:val="-1236697764"/>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61FBEFB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的账龄超过1年的应收股利"/>
          <w:tag w:val="_GBC_f08fb2c53aeb449bb75e121ee3aeca9c"/>
          <w:id w:val="21174019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的账龄超过1年的应收股利"/>
          <w:tag w:val="_GBC_bd52ead6e46444738b8ef3b24c67296e"/>
          <w:id w:val="17499997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097"/>
        <w:gridCol w:w="1485"/>
        <w:gridCol w:w="1428"/>
        <w:gridCol w:w="2558"/>
        <w:gridCol w:w="1325"/>
      </w:tblGrid>
      <w:tr w14:paraId="2D63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54325778de824e9297cb1c149c22dd25"/>
            <w:id w:val="2035619535"/>
          </w:sdtPr>
          <w:sdtContent>
            <w:tc>
              <w:tcPr>
                <w:tcW w:w="1179" w:type="pct"/>
                <w:vAlign w:val="center"/>
              </w:tcPr>
              <w:p w14:paraId="2B117CC5">
                <w:pPr>
                  <w:autoSpaceDE w:val="0"/>
                  <w:autoSpaceDN w:val="0"/>
                  <w:adjustRightInd w:val="0"/>
                  <w:snapToGrid w:val="0"/>
                  <w:spacing w:line="240" w:lineRule="atLeast"/>
                  <w:jc w:val="center"/>
                  <w:rPr>
                    <w:color w:val="000000" w:themeColor="text1"/>
                    <w14:textFill>
                      <w14:solidFill>
                        <w14:schemeClr w14:val="tx1"/>
                      </w14:solidFill>
                    </w14:textFill>
                  </w:rPr>
                </w:pPr>
                <w:bookmarkStart w:id="205" w:name="_Hlk153377225"/>
                <w:bookmarkStart w:id="206" w:name="_Hlk167889908"/>
                <w:r>
                  <w:rPr>
                    <w:rFonts w:hint="eastAsia"/>
                    <w:color w:val="000000" w:themeColor="text1"/>
                    <w14:textFill>
                      <w14:solidFill>
                        <w14:schemeClr w14:val="tx1"/>
                      </w14:solidFill>
                    </w14:textFill>
                  </w:rPr>
                  <w:t>项目(或被投资单位)</w:t>
                </w:r>
              </w:p>
            </w:tc>
          </w:sdtContent>
        </w:sdt>
        <w:sdt>
          <w:sdtPr>
            <w:tag w:val="_PLD_3c6fcc2eeb2e43f884e135de407bf935"/>
            <w:id w:val="1550649232"/>
          </w:sdtPr>
          <w:sdtContent>
            <w:tc>
              <w:tcPr>
                <w:tcW w:w="835" w:type="pct"/>
                <w:vAlign w:val="center"/>
              </w:tcPr>
              <w:p w14:paraId="049632E0">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5753b571b76c4818b08432ac4b75a19b"/>
            <w:id w:val="1826935481"/>
          </w:sdtPr>
          <w:sdtContent>
            <w:tc>
              <w:tcPr>
                <w:tcW w:w="803" w:type="pct"/>
                <w:vAlign w:val="center"/>
              </w:tcPr>
              <w:p w14:paraId="791AE3A8">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0152ee4fb8ae4030adfa916347591a85"/>
            <w:id w:val="1813291442"/>
          </w:sdtPr>
          <w:sdtContent>
            <w:tc>
              <w:tcPr>
                <w:tcW w:w="1438" w:type="pct"/>
                <w:vAlign w:val="center"/>
              </w:tcPr>
              <w:p w14:paraId="73BF0E61">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未收回的原因</w:t>
                </w:r>
              </w:p>
            </w:tc>
          </w:sdtContent>
        </w:sdt>
        <w:sdt>
          <w:sdtPr>
            <w:tag w:val="_PLD_3bb7e6ec4cc148b7a30573dbbf2a2707"/>
            <w:id w:val="-1697075460"/>
          </w:sdtPr>
          <w:sdtContent>
            <w:tc>
              <w:tcPr>
                <w:tcW w:w="745" w:type="pct"/>
                <w:vAlign w:val="center"/>
              </w:tcPr>
              <w:p w14:paraId="4FE2DFF1">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是否发生减值及其判断依据</w:t>
                </w:r>
              </w:p>
            </w:tc>
          </w:sdtContent>
        </w:sdt>
      </w:tr>
      <w:tr w14:paraId="5EF4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179" w:type="pct"/>
            <w:vAlign w:val="center"/>
          </w:tcPr>
          <w:p w14:paraId="6FFFAA0A">
            <w:r>
              <w:t>重庆新能源汽车融资租赁有限公司</w:t>
            </w:r>
          </w:p>
        </w:tc>
        <w:tc>
          <w:tcPr>
            <w:tcW w:w="835" w:type="pct"/>
            <w:vAlign w:val="center"/>
          </w:tcPr>
          <w:p w14:paraId="414BEAC5">
            <w:pPr>
              <w:autoSpaceDE w:val="0"/>
              <w:autoSpaceDN w:val="0"/>
              <w:adjustRightInd w:val="0"/>
              <w:snapToGrid w:val="0"/>
              <w:spacing w:line="240" w:lineRule="atLeast"/>
              <w:jc w:val="right"/>
            </w:pPr>
            <w:r>
              <w:t>11,727,677.71</w:t>
            </w:r>
          </w:p>
        </w:tc>
        <w:tc>
          <w:tcPr>
            <w:tcW w:w="803" w:type="pct"/>
            <w:vAlign w:val="center"/>
          </w:tcPr>
          <w:p w14:paraId="3EDDC8E7">
            <w:pPr>
              <w:autoSpaceDE w:val="0"/>
              <w:autoSpaceDN w:val="0"/>
              <w:adjustRightInd w:val="0"/>
              <w:snapToGrid w:val="0"/>
              <w:spacing w:line="240" w:lineRule="atLeast"/>
              <w:ind w:right="105" w:rightChars="50"/>
              <w:jc w:val="center"/>
            </w:pPr>
            <w:r>
              <w:t>5年以上</w:t>
            </w:r>
          </w:p>
        </w:tc>
        <w:tc>
          <w:tcPr>
            <w:tcW w:w="1438" w:type="pct"/>
            <w:vAlign w:val="center"/>
          </w:tcPr>
          <w:p w14:paraId="1FEFDE69">
            <w:pPr>
              <w:autoSpaceDE w:val="0"/>
              <w:autoSpaceDN w:val="0"/>
              <w:adjustRightInd w:val="0"/>
              <w:snapToGrid w:val="0"/>
              <w:spacing w:line="240" w:lineRule="atLeast"/>
            </w:pPr>
            <w:r>
              <w:t>被投资单位经营状况恶化</w:t>
            </w:r>
          </w:p>
        </w:tc>
        <w:sdt>
          <w:sdtPr>
            <w:alias w:val="账龄一年以上的应收股利明细-相关款项是否发生减值及其判断依据"/>
            <w:tag w:val="_GBC_e1357b6e4dbc4ecdb39565f028569466"/>
            <w:id w:val="1574395280"/>
            <w:comboBox>
              <w:listItem w:displayText="是" w:value="true"/>
              <w:listItem w:displayText="否" w:value="false"/>
            </w:comboBox>
          </w:sdtPr>
          <w:sdtContent>
            <w:tc>
              <w:tcPr>
                <w:tcW w:w="745" w:type="pct"/>
                <w:vAlign w:val="center"/>
              </w:tcPr>
              <w:p w14:paraId="4DF31ED9">
                <w:pPr>
                  <w:autoSpaceDE w:val="0"/>
                  <w:autoSpaceDN w:val="0"/>
                  <w:adjustRightInd w:val="0"/>
                  <w:snapToGrid w:val="0"/>
                  <w:spacing w:line="240" w:lineRule="atLeast"/>
                  <w:jc w:val="center"/>
                </w:pPr>
                <w:r>
                  <w:t>是</w:t>
                </w:r>
              </w:p>
            </w:tc>
          </w:sdtContent>
        </w:sdt>
      </w:tr>
      <w:tr w14:paraId="3C78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179" w:type="pct"/>
            <w:vAlign w:val="center"/>
          </w:tcPr>
          <w:p w14:paraId="52B8DFA7">
            <w:r>
              <w:t>新能源汽车产业发展（重庆）有限公司</w:t>
            </w:r>
          </w:p>
        </w:tc>
        <w:tc>
          <w:tcPr>
            <w:tcW w:w="835" w:type="pct"/>
            <w:vAlign w:val="center"/>
          </w:tcPr>
          <w:p w14:paraId="0A79E26D">
            <w:pPr>
              <w:autoSpaceDE w:val="0"/>
              <w:autoSpaceDN w:val="0"/>
              <w:adjustRightInd w:val="0"/>
              <w:snapToGrid w:val="0"/>
              <w:spacing w:line="240" w:lineRule="atLeast"/>
              <w:jc w:val="right"/>
            </w:pPr>
            <w:r>
              <w:t>1,000,000.00</w:t>
            </w:r>
          </w:p>
        </w:tc>
        <w:tc>
          <w:tcPr>
            <w:tcW w:w="803" w:type="pct"/>
            <w:vAlign w:val="center"/>
          </w:tcPr>
          <w:p w14:paraId="6D5179C9">
            <w:pPr>
              <w:autoSpaceDE w:val="0"/>
              <w:autoSpaceDN w:val="0"/>
              <w:adjustRightInd w:val="0"/>
              <w:snapToGrid w:val="0"/>
              <w:spacing w:line="240" w:lineRule="atLeast"/>
              <w:ind w:right="105" w:rightChars="50"/>
              <w:jc w:val="center"/>
            </w:pPr>
            <w:r>
              <w:t>5年以上</w:t>
            </w:r>
          </w:p>
        </w:tc>
        <w:tc>
          <w:tcPr>
            <w:tcW w:w="1438" w:type="pct"/>
            <w:vAlign w:val="center"/>
          </w:tcPr>
          <w:p w14:paraId="2DF21ACB">
            <w:pPr>
              <w:autoSpaceDE w:val="0"/>
              <w:autoSpaceDN w:val="0"/>
              <w:adjustRightInd w:val="0"/>
              <w:snapToGrid w:val="0"/>
              <w:spacing w:line="240" w:lineRule="atLeast"/>
            </w:pPr>
            <w:r>
              <w:t>项目投资需要，暂缓发放</w:t>
            </w:r>
          </w:p>
        </w:tc>
        <w:tc>
          <w:tcPr>
            <w:tcW w:w="745" w:type="pct"/>
            <w:vAlign w:val="center"/>
          </w:tcPr>
          <w:p w14:paraId="224A33A7">
            <w:pPr>
              <w:autoSpaceDE w:val="0"/>
              <w:autoSpaceDN w:val="0"/>
              <w:adjustRightInd w:val="0"/>
              <w:snapToGrid w:val="0"/>
              <w:spacing w:line="240" w:lineRule="atLeast"/>
              <w:jc w:val="center"/>
            </w:pPr>
            <w:r>
              <w:rPr>
                <w:rFonts w:hint="eastAsia"/>
              </w:rPr>
              <w:t>否</w:t>
            </w:r>
          </w:p>
        </w:tc>
      </w:tr>
      <w:tr w14:paraId="71F6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179" w:type="pct"/>
            <w:vAlign w:val="center"/>
          </w:tcPr>
          <w:p w14:paraId="606C9976">
            <w:pPr>
              <w:autoSpaceDE w:val="0"/>
              <w:autoSpaceDN w:val="0"/>
              <w:adjustRightInd w:val="0"/>
              <w:snapToGrid w:val="0"/>
              <w:spacing w:line="240" w:lineRule="atLeast"/>
              <w:jc w:val="center"/>
            </w:pPr>
            <w:r>
              <w:rPr>
                <w:rFonts w:hint="eastAsia"/>
              </w:rPr>
              <w:t>合计</w:t>
            </w:r>
          </w:p>
        </w:tc>
        <w:tc>
          <w:tcPr>
            <w:tcW w:w="835" w:type="pct"/>
            <w:vAlign w:val="center"/>
          </w:tcPr>
          <w:p w14:paraId="365896E6">
            <w:pPr>
              <w:jc w:val="right"/>
            </w:pPr>
            <w:r>
              <w:t>12,727,677.71</w:t>
            </w:r>
          </w:p>
        </w:tc>
        <w:tc>
          <w:tcPr>
            <w:tcW w:w="803" w:type="pct"/>
            <w:vAlign w:val="center"/>
          </w:tcPr>
          <w:p w14:paraId="7DF8C624">
            <w:pPr>
              <w:jc w:val="center"/>
            </w:pPr>
            <w:r>
              <w:rPr>
                <w:rFonts w:hint="eastAsia"/>
              </w:rPr>
              <w:t>/</w:t>
            </w:r>
          </w:p>
        </w:tc>
        <w:tc>
          <w:tcPr>
            <w:tcW w:w="1438" w:type="pct"/>
            <w:vAlign w:val="center"/>
          </w:tcPr>
          <w:p w14:paraId="7C7ED302">
            <w:pPr>
              <w:jc w:val="center"/>
            </w:pPr>
            <w:r>
              <w:rPr>
                <w:rFonts w:hint="eastAsia"/>
              </w:rPr>
              <w:t>/</w:t>
            </w:r>
          </w:p>
        </w:tc>
        <w:tc>
          <w:tcPr>
            <w:tcW w:w="745" w:type="pct"/>
            <w:vAlign w:val="center"/>
          </w:tcPr>
          <w:p w14:paraId="4880D461">
            <w:pPr>
              <w:jc w:val="center"/>
            </w:pPr>
            <w:r>
              <w:rPr>
                <w:rFonts w:hint="eastAsia"/>
              </w:rPr>
              <w:t>/</w:t>
            </w:r>
          </w:p>
        </w:tc>
      </w:tr>
    </w:tbl>
    <w:p w14:paraId="5CA7D875"/>
    <w:p w14:paraId="6314477E">
      <w:pPr>
        <w:pStyle w:val="6"/>
        <w:numPr>
          <w:ilvl w:val="0"/>
          <w:numId w:val="48"/>
        </w:numPr>
      </w:pPr>
      <w:r>
        <w:rPr>
          <w:rFonts w:hint="eastAsia"/>
        </w:rPr>
        <w:t>按坏账计提方法分类披露</w:t>
      </w:r>
    </w:p>
    <w:sdt>
      <w:sdtPr>
        <w:rPr>
          <w:color w:val="000000" w:themeColor="text1"/>
          <w14:textFill>
            <w14:solidFill>
              <w14:schemeClr w14:val="tx1"/>
            </w14:solidFill>
          </w14:textFill>
        </w:rPr>
        <w:alias w:val="是否适用：按坏账计提方法分类披露[双击切换]"/>
        <w:tag w:val="_GBC_8b70ad2470ad4f7fa9d5783df04c53e3"/>
        <w:id w:val="-1271306732"/>
        <w:placeholder>
          <w:docPart w:val="GBC22222222222222222222222222222"/>
        </w:placeholder>
      </w:sdtPr>
      <w:sdtEndPr>
        <w:rPr>
          <w:color w:val="000000" w:themeColor="text1"/>
          <w14:textFill>
            <w14:solidFill>
              <w14:schemeClr w14:val="tx1"/>
            </w14:solidFill>
          </w14:textFill>
        </w:rPr>
      </w:sdtEndPr>
      <w:sdtContent>
        <w:p w14:paraId="6CA734C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597615D">
      <w:pPr>
        <w:rPr>
          <w:color w:val="000000" w:themeColor="text1"/>
          <w14:textFill>
            <w14:solidFill>
              <w14:schemeClr w14:val="tx1"/>
            </w14:solidFill>
          </w14:textFill>
        </w:rPr>
      </w:pPr>
    </w:p>
    <w:p w14:paraId="19993DB8">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483991b4a15b41e5972cf3114089a5f0"/>
        <w:id w:val="1390608293"/>
        <w:placeholder>
          <w:docPart w:val="GBC22222222222222222222222222222"/>
        </w:placeholder>
      </w:sdtPr>
      <w:sdtEndPr>
        <w:rPr>
          <w:color w:val="000000" w:themeColor="text1"/>
          <w14:textFill>
            <w14:solidFill>
              <w14:schemeClr w14:val="tx1"/>
            </w14:solidFill>
          </w14:textFill>
        </w:rPr>
      </w:sdtEndPr>
      <w:sdtContent>
        <w:p w14:paraId="4BDBED5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189A8DF">
      <w:pPr>
        <w:rPr>
          <w:color w:val="000000" w:themeColor="text1"/>
          <w14:textFill>
            <w14:solidFill>
              <w14:schemeClr w14:val="tx1"/>
            </w14:solidFill>
          </w14:textFill>
        </w:rPr>
      </w:pPr>
    </w:p>
    <w:p w14:paraId="4A1010FB">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d7afb2e278434689a41c386c91ae5fd8"/>
        <w:id w:val="-979996712"/>
        <w:placeholder>
          <w:docPart w:val="GBC22222222222222222222222222222"/>
        </w:placeholder>
      </w:sdtPr>
      <w:sdtEndPr>
        <w:rPr>
          <w:color w:val="000000" w:themeColor="text1"/>
          <w14:textFill>
            <w14:solidFill>
              <w14:schemeClr w14:val="tx1"/>
            </w14:solidFill>
          </w14:textFill>
        </w:rPr>
      </w:sdtEndPr>
      <w:sdtContent>
        <w:p w14:paraId="72BB243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51C485E">
      <w:pPr>
        <w:rPr>
          <w:color w:val="000000" w:themeColor="text1"/>
          <w14:textFill>
            <w14:solidFill>
              <w14:schemeClr w14:val="tx1"/>
            </w14:solidFill>
          </w14:textFill>
        </w:rPr>
      </w:pPr>
    </w:p>
    <w:p w14:paraId="2F0ADB84">
      <w:pPr>
        <w:rPr>
          <w:rFonts w:ascii="Calibri" w:hAnsi="Calibri" w:cs="Times New Roman"/>
          <w:bCs/>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color w:val="000000" w:themeColor="text1"/>
          <w:szCs w:val="22"/>
          <w14:textFill>
            <w14:solidFill>
              <w14:schemeClr w14:val="tx1"/>
            </w14:solidFill>
          </w14:textFill>
        </w:rPr>
        <w:alias w:val="是否适用：按组合计提坏账准备的详细情况[双击切换]"/>
        <w:tag w:val="_GBC_37434366d06a4e49b22522b1d88358dd"/>
        <w:id w:val="389149787"/>
        <w:placeholder>
          <w:docPart w:val="GBC22222222222222222222222222222"/>
        </w:placeholder>
      </w:sdtPr>
      <w:sdtEndPr>
        <w:rPr>
          <w:rFonts w:ascii="Calibri" w:hAnsi="Calibri" w:cs="Times New Roman"/>
          <w:bCs/>
          <w:color w:val="000000" w:themeColor="text1"/>
          <w:szCs w:val="22"/>
          <w14:textFill>
            <w14:solidFill>
              <w14:schemeClr w14:val="tx1"/>
            </w14:solidFill>
          </w14:textFill>
        </w:rPr>
      </w:sdtEndPr>
      <w:sdtContent>
        <w:p w14:paraId="542AF9C4">
          <w:pPr>
            <w:rPr>
              <w:color w:val="000000" w:themeColor="text1"/>
              <w14:textFill>
                <w14:solidFill>
                  <w14:schemeClr w14:val="tx1"/>
                </w14:solidFill>
              </w14:textFill>
            </w:rPr>
          </w:pP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color w:val="000000" w:themeColor="text1"/>
              <w:szCs w:val="22"/>
              <w14:textFill>
                <w14:solidFill>
                  <w14:schemeClr w14:val="tx1"/>
                </w14:solidFill>
              </w14:textFill>
            </w:rPr>
            <w:fldChar w:fldCharType="end"/>
          </w: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color w:val="000000" w:themeColor="text1"/>
              <w:szCs w:val="22"/>
              <w14:textFill>
                <w14:solidFill>
                  <w14:schemeClr w14:val="tx1"/>
                </w14:solidFill>
              </w14:textFill>
            </w:rPr>
            <w:fldChar w:fldCharType="end"/>
          </w:r>
        </w:p>
      </w:sdtContent>
    </w:sdt>
    <w:p w14:paraId="3EA37D7D">
      <w:pPr>
        <w:rPr>
          <w:color w:val="000000" w:themeColor="text1"/>
          <w14:textFill>
            <w14:solidFill>
              <w14:schemeClr w14:val="tx1"/>
            </w14:solidFill>
          </w14:textFill>
        </w:rPr>
      </w:pPr>
    </w:p>
    <w:p w14:paraId="6C6B6A56">
      <w:pPr>
        <w:rPr>
          <w:rFonts w:ascii="Calibri" w:hAnsi="Calibri" w:cs="Times New Roman"/>
          <w:b/>
          <w:bCs/>
          <w:color w:val="000000" w:themeColor="text1"/>
          <w:szCs w:val="22"/>
          <w14:textFill>
            <w14:solidFill>
              <w14:schemeClr w14:val="tx1"/>
            </w14:solidFill>
          </w14:textFill>
        </w:rPr>
      </w:pPr>
    </w:p>
    <w:bookmarkEnd w:id="205"/>
    <w:bookmarkEnd w:id="206"/>
    <w:p w14:paraId="61FAA43D">
      <w:pPr>
        <w:pStyle w:val="6"/>
        <w:numPr>
          <w:ilvl w:val="0"/>
          <w:numId w:val="48"/>
        </w:numPr>
      </w:pPr>
      <w:bookmarkStart w:id="207" w:name="_Hlk10468610"/>
      <w:r>
        <w:rPr>
          <w:rFonts w:hint="eastAsia"/>
        </w:rPr>
        <w:t>按预期信用损失一般模型计提坏账准备</w:t>
      </w:r>
    </w:p>
    <w:sdt>
      <w:sdtPr>
        <w:rPr>
          <w:color w:val="000000" w:themeColor="text1"/>
          <w14:textFill>
            <w14:solidFill>
              <w14:schemeClr w14:val="tx1"/>
            </w14:solidFill>
          </w14:textFill>
        </w:rPr>
        <w:alias w:val="是否适用：应收股利坏账准备调节表[双击切换]"/>
        <w:tag w:val="_GBC_5a51eb2bfb0643eb8b9c73cdd0dbec60"/>
        <w:id w:val="-1325358891"/>
        <w:placeholder>
          <w:docPart w:val="GBC22222222222222222222222222222"/>
        </w:placeholder>
      </w:sdtPr>
      <w:sdtEndPr>
        <w:rPr>
          <w:color w:val="000000" w:themeColor="text1"/>
          <w14:textFill>
            <w14:solidFill>
              <w14:schemeClr w14:val="tx1"/>
            </w14:solidFill>
          </w14:textFill>
        </w:rPr>
      </w:sdtEndPr>
      <w:sdtContent>
        <w:p w14:paraId="35454D5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2224A9">
      <w:pPr>
        <w:autoSpaceDE w:val="0"/>
        <w:autoSpaceDN w:val="0"/>
        <w:adjustRightInd w:val="0"/>
        <w:ind w:right="105" w:rightChars="5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应收股利坏账准备调节表"/>
          <w:tag w:val="_GBC_129dd494b546414b86037683f39a2046"/>
          <w:id w:val="17126894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应收股利坏账准备调节表"/>
          <w:tag w:val="_GBC_672d96b5264744b0a341471d4b6ca030"/>
          <w:id w:val="4246940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206"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2"/>
        <w:gridCol w:w="1560"/>
        <w:gridCol w:w="1986"/>
        <w:gridCol w:w="1986"/>
        <w:gridCol w:w="1708"/>
      </w:tblGrid>
      <w:tr w14:paraId="0CFA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7a174bdb24846a68bfb1c48983027d7"/>
            <w:id w:val="-1951615463"/>
          </w:sdtPr>
          <w:sdtContent>
            <w:tc>
              <w:tcPr>
                <w:tcW w:w="1158" w:type="pct"/>
                <w:vMerge w:val="restart"/>
                <w:vAlign w:val="center"/>
              </w:tcPr>
              <w:p w14:paraId="57810C5B">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坏账准备</w:t>
                </w:r>
              </w:p>
            </w:tc>
          </w:sdtContent>
        </w:sdt>
        <w:sdt>
          <w:sdtPr>
            <w:tag w:val="_PLD_6acd90b3715a4a69b7dbda0c573043b7"/>
            <w:id w:val="885607796"/>
          </w:sdtPr>
          <w:sdtContent>
            <w:tc>
              <w:tcPr>
                <w:tcW w:w="828" w:type="pct"/>
                <w:vAlign w:val="center"/>
              </w:tcPr>
              <w:p w14:paraId="22BA24BA">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第一阶段</w:t>
                </w:r>
              </w:p>
            </w:tc>
          </w:sdtContent>
        </w:sdt>
        <w:sdt>
          <w:sdtPr>
            <w:tag w:val="_PLD_467a877cf5324b35b7bfc0388d44b3d1"/>
            <w:id w:val="-1183040029"/>
          </w:sdtPr>
          <w:sdtContent>
            <w:tc>
              <w:tcPr>
                <w:tcW w:w="1054" w:type="pct"/>
                <w:vAlign w:val="center"/>
              </w:tcPr>
              <w:p w14:paraId="7971C076">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第二阶段</w:t>
                </w:r>
              </w:p>
            </w:tc>
          </w:sdtContent>
        </w:sdt>
        <w:sdt>
          <w:sdtPr>
            <w:tag w:val="_PLD_16c0cb9c49744528bad59bec1787aeb8"/>
            <w:id w:val="1988584182"/>
          </w:sdtPr>
          <w:sdtContent>
            <w:tc>
              <w:tcPr>
                <w:tcW w:w="1054" w:type="pct"/>
                <w:vAlign w:val="center"/>
              </w:tcPr>
              <w:p w14:paraId="7BFB9BE4">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第三阶段</w:t>
                </w:r>
              </w:p>
            </w:tc>
          </w:sdtContent>
        </w:sdt>
        <w:sdt>
          <w:sdtPr>
            <w:tag w:val="_PLD_fbf5021900c84058b8bcab786ad31c74"/>
            <w:id w:val="-674952605"/>
          </w:sdtPr>
          <w:sdtContent>
            <w:tc>
              <w:tcPr>
                <w:tcW w:w="906" w:type="pct"/>
                <w:vMerge w:val="restart"/>
                <w:vAlign w:val="center"/>
              </w:tcPr>
              <w:p w14:paraId="1E229B86">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合计</w:t>
                </w:r>
              </w:p>
            </w:tc>
          </w:sdtContent>
        </w:sdt>
      </w:tr>
      <w:tr w14:paraId="5526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vAlign w:val="center"/>
          </w:tcPr>
          <w:p w14:paraId="46100B45">
            <w:pPr>
              <w:jc w:val="center"/>
              <w:rPr>
                <w:color w:val="000000" w:themeColor="text1"/>
                <w14:textFill>
                  <w14:solidFill>
                    <w14:schemeClr w14:val="tx1"/>
                  </w14:solidFill>
                </w14:textFill>
              </w:rPr>
            </w:pPr>
          </w:p>
        </w:tc>
        <w:sdt>
          <w:sdtPr>
            <w:tag w:val="_PLD_eab2bc0feaef469abbdfbfc9feb82978"/>
            <w:id w:val="-1152216216"/>
          </w:sdtPr>
          <w:sdtContent>
            <w:tc>
              <w:tcPr>
                <w:tcW w:w="828" w:type="pct"/>
                <w:vAlign w:val="center"/>
              </w:tcPr>
              <w:p w14:paraId="668A3C64">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未来12个月预期信用损失</w:t>
                </w:r>
              </w:p>
            </w:tc>
          </w:sdtContent>
        </w:sdt>
        <w:sdt>
          <w:sdtPr>
            <w:tag w:val="_PLD_faa5b0a8e4914f7b8a43027c97e83895"/>
            <w:id w:val="1356083815"/>
          </w:sdtPr>
          <w:sdtContent>
            <w:tc>
              <w:tcPr>
                <w:tcW w:w="1054" w:type="pct"/>
                <w:vAlign w:val="center"/>
              </w:tcPr>
              <w:p w14:paraId="3900851A">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整个存续期预期信用损失(未发生信用减值)</w:t>
                </w:r>
              </w:p>
            </w:tc>
          </w:sdtContent>
        </w:sdt>
        <w:sdt>
          <w:sdtPr>
            <w:tag w:val="_PLD_088c022f9083458f9ca88e600b1fbf17"/>
            <w:id w:val="-183908327"/>
          </w:sdtPr>
          <w:sdtContent>
            <w:tc>
              <w:tcPr>
                <w:tcW w:w="1054" w:type="pct"/>
                <w:vAlign w:val="center"/>
              </w:tcPr>
              <w:p w14:paraId="532EA7B3">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整个存续期预期信用损失(已发生信用减值)</w:t>
                </w:r>
              </w:p>
            </w:tc>
          </w:sdtContent>
        </w:sdt>
        <w:tc>
          <w:tcPr>
            <w:tcW w:w="906" w:type="pct"/>
            <w:vMerge w:val="continue"/>
          </w:tcPr>
          <w:p w14:paraId="1CBE0766">
            <w:pPr>
              <w:jc w:val="center"/>
              <w:rPr>
                <w:color w:val="000000" w:themeColor="text1"/>
                <w14:textFill>
                  <w14:solidFill>
                    <w14:schemeClr w14:val="tx1"/>
                  </w14:solidFill>
                </w14:textFill>
              </w:rPr>
            </w:pPr>
          </w:p>
        </w:tc>
      </w:tr>
      <w:tr w14:paraId="42BC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760C224D">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2025年</w:t>
            </w:r>
            <w:r>
              <w:rPr>
                <w:rFonts w:hint="eastAsia" w:ascii="宋体" w:hAnsi="宋体" w:eastAsia="宋体" w:cs="宋体"/>
                <w:color w:val="000000" w:themeColor="text1"/>
                <w:sz w:val="21"/>
                <w:szCs w:val="21"/>
                <w:lang w:eastAsia="zh-CN"/>
                <w14:textFill>
                  <w14:solidFill>
                    <w14:schemeClr w14:val="tx1"/>
                  </w14:solidFill>
                </w14:textFill>
              </w:rPr>
              <w:t>1月1日余额</w:t>
            </w:r>
          </w:p>
        </w:tc>
        <w:tc>
          <w:tcPr>
            <w:tcW w:w="828" w:type="pct"/>
          </w:tcPr>
          <w:p w14:paraId="04D8A647">
            <w:pPr>
              <w:jc w:val="right"/>
            </w:pPr>
          </w:p>
        </w:tc>
        <w:tc>
          <w:tcPr>
            <w:tcW w:w="1054" w:type="pct"/>
          </w:tcPr>
          <w:p w14:paraId="0107384D">
            <w:pPr>
              <w:jc w:val="right"/>
            </w:pPr>
          </w:p>
        </w:tc>
        <w:tc>
          <w:tcPr>
            <w:tcW w:w="1054" w:type="pct"/>
            <w:vAlign w:val="center"/>
          </w:tcPr>
          <w:p w14:paraId="296C1AC5">
            <w:pPr>
              <w:jc w:val="right"/>
            </w:pPr>
            <w:r>
              <w:t>11,727,677.71</w:t>
            </w:r>
          </w:p>
        </w:tc>
        <w:tc>
          <w:tcPr>
            <w:tcW w:w="906" w:type="pct"/>
            <w:vAlign w:val="center"/>
          </w:tcPr>
          <w:p w14:paraId="33AFD2F1">
            <w:pPr>
              <w:jc w:val="right"/>
            </w:pPr>
            <w:r>
              <w:t>11,727,677.71</w:t>
            </w:r>
          </w:p>
        </w:tc>
      </w:tr>
      <w:tr w14:paraId="3A05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2C0BD0D8">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2025年1月1日余额在本期</w:t>
            </w:r>
          </w:p>
        </w:tc>
        <w:tc>
          <w:tcPr>
            <w:tcW w:w="828" w:type="pct"/>
          </w:tcPr>
          <w:p w14:paraId="31655FE3">
            <w:pPr>
              <w:jc w:val="right"/>
            </w:pPr>
          </w:p>
        </w:tc>
        <w:tc>
          <w:tcPr>
            <w:tcW w:w="1054" w:type="pct"/>
          </w:tcPr>
          <w:p w14:paraId="3C325647">
            <w:pPr>
              <w:jc w:val="right"/>
            </w:pPr>
          </w:p>
        </w:tc>
        <w:tc>
          <w:tcPr>
            <w:tcW w:w="1054" w:type="pct"/>
            <w:vAlign w:val="center"/>
          </w:tcPr>
          <w:p w14:paraId="1A3D0FD9">
            <w:pPr>
              <w:jc w:val="right"/>
            </w:pPr>
          </w:p>
        </w:tc>
        <w:tc>
          <w:tcPr>
            <w:tcW w:w="906" w:type="pct"/>
            <w:vAlign w:val="center"/>
          </w:tcPr>
          <w:p w14:paraId="31A48442">
            <w:pPr>
              <w:jc w:val="right"/>
              <w:rPr>
                <w:rFonts w:eastAsia="Times New Roman" w:cs="Times New Roman"/>
                <w:sz w:val="20"/>
                <w:szCs w:val="20"/>
              </w:rPr>
            </w:pPr>
          </w:p>
        </w:tc>
      </w:tr>
      <w:tr w14:paraId="275E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6677404A">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--转入第二阶段</w:t>
            </w:r>
          </w:p>
        </w:tc>
        <w:tc>
          <w:tcPr>
            <w:tcW w:w="828" w:type="pct"/>
          </w:tcPr>
          <w:p w14:paraId="231DB9B1">
            <w:pPr>
              <w:jc w:val="right"/>
            </w:pPr>
          </w:p>
        </w:tc>
        <w:tc>
          <w:tcPr>
            <w:tcW w:w="1054" w:type="pct"/>
          </w:tcPr>
          <w:p w14:paraId="747961D4">
            <w:pPr>
              <w:jc w:val="right"/>
            </w:pPr>
          </w:p>
        </w:tc>
        <w:tc>
          <w:tcPr>
            <w:tcW w:w="1054" w:type="pct"/>
            <w:vAlign w:val="center"/>
          </w:tcPr>
          <w:p w14:paraId="2649DA0A">
            <w:pPr>
              <w:jc w:val="right"/>
              <w:rPr>
                <w:rFonts w:eastAsia="Times New Roman" w:cs="Times New Roman"/>
                <w:sz w:val="20"/>
                <w:szCs w:val="20"/>
              </w:rPr>
            </w:pPr>
          </w:p>
        </w:tc>
        <w:tc>
          <w:tcPr>
            <w:tcW w:w="906" w:type="pct"/>
            <w:vAlign w:val="center"/>
          </w:tcPr>
          <w:p w14:paraId="30A4F8A2">
            <w:pPr>
              <w:jc w:val="right"/>
              <w:rPr>
                <w:rFonts w:eastAsia="Times New Roman" w:cs="Times New Roman"/>
                <w:sz w:val="20"/>
                <w:szCs w:val="20"/>
              </w:rPr>
            </w:pPr>
          </w:p>
        </w:tc>
      </w:tr>
      <w:tr w14:paraId="3317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79E3FFCE">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--转入第三阶段</w:t>
            </w:r>
          </w:p>
        </w:tc>
        <w:tc>
          <w:tcPr>
            <w:tcW w:w="828" w:type="pct"/>
          </w:tcPr>
          <w:p w14:paraId="440D8A87">
            <w:pPr>
              <w:jc w:val="right"/>
            </w:pPr>
          </w:p>
        </w:tc>
        <w:tc>
          <w:tcPr>
            <w:tcW w:w="1054" w:type="pct"/>
          </w:tcPr>
          <w:p w14:paraId="7F37C5EB">
            <w:pPr>
              <w:jc w:val="right"/>
            </w:pPr>
          </w:p>
        </w:tc>
        <w:tc>
          <w:tcPr>
            <w:tcW w:w="1054" w:type="pct"/>
            <w:vAlign w:val="center"/>
          </w:tcPr>
          <w:p w14:paraId="69011F90">
            <w:pPr>
              <w:jc w:val="right"/>
              <w:rPr>
                <w:rFonts w:eastAsia="Times New Roman" w:cs="Times New Roman"/>
                <w:sz w:val="20"/>
                <w:szCs w:val="20"/>
              </w:rPr>
            </w:pPr>
          </w:p>
        </w:tc>
        <w:tc>
          <w:tcPr>
            <w:tcW w:w="906" w:type="pct"/>
            <w:vAlign w:val="center"/>
          </w:tcPr>
          <w:p w14:paraId="3CAA131A">
            <w:pPr>
              <w:jc w:val="right"/>
              <w:rPr>
                <w:rFonts w:eastAsia="Times New Roman" w:cs="Times New Roman"/>
                <w:sz w:val="20"/>
                <w:szCs w:val="20"/>
              </w:rPr>
            </w:pPr>
          </w:p>
        </w:tc>
      </w:tr>
      <w:tr w14:paraId="64AA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3D3D9093">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--转回第二阶段</w:t>
            </w:r>
          </w:p>
        </w:tc>
        <w:tc>
          <w:tcPr>
            <w:tcW w:w="828" w:type="pct"/>
          </w:tcPr>
          <w:p w14:paraId="11AF29B1">
            <w:pPr>
              <w:jc w:val="right"/>
            </w:pPr>
          </w:p>
        </w:tc>
        <w:tc>
          <w:tcPr>
            <w:tcW w:w="1054" w:type="pct"/>
          </w:tcPr>
          <w:p w14:paraId="30B171D1">
            <w:pPr>
              <w:jc w:val="right"/>
            </w:pPr>
          </w:p>
        </w:tc>
        <w:tc>
          <w:tcPr>
            <w:tcW w:w="1054" w:type="pct"/>
            <w:vAlign w:val="center"/>
          </w:tcPr>
          <w:p w14:paraId="2144B1D0">
            <w:pPr>
              <w:jc w:val="right"/>
              <w:rPr>
                <w:rFonts w:eastAsia="Times New Roman" w:cs="Times New Roman"/>
                <w:sz w:val="20"/>
                <w:szCs w:val="20"/>
              </w:rPr>
            </w:pPr>
          </w:p>
        </w:tc>
        <w:tc>
          <w:tcPr>
            <w:tcW w:w="906" w:type="pct"/>
            <w:vAlign w:val="center"/>
          </w:tcPr>
          <w:p w14:paraId="49A28895">
            <w:pPr>
              <w:jc w:val="right"/>
              <w:rPr>
                <w:rFonts w:eastAsia="Times New Roman" w:cs="Times New Roman"/>
                <w:sz w:val="20"/>
                <w:szCs w:val="20"/>
              </w:rPr>
            </w:pPr>
          </w:p>
        </w:tc>
      </w:tr>
      <w:tr w14:paraId="7B66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45620F9D">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--转回第一阶段</w:t>
            </w:r>
          </w:p>
        </w:tc>
        <w:tc>
          <w:tcPr>
            <w:tcW w:w="828" w:type="pct"/>
          </w:tcPr>
          <w:p w14:paraId="77BDE6E8">
            <w:pPr>
              <w:jc w:val="right"/>
            </w:pPr>
          </w:p>
        </w:tc>
        <w:tc>
          <w:tcPr>
            <w:tcW w:w="1054" w:type="pct"/>
          </w:tcPr>
          <w:p w14:paraId="2CF3C273">
            <w:pPr>
              <w:jc w:val="right"/>
            </w:pPr>
          </w:p>
        </w:tc>
        <w:tc>
          <w:tcPr>
            <w:tcW w:w="1054" w:type="pct"/>
            <w:vAlign w:val="center"/>
          </w:tcPr>
          <w:p w14:paraId="69583038">
            <w:pPr>
              <w:jc w:val="right"/>
              <w:rPr>
                <w:rFonts w:eastAsia="Times New Roman" w:cs="Times New Roman"/>
                <w:sz w:val="20"/>
                <w:szCs w:val="20"/>
              </w:rPr>
            </w:pPr>
          </w:p>
        </w:tc>
        <w:tc>
          <w:tcPr>
            <w:tcW w:w="906" w:type="pct"/>
            <w:vAlign w:val="center"/>
          </w:tcPr>
          <w:p w14:paraId="4CD8AB3E">
            <w:pPr>
              <w:jc w:val="right"/>
              <w:rPr>
                <w:rFonts w:eastAsia="Times New Roman" w:cs="Times New Roman"/>
                <w:sz w:val="20"/>
                <w:szCs w:val="20"/>
              </w:rPr>
            </w:pPr>
          </w:p>
        </w:tc>
      </w:tr>
      <w:tr w14:paraId="72139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3BF583E6">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本期计提</w:t>
            </w:r>
          </w:p>
        </w:tc>
        <w:tc>
          <w:tcPr>
            <w:tcW w:w="828" w:type="pct"/>
          </w:tcPr>
          <w:p w14:paraId="6DB5BE8B">
            <w:pPr>
              <w:jc w:val="right"/>
            </w:pPr>
          </w:p>
        </w:tc>
        <w:tc>
          <w:tcPr>
            <w:tcW w:w="1054" w:type="pct"/>
          </w:tcPr>
          <w:p w14:paraId="4044CE03">
            <w:pPr>
              <w:jc w:val="right"/>
            </w:pPr>
          </w:p>
        </w:tc>
        <w:tc>
          <w:tcPr>
            <w:tcW w:w="1054" w:type="pct"/>
            <w:vAlign w:val="center"/>
          </w:tcPr>
          <w:p w14:paraId="26647977">
            <w:pPr>
              <w:jc w:val="right"/>
              <w:rPr>
                <w:rFonts w:eastAsia="Times New Roman" w:cs="Times New Roman"/>
                <w:sz w:val="20"/>
                <w:szCs w:val="20"/>
              </w:rPr>
            </w:pPr>
          </w:p>
        </w:tc>
        <w:tc>
          <w:tcPr>
            <w:tcW w:w="906" w:type="pct"/>
            <w:vAlign w:val="center"/>
          </w:tcPr>
          <w:p w14:paraId="28B8635B">
            <w:pPr>
              <w:jc w:val="right"/>
              <w:rPr>
                <w:rFonts w:eastAsia="Times New Roman" w:cs="Times New Roman"/>
                <w:sz w:val="20"/>
                <w:szCs w:val="20"/>
              </w:rPr>
            </w:pPr>
          </w:p>
        </w:tc>
      </w:tr>
      <w:tr w14:paraId="103A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6D5EAAF3">
            <w:pPr>
              <w:pStyle w:val="58"/>
              <w:spacing w:after="0" w:line="240" w:lineRule="auto"/>
              <w:jc w:val="both"/>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sz w:val="21"/>
                <w:lang w:eastAsia="zh-CN"/>
                <w14:textFill>
                  <w14:solidFill>
                    <w14:schemeClr w14:val="tx1"/>
                  </w14:solidFill>
                </w14:textFill>
              </w:rPr>
              <w:t>本期转回</w:t>
            </w:r>
          </w:p>
        </w:tc>
        <w:tc>
          <w:tcPr>
            <w:tcW w:w="828" w:type="pct"/>
          </w:tcPr>
          <w:p w14:paraId="7A4C12FA">
            <w:pPr>
              <w:jc w:val="right"/>
            </w:pPr>
          </w:p>
        </w:tc>
        <w:tc>
          <w:tcPr>
            <w:tcW w:w="1054" w:type="pct"/>
          </w:tcPr>
          <w:p w14:paraId="1B87656A">
            <w:pPr>
              <w:jc w:val="right"/>
            </w:pPr>
          </w:p>
        </w:tc>
        <w:tc>
          <w:tcPr>
            <w:tcW w:w="1054" w:type="pct"/>
            <w:vAlign w:val="center"/>
          </w:tcPr>
          <w:p w14:paraId="595B1FD4">
            <w:pPr>
              <w:jc w:val="right"/>
              <w:rPr>
                <w:rFonts w:eastAsia="Times New Roman" w:cs="Times New Roman"/>
                <w:sz w:val="20"/>
                <w:szCs w:val="20"/>
              </w:rPr>
            </w:pPr>
          </w:p>
        </w:tc>
        <w:tc>
          <w:tcPr>
            <w:tcW w:w="906" w:type="pct"/>
            <w:vAlign w:val="center"/>
          </w:tcPr>
          <w:p w14:paraId="12CD7581">
            <w:pPr>
              <w:jc w:val="right"/>
              <w:rPr>
                <w:rFonts w:eastAsia="Times New Roman" w:cs="Times New Roman"/>
                <w:sz w:val="20"/>
                <w:szCs w:val="20"/>
              </w:rPr>
            </w:pPr>
          </w:p>
        </w:tc>
      </w:tr>
      <w:tr w14:paraId="0157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2D6A89AC">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本期转销</w:t>
            </w:r>
          </w:p>
        </w:tc>
        <w:tc>
          <w:tcPr>
            <w:tcW w:w="828" w:type="pct"/>
          </w:tcPr>
          <w:p w14:paraId="5F6D2FE4">
            <w:pPr>
              <w:jc w:val="right"/>
            </w:pPr>
          </w:p>
        </w:tc>
        <w:tc>
          <w:tcPr>
            <w:tcW w:w="1054" w:type="pct"/>
          </w:tcPr>
          <w:p w14:paraId="32F2C600">
            <w:pPr>
              <w:jc w:val="right"/>
            </w:pPr>
          </w:p>
        </w:tc>
        <w:tc>
          <w:tcPr>
            <w:tcW w:w="1054" w:type="pct"/>
            <w:vAlign w:val="center"/>
          </w:tcPr>
          <w:p w14:paraId="175C07C3">
            <w:pPr>
              <w:jc w:val="right"/>
              <w:rPr>
                <w:rFonts w:eastAsia="Times New Roman" w:cs="Times New Roman"/>
                <w:sz w:val="20"/>
                <w:szCs w:val="20"/>
              </w:rPr>
            </w:pPr>
          </w:p>
        </w:tc>
        <w:tc>
          <w:tcPr>
            <w:tcW w:w="906" w:type="pct"/>
            <w:vAlign w:val="center"/>
          </w:tcPr>
          <w:p w14:paraId="2132AC9D">
            <w:pPr>
              <w:jc w:val="right"/>
              <w:rPr>
                <w:rFonts w:eastAsia="Times New Roman" w:cs="Times New Roman"/>
                <w:sz w:val="20"/>
                <w:szCs w:val="20"/>
              </w:rPr>
            </w:pPr>
          </w:p>
        </w:tc>
      </w:tr>
      <w:tr w14:paraId="7C53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28F99C39">
            <w:pPr>
              <w:pStyle w:val="58"/>
              <w:spacing w:after="0" w:line="240" w:lineRule="auto"/>
              <w:jc w:val="both"/>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本期核销</w:t>
            </w:r>
          </w:p>
        </w:tc>
        <w:tc>
          <w:tcPr>
            <w:tcW w:w="828" w:type="pct"/>
          </w:tcPr>
          <w:p w14:paraId="57D7A6F7">
            <w:pPr>
              <w:jc w:val="right"/>
            </w:pPr>
          </w:p>
        </w:tc>
        <w:tc>
          <w:tcPr>
            <w:tcW w:w="1054" w:type="pct"/>
          </w:tcPr>
          <w:p w14:paraId="74B0B04B">
            <w:pPr>
              <w:jc w:val="right"/>
            </w:pPr>
          </w:p>
        </w:tc>
        <w:tc>
          <w:tcPr>
            <w:tcW w:w="1054" w:type="pct"/>
            <w:vAlign w:val="center"/>
          </w:tcPr>
          <w:p w14:paraId="54C3E4A4">
            <w:pPr>
              <w:jc w:val="right"/>
              <w:rPr>
                <w:rFonts w:eastAsia="Times New Roman" w:cs="Times New Roman"/>
                <w:sz w:val="20"/>
                <w:szCs w:val="20"/>
              </w:rPr>
            </w:pPr>
          </w:p>
        </w:tc>
        <w:tc>
          <w:tcPr>
            <w:tcW w:w="906" w:type="pct"/>
            <w:vAlign w:val="center"/>
          </w:tcPr>
          <w:p w14:paraId="12B40E58">
            <w:pPr>
              <w:jc w:val="right"/>
              <w:rPr>
                <w:rFonts w:eastAsia="Times New Roman" w:cs="Times New Roman"/>
                <w:sz w:val="20"/>
                <w:szCs w:val="20"/>
              </w:rPr>
            </w:pPr>
          </w:p>
        </w:tc>
      </w:tr>
      <w:tr w14:paraId="137D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77DED3B3">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其他变动</w:t>
            </w:r>
          </w:p>
        </w:tc>
        <w:tc>
          <w:tcPr>
            <w:tcW w:w="828" w:type="pct"/>
          </w:tcPr>
          <w:p w14:paraId="24B4A5D2">
            <w:pPr>
              <w:jc w:val="right"/>
            </w:pPr>
          </w:p>
        </w:tc>
        <w:tc>
          <w:tcPr>
            <w:tcW w:w="1054" w:type="pct"/>
          </w:tcPr>
          <w:p w14:paraId="56F92E26">
            <w:pPr>
              <w:jc w:val="right"/>
            </w:pPr>
          </w:p>
        </w:tc>
        <w:tc>
          <w:tcPr>
            <w:tcW w:w="1054" w:type="pct"/>
            <w:vAlign w:val="center"/>
          </w:tcPr>
          <w:p w14:paraId="1F04F16E">
            <w:pPr>
              <w:jc w:val="right"/>
              <w:rPr>
                <w:rFonts w:eastAsia="Times New Roman" w:cs="Times New Roman"/>
                <w:sz w:val="20"/>
                <w:szCs w:val="20"/>
              </w:rPr>
            </w:pPr>
          </w:p>
        </w:tc>
        <w:tc>
          <w:tcPr>
            <w:tcW w:w="906" w:type="pct"/>
            <w:vAlign w:val="center"/>
          </w:tcPr>
          <w:p w14:paraId="3D646716">
            <w:pPr>
              <w:jc w:val="right"/>
              <w:rPr>
                <w:rFonts w:eastAsia="Times New Roman" w:cs="Times New Roman"/>
                <w:sz w:val="20"/>
                <w:szCs w:val="20"/>
              </w:rPr>
            </w:pPr>
          </w:p>
        </w:tc>
      </w:tr>
      <w:tr w14:paraId="51E4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Align w:val="center"/>
          </w:tcPr>
          <w:p w14:paraId="2ADE6A1D">
            <w:pPr>
              <w:pStyle w:val="58"/>
              <w:spacing w:after="0" w:line="240" w:lineRule="auto"/>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2025年6月30日</w:t>
            </w:r>
            <w:r>
              <w:rPr>
                <w:rFonts w:hint="eastAsia" w:ascii="宋体" w:hAnsi="宋体" w:eastAsia="宋体" w:cs="宋体"/>
                <w:color w:val="000000" w:themeColor="text1"/>
                <w:sz w:val="21"/>
                <w:szCs w:val="21"/>
                <w:lang w:eastAsia="zh-CN"/>
                <w14:textFill>
                  <w14:solidFill>
                    <w14:schemeClr w14:val="tx1"/>
                  </w14:solidFill>
                </w14:textFill>
              </w:rPr>
              <w:t>余额</w:t>
            </w:r>
          </w:p>
        </w:tc>
        <w:tc>
          <w:tcPr>
            <w:tcW w:w="828" w:type="pct"/>
          </w:tcPr>
          <w:p w14:paraId="5B0E3410">
            <w:pPr>
              <w:jc w:val="right"/>
            </w:pPr>
          </w:p>
        </w:tc>
        <w:tc>
          <w:tcPr>
            <w:tcW w:w="1054" w:type="pct"/>
          </w:tcPr>
          <w:p w14:paraId="15E0ECDA">
            <w:pPr>
              <w:jc w:val="right"/>
            </w:pPr>
          </w:p>
        </w:tc>
        <w:tc>
          <w:tcPr>
            <w:tcW w:w="1054" w:type="pct"/>
            <w:vAlign w:val="center"/>
          </w:tcPr>
          <w:p w14:paraId="5CA56ADA">
            <w:pPr>
              <w:jc w:val="right"/>
              <w:rPr>
                <w:rFonts w:ascii="宋体" w:hAnsi="宋体"/>
                <w:sz w:val="24"/>
                <w:szCs w:val="24"/>
              </w:rPr>
            </w:pPr>
            <w:r>
              <w:t>11,727,677.71</w:t>
            </w:r>
          </w:p>
        </w:tc>
        <w:tc>
          <w:tcPr>
            <w:tcW w:w="906" w:type="pct"/>
            <w:vAlign w:val="center"/>
          </w:tcPr>
          <w:p w14:paraId="25B9F438">
            <w:pPr>
              <w:jc w:val="right"/>
            </w:pPr>
            <w:r>
              <w:t>11,727,677.71</w:t>
            </w:r>
          </w:p>
        </w:tc>
      </w:tr>
    </w:tbl>
    <w:p w14:paraId="52E0954E">
      <w:pPr>
        <w:autoSpaceDE w:val="0"/>
        <w:autoSpaceDN w:val="0"/>
        <w:adjustRightInd w:val="0"/>
        <w:ind w:right="105" w:rightChars="50"/>
        <w:rPr>
          <w:color w:val="000000" w:themeColor="text1"/>
          <w14:textFill>
            <w14:solidFill>
              <w14:schemeClr w14:val="tx1"/>
            </w14:solidFill>
          </w14:textFill>
        </w:rPr>
      </w:pPr>
    </w:p>
    <w:p w14:paraId="3D80C2CE">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color w:val="000000" w:themeColor="text1"/>
          <w:szCs w:val="22"/>
          <w14:textFill>
            <w14:solidFill>
              <w14:schemeClr w14:val="tx1"/>
            </w14:solidFill>
          </w14:textFill>
        </w:rPr>
        <w:alias w:val="应收股利各阶段划分依据和坏账准备计提比例"/>
        <w:tag w:val="_GBC_7bc6b946ffce4a7f81823f93e8ead71c"/>
        <w:id w:val="-525566277"/>
        <w:placeholder>
          <w:docPart w:val="GBC22222222222222222222222222222"/>
        </w:placeholder>
      </w:sdtPr>
      <w:sdtEndPr>
        <w:rPr>
          <w:rFonts w:cs="Times New Roman"/>
          <w:bCs/>
          <w:color w:val="000000" w:themeColor="text1"/>
          <w:szCs w:val="22"/>
          <w14:textFill>
            <w14:solidFill>
              <w14:schemeClr w14:val="tx1"/>
            </w14:solidFill>
          </w14:textFill>
        </w:rPr>
      </w:sdtEndPr>
      <w:sdtContent>
        <w:p w14:paraId="5ABD2F1A">
          <w:pPr>
            <w:rPr>
              <w:rFonts w:cs="Times New Roman"/>
              <w:bCs/>
              <w:color w:val="000000" w:themeColor="text1"/>
              <w:szCs w:val="22"/>
              <w14:textFill>
                <w14:solidFill>
                  <w14:schemeClr w14:val="tx1"/>
                </w14:solidFill>
              </w14:textFill>
            </w:rPr>
          </w:pPr>
          <w:r>
            <w:rPr>
              <w:rFonts w:hint="eastAsia" w:cs="Times New Roman"/>
              <w:bCs/>
              <w:color w:val="000000" w:themeColor="text1"/>
              <w:szCs w:val="22"/>
              <w14:textFill>
                <w14:solidFill>
                  <w14:schemeClr w14:val="tx1"/>
                </w14:solidFill>
              </w14:textFill>
            </w:rPr>
            <w:t>无</w:t>
          </w:r>
        </w:p>
      </w:sdtContent>
    </w:sdt>
    <w:p w14:paraId="1E0C30D9">
      <w:pPr>
        <w:rPr>
          <w:rFonts w:cs="Times New Roman"/>
          <w:bCs/>
          <w:color w:val="000000" w:themeColor="text1"/>
          <w:szCs w:val="22"/>
          <w14:textFill>
            <w14:solidFill>
              <w14:schemeClr w14:val="tx1"/>
            </w14:solidFill>
          </w14:textFill>
        </w:rPr>
      </w:pPr>
    </w:p>
    <w:p w14:paraId="1E18A6CB">
      <w:pPr>
        <w:pStyle w:val="73"/>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对本期发生损失准备变动的应收股利账面余额显著变动的情况说明：</w:t>
      </w:r>
    </w:p>
    <w:sdt>
      <w:sdtPr>
        <w:rPr>
          <w:color w:val="000000" w:themeColor="text1"/>
          <w14:textFill>
            <w14:solidFill>
              <w14:schemeClr w14:val="tx1"/>
            </w14:solidFill>
          </w14:textFill>
        </w:rPr>
        <w:alias w:val="是否适用：应收股利本期发生损失准备变动且账面余额显著变动的情况说明[双击切换]"/>
        <w:tag w:val="_GBC_1f4d06e3d6574db490755aec3ddba716"/>
        <w:id w:val="464322874"/>
        <w:placeholder>
          <w:docPart w:val="GBC22222222222222222222222222222"/>
        </w:placeholder>
      </w:sdtPr>
      <w:sdtEndPr>
        <w:rPr>
          <w:color w:val="000000" w:themeColor="text1"/>
          <w14:textFill>
            <w14:solidFill>
              <w14:schemeClr w14:val="tx1"/>
            </w14:solidFill>
          </w14:textFill>
        </w:rPr>
      </w:sdtEndPr>
      <w:sdtContent>
        <w:p w14:paraId="5713E04F">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DD52291">
      <w:pPr>
        <w:rPr>
          <w:color w:val="000000" w:themeColor="text1"/>
          <w14:textFill>
            <w14:solidFill>
              <w14:schemeClr w14:val="tx1"/>
            </w14:solidFill>
          </w14:textFill>
        </w:rPr>
      </w:pPr>
    </w:p>
    <w:bookmarkEnd w:id="207"/>
    <w:p w14:paraId="6A1BB2B0">
      <w:pPr>
        <w:pStyle w:val="6"/>
        <w:numPr>
          <w:ilvl w:val="0"/>
          <w:numId w:val="48"/>
        </w:numPr>
      </w:pPr>
      <w:bookmarkStart w:id="208" w:name="_Hlk167890094"/>
      <w:bookmarkStart w:id="209" w:name="_Hlk153377452"/>
      <w:r>
        <w:rPr>
          <w:rFonts w:hint="eastAsia"/>
        </w:rPr>
        <w:t>坏账准备的情况</w:t>
      </w:r>
    </w:p>
    <w:sdt>
      <w:sdtPr>
        <w:rPr>
          <w:color w:val="000000" w:themeColor="text1"/>
          <w14:textFill>
            <w14:solidFill>
              <w14:schemeClr w14:val="tx1"/>
            </w14:solidFill>
          </w14:textFill>
        </w:rPr>
        <w:alias w:val="是否适用：坏账准备情况[双击切换]"/>
        <w:tag w:val="_GBC_27a4f54f16d145c384ec77d7ec602dbc"/>
        <w:id w:val="1211387017"/>
        <w:placeholder>
          <w:docPart w:val="GBC22222222222222222222222222222"/>
        </w:placeholder>
      </w:sdtPr>
      <w:sdtEndPr>
        <w:rPr>
          <w:color w:val="000000" w:themeColor="text1"/>
          <w14:textFill>
            <w14:solidFill>
              <w14:schemeClr w14:val="tx1"/>
            </w14:solidFill>
          </w14:textFill>
        </w:rPr>
      </w:sdtEndPr>
      <w:sdtContent>
        <w:p w14:paraId="4D7A03E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F61D86">
      <w:pPr>
        <w:rPr>
          <w:color w:val="000000" w:themeColor="text1"/>
          <w14:textFill>
            <w14:solidFill>
              <w14:schemeClr w14:val="tx1"/>
            </w14:solidFill>
          </w14:textFill>
        </w:rPr>
      </w:pPr>
    </w:p>
    <w:p w14:paraId="3F88BE38">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e4fd140c18e841efba2e4cb5bf308654"/>
        <w:id w:val="2086639814"/>
        <w:placeholder>
          <w:docPart w:val="GBC22222222222222222222222222222"/>
        </w:placeholder>
      </w:sdtPr>
      <w:sdtEndPr>
        <w:rPr>
          <w:color w:val="000000" w:themeColor="text1"/>
          <w14:textFill>
            <w14:solidFill>
              <w14:schemeClr w14:val="tx1"/>
            </w14:solidFill>
          </w14:textFill>
        </w:rPr>
      </w:sdtEndPr>
      <w:sdtContent>
        <w:p w14:paraId="71EE322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C855672">
      <w:pPr>
        <w:rPr>
          <w:color w:val="000000" w:themeColor="text1"/>
          <w14:textFill>
            <w14:solidFill>
              <w14:schemeClr w14:val="tx1"/>
            </w14:solidFill>
          </w14:textFill>
        </w:rPr>
      </w:pPr>
    </w:p>
    <w:p w14:paraId="45B3ADF6">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414c7640b0394cf3a868f0350c981765"/>
        <w:id w:val="876357741"/>
        <w:placeholder>
          <w:docPart w:val="GBC22222222222222222222222222222"/>
        </w:placeholder>
      </w:sdtPr>
      <w:sdtEndPr>
        <w:rPr>
          <w:color w:val="000000" w:themeColor="text1"/>
          <w14:textFill>
            <w14:solidFill>
              <w14:schemeClr w14:val="tx1"/>
            </w14:solidFill>
          </w14:textFill>
        </w:rPr>
      </w:sdtEndPr>
      <w:sdtContent>
        <w:p w14:paraId="3288349F">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05B00197">
      <w:pPr>
        <w:ind w:right="-1594" w:rightChars="-759"/>
        <w:rPr>
          <w:color w:val="000000" w:themeColor="text1"/>
          <w14:textFill>
            <w14:solidFill>
              <w14:schemeClr w14:val="tx1"/>
            </w14:solidFill>
          </w14:textFill>
        </w:rPr>
      </w:pPr>
    </w:p>
    <w:p w14:paraId="65657474">
      <w:pPr>
        <w:pStyle w:val="6"/>
        <w:numPr>
          <w:ilvl w:val="0"/>
          <w:numId w:val="48"/>
        </w:numPr>
      </w:pPr>
      <w:r>
        <w:rPr>
          <w:rFonts w:hint="eastAsia"/>
        </w:rPr>
        <w:t>本期实际核销的应收股利情况</w:t>
      </w:r>
    </w:p>
    <w:sdt>
      <w:sdtPr>
        <w:rPr>
          <w:color w:val="000000" w:themeColor="text1"/>
          <w14:textFill>
            <w14:solidFill>
              <w14:schemeClr w14:val="tx1"/>
            </w14:solidFill>
          </w14:textFill>
        </w:rPr>
        <w:alias w:val="是否适用：实际核销的情况[双击切换]"/>
        <w:tag w:val="_GBC_9eaf5a867a514dab9094fbf8401be69b"/>
        <w:id w:val="816764295"/>
        <w:placeholder>
          <w:docPart w:val="GBC22222222222222222222222222222"/>
        </w:placeholder>
      </w:sdtPr>
      <w:sdtEndPr>
        <w:rPr>
          <w:color w:val="000000" w:themeColor="text1"/>
          <w14:textFill>
            <w14:solidFill>
              <w14:schemeClr w14:val="tx1"/>
            </w14:solidFill>
          </w14:textFill>
        </w:rPr>
      </w:sdtEndPr>
      <w:sdtContent>
        <w:p w14:paraId="571EBCF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1820944">
      <w:pPr>
        <w:rPr>
          <w:color w:val="000000" w:themeColor="text1"/>
          <w14:textFill>
            <w14:solidFill>
              <w14:schemeClr w14:val="tx1"/>
            </w14:solidFill>
          </w14:textFill>
        </w:rPr>
      </w:pPr>
    </w:p>
    <w:p w14:paraId="4FCD504C">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其中重要的应收股利核销情况</w:t>
      </w:r>
    </w:p>
    <w:sdt>
      <w:sdtPr>
        <w:rPr>
          <w:rFonts w:hint="eastAsia"/>
          <w:color w:val="000000" w:themeColor="text1"/>
          <w14:textFill>
            <w14:solidFill>
              <w14:schemeClr w14:val="tx1"/>
            </w14:solidFill>
          </w14:textFill>
        </w:rPr>
        <w:alias w:val="是否适用：重要的核销情况[双击切换]"/>
        <w:tag w:val="_GBC_5cf96e8ce96146ed94b21417af438fca"/>
        <w:id w:val="226270895"/>
        <w:placeholder>
          <w:docPart w:val="GBC22222222222222222222222222222"/>
        </w:placeholder>
      </w:sdtPr>
      <w:sdtEndPr>
        <w:rPr>
          <w:rFonts w:hint="eastAsia"/>
          <w:color w:val="000000" w:themeColor="text1"/>
          <w14:textFill>
            <w14:solidFill>
              <w14:schemeClr w14:val="tx1"/>
            </w14:solidFill>
          </w14:textFill>
        </w:rPr>
      </w:sdtEndPr>
      <w:sdtContent>
        <w:p w14:paraId="2D59E6C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452E653">
      <w:pPr>
        <w:rPr>
          <w:color w:val="000000" w:themeColor="text1"/>
          <w14:textFill>
            <w14:solidFill>
              <w14:schemeClr w14:val="tx1"/>
            </w14:solidFill>
          </w14:textFill>
        </w:rPr>
      </w:pPr>
    </w:p>
    <w:p w14:paraId="6D0FE78A">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核销说明[双击切换]"/>
        <w:tag w:val="_GBC_cdab003e34144d27a769732520f8f54a"/>
        <w:id w:val="-268004506"/>
        <w:placeholder>
          <w:docPart w:val="GBC22222222222222222222222222222"/>
        </w:placeholder>
      </w:sdtPr>
      <w:sdtEndPr>
        <w:rPr>
          <w:color w:val="000000" w:themeColor="text1"/>
          <w14:textFill>
            <w14:solidFill>
              <w14:schemeClr w14:val="tx1"/>
            </w14:solidFill>
          </w14:textFill>
        </w:rPr>
      </w:sdtEndPr>
      <w:sdtContent>
        <w:p w14:paraId="127241FB">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7D0DA1">
      <w:pPr>
        <w:rPr>
          <w:color w:val="000000" w:themeColor="text1"/>
          <w14:textFill>
            <w14:solidFill>
              <w14:schemeClr w14:val="tx1"/>
            </w14:solidFill>
          </w14:textFill>
        </w:rPr>
      </w:pPr>
    </w:p>
    <w:bookmarkEnd w:id="208"/>
    <w:bookmarkEnd w:id="209"/>
    <w:p w14:paraId="7DE0B83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收股利的说明[双击切换]"/>
        <w:tag w:val="_GBC_108dd924d7ca4fa78961046db5cd354e"/>
        <w:id w:val="169912574"/>
        <w:placeholder>
          <w:docPart w:val="GBC22222222222222222222222222222"/>
        </w:placeholder>
      </w:sdtPr>
      <w:sdtEndPr>
        <w:rPr>
          <w:color w:val="000000" w:themeColor="text1"/>
          <w14:textFill>
            <w14:solidFill>
              <w14:schemeClr w14:val="tx1"/>
            </w14:solidFill>
          </w14:textFill>
        </w:rPr>
      </w:sdtEndPr>
      <w:sdtContent>
        <w:p w14:paraId="252D48B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F69985E">
      <w:pPr>
        <w:snapToGrid w:val="0"/>
        <w:spacing w:line="240" w:lineRule="atLeast"/>
        <w:ind w:right="25" w:rightChars="12"/>
        <w:rPr>
          <w:color w:val="000000" w:themeColor="text1"/>
          <w14:textFill>
            <w14:solidFill>
              <w14:schemeClr w14:val="tx1"/>
            </w14:solidFill>
          </w14:textFill>
        </w:rPr>
      </w:pPr>
    </w:p>
    <w:p w14:paraId="16182F17">
      <w:pPr>
        <w:pStyle w:val="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其他应收款</w:t>
      </w:r>
    </w:p>
    <w:p w14:paraId="25486348">
      <w:pPr>
        <w:pStyle w:val="6"/>
        <w:numPr>
          <w:ilvl w:val="0"/>
          <w:numId w:val="49"/>
        </w:numPr>
      </w:pPr>
      <w:bookmarkStart w:id="210" w:name="_Hlk167890330"/>
      <w:r>
        <w:rPr>
          <w:rFonts w:hint="eastAsia"/>
        </w:rPr>
        <w:t>按账龄披露</w:t>
      </w:r>
    </w:p>
    <w:sdt>
      <w:sdtPr>
        <w:rPr>
          <w:rFonts w:hint="eastAsia"/>
          <w:color w:val="000000" w:themeColor="text1"/>
          <w14:textFill>
            <w14:solidFill>
              <w14:schemeClr w14:val="tx1"/>
            </w14:solidFill>
          </w14:textFill>
        </w:rPr>
        <w:alias w:val="是否适用：组合中，按账龄分析法计提坏账准备的其他应收账款[双击切换]"/>
        <w:tag w:val="_GBC_2dc7496d7daf42fabc670f597f99f9a3"/>
        <w:id w:val="-624239399"/>
      </w:sdtPr>
      <w:sdtEndPr>
        <w:rPr>
          <w:rFonts w:hint="eastAsia"/>
          <w:color w:val="000000" w:themeColor="text1"/>
          <w14:textFill>
            <w14:solidFill>
              <w14:schemeClr w14:val="tx1"/>
            </w14:solidFill>
          </w14:textFill>
        </w:rPr>
      </w:sdtEndPr>
      <w:sdtContent>
        <w:p w14:paraId="15EEF61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□不适用 </w:instrText>
          </w:r>
          <w:r>
            <w:rPr>
              <w:rFonts w:ascii="宋体" w:hAnsi="宋体"/>
              <w:color w:val="000000" w:themeColor="text1"/>
              <w14:textFill>
                <w14:solidFill>
                  <w14:schemeClr w14:val="tx1"/>
                </w14:solidFill>
              </w14:textFill>
            </w:rPr>
            <w:fldChar w:fldCharType="end"/>
          </w:r>
        </w:p>
      </w:sdtContent>
    </w:sdt>
    <w:p w14:paraId="53BD15E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单项金额不重大但按信用风险特征组合后该组合的风险较大的其他应收账款"/>
          <w:tag w:val="_GBC_cdb739275e9048aba4230ed9bd146a45"/>
          <w:id w:val="-539592249"/>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单项金额不重大但按信用风险特征组合后该组合的风险较大的其他应收账款"/>
          <w:tag w:val="_GBC_3fef54d9cee94f85a0131be89bc468aa"/>
          <w:id w:val="30443856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73"/>
        <w:gridCol w:w="2993"/>
        <w:gridCol w:w="2993"/>
      </w:tblGrid>
      <w:tr w14:paraId="2D0C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6e27a2b2e82491eabe1f7ae934a9024"/>
            <w:id w:val="-717894479"/>
          </w:sdtPr>
          <w:sdtContent>
            <w:tc>
              <w:tcPr>
                <w:tcW w:w="1696" w:type="pct"/>
                <w:tcBorders>
                  <w:top w:val="single" w:color="auto" w:sz="4" w:space="0"/>
                  <w:left w:val="single" w:color="auto" w:sz="4" w:space="0"/>
                  <w:bottom w:val="single" w:color="auto" w:sz="4" w:space="0"/>
                  <w:right w:val="single" w:color="auto" w:sz="4" w:space="0"/>
                </w:tcBorders>
                <w:vAlign w:val="center"/>
              </w:tcPr>
              <w:p w14:paraId="4C56B47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1ec6a999d56e428c86b4b1d15e441db3"/>
            <w:id w:val="-35815507"/>
          </w:sdtPr>
          <w:sdtContent>
            <w:tc>
              <w:tcPr>
                <w:tcW w:w="1652" w:type="pct"/>
                <w:tcBorders>
                  <w:top w:val="single" w:color="auto" w:sz="4" w:space="0"/>
                  <w:left w:val="single" w:color="auto" w:sz="4" w:space="0"/>
                  <w:bottom w:val="single" w:color="auto" w:sz="4" w:space="0"/>
                  <w:right w:val="single" w:color="auto" w:sz="4" w:space="0"/>
                </w:tcBorders>
                <w:vAlign w:val="center"/>
              </w:tcPr>
              <w:p w14:paraId="30BD343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期末账面余额</w:t>
                </w:r>
              </w:p>
            </w:tc>
          </w:sdtContent>
        </w:sdt>
        <w:tc>
          <w:tcPr>
            <w:tcW w:w="1652" w:type="pct"/>
            <w:tcBorders>
              <w:top w:val="single" w:color="auto" w:sz="4" w:space="0"/>
              <w:left w:val="single" w:color="auto" w:sz="4" w:space="0"/>
              <w:bottom w:val="single" w:color="auto" w:sz="4" w:space="0"/>
              <w:right w:val="single" w:color="auto" w:sz="4" w:space="0"/>
            </w:tcBorders>
          </w:tcPr>
          <w:sdt>
            <w:sdtPr>
              <w:tag w:val="_PLD_7e4dd2ab04c74f9b948d19d48ec6182e"/>
              <w:id w:val="1783766206"/>
            </w:sdtPr>
            <w:sdtContent>
              <w:p w14:paraId="79AD4EA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期初账面余额</w:t>
                </w:r>
              </w:p>
            </w:sdtContent>
          </w:sdt>
        </w:tc>
      </w:tr>
      <w:tr w14:paraId="248A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f92a15823e8c4c6b81cf1a2d6edf8107"/>
            <w:id w:val="-441535439"/>
          </w:sdtPr>
          <w:sdtContent>
            <w:tc>
              <w:tcPr>
                <w:tcW w:w="1696" w:type="pct"/>
                <w:tcBorders>
                  <w:top w:val="single" w:color="auto" w:sz="4" w:space="0"/>
                  <w:left w:val="single" w:color="auto" w:sz="4" w:space="0"/>
                  <w:bottom w:val="single" w:color="auto" w:sz="4" w:space="0"/>
                  <w:right w:val="single" w:color="auto" w:sz="4" w:space="0"/>
                </w:tcBorders>
              </w:tcPr>
              <w:p w14:paraId="54B577E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1年以内（含1年）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1435ABC7">
            <w:pPr>
              <w:jc w:val="right"/>
            </w:pPr>
            <w:r>
              <w:t>68,515,356.05</w:t>
            </w:r>
          </w:p>
        </w:tc>
        <w:tc>
          <w:tcPr>
            <w:tcW w:w="1652" w:type="pct"/>
            <w:tcBorders>
              <w:top w:val="single" w:color="auto" w:sz="4" w:space="0"/>
              <w:left w:val="single" w:color="auto" w:sz="4" w:space="0"/>
              <w:bottom w:val="single" w:color="auto" w:sz="4" w:space="0"/>
              <w:right w:val="single" w:color="auto" w:sz="4" w:space="0"/>
            </w:tcBorders>
            <w:vAlign w:val="center"/>
          </w:tcPr>
          <w:p w14:paraId="4273BE72">
            <w:pPr>
              <w:jc w:val="right"/>
            </w:pPr>
            <w:r>
              <w:t>107,535,605.49</w:t>
            </w:r>
          </w:p>
        </w:tc>
      </w:tr>
      <w:sdt>
        <w:sdtPr>
          <w:rPr>
            <w:rFonts w:hint="eastAsia"/>
            <w:color w:val="000000" w:themeColor="text1"/>
            <w14:textFill>
              <w14:solidFill>
                <w14:schemeClr w14:val="tx1"/>
              </w14:solidFill>
            </w14:textFill>
          </w:rPr>
          <w:alias w:val="一年以内其他应收款金额明细"/>
          <w:tag w:val="_TUP_9657fd9a14d248d6b5760bd521376fca"/>
          <w:id w:val="717471276"/>
          <w:placeholder>
            <w:docPart w:val="7726C3976D6D4C2DBF0CA20708978E9E"/>
          </w:placeholder>
        </w:sdtPr>
        <w:sdtEndPr>
          <w:rPr>
            <w:rFonts w:hint="eastAsia"/>
            <w:color w:val="000000" w:themeColor="text1"/>
            <w14:textFill>
              <w14:solidFill>
                <w14:schemeClr w14:val="tx1"/>
              </w14:solidFill>
            </w14:textFill>
          </w:rPr>
        </w:sdtEndPr>
        <w:sdtContent>
          <w:tr w14:paraId="716B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21E36965">
                <w:pPr>
                  <w:jc w:val="center"/>
                </w:pPr>
                <w:r>
                  <w:rPr>
                    <w:rFonts w:hint="eastAsia"/>
                  </w:rPr>
                  <w:t>0-6个月（含6个月）</w:t>
                </w:r>
              </w:p>
            </w:tc>
            <w:tc>
              <w:tcPr>
                <w:tcW w:w="1652" w:type="pct"/>
                <w:tcBorders>
                  <w:top w:val="single" w:color="auto" w:sz="4" w:space="0"/>
                  <w:left w:val="single" w:color="auto" w:sz="4" w:space="0"/>
                  <w:bottom w:val="single" w:color="auto" w:sz="4" w:space="0"/>
                  <w:right w:val="single" w:color="auto" w:sz="4" w:space="0"/>
                </w:tcBorders>
                <w:vAlign w:val="center"/>
              </w:tcPr>
              <w:p w14:paraId="35B56FB5">
                <w:pPr>
                  <w:jc w:val="right"/>
                </w:pPr>
                <w:r>
                  <w:t>65,830,010.35</w:t>
                </w:r>
              </w:p>
            </w:tc>
            <w:tc>
              <w:tcPr>
                <w:tcW w:w="1652" w:type="pct"/>
                <w:tcBorders>
                  <w:top w:val="single" w:color="auto" w:sz="4" w:space="0"/>
                  <w:left w:val="single" w:color="auto" w:sz="4" w:space="0"/>
                  <w:bottom w:val="single" w:color="auto" w:sz="4" w:space="0"/>
                  <w:right w:val="single" w:color="auto" w:sz="4" w:space="0"/>
                </w:tcBorders>
                <w:vAlign w:val="center"/>
              </w:tcPr>
              <w:p w14:paraId="28ECEEA4">
                <w:pPr>
                  <w:jc w:val="right"/>
                </w:pPr>
                <w:r>
                  <w:t>101,045,133.80</w:t>
                </w:r>
              </w:p>
            </w:tc>
          </w:tr>
        </w:sdtContent>
      </w:sdt>
      <w:sdt>
        <w:sdtPr>
          <w:rPr>
            <w:rFonts w:hint="eastAsia"/>
            <w:color w:val="000000" w:themeColor="text1"/>
            <w14:textFill>
              <w14:solidFill>
                <w14:schemeClr w14:val="tx1"/>
              </w14:solidFill>
            </w14:textFill>
          </w:rPr>
          <w:alias w:val="一年以内其他应收款金额明细"/>
          <w:tag w:val="_TUP_9657fd9a14d248d6b5760bd521376fca"/>
          <w:id w:val="-65807008"/>
          <w:placeholder>
            <w:docPart w:val="7726C3976D6D4C2DBF0CA20708978E9E"/>
          </w:placeholder>
        </w:sdtPr>
        <w:sdtEndPr>
          <w:rPr>
            <w:rFonts w:hint="eastAsia"/>
            <w:color w:val="000000" w:themeColor="text1"/>
            <w14:textFill>
              <w14:solidFill>
                <w14:schemeClr w14:val="tx1"/>
              </w14:solidFill>
            </w14:textFill>
          </w:rPr>
        </w:sdtEndPr>
        <w:sdtContent>
          <w:tr w14:paraId="7704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3891C1CF">
                <w:pPr>
                  <w:jc w:val="center"/>
                </w:pPr>
                <w:r>
                  <w:rPr>
                    <w:rFonts w:hint="eastAsia"/>
                  </w:rPr>
                  <w:t>7-12个月（含12个月）</w:t>
                </w:r>
              </w:p>
            </w:tc>
            <w:tc>
              <w:tcPr>
                <w:tcW w:w="1652" w:type="pct"/>
                <w:tcBorders>
                  <w:top w:val="single" w:color="auto" w:sz="4" w:space="0"/>
                  <w:left w:val="single" w:color="auto" w:sz="4" w:space="0"/>
                  <w:bottom w:val="single" w:color="auto" w:sz="4" w:space="0"/>
                  <w:right w:val="single" w:color="auto" w:sz="4" w:space="0"/>
                </w:tcBorders>
                <w:vAlign w:val="center"/>
              </w:tcPr>
              <w:p w14:paraId="79E6D7B6">
                <w:pPr>
                  <w:jc w:val="right"/>
                </w:pPr>
                <w:r>
                  <w:t>2,685,345.70</w:t>
                </w:r>
              </w:p>
            </w:tc>
            <w:tc>
              <w:tcPr>
                <w:tcW w:w="1652" w:type="pct"/>
                <w:tcBorders>
                  <w:top w:val="single" w:color="auto" w:sz="4" w:space="0"/>
                  <w:left w:val="single" w:color="auto" w:sz="4" w:space="0"/>
                  <w:bottom w:val="single" w:color="auto" w:sz="4" w:space="0"/>
                  <w:right w:val="single" w:color="auto" w:sz="4" w:space="0"/>
                </w:tcBorders>
                <w:vAlign w:val="center"/>
              </w:tcPr>
              <w:p w14:paraId="11E95B27">
                <w:pPr>
                  <w:jc w:val="right"/>
                </w:pPr>
                <w:r>
                  <w:t>6,490,471.69</w:t>
                </w:r>
              </w:p>
            </w:tc>
          </w:tr>
        </w:sdtContent>
      </w:sdt>
      <w:tr w14:paraId="3A32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ed955778e404c8ea48c566f9db6e1e8"/>
            <w:id w:val="606776528"/>
          </w:sdtPr>
          <w:sdtContent>
            <w:tc>
              <w:tcPr>
                <w:tcW w:w="1696" w:type="pct"/>
                <w:tcBorders>
                  <w:top w:val="single" w:color="auto" w:sz="4" w:space="0"/>
                  <w:left w:val="single" w:color="auto" w:sz="4" w:space="0"/>
                  <w:bottom w:val="single" w:color="auto" w:sz="4" w:space="0"/>
                  <w:right w:val="single" w:color="auto" w:sz="4" w:space="0"/>
                </w:tcBorders>
              </w:tcPr>
              <w:p w14:paraId="7813C2C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1至2年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566BCB14">
            <w:pPr>
              <w:jc w:val="right"/>
            </w:pPr>
            <w:r>
              <w:t>17,029,998.58</w:t>
            </w:r>
          </w:p>
        </w:tc>
        <w:tc>
          <w:tcPr>
            <w:tcW w:w="1652" w:type="pct"/>
            <w:tcBorders>
              <w:top w:val="single" w:color="auto" w:sz="4" w:space="0"/>
              <w:left w:val="single" w:color="auto" w:sz="4" w:space="0"/>
              <w:bottom w:val="single" w:color="auto" w:sz="4" w:space="0"/>
              <w:right w:val="single" w:color="auto" w:sz="4" w:space="0"/>
            </w:tcBorders>
            <w:vAlign w:val="center"/>
          </w:tcPr>
          <w:p w14:paraId="21527692">
            <w:pPr>
              <w:jc w:val="right"/>
            </w:pPr>
            <w:r>
              <w:t>6,844,451.62</w:t>
            </w:r>
          </w:p>
        </w:tc>
      </w:tr>
      <w:tr w14:paraId="1068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2c310667e2f84a449ed516027c5c988d"/>
            <w:id w:val="7337614"/>
          </w:sdtPr>
          <w:sdtContent>
            <w:tc>
              <w:tcPr>
                <w:tcW w:w="1696" w:type="pct"/>
                <w:tcBorders>
                  <w:top w:val="single" w:color="auto" w:sz="4" w:space="0"/>
                  <w:left w:val="single" w:color="auto" w:sz="4" w:space="0"/>
                  <w:bottom w:val="single" w:color="auto" w:sz="4" w:space="0"/>
                  <w:right w:val="single" w:color="auto" w:sz="4" w:space="0"/>
                </w:tcBorders>
              </w:tcPr>
              <w:p w14:paraId="560C151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2至3年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50495188">
            <w:pPr>
              <w:jc w:val="right"/>
            </w:pPr>
            <w:r>
              <w:t>1,269,100.29</w:t>
            </w:r>
          </w:p>
        </w:tc>
        <w:tc>
          <w:tcPr>
            <w:tcW w:w="1652" w:type="pct"/>
            <w:tcBorders>
              <w:top w:val="single" w:color="auto" w:sz="4" w:space="0"/>
              <w:left w:val="single" w:color="auto" w:sz="4" w:space="0"/>
              <w:bottom w:val="single" w:color="auto" w:sz="4" w:space="0"/>
              <w:right w:val="single" w:color="auto" w:sz="4" w:space="0"/>
            </w:tcBorders>
            <w:vAlign w:val="center"/>
          </w:tcPr>
          <w:p w14:paraId="0322B52D">
            <w:pPr>
              <w:jc w:val="right"/>
            </w:pPr>
            <w:r>
              <w:t>139,190,680.66</w:t>
            </w:r>
          </w:p>
        </w:tc>
      </w:tr>
      <w:tr w14:paraId="5D8F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5b152c7cc204819a78863560b31e87a"/>
            <w:id w:val="-322889442"/>
          </w:sdtPr>
          <w:sdtContent>
            <w:tc>
              <w:tcPr>
                <w:tcW w:w="1696" w:type="pct"/>
                <w:tcBorders>
                  <w:top w:val="single" w:color="auto" w:sz="4" w:space="0"/>
                  <w:left w:val="single" w:color="auto" w:sz="4" w:space="0"/>
                  <w:bottom w:val="single" w:color="auto" w:sz="4" w:space="0"/>
                  <w:right w:val="single" w:color="auto" w:sz="4" w:space="0"/>
                </w:tcBorders>
              </w:tcPr>
              <w:p w14:paraId="2C7DE1D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3至4年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3DDBFBE0">
            <w:pPr>
              <w:jc w:val="right"/>
            </w:pPr>
            <w:r>
              <w:t>82,494,430.96</w:t>
            </w:r>
          </w:p>
        </w:tc>
        <w:tc>
          <w:tcPr>
            <w:tcW w:w="1652" w:type="pct"/>
            <w:tcBorders>
              <w:top w:val="single" w:color="auto" w:sz="4" w:space="0"/>
              <w:left w:val="single" w:color="auto" w:sz="4" w:space="0"/>
              <w:bottom w:val="single" w:color="auto" w:sz="4" w:space="0"/>
              <w:right w:val="single" w:color="auto" w:sz="4" w:space="0"/>
            </w:tcBorders>
            <w:vAlign w:val="center"/>
          </w:tcPr>
          <w:p w14:paraId="01297B43">
            <w:pPr>
              <w:jc w:val="right"/>
            </w:pPr>
            <w:r>
              <w:t>56,599,950.89</w:t>
            </w:r>
          </w:p>
        </w:tc>
      </w:tr>
      <w:tr w14:paraId="747D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a03b5ab3a8940fb9d5c4ee2ff3466e7"/>
            <w:id w:val="-825662522"/>
          </w:sdtPr>
          <w:sdtContent>
            <w:tc>
              <w:tcPr>
                <w:tcW w:w="1696" w:type="pct"/>
                <w:tcBorders>
                  <w:top w:val="single" w:color="auto" w:sz="4" w:space="0"/>
                  <w:left w:val="single" w:color="auto" w:sz="4" w:space="0"/>
                  <w:bottom w:val="single" w:color="auto" w:sz="4" w:space="0"/>
                  <w:right w:val="single" w:color="auto" w:sz="4" w:space="0"/>
                </w:tcBorders>
              </w:tcPr>
              <w:p w14:paraId="681590B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4至5年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27FE41E2">
            <w:pPr>
              <w:jc w:val="right"/>
            </w:pPr>
            <w:r>
              <w:t>29,781,251.02</w:t>
            </w:r>
          </w:p>
        </w:tc>
        <w:tc>
          <w:tcPr>
            <w:tcW w:w="1652" w:type="pct"/>
            <w:tcBorders>
              <w:top w:val="single" w:color="auto" w:sz="4" w:space="0"/>
              <w:left w:val="single" w:color="auto" w:sz="4" w:space="0"/>
              <w:bottom w:val="single" w:color="auto" w:sz="4" w:space="0"/>
              <w:right w:val="single" w:color="auto" w:sz="4" w:space="0"/>
            </w:tcBorders>
            <w:vAlign w:val="center"/>
          </w:tcPr>
          <w:p w14:paraId="0BC6E790">
            <w:pPr>
              <w:jc w:val="right"/>
            </w:pPr>
            <w:r>
              <w:t>28,836,977.02</w:t>
            </w:r>
          </w:p>
        </w:tc>
      </w:tr>
      <w:tr w14:paraId="1340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502a774e6de84cb1877f4de9276c6c03"/>
            <w:id w:val="203834990"/>
          </w:sdtPr>
          <w:sdtContent>
            <w:tc>
              <w:tcPr>
                <w:tcW w:w="1696" w:type="pct"/>
                <w:tcBorders>
                  <w:top w:val="single" w:color="auto" w:sz="4" w:space="0"/>
                  <w:left w:val="single" w:color="auto" w:sz="4" w:space="0"/>
                  <w:bottom w:val="single" w:color="auto" w:sz="4" w:space="0"/>
                  <w:right w:val="single" w:color="auto" w:sz="4" w:space="0"/>
                </w:tcBorders>
              </w:tcPr>
              <w:p w14:paraId="79B8523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5年以上</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2ED8AB21">
            <w:pPr>
              <w:jc w:val="right"/>
            </w:pPr>
            <w:r>
              <w:t>308,913,099.57</w:t>
            </w:r>
          </w:p>
        </w:tc>
        <w:tc>
          <w:tcPr>
            <w:tcW w:w="1652" w:type="pct"/>
            <w:tcBorders>
              <w:top w:val="single" w:color="auto" w:sz="4" w:space="0"/>
              <w:left w:val="single" w:color="auto" w:sz="4" w:space="0"/>
              <w:bottom w:val="single" w:color="auto" w:sz="4" w:space="0"/>
              <w:right w:val="single" w:color="auto" w:sz="4" w:space="0"/>
            </w:tcBorders>
            <w:vAlign w:val="center"/>
          </w:tcPr>
          <w:p w14:paraId="08789D3B">
            <w:pPr>
              <w:jc w:val="right"/>
            </w:pPr>
            <w:r>
              <w:t>259,976,972.59</w:t>
            </w:r>
          </w:p>
        </w:tc>
      </w:tr>
      <w:tr w14:paraId="2D8D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6ef2110aa3849b7b2f44fd2be8b2a9a"/>
            <w:id w:val="1144939221"/>
          </w:sdtPr>
          <w:sdtContent>
            <w:tc>
              <w:tcPr>
                <w:tcW w:w="1696" w:type="pct"/>
                <w:tcBorders>
                  <w:top w:val="single" w:color="auto" w:sz="4" w:space="0"/>
                  <w:left w:val="single" w:color="auto" w:sz="4" w:space="0"/>
                  <w:bottom w:val="single" w:color="auto" w:sz="4" w:space="0"/>
                  <w:right w:val="single" w:color="auto" w:sz="4" w:space="0"/>
                </w:tcBorders>
                <w:vAlign w:val="center"/>
              </w:tcPr>
              <w:p w14:paraId="4D799AF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523C007A">
            <w:pPr>
              <w:jc w:val="right"/>
            </w:pPr>
            <w:r>
              <w:t>508,003,236.47</w:t>
            </w:r>
          </w:p>
        </w:tc>
        <w:tc>
          <w:tcPr>
            <w:tcW w:w="1652" w:type="pct"/>
            <w:tcBorders>
              <w:top w:val="single" w:color="auto" w:sz="4" w:space="0"/>
              <w:left w:val="single" w:color="auto" w:sz="4" w:space="0"/>
              <w:bottom w:val="single" w:color="auto" w:sz="4" w:space="0"/>
              <w:right w:val="single" w:color="auto" w:sz="4" w:space="0"/>
            </w:tcBorders>
            <w:vAlign w:val="center"/>
          </w:tcPr>
          <w:p w14:paraId="3793C26E">
            <w:pPr>
              <w:jc w:val="right"/>
            </w:pPr>
            <w:r>
              <w:t>598,984,638.27</w:t>
            </w:r>
          </w:p>
        </w:tc>
      </w:tr>
    </w:tbl>
    <w:p w14:paraId="6EC26EC0">
      <w:pPr>
        <w:rPr>
          <w:color w:val="000000" w:themeColor="text1"/>
          <w14:textFill>
            <w14:solidFill>
              <w14:schemeClr w14:val="tx1"/>
            </w14:solidFill>
          </w14:textFill>
        </w:rPr>
      </w:pPr>
    </w:p>
    <w:bookmarkEnd w:id="210"/>
    <w:p w14:paraId="23910681">
      <w:pPr>
        <w:pStyle w:val="6"/>
        <w:numPr>
          <w:ilvl w:val="0"/>
          <w:numId w:val="50"/>
        </w:numPr>
      </w:pPr>
      <w:r>
        <w:rPr>
          <w:rFonts w:hint="eastAsia"/>
        </w:rPr>
        <w:t>按款项性质分类情况</w:t>
      </w:r>
    </w:p>
    <w:sdt>
      <w:sdtPr>
        <w:rPr>
          <w:color w:val="000000" w:themeColor="text1"/>
          <w14:textFill>
            <w14:solidFill>
              <w14:schemeClr w14:val="tx1"/>
            </w14:solidFill>
          </w14:textFill>
        </w:rPr>
        <w:alias w:val="是否适用：其他应收款按款项性质分类情况[双击切换]"/>
        <w:tag w:val="_GBC_43f55a27297f4f93b1b4f668134ac6be"/>
        <w:id w:val="1746761601"/>
        <w:placeholder>
          <w:docPart w:val="GBC22222222222222222222222222222"/>
        </w:placeholder>
      </w:sdtPr>
      <w:sdtEndPr>
        <w:rPr>
          <w:color w:val="000000" w:themeColor="text1"/>
          <w14:textFill>
            <w14:solidFill>
              <w14:schemeClr w14:val="tx1"/>
            </w14:solidFill>
          </w14:textFill>
        </w:rPr>
      </w:sdtEndPr>
      <w:sdtContent>
        <w:p w14:paraId="62ECECB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832AA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应收款按款项性质分类情况"/>
          <w:tag w:val="_GBC_9a3af1171f5640cd83ea2c41e0145167"/>
          <w:id w:val="-2687830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应收款按款项性质分类情况"/>
          <w:tag w:val="_GBC_0d096e7260294092a6e9a8405d01bc70"/>
          <w:id w:val="-3747747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2980"/>
        <w:gridCol w:w="2992"/>
      </w:tblGrid>
      <w:tr w14:paraId="4048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e66a0098cd34ad6a335156852121360"/>
            <w:id w:val="-256209249"/>
          </w:sdtPr>
          <w:sdtContent>
            <w:tc>
              <w:tcPr>
                <w:tcW w:w="1700" w:type="pct"/>
                <w:vAlign w:val="center"/>
              </w:tcPr>
              <w:p w14:paraId="2406E60F">
                <w:pPr>
                  <w:jc w:val="center"/>
                  <w:rPr>
                    <w:color w:val="000000" w:themeColor="text1"/>
                    <w14:textFill>
                      <w14:solidFill>
                        <w14:schemeClr w14:val="tx1"/>
                      </w14:solidFill>
                    </w14:textFill>
                  </w:rPr>
                </w:pPr>
                <w:bookmarkStart w:id="211" w:name="_Hlk10469799"/>
                <w:r>
                  <w:rPr>
                    <w:rFonts w:hint="eastAsia"/>
                    <w:color w:val="000000" w:themeColor="text1"/>
                    <w14:textFill>
                      <w14:solidFill>
                        <w14:schemeClr w14:val="tx1"/>
                      </w14:solidFill>
                    </w14:textFill>
                  </w:rPr>
                  <w:t>款项性质</w:t>
                </w:r>
              </w:p>
            </w:tc>
          </w:sdtContent>
        </w:sdt>
        <w:sdt>
          <w:sdtPr>
            <w:tag w:val="_PLD_51fee06f6d3944a9bbc7bac249ed63b6"/>
            <w:id w:val="-1230220373"/>
          </w:sdtPr>
          <w:sdtContent>
            <w:tc>
              <w:tcPr>
                <w:tcW w:w="1647" w:type="pct"/>
                <w:vAlign w:val="center"/>
              </w:tcPr>
              <w:p w14:paraId="4E89D5B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期末账面余额</w:t>
                </w:r>
              </w:p>
            </w:tc>
          </w:sdtContent>
        </w:sdt>
        <w:sdt>
          <w:sdtPr>
            <w:tag w:val="_PLD_0297dadecff24ff8926a98d0267a917b"/>
            <w:id w:val="320853592"/>
          </w:sdtPr>
          <w:sdtContent>
            <w:tc>
              <w:tcPr>
                <w:tcW w:w="1653" w:type="pct"/>
                <w:vAlign w:val="center"/>
              </w:tcPr>
              <w:p w14:paraId="0F6DC08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期初账面余额</w:t>
                </w:r>
              </w:p>
            </w:tc>
          </w:sdtContent>
        </w:sdt>
      </w:tr>
      <w:tr w14:paraId="6B34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2A0FAB3C">
            <w:pPr>
              <w:jc w:val="center"/>
            </w:pPr>
            <w:r>
              <w:t>应收新能源汽车补贴</w:t>
            </w:r>
          </w:p>
        </w:tc>
        <w:tc>
          <w:tcPr>
            <w:tcW w:w="1647" w:type="pct"/>
            <w:vAlign w:val="center"/>
          </w:tcPr>
          <w:p w14:paraId="0D14B1A9">
            <w:pPr>
              <w:jc w:val="right"/>
            </w:pPr>
            <w:r>
              <w:t>383,512,209.25</w:t>
            </w:r>
          </w:p>
        </w:tc>
        <w:tc>
          <w:tcPr>
            <w:tcW w:w="1653" w:type="pct"/>
            <w:vAlign w:val="center"/>
          </w:tcPr>
          <w:p w14:paraId="471C1254">
            <w:pPr>
              <w:jc w:val="right"/>
            </w:pPr>
            <w:r>
              <w:t>450,622,209.25</w:t>
            </w:r>
          </w:p>
        </w:tc>
      </w:tr>
      <w:tr w14:paraId="5A8E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39DDC192">
            <w:pPr>
              <w:jc w:val="center"/>
            </w:pPr>
            <w:r>
              <w:t>往来款</w:t>
            </w:r>
          </w:p>
        </w:tc>
        <w:tc>
          <w:tcPr>
            <w:tcW w:w="1647" w:type="pct"/>
            <w:vAlign w:val="center"/>
          </w:tcPr>
          <w:p w14:paraId="66193B34">
            <w:pPr>
              <w:jc w:val="right"/>
            </w:pPr>
            <w:r>
              <w:t>18,565,029.12</w:t>
            </w:r>
          </w:p>
        </w:tc>
        <w:tc>
          <w:tcPr>
            <w:tcW w:w="1653" w:type="pct"/>
            <w:vAlign w:val="center"/>
          </w:tcPr>
          <w:p w14:paraId="049B67E0">
            <w:pPr>
              <w:jc w:val="right"/>
            </w:pPr>
            <w:r>
              <w:t>12,281,120.43</w:t>
            </w:r>
          </w:p>
        </w:tc>
      </w:tr>
      <w:tr w14:paraId="110A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4C939777">
            <w:pPr>
              <w:jc w:val="center"/>
            </w:pPr>
            <w:r>
              <w:t>应收出口退税款及出口补贴</w:t>
            </w:r>
          </w:p>
        </w:tc>
        <w:tc>
          <w:tcPr>
            <w:tcW w:w="1647" w:type="pct"/>
            <w:vAlign w:val="center"/>
          </w:tcPr>
          <w:p w14:paraId="1757A50B">
            <w:pPr>
              <w:jc w:val="right"/>
            </w:pPr>
            <w:r>
              <w:t>48,145,682.32</w:t>
            </w:r>
          </w:p>
        </w:tc>
        <w:tc>
          <w:tcPr>
            <w:tcW w:w="1653" w:type="pct"/>
            <w:vAlign w:val="center"/>
          </w:tcPr>
          <w:p w14:paraId="09F2CF48">
            <w:pPr>
              <w:jc w:val="right"/>
            </w:pPr>
            <w:r>
              <w:t>82,950,811.94</w:t>
            </w:r>
          </w:p>
        </w:tc>
      </w:tr>
      <w:tr w14:paraId="4DA4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2A9ACFE8">
            <w:pPr>
              <w:jc w:val="center"/>
            </w:pPr>
            <w:r>
              <w:t>应收股权转让款</w:t>
            </w:r>
          </w:p>
        </w:tc>
        <w:tc>
          <w:tcPr>
            <w:tcW w:w="1647" w:type="pct"/>
            <w:vAlign w:val="center"/>
          </w:tcPr>
          <w:p w14:paraId="0D18C85A">
            <w:pPr>
              <w:jc w:val="right"/>
            </w:pPr>
            <w:r>
              <w:t>8,701,821.22</w:t>
            </w:r>
          </w:p>
        </w:tc>
        <w:tc>
          <w:tcPr>
            <w:tcW w:w="1653" w:type="pct"/>
            <w:vAlign w:val="center"/>
          </w:tcPr>
          <w:p w14:paraId="4E76EB0E">
            <w:pPr>
              <w:jc w:val="right"/>
            </w:pPr>
            <w:r>
              <w:t>8,701,821.22</w:t>
            </w:r>
          </w:p>
        </w:tc>
      </w:tr>
      <w:tr w14:paraId="750B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32EBF90D">
            <w:pPr>
              <w:jc w:val="center"/>
            </w:pPr>
            <w:r>
              <w:t>抵押保证金</w:t>
            </w:r>
          </w:p>
        </w:tc>
        <w:tc>
          <w:tcPr>
            <w:tcW w:w="1647" w:type="pct"/>
            <w:vAlign w:val="center"/>
          </w:tcPr>
          <w:p w14:paraId="200CBD92">
            <w:pPr>
              <w:jc w:val="right"/>
            </w:pPr>
            <w:r>
              <w:t>4,344,760.88</w:t>
            </w:r>
          </w:p>
        </w:tc>
        <w:tc>
          <w:tcPr>
            <w:tcW w:w="1653" w:type="pct"/>
            <w:vAlign w:val="center"/>
          </w:tcPr>
          <w:p w14:paraId="1D5A55FB">
            <w:pPr>
              <w:jc w:val="right"/>
            </w:pPr>
            <w:r>
              <w:t>1,673,146.81</w:t>
            </w:r>
          </w:p>
        </w:tc>
      </w:tr>
      <w:tr w14:paraId="6FAC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449D6801">
            <w:pPr>
              <w:jc w:val="center"/>
            </w:pPr>
            <w:r>
              <w:t>备用金</w:t>
            </w:r>
          </w:p>
        </w:tc>
        <w:tc>
          <w:tcPr>
            <w:tcW w:w="1647" w:type="pct"/>
            <w:vAlign w:val="center"/>
          </w:tcPr>
          <w:p w14:paraId="27A9079B">
            <w:pPr>
              <w:jc w:val="right"/>
            </w:pPr>
            <w:r>
              <w:t>2,790,323.73</w:t>
            </w:r>
          </w:p>
        </w:tc>
        <w:tc>
          <w:tcPr>
            <w:tcW w:w="1653" w:type="pct"/>
            <w:vAlign w:val="center"/>
          </w:tcPr>
          <w:p w14:paraId="7F1C96A5">
            <w:pPr>
              <w:jc w:val="right"/>
            </w:pPr>
            <w:r>
              <w:t>1,957,034.28</w:t>
            </w:r>
          </w:p>
        </w:tc>
      </w:tr>
      <w:tr w14:paraId="1132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2BEB7EF4">
            <w:pPr>
              <w:jc w:val="center"/>
            </w:pPr>
            <w:r>
              <w:t>其他</w:t>
            </w:r>
          </w:p>
        </w:tc>
        <w:tc>
          <w:tcPr>
            <w:tcW w:w="1647" w:type="pct"/>
            <w:vAlign w:val="center"/>
          </w:tcPr>
          <w:p w14:paraId="1566941F">
            <w:pPr>
              <w:jc w:val="right"/>
            </w:pPr>
            <w:r>
              <w:t>41,943,409.95</w:t>
            </w:r>
          </w:p>
        </w:tc>
        <w:tc>
          <w:tcPr>
            <w:tcW w:w="1653" w:type="pct"/>
            <w:vAlign w:val="center"/>
          </w:tcPr>
          <w:p w14:paraId="72725CFD">
            <w:pPr>
              <w:jc w:val="right"/>
            </w:pPr>
            <w:r>
              <w:t>40,798,494.34</w:t>
            </w:r>
          </w:p>
        </w:tc>
      </w:tr>
      <w:tr w14:paraId="17BB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0046F647">
            <w:pPr>
              <w:jc w:val="center"/>
            </w:pPr>
            <w:r>
              <w:t>合计</w:t>
            </w:r>
          </w:p>
        </w:tc>
        <w:tc>
          <w:tcPr>
            <w:tcW w:w="1647" w:type="pct"/>
            <w:vAlign w:val="center"/>
          </w:tcPr>
          <w:p w14:paraId="238F7CAB">
            <w:pPr>
              <w:jc w:val="right"/>
            </w:pPr>
            <w:r>
              <w:t>508,003,236.47</w:t>
            </w:r>
          </w:p>
        </w:tc>
        <w:tc>
          <w:tcPr>
            <w:tcW w:w="1653" w:type="pct"/>
            <w:vAlign w:val="center"/>
          </w:tcPr>
          <w:p w14:paraId="30AE092B">
            <w:pPr>
              <w:jc w:val="right"/>
            </w:pPr>
            <w:r>
              <w:t>598,984,638.27</w:t>
            </w:r>
          </w:p>
        </w:tc>
      </w:tr>
    </w:tbl>
    <w:p w14:paraId="782BDDA4"/>
    <w:p w14:paraId="0AF3E6EF">
      <w:pPr>
        <w:pStyle w:val="6"/>
        <w:numPr>
          <w:ilvl w:val="0"/>
          <w:numId w:val="50"/>
        </w:numPr>
      </w:pPr>
      <w:r>
        <w:rPr>
          <w:rFonts w:hint="eastAsia"/>
        </w:rPr>
        <w:t>坏账准备计提情况</w:t>
      </w:r>
    </w:p>
    <w:sdt>
      <w:sdtPr>
        <w:rPr>
          <w:color w:val="000000" w:themeColor="text1"/>
          <w14:textFill>
            <w14:solidFill>
              <w14:schemeClr w14:val="tx1"/>
            </w14:solidFill>
          </w14:textFill>
        </w:rPr>
        <w:alias w:val="是否适用：其他应收款坏账准备调节表[双击切换]"/>
        <w:tag w:val="_GBC_29d0c5a1588a4f6589b1f8148c9ef180"/>
        <w:id w:val="1182404943"/>
        <w:placeholder>
          <w:docPart w:val="GBC22222222222222222222222222222"/>
        </w:placeholder>
      </w:sdtPr>
      <w:sdtEndPr>
        <w:rPr>
          <w:color w:val="000000" w:themeColor="text1"/>
          <w14:textFill>
            <w14:solidFill>
              <w14:schemeClr w14:val="tx1"/>
            </w14:solidFill>
          </w14:textFill>
        </w:rPr>
      </w:sdtEndPr>
      <w:sdtContent>
        <w:p w14:paraId="3E87DFA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75E027C">
      <w:pPr>
        <w:autoSpaceDE w:val="0"/>
        <w:autoSpaceDN w:val="0"/>
        <w:adjustRightInd w:val="0"/>
        <w:ind w:right="105" w:rightChars="5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应收款坏账准备调节表"/>
          <w:tag w:val="_GBC_c65b82e3cfaf4fde8d75eac8c9a6e9f9"/>
          <w:id w:val="16132485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应收款坏账准备调节表"/>
          <w:tag w:val="_GBC_08cd78a434cc441cbfff10030c5a8719"/>
          <w:id w:val="-4365194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1721"/>
        <w:gridCol w:w="1927"/>
        <w:gridCol w:w="1929"/>
        <w:gridCol w:w="1720"/>
      </w:tblGrid>
      <w:tr w14:paraId="1499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df16deeb9614db49d9aa88a31229d9a"/>
            <w:id w:val="-1983300353"/>
          </w:sdtPr>
          <w:sdtContent>
            <w:tc>
              <w:tcPr>
                <w:tcW w:w="968" w:type="pct"/>
                <w:vMerge w:val="restart"/>
                <w:vAlign w:val="center"/>
              </w:tcPr>
              <w:p w14:paraId="06C87D0D">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坏账准备</w:t>
                </w:r>
              </w:p>
            </w:tc>
          </w:sdtContent>
        </w:sdt>
        <w:sdt>
          <w:sdtPr>
            <w:tag w:val="_PLD_f47baed0f5d14c0486b4530b2aa1cb4c"/>
            <w:id w:val="1725640979"/>
          </w:sdtPr>
          <w:sdtContent>
            <w:tc>
              <w:tcPr>
                <w:tcW w:w="951" w:type="pct"/>
                <w:vAlign w:val="center"/>
              </w:tcPr>
              <w:p w14:paraId="666C9888">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第一阶段</w:t>
                </w:r>
              </w:p>
            </w:tc>
          </w:sdtContent>
        </w:sdt>
        <w:sdt>
          <w:sdtPr>
            <w:tag w:val="_PLD_a29dd4725bec4eb78b246b92252a24df"/>
            <w:id w:val="-351884341"/>
          </w:sdtPr>
          <w:sdtContent>
            <w:tc>
              <w:tcPr>
                <w:tcW w:w="1065" w:type="pct"/>
                <w:vAlign w:val="center"/>
              </w:tcPr>
              <w:p w14:paraId="2F21A321">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第二阶段</w:t>
                </w:r>
              </w:p>
            </w:tc>
          </w:sdtContent>
        </w:sdt>
        <w:sdt>
          <w:sdtPr>
            <w:tag w:val="_PLD_c495a5d3c56f4cb9a0bd5cc9cc9b5410"/>
            <w:id w:val="-35590741"/>
          </w:sdtPr>
          <w:sdtContent>
            <w:tc>
              <w:tcPr>
                <w:tcW w:w="1066" w:type="pct"/>
                <w:vAlign w:val="center"/>
              </w:tcPr>
              <w:p w14:paraId="0273E008">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第三阶段</w:t>
                </w:r>
              </w:p>
            </w:tc>
          </w:sdtContent>
        </w:sdt>
        <w:sdt>
          <w:sdtPr>
            <w:tag w:val="_PLD_0dc8bab0b7424c1295b83fcc97ca7554"/>
            <w:id w:val="521591902"/>
          </w:sdtPr>
          <w:sdtContent>
            <w:tc>
              <w:tcPr>
                <w:tcW w:w="950" w:type="pct"/>
                <w:vMerge w:val="restart"/>
                <w:vAlign w:val="center"/>
              </w:tcPr>
              <w:p w14:paraId="4D790FD3">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合计</w:t>
                </w:r>
              </w:p>
            </w:tc>
          </w:sdtContent>
        </w:sdt>
      </w:tr>
      <w:tr w14:paraId="01FC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Merge w:val="continue"/>
            <w:vAlign w:val="center"/>
          </w:tcPr>
          <w:p w14:paraId="090ADE59">
            <w:pPr>
              <w:jc w:val="center"/>
              <w:rPr>
                <w:color w:val="000000" w:themeColor="text1"/>
                <w14:textFill>
                  <w14:solidFill>
                    <w14:schemeClr w14:val="tx1"/>
                  </w14:solidFill>
                </w14:textFill>
              </w:rPr>
            </w:pPr>
          </w:p>
        </w:tc>
        <w:sdt>
          <w:sdtPr>
            <w:tag w:val="_PLD_08f8b6a1fd974f0d8ae0c04f27849740"/>
            <w:id w:val="1946727811"/>
          </w:sdtPr>
          <w:sdtContent>
            <w:tc>
              <w:tcPr>
                <w:tcW w:w="951" w:type="pct"/>
                <w:vAlign w:val="center"/>
              </w:tcPr>
              <w:p w14:paraId="4C9D133D">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未来12个月预期信用损失</w:t>
                </w:r>
              </w:p>
            </w:tc>
          </w:sdtContent>
        </w:sdt>
        <w:sdt>
          <w:sdtPr>
            <w:tag w:val="_PLD_c85cfe8f6d6a4ab0af13d30e76cd7800"/>
            <w:id w:val="-1075425625"/>
          </w:sdtPr>
          <w:sdtContent>
            <w:tc>
              <w:tcPr>
                <w:tcW w:w="1065" w:type="pct"/>
                <w:vAlign w:val="center"/>
              </w:tcPr>
              <w:p w14:paraId="30171326">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整个存续期预期信用损失(未发生信用减值)</w:t>
                </w:r>
              </w:p>
            </w:tc>
          </w:sdtContent>
        </w:sdt>
        <w:sdt>
          <w:sdtPr>
            <w:tag w:val="_PLD_2df6c7466f224906aa04a411975e6f79"/>
            <w:id w:val="-1271776074"/>
          </w:sdtPr>
          <w:sdtContent>
            <w:tc>
              <w:tcPr>
                <w:tcW w:w="1066" w:type="pct"/>
                <w:vAlign w:val="center"/>
              </w:tcPr>
              <w:p w14:paraId="65F1D012">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整个存续期预期信用损失(已发生信用减值)</w:t>
                </w:r>
              </w:p>
            </w:tc>
          </w:sdtContent>
        </w:sdt>
        <w:tc>
          <w:tcPr>
            <w:tcW w:w="950" w:type="pct"/>
            <w:vMerge w:val="continue"/>
          </w:tcPr>
          <w:p w14:paraId="305A042A">
            <w:pPr>
              <w:jc w:val="center"/>
              <w:rPr>
                <w:color w:val="000000" w:themeColor="text1"/>
                <w14:textFill>
                  <w14:solidFill>
                    <w14:schemeClr w14:val="tx1"/>
                  </w14:solidFill>
                </w14:textFill>
              </w:rPr>
            </w:pPr>
          </w:p>
        </w:tc>
      </w:tr>
      <w:tr w14:paraId="63C8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7B88C1AB">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2025年</w:t>
            </w:r>
            <w:r>
              <w:rPr>
                <w:rFonts w:hint="eastAsia" w:ascii="宋体" w:hAnsi="宋体" w:eastAsia="宋体" w:cs="宋体"/>
                <w:color w:val="000000" w:themeColor="text1"/>
                <w:sz w:val="21"/>
                <w:szCs w:val="21"/>
                <w:lang w:eastAsia="zh-CN"/>
                <w14:textFill>
                  <w14:solidFill>
                    <w14:schemeClr w14:val="tx1"/>
                  </w14:solidFill>
                </w14:textFill>
              </w:rPr>
              <w:t>1月1日余额</w:t>
            </w:r>
          </w:p>
        </w:tc>
        <w:tc>
          <w:tcPr>
            <w:tcW w:w="951" w:type="pct"/>
            <w:vAlign w:val="center"/>
          </w:tcPr>
          <w:p w14:paraId="67F35A8A">
            <w:pPr>
              <w:jc w:val="right"/>
            </w:pPr>
            <w:r>
              <w:t>26,509,019.04</w:t>
            </w:r>
          </w:p>
        </w:tc>
        <w:tc>
          <w:tcPr>
            <w:tcW w:w="1065" w:type="pct"/>
            <w:vAlign w:val="center"/>
          </w:tcPr>
          <w:p w14:paraId="155A7C34">
            <w:pPr>
              <w:jc w:val="right"/>
            </w:pPr>
          </w:p>
        </w:tc>
        <w:tc>
          <w:tcPr>
            <w:tcW w:w="1066" w:type="pct"/>
            <w:vAlign w:val="center"/>
          </w:tcPr>
          <w:p w14:paraId="1525D4EE">
            <w:pPr>
              <w:jc w:val="right"/>
              <w:rPr>
                <w:rFonts w:ascii="宋体" w:hAnsi="宋体"/>
                <w:sz w:val="24"/>
                <w:szCs w:val="24"/>
              </w:rPr>
            </w:pPr>
            <w:r>
              <w:t>276,406,856.57</w:t>
            </w:r>
          </w:p>
        </w:tc>
        <w:tc>
          <w:tcPr>
            <w:tcW w:w="950" w:type="pct"/>
            <w:vAlign w:val="center"/>
          </w:tcPr>
          <w:p w14:paraId="66D07E76">
            <w:pPr>
              <w:jc w:val="right"/>
            </w:pPr>
            <w:r>
              <w:t>302,915,875.61</w:t>
            </w:r>
          </w:p>
        </w:tc>
      </w:tr>
      <w:tr w14:paraId="01577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6E342A2F">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2025年1月1日余额在本期</w:t>
            </w:r>
          </w:p>
        </w:tc>
        <w:tc>
          <w:tcPr>
            <w:tcW w:w="951" w:type="pct"/>
            <w:vAlign w:val="center"/>
          </w:tcPr>
          <w:p w14:paraId="45BD61F8">
            <w:pPr>
              <w:jc w:val="right"/>
            </w:pPr>
          </w:p>
        </w:tc>
        <w:tc>
          <w:tcPr>
            <w:tcW w:w="1065" w:type="pct"/>
            <w:vAlign w:val="center"/>
          </w:tcPr>
          <w:p w14:paraId="405CAF35">
            <w:pPr>
              <w:jc w:val="right"/>
              <w:rPr>
                <w:rFonts w:eastAsia="Times New Roman" w:cs="Times New Roman"/>
                <w:sz w:val="20"/>
                <w:szCs w:val="20"/>
              </w:rPr>
            </w:pPr>
          </w:p>
        </w:tc>
        <w:tc>
          <w:tcPr>
            <w:tcW w:w="1066" w:type="pct"/>
            <w:vAlign w:val="center"/>
          </w:tcPr>
          <w:p w14:paraId="36D7DB66">
            <w:pPr>
              <w:jc w:val="right"/>
              <w:rPr>
                <w:rFonts w:eastAsia="Times New Roman" w:cs="Times New Roman"/>
                <w:sz w:val="20"/>
                <w:szCs w:val="20"/>
              </w:rPr>
            </w:pPr>
          </w:p>
        </w:tc>
        <w:tc>
          <w:tcPr>
            <w:tcW w:w="950" w:type="pct"/>
            <w:vAlign w:val="center"/>
          </w:tcPr>
          <w:p w14:paraId="6F9C1C91">
            <w:pPr>
              <w:jc w:val="right"/>
              <w:rPr>
                <w:rFonts w:eastAsia="Times New Roman" w:cs="Times New Roman"/>
                <w:sz w:val="20"/>
                <w:szCs w:val="20"/>
              </w:rPr>
            </w:pPr>
          </w:p>
        </w:tc>
      </w:tr>
      <w:tr w14:paraId="2807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0AAA95E9">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--转入第二阶段</w:t>
            </w:r>
          </w:p>
        </w:tc>
        <w:tc>
          <w:tcPr>
            <w:tcW w:w="951" w:type="pct"/>
            <w:vAlign w:val="center"/>
          </w:tcPr>
          <w:p w14:paraId="5ECA9616">
            <w:pPr>
              <w:jc w:val="right"/>
              <w:rPr>
                <w:rFonts w:eastAsia="Times New Roman" w:cs="Times New Roman"/>
                <w:sz w:val="20"/>
                <w:szCs w:val="20"/>
              </w:rPr>
            </w:pPr>
          </w:p>
        </w:tc>
        <w:tc>
          <w:tcPr>
            <w:tcW w:w="1065" w:type="pct"/>
            <w:vAlign w:val="center"/>
          </w:tcPr>
          <w:p w14:paraId="43321609">
            <w:pPr>
              <w:jc w:val="right"/>
              <w:rPr>
                <w:rFonts w:eastAsia="Times New Roman" w:cs="Times New Roman"/>
                <w:sz w:val="20"/>
                <w:szCs w:val="20"/>
              </w:rPr>
            </w:pPr>
          </w:p>
        </w:tc>
        <w:tc>
          <w:tcPr>
            <w:tcW w:w="1066" w:type="pct"/>
            <w:vAlign w:val="center"/>
          </w:tcPr>
          <w:p w14:paraId="17BE5C86">
            <w:pPr>
              <w:jc w:val="right"/>
              <w:rPr>
                <w:rFonts w:eastAsia="Times New Roman" w:cs="Times New Roman"/>
                <w:sz w:val="20"/>
                <w:szCs w:val="20"/>
              </w:rPr>
            </w:pPr>
          </w:p>
        </w:tc>
        <w:tc>
          <w:tcPr>
            <w:tcW w:w="950" w:type="pct"/>
            <w:vAlign w:val="center"/>
          </w:tcPr>
          <w:p w14:paraId="40B07FCE">
            <w:pPr>
              <w:jc w:val="right"/>
              <w:rPr>
                <w:rFonts w:eastAsia="Times New Roman" w:cs="Times New Roman"/>
                <w:sz w:val="20"/>
                <w:szCs w:val="20"/>
              </w:rPr>
            </w:pPr>
          </w:p>
        </w:tc>
      </w:tr>
      <w:tr w14:paraId="10DA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72C3DD51">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--转入第三阶段</w:t>
            </w:r>
          </w:p>
        </w:tc>
        <w:tc>
          <w:tcPr>
            <w:tcW w:w="951" w:type="pct"/>
            <w:vAlign w:val="center"/>
          </w:tcPr>
          <w:p w14:paraId="5E623D12">
            <w:pPr>
              <w:jc w:val="right"/>
              <w:rPr>
                <w:rFonts w:eastAsia="Times New Roman" w:cs="Times New Roman"/>
                <w:sz w:val="20"/>
                <w:szCs w:val="20"/>
              </w:rPr>
            </w:pPr>
          </w:p>
        </w:tc>
        <w:tc>
          <w:tcPr>
            <w:tcW w:w="1065" w:type="pct"/>
            <w:vAlign w:val="center"/>
          </w:tcPr>
          <w:p w14:paraId="2A27EB7A">
            <w:pPr>
              <w:jc w:val="right"/>
              <w:rPr>
                <w:rFonts w:eastAsia="Times New Roman" w:cs="Times New Roman"/>
                <w:sz w:val="20"/>
                <w:szCs w:val="20"/>
              </w:rPr>
            </w:pPr>
          </w:p>
        </w:tc>
        <w:tc>
          <w:tcPr>
            <w:tcW w:w="1066" w:type="pct"/>
            <w:vAlign w:val="center"/>
          </w:tcPr>
          <w:p w14:paraId="24F1B985">
            <w:pPr>
              <w:jc w:val="right"/>
              <w:rPr>
                <w:rFonts w:eastAsia="Times New Roman" w:cs="Times New Roman"/>
                <w:sz w:val="20"/>
                <w:szCs w:val="20"/>
              </w:rPr>
            </w:pPr>
          </w:p>
        </w:tc>
        <w:tc>
          <w:tcPr>
            <w:tcW w:w="950" w:type="pct"/>
            <w:vAlign w:val="center"/>
          </w:tcPr>
          <w:p w14:paraId="3CDED4F9">
            <w:pPr>
              <w:jc w:val="right"/>
              <w:rPr>
                <w:rFonts w:eastAsia="Times New Roman" w:cs="Times New Roman"/>
                <w:sz w:val="20"/>
                <w:szCs w:val="20"/>
              </w:rPr>
            </w:pPr>
          </w:p>
        </w:tc>
      </w:tr>
      <w:tr w14:paraId="51C7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6B1AF5D2">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--转回第二阶段</w:t>
            </w:r>
          </w:p>
        </w:tc>
        <w:tc>
          <w:tcPr>
            <w:tcW w:w="951" w:type="pct"/>
            <w:vAlign w:val="center"/>
          </w:tcPr>
          <w:p w14:paraId="125E5DFD">
            <w:pPr>
              <w:jc w:val="right"/>
              <w:rPr>
                <w:rFonts w:eastAsia="Times New Roman" w:cs="Times New Roman"/>
                <w:sz w:val="20"/>
                <w:szCs w:val="20"/>
              </w:rPr>
            </w:pPr>
          </w:p>
        </w:tc>
        <w:tc>
          <w:tcPr>
            <w:tcW w:w="1065" w:type="pct"/>
            <w:vAlign w:val="center"/>
          </w:tcPr>
          <w:p w14:paraId="4FDD2A09">
            <w:pPr>
              <w:jc w:val="right"/>
              <w:rPr>
                <w:rFonts w:eastAsia="Times New Roman" w:cs="Times New Roman"/>
                <w:sz w:val="20"/>
                <w:szCs w:val="20"/>
              </w:rPr>
            </w:pPr>
          </w:p>
        </w:tc>
        <w:tc>
          <w:tcPr>
            <w:tcW w:w="1066" w:type="pct"/>
            <w:vAlign w:val="center"/>
          </w:tcPr>
          <w:p w14:paraId="30FF8349">
            <w:pPr>
              <w:jc w:val="right"/>
              <w:rPr>
                <w:rFonts w:eastAsia="Times New Roman" w:cs="Times New Roman"/>
                <w:sz w:val="20"/>
                <w:szCs w:val="20"/>
              </w:rPr>
            </w:pPr>
          </w:p>
        </w:tc>
        <w:tc>
          <w:tcPr>
            <w:tcW w:w="950" w:type="pct"/>
            <w:vAlign w:val="center"/>
          </w:tcPr>
          <w:p w14:paraId="074674E2">
            <w:pPr>
              <w:jc w:val="right"/>
              <w:rPr>
                <w:rFonts w:eastAsia="Times New Roman" w:cs="Times New Roman"/>
                <w:sz w:val="20"/>
                <w:szCs w:val="20"/>
              </w:rPr>
            </w:pPr>
          </w:p>
        </w:tc>
      </w:tr>
      <w:tr w14:paraId="3DCD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67E4527C">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--转回第一阶段</w:t>
            </w:r>
          </w:p>
        </w:tc>
        <w:tc>
          <w:tcPr>
            <w:tcW w:w="951" w:type="pct"/>
            <w:vAlign w:val="center"/>
          </w:tcPr>
          <w:p w14:paraId="6EE92D9A">
            <w:pPr>
              <w:jc w:val="right"/>
              <w:rPr>
                <w:rFonts w:eastAsia="Times New Roman" w:cs="Times New Roman"/>
                <w:sz w:val="20"/>
                <w:szCs w:val="20"/>
              </w:rPr>
            </w:pPr>
          </w:p>
        </w:tc>
        <w:tc>
          <w:tcPr>
            <w:tcW w:w="1065" w:type="pct"/>
            <w:vAlign w:val="center"/>
          </w:tcPr>
          <w:p w14:paraId="63D5C173">
            <w:pPr>
              <w:jc w:val="right"/>
              <w:rPr>
                <w:rFonts w:eastAsia="Times New Roman" w:cs="Times New Roman"/>
                <w:sz w:val="20"/>
                <w:szCs w:val="20"/>
              </w:rPr>
            </w:pPr>
          </w:p>
        </w:tc>
        <w:tc>
          <w:tcPr>
            <w:tcW w:w="1066" w:type="pct"/>
            <w:vAlign w:val="center"/>
          </w:tcPr>
          <w:p w14:paraId="6FEEF8C0">
            <w:pPr>
              <w:jc w:val="right"/>
              <w:rPr>
                <w:rFonts w:eastAsia="Times New Roman" w:cs="Times New Roman"/>
                <w:sz w:val="20"/>
                <w:szCs w:val="20"/>
              </w:rPr>
            </w:pPr>
          </w:p>
        </w:tc>
        <w:tc>
          <w:tcPr>
            <w:tcW w:w="950" w:type="pct"/>
            <w:vAlign w:val="center"/>
          </w:tcPr>
          <w:p w14:paraId="3D8C6FC6">
            <w:pPr>
              <w:jc w:val="right"/>
              <w:rPr>
                <w:rFonts w:eastAsia="Times New Roman" w:cs="Times New Roman"/>
                <w:sz w:val="20"/>
                <w:szCs w:val="20"/>
              </w:rPr>
            </w:pPr>
          </w:p>
        </w:tc>
      </w:tr>
      <w:tr w14:paraId="4D2D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17EBF70C">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本期计提</w:t>
            </w:r>
          </w:p>
        </w:tc>
        <w:tc>
          <w:tcPr>
            <w:tcW w:w="951" w:type="pct"/>
            <w:vAlign w:val="center"/>
          </w:tcPr>
          <w:p w14:paraId="3B18B8CE">
            <w:pPr>
              <w:jc w:val="right"/>
              <w:rPr>
                <w:rFonts w:ascii="宋体" w:hAnsi="宋体"/>
                <w:sz w:val="24"/>
                <w:szCs w:val="24"/>
              </w:rPr>
            </w:pPr>
            <w:r>
              <w:t>2,713,875.93</w:t>
            </w:r>
          </w:p>
        </w:tc>
        <w:tc>
          <w:tcPr>
            <w:tcW w:w="1065" w:type="pct"/>
            <w:vAlign w:val="center"/>
          </w:tcPr>
          <w:p w14:paraId="18C778AF">
            <w:pPr>
              <w:jc w:val="right"/>
            </w:pPr>
          </w:p>
        </w:tc>
        <w:tc>
          <w:tcPr>
            <w:tcW w:w="1066" w:type="pct"/>
            <w:vAlign w:val="center"/>
          </w:tcPr>
          <w:p w14:paraId="5235F874">
            <w:pPr>
              <w:jc w:val="right"/>
              <w:rPr>
                <w:rFonts w:ascii="宋体" w:hAnsi="宋体"/>
                <w:sz w:val="24"/>
                <w:szCs w:val="24"/>
              </w:rPr>
            </w:pPr>
            <w:r>
              <w:t>19,044,770.07</w:t>
            </w:r>
          </w:p>
        </w:tc>
        <w:tc>
          <w:tcPr>
            <w:tcW w:w="950" w:type="pct"/>
            <w:vAlign w:val="center"/>
          </w:tcPr>
          <w:p w14:paraId="4CC3FA9C">
            <w:pPr>
              <w:jc w:val="right"/>
            </w:pPr>
            <w:r>
              <w:t>21,758,646.00</w:t>
            </w:r>
          </w:p>
        </w:tc>
      </w:tr>
      <w:tr w14:paraId="39DB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00AFB3DA">
            <w:pPr>
              <w:pStyle w:val="58"/>
              <w:spacing w:after="0" w:line="240" w:lineRule="auto"/>
              <w:jc w:val="both"/>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本期转回</w:t>
            </w:r>
          </w:p>
        </w:tc>
        <w:tc>
          <w:tcPr>
            <w:tcW w:w="951" w:type="pct"/>
            <w:vAlign w:val="center"/>
          </w:tcPr>
          <w:p w14:paraId="273FE4CC">
            <w:pPr>
              <w:jc w:val="right"/>
            </w:pPr>
          </w:p>
        </w:tc>
        <w:tc>
          <w:tcPr>
            <w:tcW w:w="1065" w:type="pct"/>
            <w:vAlign w:val="center"/>
          </w:tcPr>
          <w:p w14:paraId="6CE1B523">
            <w:pPr>
              <w:jc w:val="right"/>
              <w:rPr>
                <w:rFonts w:eastAsia="Times New Roman" w:cs="Times New Roman"/>
                <w:sz w:val="20"/>
                <w:szCs w:val="20"/>
              </w:rPr>
            </w:pPr>
          </w:p>
        </w:tc>
        <w:tc>
          <w:tcPr>
            <w:tcW w:w="1066" w:type="pct"/>
            <w:vAlign w:val="center"/>
          </w:tcPr>
          <w:p w14:paraId="1342A3D6">
            <w:pPr>
              <w:jc w:val="right"/>
              <w:rPr>
                <w:rFonts w:eastAsia="Times New Roman" w:cs="Times New Roman"/>
                <w:sz w:val="20"/>
                <w:szCs w:val="20"/>
              </w:rPr>
            </w:pPr>
          </w:p>
        </w:tc>
        <w:tc>
          <w:tcPr>
            <w:tcW w:w="950" w:type="pct"/>
            <w:vAlign w:val="center"/>
          </w:tcPr>
          <w:p w14:paraId="48F214AF">
            <w:pPr>
              <w:jc w:val="right"/>
              <w:rPr>
                <w:rFonts w:eastAsia="Times New Roman" w:cs="Times New Roman"/>
                <w:sz w:val="20"/>
                <w:szCs w:val="20"/>
              </w:rPr>
            </w:pPr>
          </w:p>
        </w:tc>
      </w:tr>
      <w:tr w14:paraId="54F5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0DD20377">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本期转销</w:t>
            </w:r>
          </w:p>
        </w:tc>
        <w:tc>
          <w:tcPr>
            <w:tcW w:w="951" w:type="pct"/>
            <w:vAlign w:val="center"/>
          </w:tcPr>
          <w:p w14:paraId="5CF0D225">
            <w:pPr>
              <w:jc w:val="right"/>
              <w:rPr>
                <w:rFonts w:eastAsia="Times New Roman" w:cs="Times New Roman"/>
                <w:sz w:val="20"/>
                <w:szCs w:val="20"/>
              </w:rPr>
            </w:pPr>
          </w:p>
        </w:tc>
        <w:tc>
          <w:tcPr>
            <w:tcW w:w="1065" w:type="pct"/>
            <w:vAlign w:val="center"/>
          </w:tcPr>
          <w:p w14:paraId="30D33F92">
            <w:pPr>
              <w:jc w:val="right"/>
              <w:rPr>
                <w:rFonts w:eastAsia="Times New Roman" w:cs="Times New Roman"/>
                <w:sz w:val="20"/>
                <w:szCs w:val="20"/>
              </w:rPr>
            </w:pPr>
          </w:p>
        </w:tc>
        <w:tc>
          <w:tcPr>
            <w:tcW w:w="1066" w:type="pct"/>
            <w:vAlign w:val="center"/>
          </w:tcPr>
          <w:p w14:paraId="7A07DD5A">
            <w:pPr>
              <w:jc w:val="right"/>
              <w:rPr>
                <w:rFonts w:eastAsia="Times New Roman" w:cs="Times New Roman"/>
                <w:sz w:val="20"/>
                <w:szCs w:val="20"/>
              </w:rPr>
            </w:pPr>
          </w:p>
        </w:tc>
        <w:tc>
          <w:tcPr>
            <w:tcW w:w="950" w:type="pct"/>
            <w:vAlign w:val="center"/>
          </w:tcPr>
          <w:p w14:paraId="23A45D99">
            <w:pPr>
              <w:jc w:val="right"/>
              <w:rPr>
                <w:rFonts w:eastAsia="Times New Roman" w:cs="Times New Roman"/>
                <w:sz w:val="20"/>
                <w:szCs w:val="20"/>
              </w:rPr>
            </w:pPr>
          </w:p>
        </w:tc>
      </w:tr>
      <w:tr w14:paraId="5153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011DED12">
            <w:pPr>
              <w:pStyle w:val="58"/>
              <w:spacing w:after="0" w:line="240" w:lineRule="auto"/>
              <w:jc w:val="both"/>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本期核销</w:t>
            </w:r>
          </w:p>
        </w:tc>
        <w:tc>
          <w:tcPr>
            <w:tcW w:w="951" w:type="pct"/>
            <w:vAlign w:val="center"/>
          </w:tcPr>
          <w:p w14:paraId="38BE11A1">
            <w:pPr>
              <w:jc w:val="right"/>
            </w:pPr>
            <w:r>
              <w:t>39,047.88</w:t>
            </w:r>
          </w:p>
        </w:tc>
        <w:tc>
          <w:tcPr>
            <w:tcW w:w="1065" w:type="pct"/>
            <w:vAlign w:val="center"/>
          </w:tcPr>
          <w:p w14:paraId="285520F5">
            <w:pPr>
              <w:jc w:val="right"/>
            </w:pPr>
          </w:p>
        </w:tc>
        <w:tc>
          <w:tcPr>
            <w:tcW w:w="1066" w:type="pct"/>
            <w:vAlign w:val="center"/>
          </w:tcPr>
          <w:p w14:paraId="4698A098">
            <w:pPr>
              <w:jc w:val="right"/>
            </w:pPr>
            <w:r>
              <w:t>231,807.26</w:t>
            </w:r>
          </w:p>
        </w:tc>
        <w:tc>
          <w:tcPr>
            <w:tcW w:w="950" w:type="pct"/>
            <w:vAlign w:val="center"/>
          </w:tcPr>
          <w:p w14:paraId="252D12D9">
            <w:pPr>
              <w:jc w:val="right"/>
            </w:pPr>
            <w:r>
              <w:t>270,855.14</w:t>
            </w:r>
          </w:p>
        </w:tc>
      </w:tr>
      <w:tr w14:paraId="7FAE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1EB8C71C">
            <w:pPr>
              <w:pStyle w:val="58"/>
              <w:spacing w:after="0" w:line="240" w:lineRule="auto"/>
              <w:jc w:val="both"/>
              <w:rPr>
                <w:rFonts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其他变动</w:t>
            </w:r>
          </w:p>
        </w:tc>
        <w:tc>
          <w:tcPr>
            <w:tcW w:w="951" w:type="pct"/>
            <w:vAlign w:val="center"/>
          </w:tcPr>
          <w:p w14:paraId="79589DA9">
            <w:pPr>
              <w:jc w:val="right"/>
            </w:pPr>
            <w:r>
              <w:t>-52,031.17</w:t>
            </w:r>
          </w:p>
        </w:tc>
        <w:tc>
          <w:tcPr>
            <w:tcW w:w="1065" w:type="pct"/>
            <w:vAlign w:val="center"/>
          </w:tcPr>
          <w:p w14:paraId="6218FED6">
            <w:pPr>
              <w:jc w:val="right"/>
            </w:pPr>
          </w:p>
        </w:tc>
        <w:tc>
          <w:tcPr>
            <w:tcW w:w="1066" w:type="pct"/>
            <w:vAlign w:val="center"/>
          </w:tcPr>
          <w:p w14:paraId="3F6F34EB">
            <w:pPr>
              <w:jc w:val="right"/>
            </w:pPr>
          </w:p>
        </w:tc>
        <w:tc>
          <w:tcPr>
            <w:tcW w:w="950" w:type="pct"/>
            <w:vAlign w:val="center"/>
          </w:tcPr>
          <w:p w14:paraId="64FA4110">
            <w:pPr>
              <w:jc w:val="right"/>
            </w:pPr>
            <w:r>
              <w:t>-52,031.17</w:t>
            </w:r>
          </w:p>
        </w:tc>
      </w:tr>
      <w:tr w14:paraId="0768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4AD61480">
            <w:pPr>
              <w:pStyle w:val="58"/>
              <w:spacing w:after="0" w:line="240" w:lineRule="auto"/>
              <w:jc w:val="both"/>
              <w:rPr>
                <w:rFonts w:ascii="宋体" w:hAnsi="宋体" w:eastAsia="宋体"/>
                <w:color w:val="000000" w:themeColor="text1"/>
                <w:sz w:val="21"/>
                <w:szCs w:val="21"/>
                <w:lang w:eastAsia="zh-CN"/>
                <w14:textFill>
                  <w14:solidFill>
                    <w14:schemeClr w14:val="tx1"/>
                  </w14:solidFill>
                </w14:textFill>
              </w:rPr>
            </w:pPr>
            <w:r>
              <w:rPr>
                <w:rFonts w:ascii="宋体" w:hAnsi="宋体" w:eastAsia="宋体"/>
                <w:color w:val="000000" w:themeColor="text1"/>
                <w:sz w:val="21"/>
                <w:szCs w:val="21"/>
                <w:lang w:eastAsia="zh-CN"/>
                <w14:textFill>
                  <w14:solidFill>
                    <w14:schemeClr w14:val="tx1"/>
                  </w14:solidFill>
                </w14:textFill>
              </w:rPr>
              <w:t>2025年6月30日</w:t>
            </w:r>
            <w:r>
              <w:rPr>
                <w:rFonts w:hint="eastAsia" w:ascii="宋体" w:hAnsi="宋体" w:eastAsia="宋体"/>
                <w:color w:val="000000" w:themeColor="text1"/>
                <w:sz w:val="21"/>
                <w:szCs w:val="21"/>
                <w:lang w:eastAsia="zh-CN"/>
                <w14:textFill>
                  <w14:solidFill>
                    <w14:schemeClr w14:val="tx1"/>
                  </w14:solidFill>
                </w14:textFill>
              </w:rPr>
              <w:t>余额</w:t>
            </w:r>
          </w:p>
        </w:tc>
        <w:tc>
          <w:tcPr>
            <w:tcW w:w="951" w:type="pct"/>
            <w:vAlign w:val="center"/>
          </w:tcPr>
          <w:p w14:paraId="517EF021">
            <w:pPr>
              <w:jc w:val="right"/>
            </w:pPr>
            <w:r>
              <w:t>29,131,815.92</w:t>
            </w:r>
          </w:p>
        </w:tc>
        <w:tc>
          <w:tcPr>
            <w:tcW w:w="1065" w:type="pct"/>
            <w:vAlign w:val="center"/>
          </w:tcPr>
          <w:p w14:paraId="36A772B8">
            <w:pPr>
              <w:jc w:val="right"/>
            </w:pPr>
          </w:p>
        </w:tc>
        <w:tc>
          <w:tcPr>
            <w:tcW w:w="1066" w:type="pct"/>
            <w:vAlign w:val="center"/>
          </w:tcPr>
          <w:p w14:paraId="64AA3E26">
            <w:pPr>
              <w:jc w:val="right"/>
            </w:pPr>
            <w:r>
              <w:t>295,219,819.38</w:t>
            </w:r>
          </w:p>
        </w:tc>
        <w:tc>
          <w:tcPr>
            <w:tcW w:w="950" w:type="pct"/>
            <w:vAlign w:val="center"/>
          </w:tcPr>
          <w:p w14:paraId="641AEE51">
            <w:pPr>
              <w:jc w:val="right"/>
            </w:pPr>
            <w:r>
              <w:t>324,351,635.30</w:t>
            </w:r>
          </w:p>
        </w:tc>
      </w:tr>
    </w:tbl>
    <w:p w14:paraId="4CC8AD1B">
      <w:pPr>
        <w:autoSpaceDE w:val="0"/>
        <w:autoSpaceDN w:val="0"/>
        <w:adjustRightInd w:val="0"/>
        <w:ind w:right="105" w:rightChars="50"/>
        <w:rPr>
          <w:color w:val="000000" w:themeColor="text1"/>
          <w14:textFill>
            <w14:solidFill>
              <w14:schemeClr w14:val="tx1"/>
            </w14:solidFill>
          </w14:textFill>
        </w:rPr>
      </w:pPr>
    </w:p>
    <w:p w14:paraId="30FA60F2">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其他变动系海博瑞德（重庆）汽车动力控制系统有限公司股权变更，丧失对其控制，合并范围变化导致相关坏账准备减少。</w:t>
      </w:r>
    </w:p>
    <w:p w14:paraId="6A4D0509">
      <w:pPr>
        <w:autoSpaceDE w:val="0"/>
        <w:autoSpaceDN w:val="0"/>
        <w:adjustRightInd w:val="0"/>
        <w:ind w:right="105" w:rightChars="50"/>
        <w:rPr>
          <w:color w:val="000000" w:themeColor="text1"/>
          <w14:textFill>
            <w14:solidFill>
              <w14:schemeClr w14:val="tx1"/>
            </w14:solidFill>
          </w14:textFill>
        </w:rPr>
      </w:pPr>
    </w:p>
    <w:p w14:paraId="57DB8249">
      <w:pPr>
        <w:autoSpaceDE w:val="0"/>
        <w:autoSpaceDN w:val="0"/>
        <w:adjustRightInd w:val="0"/>
        <w:spacing w:line="360" w:lineRule="auto"/>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按</w:t>
      </w:r>
      <w:r>
        <w:rPr>
          <w:rFonts w:hint="eastAsia"/>
          <w:color w:val="000000" w:themeColor="text1"/>
          <w14:textFill>
            <w14:solidFill>
              <w14:schemeClr w14:val="tx1"/>
            </w14:solidFill>
          </w14:textFill>
        </w:rPr>
        <w:t>坏账</w:t>
      </w:r>
      <w:r>
        <w:rPr>
          <w:color w:val="000000" w:themeColor="text1"/>
          <w14:textFill>
            <w14:solidFill>
              <w14:schemeClr w14:val="tx1"/>
            </w14:solidFill>
          </w14:textFill>
        </w:rPr>
        <w:t>计提方法分类披露</w:t>
      </w:r>
    </w:p>
    <w:tbl>
      <w:tblPr>
        <w:tblStyle w:val="64"/>
        <w:tblW w:w="8794" w:type="dxa"/>
        <w:tblInd w:w="0" w:type="dxa"/>
        <w:tblLayout w:type="fixed"/>
        <w:tblCellMar>
          <w:top w:w="0" w:type="dxa"/>
          <w:left w:w="0" w:type="dxa"/>
          <w:bottom w:w="0" w:type="dxa"/>
          <w:right w:w="0" w:type="dxa"/>
        </w:tblCellMar>
      </w:tblPr>
      <w:tblGrid>
        <w:gridCol w:w="2117"/>
        <w:gridCol w:w="1568"/>
        <w:gridCol w:w="1147"/>
        <w:gridCol w:w="1400"/>
        <w:gridCol w:w="1006"/>
        <w:gridCol w:w="1556"/>
      </w:tblGrid>
      <w:tr w14:paraId="1C4800A8">
        <w:tblPrEx>
          <w:tblCellMar>
            <w:top w:w="0" w:type="dxa"/>
            <w:left w:w="0" w:type="dxa"/>
            <w:bottom w:w="0" w:type="dxa"/>
            <w:right w:w="0" w:type="dxa"/>
          </w:tblCellMar>
        </w:tblPrEx>
        <w:trPr>
          <w:trHeight w:val="288" w:hRule="atLeast"/>
        </w:trPr>
        <w:tc>
          <w:tcPr>
            <w:tcW w:w="2120" w:type="dxa"/>
            <w:vMerge w:val="restart"/>
            <w:tcBorders>
              <w:top w:val="single" w:color="auto" w:sz="4" w:space="0"/>
              <w:left w:val="single" w:color="auto" w:sz="4" w:space="0"/>
              <w:bottom w:val="single" w:color="000000" w:sz="4" w:space="0"/>
              <w:right w:val="single" w:color="auto" w:sz="4" w:space="0"/>
            </w:tcBorders>
            <w:noWrap/>
            <w:vAlign w:val="center"/>
          </w:tcPr>
          <w:p w14:paraId="108FE729">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类别 </w:t>
            </w:r>
          </w:p>
        </w:tc>
        <w:tc>
          <w:tcPr>
            <w:tcW w:w="6674" w:type="dxa"/>
            <w:gridSpan w:val="5"/>
            <w:tcBorders>
              <w:top w:val="single" w:color="auto" w:sz="4" w:space="0"/>
              <w:left w:val="single" w:color="auto" w:sz="4" w:space="0"/>
              <w:bottom w:val="single" w:color="auto" w:sz="4" w:space="0"/>
              <w:right w:val="single" w:color="000000" w:sz="4" w:space="0"/>
            </w:tcBorders>
            <w:noWrap/>
            <w:vAlign w:val="center"/>
          </w:tcPr>
          <w:p w14:paraId="602E069F">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期末余额</w:t>
            </w:r>
          </w:p>
        </w:tc>
      </w:tr>
      <w:tr w14:paraId="66CB4F6B">
        <w:tblPrEx>
          <w:tblCellMar>
            <w:top w:w="0" w:type="dxa"/>
            <w:left w:w="0" w:type="dxa"/>
            <w:bottom w:w="0" w:type="dxa"/>
            <w:right w:w="0" w:type="dxa"/>
          </w:tblCellMar>
        </w:tblPrEx>
        <w:trPr>
          <w:trHeight w:val="288" w:hRule="atLeast"/>
        </w:trPr>
        <w:tc>
          <w:tcPr>
            <w:tcW w:w="2120" w:type="dxa"/>
            <w:vMerge w:val="continue"/>
            <w:tcBorders>
              <w:top w:val="single" w:color="auto" w:sz="4" w:space="0"/>
              <w:left w:val="single" w:color="auto" w:sz="4" w:space="0"/>
              <w:bottom w:val="single" w:color="000000" w:sz="4" w:space="0"/>
              <w:right w:val="single" w:color="auto" w:sz="4" w:space="0"/>
            </w:tcBorders>
            <w:vAlign w:val="center"/>
          </w:tcPr>
          <w:p w14:paraId="23746D22">
            <w:pPr>
              <w:rPr>
                <w:rFonts w:ascii="宋体" w:hAnsi="宋体" w:cs="Noto Sans CJK JP Regular"/>
                <w:color w:val="000000" w:themeColor="text1"/>
                <w14:textFill>
                  <w14:solidFill>
                    <w14:schemeClr w14:val="tx1"/>
                  </w14:solidFill>
                </w14:textFill>
              </w:rPr>
            </w:pPr>
          </w:p>
        </w:tc>
        <w:tc>
          <w:tcPr>
            <w:tcW w:w="2705" w:type="dxa"/>
            <w:gridSpan w:val="2"/>
            <w:tcBorders>
              <w:top w:val="single" w:color="auto" w:sz="4" w:space="0"/>
              <w:left w:val="single" w:color="auto" w:sz="4" w:space="0"/>
              <w:bottom w:val="single" w:color="auto" w:sz="4" w:space="0"/>
              <w:right w:val="single" w:color="000000" w:sz="4" w:space="0"/>
            </w:tcBorders>
            <w:noWrap/>
            <w:vAlign w:val="center"/>
          </w:tcPr>
          <w:p w14:paraId="028CA54F">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账面余额 </w:t>
            </w:r>
          </w:p>
        </w:tc>
        <w:tc>
          <w:tcPr>
            <w:tcW w:w="2410" w:type="dxa"/>
            <w:gridSpan w:val="2"/>
            <w:tcBorders>
              <w:top w:val="single" w:color="auto" w:sz="4" w:space="0"/>
              <w:left w:val="nil"/>
              <w:bottom w:val="single" w:color="auto" w:sz="4" w:space="0"/>
              <w:right w:val="single" w:color="000000" w:sz="4" w:space="0"/>
            </w:tcBorders>
            <w:noWrap/>
            <w:vAlign w:val="center"/>
          </w:tcPr>
          <w:p w14:paraId="633FF5A8">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坏账准备 </w:t>
            </w:r>
          </w:p>
        </w:tc>
        <w:tc>
          <w:tcPr>
            <w:tcW w:w="1559" w:type="dxa"/>
            <w:vMerge w:val="restart"/>
            <w:tcBorders>
              <w:top w:val="nil"/>
              <w:left w:val="single" w:color="auto" w:sz="4" w:space="0"/>
              <w:bottom w:val="single" w:color="000000" w:sz="4" w:space="0"/>
              <w:right w:val="single" w:color="auto" w:sz="4" w:space="0"/>
            </w:tcBorders>
            <w:noWrap/>
            <w:vAlign w:val="center"/>
          </w:tcPr>
          <w:p w14:paraId="2DDFDB7C">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账面价值 </w:t>
            </w:r>
          </w:p>
        </w:tc>
      </w:tr>
      <w:tr w14:paraId="29054685">
        <w:tblPrEx>
          <w:tblCellMar>
            <w:top w:w="0" w:type="dxa"/>
            <w:left w:w="0" w:type="dxa"/>
            <w:bottom w:w="0" w:type="dxa"/>
            <w:right w:w="0" w:type="dxa"/>
          </w:tblCellMar>
        </w:tblPrEx>
        <w:trPr>
          <w:trHeight w:val="576" w:hRule="atLeast"/>
        </w:trPr>
        <w:tc>
          <w:tcPr>
            <w:tcW w:w="2120" w:type="dxa"/>
            <w:vMerge w:val="continue"/>
            <w:tcBorders>
              <w:top w:val="single" w:color="auto" w:sz="4" w:space="0"/>
              <w:left w:val="single" w:color="auto" w:sz="4" w:space="0"/>
              <w:bottom w:val="single" w:color="000000" w:sz="4" w:space="0"/>
              <w:right w:val="single" w:color="auto" w:sz="4" w:space="0"/>
            </w:tcBorders>
            <w:vAlign w:val="center"/>
          </w:tcPr>
          <w:p w14:paraId="17B3844A">
            <w:pPr>
              <w:rPr>
                <w:rFonts w:ascii="宋体" w:hAnsi="宋体" w:cs="Noto Sans CJK JP Regular"/>
                <w:color w:val="000000" w:themeColor="text1"/>
                <w14:textFill>
                  <w14:solidFill>
                    <w14:schemeClr w14:val="tx1"/>
                  </w14:solidFill>
                </w14:textFill>
              </w:rPr>
            </w:pPr>
          </w:p>
        </w:tc>
        <w:tc>
          <w:tcPr>
            <w:tcW w:w="1571" w:type="dxa"/>
            <w:tcBorders>
              <w:top w:val="nil"/>
              <w:left w:val="single" w:color="auto" w:sz="4" w:space="0"/>
              <w:bottom w:val="single" w:color="auto" w:sz="4" w:space="0"/>
              <w:right w:val="single" w:color="auto" w:sz="4" w:space="0"/>
            </w:tcBorders>
            <w:noWrap/>
            <w:vAlign w:val="center"/>
          </w:tcPr>
          <w:p w14:paraId="3764571B">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金额</w:t>
            </w:r>
          </w:p>
        </w:tc>
        <w:tc>
          <w:tcPr>
            <w:tcW w:w="1149" w:type="dxa"/>
            <w:tcBorders>
              <w:top w:val="nil"/>
              <w:left w:val="nil"/>
              <w:bottom w:val="single" w:color="auto" w:sz="4" w:space="0"/>
              <w:right w:val="single" w:color="auto" w:sz="4" w:space="0"/>
            </w:tcBorders>
            <w:noWrap/>
            <w:vAlign w:val="center"/>
          </w:tcPr>
          <w:p w14:paraId="55B9FB0E">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占比(%)</w:t>
            </w:r>
          </w:p>
        </w:tc>
        <w:tc>
          <w:tcPr>
            <w:tcW w:w="1402" w:type="dxa"/>
            <w:tcBorders>
              <w:top w:val="nil"/>
              <w:left w:val="nil"/>
              <w:bottom w:val="single" w:color="auto" w:sz="4" w:space="0"/>
              <w:right w:val="single" w:color="auto" w:sz="4" w:space="0"/>
            </w:tcBorders>
            <w:noWrap/>
            <w:vAlign w:val="center"/>
          </w:tcPr>
          <w:p w14:paraId="333DD245">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金额</w:t>
            </w:r>
          </w:p>
        </w:tc>
        <w:tc>
          <w:tcPr>
            <w:tcW w:w="993" w:type="dxa"/>
            <w:tcBorders>
              <w:top w:val="nil"/>
              <w:left w:val="nil"/>
              <w:bottom w:val="single" w:color="auto" w:sz="4" w:space="0"/>
              <w:right w:val="single" w:color="auto" w:sz="4" w:space="0"/>
            </w:tcBorders>
            <w:vAlign w:val="center"/>
          </w:tcPr>
          <w:p w14:paraId="71E04BE6">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计提比例(%)</w:t>
            </w:r>
          </w:p>
        </w:tc>
        <w:tc>
          <w:tcPr>
            <w:tcW w:w="1559" w:type="dxa"/>
            <w:vMerge w:val="continue"/>
            <w:tcBorders>
              <w:top w:val="nil"/>
              <w:left w:val="single" w:color="auto" w:sz="4" w:space="0"/>
              <w:bottom w:val="single" w:color="000000" w:sz="4" w:space="0"/>
              <w:right w:val="single" w:color="auto" w:sz="4" w:space="0"/>
            </w:tcBorders>
            <w:vAlign w:val="center"/>
          </w:tcPr>
          <w:p w14:paraId="0B3C3495">
            <w:pPr>
              <w:rPr>
                <w:rFonts w:ascii="宋体" w:hAnsi="宋体" w:cs="Noto Sans CJK JP Regular"/>
                <w:color w:val="000000" w:themeColor="text1"/>
                <w14:textFill>
                  <w14:solidFill>
                    <w14:schemeClr w14:val="tx1"/>
                  </w14:solidFill>
                </w14:textFill>
              </w:rPr>
            </w:pPr>
          </w:p>
        </w:tc>
      </w:tr>
      <w:tr w14:paraId="4642E670">
        <w:tblPrEx>
          <w:tblCellMar>
            <w:top w:w="0" w:type="dxa"/>
            <w:left w:w="0" w:type="dxa"/>
            <w:bottom w:w="0" w:type="dxa"/>
            <w:right w:w="0" w:type="dxa"/>
          </w:tblCellMar>
        </w:tblPrEx>
        <w:trPr>
          <w:trHeight w:val="288" w:hRule="atLeast"/>
        </w:trPr>
        <w:tc>
          <w:tcPr>
            <w:tcW w:w="2120" w:type="dxa"/>
            <w:tcBorders>
              <w:top w:val="single" w:color="auto" w:sz="4" w:space="0"/>
              <w:left w:val="single" w:color="auto" w:sz="4" w:space="0"/>
              <w:bottom w:val="single" w:color="auto" w:sz="4" w:space="0"/>
              <w:right w:val="single" w:color="auto" w:sz="4" w:space="0"/>
            </w:tcBorders>
            <w:noWrap/>
            <w:vAlign w:val="center"/>
          </w:tcPr>
          <w:p w14:paraId="72C241B2">
            <w:pP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按单项计提坏账准备 </w:t>
            </w:r>
          </w:p>
        </w:tc>
        <w:tc>
          <w:tcPr>
            <w:tcW w:w="1571" w:type="dxa"/>
            <w:tcBorders>
              <w:top w:val="nil"/>
              <w:left w:val="nil"/>
              <w:bottom w:val="single" w:color="auto" w:sz="4" w:space="0"/>
              <w:right w:val="single" w:color="auto" w:sz="4" w:space="0"/>
            </w:tcBorders>
            <w:noWrap/>
            <w:vAlign w:val="center"/>
          </w:tcPr>
          <w:p w14:paraId="0E0D85ED">
            <w:pPr>
              <w:jc w:val="right"/>
            </w:pPr>
            <w:r>
              <w:rPr>
                <w:rFonts w:hint="eastAsia"/>
              </w:rPr>
              <w:t>387,016,214.23</w:t>
            </w:r>
          </w:p>
        </w:tc>
        <w:tc>
          <w:tcPr>
            <w:tcW w:w="1149" w:type="dxa"/>
            <w:tcBorders>
              <w:top w:val="nil"/>
              <w:left w:val="nil"/>
              <w:bottom w:val="single" w:color="auto" w:sz="4" w:space="0"/>
              <w:right w:val="single" w:color="auto" w:sz="4" w:space="0"/>
            </w:tcBorders>
            <w:noWrap/>
            <w:vAlign w:val="center"/>
          </w:tcPr>
          <w:p w14:paraId="3A80D4CA">
            <w:pPr>
              <w:jc w:val="center"/>
            </w:pPr>
            <w:r>
              <w:rPr>
                <w:rFonts w:hint="eastAsia"/>
              </w:rPr>
              <w:t>76.18</w:t>
            </w:r>
          </w:p>
        </w:tc>
        <w:tc>
          <w:tcPr>
            <w:tcW w:w="1402" w:type="dxa"/>
            <w:tcBorders>
              <w:top w:val="nil"/>
              <w:left w:val="nil"/>
              <w:bottom w:val="single" w:color="auto" w:sz="4" w:space="0"/>
              <w:right w:val="single" w:color="auto" w:sz="4" w:space="0"/>
            </w:tcBorders>
            <w:noWrap/>
            <w:vAlign w:val="center"/>
          </w:tcPr>
          <w:p w14:paraId="40BEEAE9">
            <w:pPr>
              <w:jc w:val="right"/>
            </w:pPr>
            <w:r>
              <w:rPr>
                <w:rFonts w:hint="eastAsia"/>
              </w:rPr>
              <w:t>295,219,819.38</w:t>
            </w:r>
          </w:p>
        </w:tc>
        <w:tc>
          <w:tcPr>
            <w:tcW w:w="993" w:type="dxa"/>
            <w:tcBorders>
              <w:top w:val="nil"/>
              <w:left w:val="nil"/>
              <w:bottom w:val="single" w:color="auto" w:sz="4" w:space="0"/>
              <w:right w:val="single" w:color="auto" w:sz="4" w:space="0"/>
            </w:tcBorders>
            <w:noWrap/>
            <w:vAlign w:val="center"/>
          </w:tcPr>
          <w:p w14:paraId="47F6FDEE">
            <w:pPr>
              <w:jc w:val="center"/>
            </w:pPr>
            <w:r>
              <w:rPr>
                <w:rFonts w:hint="eastAsia"/>
              </w:rPr>
              <w:t>76.28</w:t>
            </w:r>
          </w:p>
        </w:tc>
        <w:tc>
          <w:tcPr>
            <w:tcW w:w="1559" w:type="dxa"/>
            <w:tcBorders>
              <w:top w:val="single" w:color="auto" w:sz="4" w:space="0"/>
              <w:left w:val="nil"/>
              <w:bottom w:val="single" w:color="auto" w:sz="4" w:space="0"/>
              <w:right w:val="single" w:color="auto" w:sz="4" w:space="0"/>
            </w:tcBorders>
            <w:noWrap/>
            <w:vAlign w:val="center"/>
          </w:tcPr>
          <w:p w14:paraId="521D6073">
            <w:pPr>
              <w:jc w:val="right"/>
            </w:pPr>
            <w:r>
              <w:rPr>
                <w:rFonts w:hint="eastAsia"/>
              </w:rPr>
              <w:t>91,796,394.85</w:t>
            </w:r>
          </w:p>
        </w:tc>
      </w:tr>
      <w:tr w14:paraId="0121FCF6">
        <w:tblPrEx>
          <w:tblCellMar>
            <w:top w:w="0" w:type="dxa"/>
            <w:left w:w="0" w:type="dxa"/>
            <w:bottom w:w="0" w:type="dxa"/>
            <w:right w:w="0" w:type="dxa"/>
          </w:tblCellMar>
        </w:tblPrEx>
        <w:trPr>
          <w:trHeight w:val="288" w:hRule="atLeast"/>
        </w:trPr>
        <w:tc>
          <w:tcPr>
            <w:tcW w:w="2120" w:type="dxa"/>
            <w:tcBorders>
              <w:top w:val="nil"/>
              <w:left w:val="single" w:color="auto" w:sz="4" w:space="0"/>
              <w:bottom w:val="single" w:color="auto" w:sz="4" w:space="0"/>
              <w:right w:val="single" w:color="auto" w:sz="4" w:space="0"/>
            </w:tcBorders>
            <w:noWrap/>
            <w:vAlign w:val="center"/>
          </w:tcPr>
          <w:p w14:paraId="6C76F8BD">
            <w:pP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按组合计提坏账准备 </w:t>
            </w:r>
          </w:p>
        </w:tc>
        <w:tc>
          <w:tcPr>
            <w:tcW w:w="1571" w:type="dxa"/>
            <w:tcBorders>
              <w:top w:val="nil"/>
              <w:left w:val="nil"/>
              <w:bottom w:val="single" w:color="auto" w:sz="4" w:space="0"/>
              <w:right w:val="single" w:color="auto" w:sz="4" w:space="0"/>
            </w:tcBorders>
            <w:noWrap/>
            <w:vAlign w:val="center"/>
          </w:tcPr>
          <w:p w14:paraId="18127847">
            <w:pPr>
              <w:jc w:val="right"/>
            </w:pPr>
            <w:r>
              <w:rPr>
                <w:rFonts w:hint="eastAsia"/>
              </w:rPr>
              <w:t>120,987,022.24</w:t>
            </w:r>
          </w:p>
        </w:tc>
        <w:tc>
          <w:tcPr>
            <w:tcW w:w="1149" w:type="dxa"/>
            <w:tcBorders>
              <w:top w:val="nil"/>
              <w:left w:val="nil"/>
              <w:bottom w:val="single" w:color="auto" w:sz="4" w:space="0"/>
              <w:right w:val="single" w:color="auto" w:sz="4" w:space="0"/>
            </w:tcBorders>
            <w:noWrap/>
            <w:vAlign w:val="center"/>
          </w:tcPr>
          <w:p w14:paraId="5EA8274C">
            <w:pPr>
              <w:jc w:val="center"/>
            </w:pPr>
            <w:r>
              <w:rPr>
                <w:rFonts w:hint="eastAsia"/>
              </w:rPr>
              <w:t>23.82</w:t>
            </w:r>
          </w:p>
        </w:tc>
        <w:tc>
          <w:tcPr>
            <w:tcW w:w="1402" w:type="dxa"/>
            <w:tcBorders>
              <w:top w:val="nil"/>
              <w:left w:val="nil"/>
              <w:bottom w:val="single" w:color="auto" w:sz="4" w:space="0"/>
              <w:right w:val="single" w:color="auto" w:sz="4" w:space="0"/>
            </w:tcBorders>
            <w:noWrap/>
            <w:vAlign w:val="center"/>
          </w:tcPr>
          <w:p w14:paraId="1D1FB720">
            <w:pPr>
              <w:jc w:val="right"/>
            </w:pPr>
            <w:r>
              <w:rPr>
                <w:rFonts w:hint="eastAsia"/>
              </w:rPr>
              <w:t>29,131,815.92</w:t>
            </w:r>
          </w:p>
        </w:tc>
        <w:tc>
          <w:tcPr>
            <w:tcW w:w="993" w:type="dxa"/>
            <w:tcBorders>
              <w:top w:val="nil"/>
              <w:left w:val="nil"/>
              <w:bottom w:val="single" w:color="auto" w:sz="4" w:space="0"/>
              <w:right w:val="single" w:color="auto" w:sz="4" w:space="0"/>
            </w:tcBorders>
            <w:noWrap/>
            <w:vAlign w:val="center"/>
          </w:tcPr>
          <w:p w14:paraId="1B83AE1D">
            <w:pPr>
              <w:jc w:val="center"/>
            </w:pPr>
            <w:r>
              <w:rPr>
                <w:rFonts w:hint="eastAsia"/>
              </w:rPr>
              <w:t>24.08</w:t>
            </w:r>
          </w:p>
        </w:tc>
        <w:tc>
          <w:tcPr>
            <w:tcW w:w="1559" w:type="dxa"/>
            <w:tcBorders>
              <w:top w:val="nil"/>
              <w:left w:val="nil"/>
              <w:bottom w:val="single" w:color="auto" w:sz="4" w:space="0"/>
              <w:right w:val="single" w:color="auto" w:sz="4" w:space="0"/>
            </w:tcBorders>
            <w:noWrap/>
            <w:vAlign w:val="center"/>
          </w:tcPr>
          <w:p w14:paraId="02B056DF">
            <w:pPr>
              <w:jc w:val="right"/>
            </w:pPr>
            <w:r>
              <w:rPr>
                <w:rFonts w:hint="eastAsia"/>
              </w:rPr>
              <w:t>91,855,206.32</w:t>
            </w:r>
          </w:p>
        </w:tc>
      </w:tr>
      <w:tr w14:paraId="5D030F14">
        <w:tblPrEx>
          <w:tblCellMar>
            <w:top w:w="0" w:type="dxa"/>
            <w:left w:w="0" w:type="dxa"/>
            <w:bottom w:w="0" w:type="dxa"/>
            <w:right w:w="0" w:type="dxa"/>
          </w:tblCellMar>
        </w:tblPrEx>
        <w:trPr>
          <w:trHeight w:val="288" w:hRule="atLeast"/>
        </w:trPr>
        <w:tc>
          <w:tcPr>
            <w:tcW w:w="2120" w:type="dxa"/>
            <w:tcBorders>
              <w:top w:val="nil"/>
              <w:left w:val="single" w:color="auto" w:sz="4" w:space="0"/>
              <w:bottom w:val="single" w:color="auto" w:sz="4" w:space="0"/>
              <w:right w:val="single" w:color="auto" w:sz="4" w:space="0"/>
            </w:tcBorders>
            <w:noWrap/>
            <w:vAlign w:val="center"/>
          </w:tcPr>
          <w:p w14:paraId="3F0F0C1C">
            <w:pP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其中：低风险组合 </w:t>
            </w:r>
          </w:p>
        </w:tc>
        <w:tc>
          <w:tcPr>
            <w:tcW w:w="1571" w:type="dxa"/>
            <w:tcBorders>
              <w:top w:val="nil"/>
              <w:left w:val="nil"/>
              <w:bottom w:val="single" w:color="auto" w:sz="4" w:space="0"/>
              <w:right w:val="single" w:color="auto" w:sz="4" w:space="0"/>
            </w:tcBorders>
            <w:noWrap/>
            <w:vAlign w:val="center"/>
          </w:tcPr>
          <w:p w14:paraId="3FE5BDE7">
            <w:pPr>
              <w:jc w:val="right"/>
            </w:pPr>
            <w:r>
              <w:rPr>
                <w:rFonts w:hint="eastAsia"/>
              </w:rPr>
              <w:t>48,145,682.32</w:t>
            </w:r>
          </w:p>
        </w:tc>
        <w:tc>
          <w:tcPr>
            <w:tcW w:w="1149" w:type="dxa"/>
            <w:tcBorders>
              <w:top w:val="nil"/>
              <w:left w:val="nil"/>
              <w:bottom w:val="single" w:color="auto" w:sz="4" w:space="0"/>
              <w:right w:val="single" w:color="auto" w:sz="4" w:space="0"/>
            </w:tcBorders>
            <w:noWrap/>
            <w:vAlign w:val="center"/>
          </w:tcPr>
          <w:p w14:paraId="7A08A34B">
            <w:pPr>
              <w:jc w:val="center"/>
            </w:pPr>
            <w:r>
              <w:rPr>
                <w:rFonts w:hint="eastAsia"/>
              </w:rPr>
              <w:t>9.48</w:t>
            </w:r>
          </w:p>
        </w:tc>
        <w:tc>
          <w:tcPr>
            <w:tcW w:w="1402" w:type="dxa"/>
            <w:tcBorders>
              <w:top w:val="nil"/>
              <w:left w:val="nil"/>
              <w:bottom w:val="single" w:color="auto" w:sz="4" w:space="0"/>
              <w:right w:val="single" w:color="auto" w:sz="4" w:space="0"/>
            </w:tcBorders>
            <w:noWrap/>
            <w:vAlign w:val="center"/>
          </w:tcPr>
          <w:p w14:paraId="3CCB2619">
            <w:pPr>
              <w:jc w:val="right"/>
            </w:pPr>
          </w:p>
        </w:tc>
        <w:tc>
          <w:tcPr>
            <w:tcW w:w="993" w:type="dxa"/>
            <w:tcBorders>
              <w:top w:val="nil"/>
              <w:left w:val="nil"/>
              <w:bottom w:val="single" w:color="auto" w:sz="4" w:space="0"/>
              <w:right w:val="single" w:color="auto" w:sz="4" w:space="0"/>
            </w:tcBorders>
            <w:noWrap/>
            <w:vAlign w:val="center"/>
          </w:tcPr>
          <w:p w14:paraId="3B2101DF">
            <w:pPr>
              <w:jc w:val="center"/>
            </w:pPr>
          </w:p>
        </w:tc>
        <w:tc>
          <w:tcPr>
            <w:tcW w:w="1559" w:type="dxa"/>
            <w:tcBorders>
              <w:top w:val="nil"/>
              <w:left w:val="nil"/>
              <w:bottom w:val="single" w:color="auto" w:sz="4" w:space="0"/>
              <w:right w:val="single" w:color="auto" w:sz="4" w:space="0"/>
            </w:tcBorders>
            <w:noWrap/>
            <w:vAlign w:val="center"/>
          </w:tcPr>
          <w:p w14:paraId="75C06E15">
            <w:pPr>
              <w:jc w:val="right"/>
            </w:pPr>
            <w:r>
              <w:rPr>
                <w:rFonts w:hint="eastAsia"/>
              </w:rPr>
              <w:t>48,145,682.32</w:t>
            </w:r>
          </w:p>
        </w:tc>
      </w:tr>
      <w:tr w14:paraId="5BC2D808">
        <w:tblPrEx>
          <w:tblCellMar>
            <w:top w:w="0" w:type="dxa"/>
            <w:left w:w="0" w:type="dxa"/>
            <w:bottom w:w="0" w:type="dxa"/>
            <w:right w:w="0" w:type="dxa"/>
          </w:tblCellMar>
        </w:tblPrEx>
        <w:trPr>
          <w:trHeight w:val="288" w:hRule="atLeast"/>
        </w:trPr>
        <w:tc>
          <w:tcPr>
            <w:tcW w:w="2120" w:type="dxa"/>
            <w:tcBorders>
              <w:top w:val="nil"/>
              <w:left w:val="single" w:color="auto" w:sz="4" w:space="0"/>
              <w:bottom w:val="single" w:color="auto" w:sz="4" w:space="0"/>
              <w:right w:val="single" w:color="auto" w:sz="4" w:space="0"/>
            </w:tcBorders>
            <w:noWrap/>
            <w:vAlign w:val="center"/>
          </w:tcPr>
          <w:p w14:paraId="34C52756">
            <w:pP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账龄组合 </w:t>
            </w:r>
          </w:p>
        </w:tc>
        <w:tc>
          <w:tcPr>
            <w:tcW w:w="1571" w:type="dxa"/>
            <w:tcBorders>
              <w:top w:val="nil"/>
              <w:left w:val="nil"/>
              <w:bottom w:val="single" w:color="auto" w:sz="4" w:space="0"/>
              <w:right w:val="single" w:color="auto" w:sz="4" w:space="0"/>
            </w:tcBorders>
            <w:noWrap/>
            <w:vAlign w:val="center"/>
          </w:tcPr>
          <w:p w14:paraId="5D9AEE7F">
            <w:pPr>
              <w:jc w:val="right"/>
            </w:pPr>
            <w:r>
              <w:rPr>
                <w:rFonts w:hint="eastAsia"/>
              </w:rPr>
              <w:t>72,841,339.92</w:t>
            </w:r>
          </w:p>
        </w:tc>
        <w:tc>
          <w:tcPr>
            <w:tcW w:w="1149" w:type="dxa"/>
            <w:tcBorders>
              <w:top w:val="nil"/>
              <w:left w:val="nil"/>
              <w:bottom w:val="single" w:color="auto" w:sz="4" w:space="0"/>
              <w:right w:val="single" w:color="auto" w:sz="4" w:space="0"/>
            </w:tcBorders>
            <w:noWrap/>
            <w:vAlign w:val="center"/>
          </w:tcPr>
          <w:p w14:paraId="1CF4EEB1">
            <w:pPr>
              <w:jc w:val="center"/>
            </w:pPr>
            <w:r>
              <w:rPr>
                <w:rFonts w:hint="eastAsia"/>
              </w:rPr>
              <w:t>14.34</w:t>
            </w:r>
          </w:p>
        </w:tc>
        <w:tc>
          <w:tcPr>
            <w:tcW w:w="1402" w:type="dxa"/>
            <w:tcBorders>
              <w:top w:val="nil"/>
              <w:left w:val="nil"/>
              <w:bottom w:val="single" w:color="auto" w:sz="4" w:space="0"/>
              <w:right w:val="single" w:color="auto" w:sz="4" w:space="0"/>
            </w:tcBorders>
            <w:noWrap/>
            <w:vAlign w:val="center"/>
          </w:tcPr>
          <w:p w14:paraId="264520AB">
            <w:pPr>
              <w:jc w:val="right"/>
            </w:pPr>
            <w:r>
              <w:rPr>
                <w:rFonts w:hint="eastAsia"/>
              </w:rPr>
              <w:t>29,131,815.92</w:t>
            </w:r>
          </w:p>
        </w:tc>
        <w:tc>
          <w:tcPr>
            <w:tcW w:w="993" w:type="dxa"/>
            <w:tcBorders>
              <w:top w:val="nil"/>
              <w:left w:val="nil"/>
              <w:bottom w:val="single" w:color="auto" w:sz="4" w:space="0"/>
              <w:right w:val="single" w:color="auto" w:sz="4" w:space="0"/>
            </w:tcBorders>
            <w:noWrap/>
            <w:vAlign w:val="center"/>
          </w:tcPr>
          <w:p w14:paraId="5FED11E1">
            <w:pPr>
              <w:jc w:val="center"/>
            </w:pPr>
            <w:r>
              <w:rPr>
                <w:rFonts w:hint="eastAsia"/>
              </w:rPr>
              <w:t>39.99</w:t>
            </w:r>
          </w:p>
        </w:tc>
        <w:tc>
          <w:tcPr>
            <w:tcW w:w="1559" w:type="dxa"/>
            <w:tcBorders>
              <w:top w:val="nil"/>
              <w:left w:val="nil"/>
              <w:bottom w:val="single" w:color="auto" w:sz="4" w:space="0"/>
              <w:right w:val="single" w:color="auto" w:sz="4" w:space="0"/>
            </w:tcBorders>
            <w:noWrap/>
            <w:vAlign w:val="center"/>
          </w:tcPr>
          <w:p w14:paraId="296C5DBD">
            <w:pPr>
              <w:jc w:val="right"/>
            </w:pPr>
            <w:r>
              <w:rPr>
                <w:rFonts w:hint="eastAsia"/>
              </w:rPr>
              <w:t>43,709,524.00</w:t>
            </w:r>
          </w:p>
        </w:tc>
      </w:tr>
      <w:tr w14:paraId="3C8CD9EA">
        <w:tblPrEx>
          <w:tblCellMar>
            <w:top w:w="0" w:type="dxa"/>
            <w:left w:w="0" w:type="dxa"/>
            <w:bottom w:w="0" w:type="dxa"/>
            <w:right w:w="0" w:type="dxa"/>
          </w:tblCellMar>
        </w:tblPrEx>
        <w:trPr>
          <w:trHeight w:val="288" w:hRule="atLeast"/>
        </w:trPr>
        <w:tc>
          <w:tcPr>
            <w:tcW w:w="2120" w:type="dxa"/>
            <w:tcBorders>
              <w:top w:val="nil"/>
              <w:left w:val="single" w:color="auto" w:sz="4" w:space="0"/>
              <w:bottom w:val="single" w:color="auto" w:sz="4" w:space="0"/>
              <w:right w:val="single" w:color="auto" w:sz="4" w:space="0"/>
            </w:tcBorders>
            <w:noWrap/>
            <w:vAlign w:val="center"/>
          </w:tcPr>
          <w:p w14:paraId="654D4A86">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合计</w:t>
            </w:r>
          </w:p>
        </w:tc>
        <w:tc>
          <w:tcPr>
            <w:tcW w:w="1571" w:type="dxa"/>
            <w:tcBorders>
              <w:top w:val="nil"/>
              <w:left w:val="nil"/>
              <w:bottom w:val="single" w:color="auto" w:sz="4" w:space="0"/>
              <w:right w:val="single" w:color="auto" w:sz="4" w:space="0"/>
            </w:tcBorders>
            <w:noWrap/>
            <w:vAlign w:val="center"/>
          </w:tcPr>
          <w:p w14:paraId="60FD9D73">
            <w:pPr>
              <w:jc w:val="right"/>
            </w:pPr>
            <w:r>
              <w:rPr>
                <w:rFonts w:hint="eastAsia"/>
              </w:rPr>
              <w:t>508,003,236.47</w:t>
            </w:r>
          </w:p>
        </w:tc>
        <w:tc>
          <w:tcPr>
            <w:tcW w:w="1149" w:type="dxa"/>
            <w:tcBorders>
              <w:top w:val="nil"/>
              <w:left w:val="nil"/>
              <w:bottom w:val="single" w:color="auto" w:sz="4" w:space="0"/>
              <w:right w:val="single" w:color="auto" w:sz="4" w:space="0"/>
            </w:tcBorders>
            <w:noWrap/>
            <w:vAlign w:val="center"/>
          </w:tcPr>
          <w:p w14:paraId="18DB258F">
            <w:pPr>
              <w:jc w:val="center"/>
            </w:pPr>
            <w:r>
              <w:rPr>
                <w:rFonts w:hint="eastAsia"/>
              </w:rPr>
              <w:t>100.00</w:t>
            </w:r>
          </w:p>
        </w:tc>
        <w:tc>
          <w:tcPr>
            <w:tcW w:w="1402" w:type="dxa"/>
            <w:tcBorders>
              <w:top w:val="nil"/>
              <w:left w:val="nil"/>
              <w:bottom w:val="single" w:color="auto" w:sz="4" w:space="0"/>
              <w:right w:val="single" w:color="auto" w:sz="4" w:space="0"/>
            </w:tcBorders>
            <w:noWrap/>
            <w:vAlign w:val="center"/>
          </w:tcPr>
          <w:p w14:paraId="0538EBCF">
            <w:pPr>
              <w:jc w:val="right"/>
            </w:pPr>
            <w:r>
              <w:rPr>
                <w:rFonts w:hint="eastAsia"/>
              </w:rPr>
              <w:t>324,351,635.30</w:t>
            </w:r>
          </w:p>
        </w:tc>
        <w:tc>
          <w:tcPr>
            <w:tcW w:w="993" w:type="dxa"/>
            <w:tcBorders>
              <w:top w:val="nil"/>
              <w:left w:val="nil"/>
              <w:bottom w:val="single" w:color="auto" w:sz="4" w:space="0"/>
              <w:right w:val="single" w:color="auto" w:sz="4" w:space="0"/>
            </w:tcBorders>
            <w:noWrap/>
            <w:vAlign w:val="center"/>
          </w:tcPr>
          <w:p w14:paraId="7BEFA6A5">
            <w:pPr>
              <w:jc w:val="center"/>
            </w:pPr>
            <w:r>
              <w:rPr>
                <w:rFonts w:hint="eastAsia"/>
              </w:rPr>
              <w:t>63.85</w:t>
            </w:r>
          </w:p>
        </w:tc>
        <w:tc>
          <w:tcPr>
            <w:tcW w:w="1559" w:type="dxa"/>
            <w:tcBorders>
              <w:top w:val="nil"/>
              <w:left w:val="nil"/>
              <w:bottom w:val="single" w:color="auto" w:sz="4" w:space="0"/>
              <w:right w:val="single" w:color="auto" w:sz="4" w:space="0"/>
            </w:tcBorders>
            <w:noWrap/>
            <w:vAlign w:val="center"/>
          </w:tcPr>
          <w:p w14:paraId="1987B62C">
            <w:pPr>
              <w:jc w:val="right"/>
            </w:pPr>
            <w:r>
              <w:rPr>
                <w:rFonts w:hint="eastAsia"/>
              </w:rPr>
              <w:t>183,651,601.17</w:t>
            </w:r>
          </w:p>
        </w:tc>
      </w:tr>
    </w:tbl>
    <w:p w14:paraId="313F2E48">
      <w:pPr>
        <w:autoSpaceDE w:val="0"/>
        <w:autoSpaceDN w:val="0"/>
        <w:adjustRightInd w:val="0"/>
        <w:ind w:right="105" w:rightChars="50"/>
        <w:rPr>
          <w:color w:val="000000" w:themeColor="text1"/>
          <w14:textFill>
            <w14:solidFill>
              <w14:schemeClr w14:val="tx1"/>
            </w14:solidFill>
          </w14:textFill>
        </w:rPr>
      </w:pPr>
    </w:p>
    <w:tbl>
      <w:tblPr>
        <w:tblStyle w:val="64"/>
        <w:tblW w:w="8789" w:type="dxa"/>
        <w:tblInd w:w="0" w:type="dxa"/>
        <w:tblLayout w:type="autofit"/>
        <w:tblCellMar>
          <w:top w:w="0" w:type="dxa"/>
          <w:left w:w="0" w:type="dxa"/>
          <w:bottom w:w="0" w:type="dxa"/>
          <w:right w:w="0" w:type="dxa"/>
        </w:tblCellMar>
      </w:tblPr>
      <w:tblGrid>
        <w:gridCol w:w="2120"/>
        <w:gridCol w:w="1566"/>
        <w:gridCol w:w="1234"/>
        <w:gridCol w:w="1323"/>
        <w:gridCol w:w="993"/>
        <w:gridCol w:w="1559"/>
      </w:tblGrid>
      <w:tr w14:paraId="22792702">
        <w:tblPrEx>
          <w:tblCellMar>
            <w:top w:w="0" w:type="dxa"/>
            <w:left w:w="0" w:type="dxa"/>
            <w:bottom w:w="0" w:type="dxa"/>
            <w:right w:w="0" w:type="dxa"/>
          </w:tblCellMar>
        </w:tblPrEx>
        <w:trPr>
          <w:trHeight w:val="288" w:hRule="atLeast"/>
        </w:trPr>
        <w:tc>
          <w:tcPr>
            <w:tcW w:w="2120" w:type="dxa"/>
            <w:tcBorders>
              <w:top w:val="nil"/>
              <w:left w:val="nil"/>
              <w:bottom w:val="nil"/>
              <w:right w:val="nil"/>
            </w:tcBorders>
            <w:noWrap/>
            <w:vAlign w:val="center"/>
          </w:tcPr>
          <w:p w14:paraId="020A5F84">
            <w:pPr>
              <w:rPr>
                <w:rFonts w:cs="Times New Roman"/>
                <w:color w:val="000000"/>
                <w:sz w:val="22"/>
                <w:szCs w:val="22"/>
              </w:rPr>
            </w:pPr>
            <w:r>
              <w:rPr>
                <w:rFonts w:hint="eastAsia" w:cs="Times New Roman"/>
                <w:color w:val="000000"/>
                <w:sz w:val="18"/>
                <w:szCs w:val="18"/>
              </w:rPr>
              <w:t>续：</w:t>
            </w:r>
            <w:r>
              <w:rPr>
                <w:rFonts w:hint="eastAsia" w:cs="Times New Roman"/>
                <w:color w:val="000000"/>
                <w:sz w:val="22"/>
                <w:szCs w:val="22"/>
              </w:rPr>
              <w:t xml:space="preserve"> </w:t>
            </w:r>
          </w:p>
        </w:tc>
        <w:tc>
          <w:tcPr>
            <w:tcW w:w="1566" w:type="dxa"/>
            <w:tcBorders>
              <w:top w:val="nil"/>
              <w:left w:val="nil"/>
              <w:bottom w:val="nil"/>
              <w:right w:val="nil"/>
            </w:tcBorders>
            <w:noWrap/>
            <w:vAlign w:val="center"/>
          </w:tcPr>
          <w:p w14:paraId="030ED80D">
            <w:pPr>
              <w:rPr>
                <w:rFonts w:cs="Times New Roman"/>
                <w:color w:val="000000"/>
                <w:sz w:val="22"/>
                <w:szCs w:val="22"/>
              </w:rPr>
            </w:pPr>
          </w:p>
        </w:tc>
        <w:tc>
          <w:tcPr>
            <w:tcW w:w="1234" w:type="dxa"/>
            <w:tcBorders>
              <w:top w:val="nil"/>
              <w:left w:val="nil"/>
              <w:bottom w:val="nil"/>
              <w:right w:val="nil"/>
            </w:tcBorders>
            <w:noWrap/>
            <w:vAlign w:val="center"/>
          </w:tcPr>
          <w:p w14:paraId="4E562A6A">
            <w:pPr>
              <w:rPr>
                <w:rFonts w:eastAsia="Times New Roman" w:cs="Times New Roman"/>
                <w:sz w:val="20"/>
                <w:szCs w:val="20"/>
              </w:rPr>
            </w:pPr>
          </w:p>
        </w:tc>
        <w:tc>
          <w:tcPr>
            <w:tcW w:w="1317" w:type="dxa"/>
            <w:tcBorders>
              <w:top w:val="nil"/>
              <w:left w:val="nil"/>
              <w:bottom w:val="nil"/>
              <w:right w:val="nil"/>
            </w:tcBorders>
            <w:noWrap/>
            <w:vAlign w:val="center"/>
          </w:tcPr>
          <w:p w14:paraId="3093477F">
            <w:pPr>
              <w:rPr>
                <w:rFonts w:eastAsia="Times New Roman" w:cs="Times New Roman"/>
                <w:sz w:val="20"/>
                <w:szCs w:val="20"/>
              </w:rPr>
            </w:pPr>
          </w:p>
        </w:tc>
        <w:tc>
          <w:tcPr>
            <w:tcW w:w="993" w:type="dxa"/>
            <w:tcBorders>
              <w:top w:val="nil"/>
              <w:left w:val="nil"/>
              <w:bottom w:val="nil"/>
              <w:right w:val="nil"/>
            </w:tcBorders>
            <w:noWrap/>
            <w:vAlign w:val="center"/>
          </w:tcPr>
          <w:p w14:paraId="5F72F4BF">
            <w:pPr>
              <w:rPr>
                <w:rFonts w:eastAsia="Times New Roman" w:cs="Times New Roman"/>
                <w:sz w:val="20"/>
                <w:szCs w:val="20"/>
              </w:rPr>
            </w:pPr>
          </w:p>
        </w:tc>
        <w:tc>
          <w:tcPr>
            <w:tcW w:w="1559" w:type="dxa"/>
            <w:tcBorders>
              <w:top w:val="nil"/>
              <w:left w:val="nil"/>
              <w:bottom w:val="nil"/>
              <w:right w:val="nil"/>
            </w:tcBorders>
            <w:noWrap/>
            <w:vAlign w:val="center"/>
          </w:tcPr>
          <w:p w14:paraId="0FE25519">
            <w:pPr>
              <w:rPr>
                <w:rFonts w:eastAsia="Times New Roman" w:cs="Times New Roman"/>
                <w:sz w:val="20"/>
                <w:szCs w:val="20"/>
              </w:rPr>
            </w:pPr>
          </w:p>
        </w:tc>
      </w:tr>
      <w:tr w14:paraId="2D8C5260">
        <w:tblPrEx>
          <w:tblCellMar>
            <w:top w:w="0" w:type="dxa"/>
            <w:left w:w="0" w:type="dxa"/>
            <w:bottom w:w="0" w:type="dxa"/>
            <w:right w:w="0" w:type="dxa"/>
          </w:tblCellMar>
        </w:tblPrEx>
        <w:trPr>
          <w:trHeight w:val="288" w:hRule="atLeast"/>
        </w:trPr>
        <w:tc>
          <w:tcPr>
            <w:tcW w:w="0" w:type="auto"/>
            <w:vMerge w:val="restart"/>
            <w:tcBorders>
              <w:top w:val="single" w:color="auto" w:sz="4" w:space="0"/>
              <w:left w:val="single" w:color="auto" w:sz="4" w:space="0"/>
              <w:bottom w:val="single" w:color="000000" w:sz="4" w:space="0"/>
              <w:right w:val="single" w:color="auto" w:sz="4" w:space="0"/>
            </w:tcBorders>
            <w:noWrap/>
            <w:vAlign w:val="center"/>
          </w:tcPr>
          <w:p w14:paraId="0D7C48F5">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类别 </w:t>
            </w:r>
          </w:p>
        </w:tc>
        <w:tc>
          <w:tcPr>
            <w:tcW w:w="6669" w:type="dxa"/>
            <w:gridSpan w:val="5"/>
            <w:tcBorders>
              <w:top w:val="single" w:color="auto" w:sz="4" w:space="0"/>
              <w:left w:val="single" w:color="auto" w:sz="4" w:space="0"/>
              <w:bottom w:val="single" w:color="auto" w:sz="4" w:space="0"/>
              <w:right w:val="single" w:color="000000" w:sz="4" w:space="0"/>
            </w:tcBorders>
            <w:noWrap/>
            <w:vAlign w:val="center"/>
          </w:tcPr>
          <w:p w14:paraId="23FEB663">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期初余额 </w:t>
            </w:r>
          </w:p>
        </w:tc>
      </w:tr>
      <w:tr w14:paraId="2A7B0EB9">
        <w:tblPrEx>
          <w:tblCellMar>
            <w:top w:w="0" w:type="dxa"/>
            <w:left w:w="0" w:type="dxa"/>
            <w:bottom w:w="0" w:type="dxa"/>
            <w:right w:w="0" w:type="dxa"/>
          </w:tblCellMar>
        </w:tblPrEx>
        <w:trPr>
          <w:trHeight w:val="288"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14:paraId="0E7B1457">
            <w:pPr>
              <w:rPr>
                <w:rFonts w:ascii="宋体" w:hAnsi="宋体" w:cs="Noto Sans CJK JP Regular"/>
                <w:color w:val="000000" w:themeColor="text1"/>
                <w14:textFill>
                  <w14:solidFill>
                    <w14:schemeClr w14:val="tx1"/>
                  </w14:solidFill>
                </w14:textFill>
              </w:rPr>
            </w:pPr>
          </w:p>
        </w:tc>
        <w:tc>
          <w:tcPr>
            <w:tcW w:w="0" w:type="auto"/>
            <w:gridSpan w:val="2"/>
            <w:tcBorders>
              <w:top w:val="single" w:color="auto" w:sz="4" w:space="0"/>
              <w:left w:val="single" w:color="auto" w:sz="4" w:space="0"/>
              <w:bottom w:val="single" w:color="auto" w:sz="4" w:space="0"/>
              <w:right w:val="single" w:color="000000" w:sz="4" w:space="0"/>
            </w:tcBorders>
            <w:noWrap/>
            <w:vAlign w:val="center"/>
          </w:tcPr>
          <w:p w14:paraId="7A5CCC3E">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账面余额 </w:t>
            </w:r>
          </w:p>
        </w:tc>
        <w:tc>
          <w:tcPr>
            <w:tcW w:w="2310" w:type="dxa"/>
            <w:gridSpan w:val="2"/>
            <w:tcBorders>
              <w:top w:val="single" w:color="auto" w:sz="4" w:space="0"/>
              <w:left w:val="nil"/>
              <w:bottom w:val="single" w:color="auto" w:sz="4" w:space="0"/>
              <w:right w:val="single" w:color="000000" w:sz="4" w:space="0"/>
            </w:tcBorders>
            <w:noWrap/>
            <w:vAlign w:val="center"/>
          </w:tcPr>
          <w:p w14:paraId="0B53CA5C">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坏账准备 </w:t>
            </w:r>
          </w:p>
        </w:tc>
        <w:tc>
          <w:tcPr>
            <w:tcW w:w="1559" w:type="dxa"/>
            <w:vMerge w:val="restart"/>
            <w:tcBorders>
              <w:top w:val="nil"/>
              <w:left w:val="single" w:color="auto" w:sz="4" w:space="0"/>
              <w:bottom w:val="single" w:color="000000" w:sz="4" w:space="0"/>
              <w:right w:val="single" w:color="auto" w:sz="4" w:space="0"/>
            </w:tcBorders>
            <w:noWrap/>
            <w:vAlign w:val="center"/>
          </w:tcPr>
          <w:p w14:paraId="28A27551">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账面价值 </w:t>
            </w:r>
          </w:p>
        </w:tc>
      </w:tr>
      <w:tr w14:paraId="12DD3EAE">
        <w:tblPrEx>
          <w:tblCellMar>
            <w:top w:w="0" w:type="dxa"/>
            <w:left w:w="0" w:type="dxa"/>
            <w:bottom w:w="0" w:type="dxa"/>
            <w:right w:w="0" w:type="dxa"/>
          </w:tblCellMar>
        </w:tblPrEx>
        <w:trPr>
          <w:trHeight w:val="576"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14:paraId="1A9EBAC3">
            <w:pPr>
              <w:rPr>
                <w:rFonts w:ascii="宋体" w:hAnsi="宋体" w:cs="Noto Sans CJK JP Regular"/>
                <w:color w:val="000000" w:themeColor="text1"/>
                <w14:textFill>
                  <w14:solidFill>
                    <w14:schemeClr w14:val="tx1"/>
                  </w14:solidFill>
                </w14:textFill>
              </w:rPr>
            </w:pPr>
          </w:p>
        </w:tc>
        <w:tc>
          <w:tcPr>
            <w:tcW w:w="1566" w:type="dxa"/>
            <w:tcBorders>
              <w:top w:val="nil"/>
              <w:left w:val="single" w:color="auto" w:sz="4" w:space="0"/>
              <w:bottom w:val="single" w:color="auto" w:sz="4" w:space="0"/>
              <w:right w:val="single" w:color="auto" w:sz="4" w:space="0"/>
            </w:tcBorders>
            <w:noWrap/>
            <w:vAlign w:val="center"/>
          </w:tcPr>
          <w:p w14:paraId="02710F98">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金额</w:t>
            </w:r>
          </w:p>
        </w:tc>
        <w:tc>
          <w:tcPr>
            <w:tcW w:w="1234" w:type="dxa"/>
            <w:tcBorders>
              <w:top w:val="nil"/>
              <w:left w:val="nil"/>
              <w:bottom w:val="single" w:color="auto" w:sz="4" w:space="0"/>
              <w:right w:val="single" w:color="auto" w:sz="4" w:space="0"/>
            </w:tcBorders>
            <w:noWrap/>
            <w:vAlign w:val="center"/>
          </w:tcPr>
          <w:p w14:paraId="036188F1">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占比(%)</w:t>
            </w:r>
          </w:p>
        </w:tc>
        <w:tc>
          <w:tcPr>
            <w:tcW w:w="1317" w:type="dxa"/>
            <w:tcBorders>
              <w:top w:val="nil"/>
              <w:left w:val="nil"/>
              <w:bottom w:val="single" w:color="auto" w:sz="4" w:space="0"/>
              <w:right w:val="single" w:color="auto" w:sz="4" w:space="0"/>
            </w:tcBorders>
            <w:noWrap/>
            <w:vAlign w:val="center"/>
          </w:tcPr>
          <w:p w14:paraId="0C786EB5">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金额</w:t>
            </w:r>
          </w:p>
        </w:tc>
        <w:tc>
          <w:tcPr>
            <w:tcW w:w="993" w:type="dxa"/>
            <w:tcBorders>
              <w:top w:val="nil"/>
              <w:left w:val="nil"/>
              <w:bottom w:val="single" w:color="auto" w:sz="4" w:space="0"/>
              <w:right w:val="single" w:color="auto" w:sz="4" w:space="0"/>
            </w:tcBorders>
            <w:vAlign w:val="center"/>
          </w:tcPr>
          <w:p w14:paraId="563668FD">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计提比例(%)</w:t>
            </w:r>
          </w:p>
        </w:tc>
        <w:tc>
          <w:tcPr>
            <w:tcW w:w="1559" w:type="dxa"/>
            <w:vMerge w:val="continue"/>
            <w:tcBorders>
              <w:top w:val="nil"/>
              <w:left w:val="single" w:color="auto" w:sz="4" w:space="0"/>
              <w:bottom w:val="single" w:color="000000" w:sz="4" w:space="0"/>
              <w:right w:val="single" w:color="auto" w:sz="4" w:space="0"/>
            </w:tcBorders>
            <w:vAlign w:val="center"/>
          </w:tcPr>
          <w:p w14:paraId="0D46ACD9">
            <w:pPr>
              <w:rPr>
                <w:rFonts w:ascii="宋体" w:hAnsi="宋体" w:cs="Noto Sans CJK JP Regular"/>
                <w:color w:val="000000" w:themeColor="text1"/>
                <w14:textFill>
                  <w14:solidFill>
                    <w14:schemeClr w14:val="tx1"/>
                  </w14:solidFill>
                </w14:textFill>
              </w:rPr>
            </w:pPr>
          </w:p>
        </w:tc>
      </w:tr>
      <w:tr w14:paraId="24517B6F">
        <w:tblPrEx>
          <w:tblCellMar>
            <w:top w:w="0" w:type="dxa"/>
            <w:left w:w="0" w:type="dxa"/>
            <w:bottom w:w="0" w:type="dxa"/>
            <w:right w:w="0" w:type="dxa"/>
          </w:tblCellMar>
        </w:tblPrEx>
        <w:trPr>
          <w:trHeight w:val="288"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41D06E9E">
            <w:pP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按单项计提坏账准备 </w:t>
            </w:r>
          </w:p>
        </w:tc>
        <w:tc>
          <w:tcPr>
            <w:tcW w:w="1566" w:type="dxa"/>
            <w:tcBorders>
              <w:top w:val="nil"/>
              <w:left w:val="nil"/>
              <w:bottom w:val="single" w:color="auto" w:sz="4" w:space="0"/>
              <w:right w:val="single" w:color="auto" w:sz="4" w:space="0"/>
            </w:tcBorders>
            <w:noWrap/>
            <w:vAlign w:val="center"/>
          </w:tcPr>
          <w:p w14:paraId="4392C686">
            <w:pPr>
              <w:jc w:val="right"/>
            </w:pPr>
            <w:r>
              <w:rPr>
                <w:rFonts w:hint="eastAsia"/>
              </w:rPr>
              <w:t>454,313,251.42</w:t>
            </w:r>
          </w:p>
        </w:tc>
        <w:tc>
          <w:tcPr>
            <w:tcW w:w="1234" w:type="dxa"/>
            <w:tcBorders>
              <w:top w:val="nil"/>
              <w:left w:val="nil"/>
              <w:bottom w:val="single" w:color="auto" w:sz="4" w:space="0"/>
              <w:right w:val="single" w:color="auto" w:sz="4" w:space="0"/>
            </w:tcBorders>
            <w:noWrap/>
            <w:vAlign w:val="center"/>
          </w:tcPr>
          <w:p w14:paraId="4216886B">
            <w:pPr>
              <w:jc w:val="center"/>
            </w:pPr>
            <w:r>
              <w:rPr>
                <w:rFonts w:hint="eastAsia"/>
              </w:rPr>
              <w:t>75.85</w:t>
            </w:r>
          </w:p>
        </w:tc>
        <w:tc>
          <w:tcPr>
            <w:tcW w:w="1317" w:type="dxa"/>
            <w:tcBorders>
              <w:top w:val="nil"/>
              <w:left w:val="nil"/>
              <w:bottom w:val="single" w:color="auto" w:sz="4" w:space="0"/>
              <w:right w:val="single" w:color="auto" w:sz="4" w:space="0"/>
            </w:tcBorders>
            <w:noWrap/>
            <w:vAlign w:val="center"/>
          </w:tcPr>
          <w:p w14:paraId="23FFB6DB">
            <w:pPr>
              <w:jc w:val="right"/>
            </w:pPr>
            <w:r>
              <w:rPr>
                <w:rFonts w:hint="eastAsia"/>
              </w:rPr>
              <w:t>276,406,856.57</w:t>
            </w:r>
          </w:p>
        </w:tc>
        <w:tc>
          <w:tcPr>
            <w:tcW w:w="993" w:type="dxa"/>
            <w:tcBorders>
              <w:top w:val="nil"/>
              <w:left w:val="nil"/>
              <w:bottom w:val="single" w:color="auto" w:sz="4" w:space="0"/>
              <w:right w:val="single" w:color="auto" w:sz="4" w:space="0"/>
            </w:tcBorders>
            <w:noWrap/>
            <w:vAlign w:val="center"/>
          </w:tcPr>
          <w:p w14:paraId="37D2D0A0">
            <w:pPr>
              <w:jc w:val="center"/>
            </w:pPr>
            <w:r>
              <w:rPr>
                <w:rFonts w:hint="eastAsia"/>
              </w:rPr>
              <w:t>60.84</w:t>
            </w:r>
          </w:p>
        </w:tc>
        <w:tc>
          <w:tcPr>
            <w:tcW w:w="1559" w:type="dxa"/>
            <w:tcBorders>
              <w:top w:val="single" w:color="auto" w:sz="4" w:space="0"/>
              <w:left w:val="nil"/>
              <w:bottom w:val="single" w:color="auto" w:sz="4" w:space="0"/>
              <w:right w:val="single" w:color="auto" w:sz="4" w:space="0"/>
            </w:tcBorders>
            <w:noWrap/>
            <w:vAlign w:val="center"/>
          </w:tcPr>
          <w:p w14:paraId="025CF4E8">
            <w:pPr>
              <w:jc w:val="right"/>
            </w:pPr>
            <w:r>
              <w:rPr>
                <w:rFonts w:hint="eastAsia"/>
              </w:rPr>
              <w:t>177,906,394.85</w:t>
            </w:r>
          </w:p>
        </w:tc>
      </w:tr>
      <w:tr w14:paraId="0783C203">
        <w:tblPrEx>
          <w:tblCellMar>
            <w:top w:w="0" w:type="dxa"/>
            <w:left w:w="0" w:type="dxa"/>
            <w:bottom w:w="0" w:type="dxa"/>
            <w:right w:w="0" w:type="dxa"/>
          </w:tblCellMar>
        </w:tblPrEx>
        <w:trPr>
          <w:trHeight w:val="288" w:hRule="atLeast"/>
        </w:trPr>
        <w:tc>
          <w:tcPr>
            <w:tcW w:w="0" w:type="auto"/>
            <w:tcBorders>
              <w:top w:val="nil"/>
              <w:left w:val="single" w:color="auto" w:sz="4" w:space="0"/>
              <w:bottom w:val="single" w:color="auto" w:sz="4" w:space="0"/>
              <w:right w:val="single" w:color="auto" w:sz="4" w:space="0"/>
            </w:tcBorders>
            <w:noWrap/>
            <w:vAlign w:val="center"/>
          </w:tcPr>
          <w:p w14:paraId="0DF8D023">
            <w:pP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按组合计提坏账准备 </w:t>
            </w:r>
          </w:p>
        </w:tc>
        <w:tc>
          <w:tcPr>
            <w:tcW w:w="1566" w:type="dxa"/>
            <w:tcBorders>
              <w:top w:val="nil"/>
              <w:left w:val="nil"/>
              <w:bottom w:val="single" w:color="auto" w:sz="4" w:space="0"/>
              <w:right w:val="single" w:color="auto" w:sz="4" w:space="0"/>
            </w:tcBorders>
            <w:noWrap/>
            <w:vAlign w:val="center"/>
          </w:tcPr>
          <w:p w14:paraId="7831D5D3">
            <w:pPr>
              <w:jc w:val="right"/>
            </w:pPr>
            <w:r>
              <w:rPr>
                <w:rFonts w:hint="eastAsia"/>
              </w:rPr>
              <w:t>144,671,386.85</w:t>
            </w:r>
          </w:p>
        </w:tc>
        <w:tc>
          <w:tcPr>
            <w:tcW w:w="1234" w:type="dxa"/>
            <w:tcBorders>
              <w:top w:val="nil"/>
              <w:left w:val="nil"/>
              <w:bottom w:val="single" w:color="auto" w:sz="4" w:space="0"/>
              <w:right w:val="single" w:color="auto" w:sz="4" w:space="0"/>
            </w:tcBorders>
            <w:noWrap/>
            <w:vAlign w:val="center"/>
          </w:tcPr>
          <w:p w14:paraId="0B328D90">
            <w:pPr>
              <w:jc w:val="center"/>
            </w:pPr>
            <w:r>
              <w:rPr>
                <w:rFonts w:hint="eastAsia"/>
              </w:rPr>
              <w:t>24.15</w:t>
            </w:r>
          </w:p>
        </w:tc>
        <w:tc>
          <w:tcPr>
            <w:tcW w:w="1317" w:type="dxa"/>
            <w:tcBorders>
              <w:top w:val="nil"/>
              <w:left w:val="nil"/>
              <w:bottom w:val="single" w:color="auto" w:sz="4" w:space="0"/>
              <w:right w:val="single" w:color="auto" w:sz="4" w:space="0"/>
            </w:tcBorders>
            <w:noWrap/>
            <w:vAlign w:val="center"/>
          </w:tcPr>
          <w:p w14:paraId="2331192E">
            <w:pPr>
              <w:jc w:val="right"/>
            </w:pPr>
            <w:r>
              <w:rPr>
                <w:rFonts w:hint="eastAsia"/>
              </w:rPr>
              <w:t>26,509,019.04</w:t>
            </w:r>
          </w:p>
        </w:tc>
        <w:tc>
          <w:tcPr>
            <w:tcW w:w="993" w:type="dxa"/>
            <w:tcBorders>
              <w:top w:val="nil"/>
              <w:left w:val="nil"/>
              <w:bottom w:val="single" w:color="auto" w:sz="4" w:space="0"/>
              <w:right w:val="single" w:color="auto" w:sz="4" w:space="0"/>
            </w:tcBorders>
            <w:noWrap/>
            <w:vAlign w:val="center"/>
          </w:tcPr>
          <w:p w14:paraId="01FC935B">
            <w:pPr>
              <w:jc w:val="center"/>
            </w:pPr>
            <w:r>
              <w:rPr>
                <w:rFonts w:hint="eastAsia"/>
              </w:rPr>
              <w:t>18.32</w:t>
            </w:r>
          </w:p>
        </w:tc>
        <w:tc>
          <w:tcPr>
            <w:tcW w:w="1559" w:type="dxa"/>
            <w:tcBorders>
              <w:top w:val="nil"/>
              <w:left w:val="nil"/>
              <w:bottom w:val="single" w:color="auto" w:sz="4" w:space="0"/>
              <w:right w:val="single" w:color="auto" w:sz="4" w:space="0"/>
            </w:tcBorders>
            <w:noWrap/>
            <w:vAlign w:val="center"/>
          </w:tcPr>
          <w:p w14:paraId="5CF42F10">
            <w:pPr>
              <w:jc w:val="right"/>
            </w:pPr>
            <w:r>
              <w:rPr>
                <w:rFonts w:hint="eastAsia"/>
              </w:rPr>
              <w:t>118,162,367.81</w:t>
            </w:r>
          </w:p>
        </w:tc>
      </w:tr>
      <w:tr w14:paraId="79F857B8">
        <w:tblPrEx>
          <w:tblCellMar>
            <w:top w:w="0" w:type="dxa"/>
            <w:left w:w="0" w:type="dxa"/>
            <w:bottom w:w="0" w:type="dxa"/>
            <w:right w:w="0" w:type="dxa"/>
          </w:tblCellMar>
        </w:tblPrEx>
        <w:trPr>
          <w:trHeight w:val="288" w:hRule="atLeast"/>
        </w:trPr>
        <w:tc>
          <w:tcPr>
            <w:tcW w:w="0" w:type="auto"/>
            <w:tcBorders>
              <w:top w:val="nil"/>
              <w:left w:val="single" w:color="auto" w:sz="4" w:space="0"/>
              <w:bottom w:val="single" w:color="auto" w:sz="4" w:space="0"/>
              <w:right w:val="single" w:color="auto" w:sz="4" w:space="0"/>
            </w:tcBorders>
            <w:noWrap/>
            <w:vAlign w:val="center"/>
          </w:tcPr>
          <w:p w14:paraId="629E6980">
            <w:pP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其中：低风险组合 </w:t>
            </w:r>
          </w:p>
        </w:tc>
        <w:tc>
          <w:tcPr>
            <w:tcW w:w="1566" w:type="dxa"/>
            <w:tcBorders>
              <w:top w:val="nil"/>
              <w:left w:val="nil"/>
              <w:bottom w:val="single" w:color="auto" w:sz="4" w:space="0"/>
              <w:right w:val="single" w:color="auto" w:sz="4" w:space="0"/>
            </w:tcBorders>
            <w:noWrap/>
            <w:vAlign w:val="center"/>
          </w:tcPr>
          <w:p w14:paraId="5271C4AD">
            <w:pPr>
              <w:jc w:val="right"/>
            </w:pPr>
            <w:r>
              <w:rPr>
                <w:rFonts w:hint="eastAsia"/>
              </w:rPr>
              <w:t>82,950,811.94</w:t>
            </w:r>
          </w:p>
        </w:tc>
        <w:tc>
          <w:tcPr>
            <w:tcW w:w="1234" w:type="dxa"/>
            <w:tcBorders>
              <w:top w:val="nil"/>
              <w:left w:val="nil"/>
              <w:bottom w:val="single" w:color="auto" w:sz="4" w:space="0"/>
              <w:right w:val="single" w:color="auto" w:sz="4" w:space="0"/>
            </w:tcBorders>
            <w:noWrap/>
            <w:vAlign w:val="center"/>
          </w:tcPr>
          <w:p w14:paraId="6C7A7ADC">
            <w:pPr>
              <w:jc w:val="center"/>
            </w:pPr>
            <w:r>
              <w:rPr>
                <w:rFonts w:hint="eastAsia"/>
              </w:rPr>
              <w:t>13.85</w:t>
            </w:r>
          </w:p>
        </w:tc>
        <w:tc>
          <w:tcPr>
            <w:tcW w:w="1317" w:type="dxa"/>
            <w:tcBorders>
              <w:top w:val="nil"/>
              <w:left w:val="nil"/>
              <w:bottom w:val="single" w:color="auto" w:sz="4" w:space="0"/>
              <w:right w:val="single" w:color="auto" w:sz="4" w:space="0"/>
            </w:tcBorders>
            <w:noWrap/>
            <w:vAlign w:val="center"/>
          </w:tcPr>
          <w:p w14:paraId="46A9424E">
            <w:pPr>
              <w:jc w:val="right"/>
            </w:pPr>
          </w:p>
        </w:tc>
        <w:tc>
          <w:tcPr>
            <w:tcW w:w="993" w:type="dxa"/>
            <w:tcBorders>
              <w:top w:val="nil"/>
              <w:left w:val="nil"/>
              <w:bottom w:val="single" w:color="auto" w:sz="4" w:space="0"/>
              <w:right w:val="single" w:color="auto" w:sz="4" w:space="0"/>
            </w:tcBorders>
            <w:noWrap/>
            <w:vAlign w:val="center"/>
          </w:tcPr>
          <w:p w14:paraId="4274D17A">
            <w:pPr>
              <w:jc w:val="center"/>
            </w:pPr>
          </w:p>
        </w:tc>
        <w:tc>
          <w:tcPr>
            <w:tcW w:w="1559" w:type="dxa"/>
            <w:tcBorders>
              <w:top w:val="nil"/>
              <w:left w:val="nil"/>
              <w:bottom w:val="single" w:color="auto" w:sz="4" w:space="0"/>
              <w:right w:val="single" w:color="auto" w:sz="4" w:space="0"/>
            </w:tcBorders>
            <w:noWrap/>
            <w:vAlign w:val="center"/>
          </w:tcPr>
          <w:p w14:paraId="018415F9">
            <w:pPr>
              <w:jc w:val="right"/>
            </w:pPr>
            <w:r>
              <w:rPr>
                <w:rFonts w:hint="eastAsia"/>
              </w:rPr>
              <w:t>82,950,811.94</w:t>
            </w:r>
          </w:p>
        </w:tc>
      </w:tr>
      <w:tr w14:paraId="4D4F9E91">
        <w:tblPrEx>
          <w:tblCellMar>
            <w:top w:w="0" w:type="dxa"/>
            <w:left w:w="0" w:type="dxa"/>
            <w:bottom w:w="0" w:type="dxa"/>
            <w:right w:w="0" w:type="dxa"/>
          </w:tblCellMar>
        </w:tblPrEx>
        <w:trPr>
          <w:trHeight w:val="288" w:hRule="atLeast"/>
        </w:trPr>
        <w:tc>
          <w:tcPr>
            <w:tcW w:w="0" w:type="auto"/>
            <w:tcBorders>
              <w:top w:val="nil"/>
              <w:left w:val="single" w:color="auto" w:sz="4" w:space="0"/>
              <w:bottom w:val="single" w:color="auto" w:sz="4" w:space="0"/>
              <w:right w:val="single" w:color="auto" w:sz="4" w:space="0"/>
            </w:tcBorders>
            <w:noWrap/>
            <w:vAlign w:val="center"/>
          </w:tcPr>
          <w:p w14:paraId="6DD504B1">
            <w:pP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账龄组合 </w:t>
            </w:r>
          </w:p>
        </w:tc>
        <w:tc>
          <w:tcPr>
            <w:tcW w:w="1566" w:type="dxa"/>
            <w:tcBorders>
              <w:top w:val="nil"/>
              <w:left w:val="nil"/>
              <w:bottom w:val="single" w:color="auto" w:sz="4" w:space="0"/>
              <w:right w:val="single" w:color="auto" w:sz="4" w:space="0"/>
            </w:tcBorders>
            <w:noWrap/>
            <w:vAlign w:val="center"/>
          </w:tcPr>
          <w:p w14:paraId="3BAEC0DF">
            <w:pPr>
              <w:jc w:val="right"/>
            </w:pPr>
            <w:r>
              <w:rPr>
                <w:rFonts w:hint="eastAsia"/>
              </w:rPr>
              <w:t>61,720,574.91</w:t>
            </w:r>
          </w:p>
        </w:tc>
        <w:tc>
          <w:tcPr>
            <w:tcW w:w="1234" w:type="dxa"/>
            <w:tcBorders>
              <w:top w:val="nil"/>
              <w:left w:val="nil"/>
              <w:bottom w:val="single" w:color="auto" w:sz="4" w:space="0"/>
              <w:right w:val="single" w:color="auto" w:sz="4" w:space="0"/>
            </w:tcBorders>
            <w:noWrap/>
            <w:vAlign w:val="center"/>
          </w:tcPr>
          <w:p w14:paraId="3431E2C0">
            <w:pPr>
              <w:jc w:val="center"/>
            </w:pPr>
            <w:r>
              <w:rPr>
                <w:rFonts w:hint="eastAsia"/>
              </w:rPr>
              <w:t>10.30</w:t>
            </w:r>
          </w:p>
        </w:tc>
        <w:tc>
          <w:tcPr>
            <w:tcW w:w="1317" w:type="dxa"/>
            <w:tcBorders>
              <w:top w:val="nil"/>
              <w:left w:val="nil"/>
              <w:bottom w:val="single" w:color="auto" w:sz="4" w:space="0"/>
              <w:right w:val="single" w:color="auto" w:sz="4" w:space="0"/>
            </w:tcBorders>
            <w:noWrap/>
            <w:vAlign w:val="center"/>
          </w:tcPr>
          <w:p w14:paraId="09B1B7BA">
            <w:pPr>
              <w:jc w:val="right"/>
            </w:pPr>
            <w:r>
              <w:rPr>
                <w:rFonts w:hint="eastAsia"/>
              </w:rPr>
              <w:t>26,509,019.04</w:t>
            </w:r>
          </w:p>
        </w:tc>
        <w:tc>
          <w:tcPr>
            <w:tcW w:w="993" w:type="dxa"/>
            <w:tcBorders>
              <w:top w:val="nil"/>
              <w:left w:val="nil"/>
              <w:bottom w:val="single" w:color="auto" w:sz="4" w:space="0"/>
              <w:right w:val="single" w:color="auto" w:sz="4" w:space="0"/>
            </w:tcBorders>
            <w:noWrap/>
            <w:vAlign w:val="center"/>
          </w:tcPr>
          <w:p w14:paraId="1007F827">
            <w:pPr>
              <w:jc w:val="center"/>
            </w:pPr>
            <w:r>
              <w:rPr>
                <w:rFonts w:hint="eastAsia"/>
              </w:rPr>
              <w:t>42.95</w:t>
            </w:r>
          </w:p>
        </w:tc>
        <w:tc>
          <w:tcPr>
            <w:tcW w:w="1559" w:type="dxa"/>
            <w:tcBorders>
              <w:top w:val="nil"/>
              <w:left w:val="nil"/>
              <w:bottom w:val="single" w:color="auto" w:sz="4" w:space="0"/>
              <w:right w:val="single" w:color="auto" w:sz="4" w:space="0"/>
            </w:tcBorders>
            <w:noWrap/>
            <w:vAlign w:val="center"/>
          </w:tcPr>
          <w:p w14:paraId="672428AA">
            <w:pPr>
              <w:jc w:val="right"/>
            </w:pPr>
            <w:r>
              <w:rPr>
                <w:rFonts w:hint="eastAsia"/>
              </w:rPr>
              <w:t>35,211,555.87</w:t>
            </w:r>
          </w:p>
        </w:tc>
      </w:tr>
      <w:tr w14:paraId="7224C945">
        <w:tblPrEx>
          <w:tblCellMar>
            <w:top w:w="0" w:type="dxa"/>
            <w:left w:w="0" w:type="dxa"/>
            <w:bottom w:w="0" w:type="dxa"/>
            <w:right w:w="0" w:type="dxa"/>
          </w:tblCellMar>
        </w:tblPrEx>
        <w:trPr>
          <w:trHeight w:val="288" w:hRule="atLeast"/>
        </w:trPr>
        <w:tc>
          <w:tcPr>
            <w:tcW w:w="0" w:type="auto"/>
            <w:tcBorders>
              <w:top w:val="nil"/>
              <w:left w:val="single" w:color="auto" w:sz="4" w:space="0"/>
              <w:bottom w:val="single" w:color="auto" w:sz="4" w:space="0"/>
              <w:right w:val="single" w:color="auto" w:sz="4" w:space="0"/>
            </w:tcBorders>
            <w:noWrap/>
            <w:vAlign w:val="center"/>
          </w:tcPr>
          <w:p w14:paraId="303162E8">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合计</w:t>
            </w:r>
          </w:p>
        </w:tc>
        <w:tc>
          <w:tcPr>
            <w:tcW w:w="1566" w:type="dxa"/>
            <w:tcBorders>
              <w:top w:val="nil"/>
              <w:left w:val="nil"/>
              <w:bottom w:val="single" w:color="auto" w:sz="4" w:space="0"/>
              <w:right w:val="single" w:color="auto" w:sz="4" w:space="0"/>
            </w:tcBorders>
            <w:noWrap/>
            <w:vAlign w:val="center"/>
          </w:tcPr>
          <w:p w14:paraId="4E4088E9">
            <w:pPr>
              <w:jc w:val="right"/>
            </w:pPr>
            <w:r>
              <w:rPr>
                <w:rFonts w:hint="eastAsia"/>
              </w:rPr>
              <w:t>598,984,638.27</w:t>
            </w:r>
          </w:p>
        </w:tc>
        <w:tc>
          <w:tcPr>
            <w:tcW w:w="1234" w:type="dxa"/>
            <w:tcBorders>
              <w:top w:val="nil"/>
              <w:left w:val="nil"/>
              <w:bottom w:val="single" w:color="auto" w:sz="4" w:space="0"/>
              <w:right w:val="single" w:color="auto" w:sz="4" w:space="0"/>
            </w:tcBorders>
            <w:noWrap/>
            <w:vAlign w:val="center"/>
          </w:tcPr>
          <w:p w14:paraId="4B4BBC01">
            <w:pPr>
              <w:jc w:val="center"/>
            </w:pPr>
            <w:r>
              <w:rPr>
                <w:rFonts w:hint="eastAsia"/>
              </w:rPr>
              <w:t>100.00</w:t>
            </w:r>
          </w:p>
        </w:tc>
        <w:tc>
          <w:tcPr>
            <w:tcW w:w="1317" w:type="dxa"/>
            <w:tcBorders>
              <w:top w:val="nil"/>
              <w:left w:val="nil"/>
              <w:bottom w:val="single" w:color="auto" w:sz="4" w:space="0"/>
              <w:right w:val="single" w:color="auto" w:sz="4" w:space="0"/>
            </w:tcBorders>
            <w:noWrap/>
            <w:vAlign w:val="center"/>
          </w:tcPr>
          <w:p w14:paraId="61053B97">
            <w:pPr>
              <w:jc w:val="right"/>
            </w:pPr>
            <w:r>
              <w:rPr>
                <w:rFonts w:hint="eastAsia"/>
              </w:rPr>
              <w:t>302,915,875.61</w:t>
            </w:r>
          </w:p>
        </w:tc>
        <w:tc>
          <w:tcPr>
            <w:tcW w:w="993" w:type="dxa"/>
            <w:tcBorders>
              <w:top w:val="nil"/>
              <w:left w:val="nil"/>
              <w:bottom w:val="single" w:color="auto" w:sz="4" w:space="0"/>
              <w:right w:val="single" w:color="auto" w:sz="4" w:space="0"/>
            </w:tcBorders>
            <w:noWrap/>
            <w:vAlign w:val="center"/>
          </w:tcPr>
          <w:p w14:paraId="2AC87A8C">
            <w:pPr>
              <w:jc w:val="center"/>
            </w:pPr>
            <w:r>
              <w:rPr>
                <w:rFonts w:hint="eastAsia"/>
              </w:rPr>
              <w:t>50.57</w:t>
            </w:r>
          </w:p>
        </w:tc>
        <w:tc>
          <w:tcPr>
            <w:tcW w:w="1559" w:type="dxa"/>
            <w:tcBorders>
              <w:top w:val="nil"/>
              <w:left w:val="nil"/>
              <w:bottom w:val="single" w:color="auto" w:sz="4" w:space="0"/>
              <w:right w:val="single" w:color="auto" w:sz="4" w:space="0"/>
            </w:tcBorders>
            <w:noWrap/>
            <w:vAlign w:val="center"/>
          </w:tcPr>
          <w:p w14:paraId="302F2B5F">
            <w:pPr>
              <w:jc w:val="right"/>
            </w:pPr>
            <w:r>
              <w:rPr>
                <w:rFonts w:hint="eastAsia"/>
              </w:rPr>
              <w:t>296,068,762.66</w:t>
            </w:r>
          </w:p>
        </w:tc>
      </w:tr>
    </w:tbl>
    <w:p w14:paraId="4D933C34">
      <w:pPr>
        <w:autoSpaceDE w:val="0"/>
        <w:autoSpaceDN w:val="0"/>
        <w:adjustRightInd w:val="0"/>
        <w:ind w:right="105" w:rightChars="50"/>
        <w:rPr>
          <w:color w:val="000000" w:themeColor="text1"/>
          <w14:textFill>
            <w14:solidFill>
              <w14:schemeClr w14:val="tx1"/>
            </w14:solidFill>
          </w14:textFill>
        </w:rPr>
      </w:pPr>
    </w:p>
    <w:p w14:paraId="050C152B">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2）按</w:t>
      </w:r>
      <w:r>
        <w:rPr>
          <w:color w:val="000000" w:themeColor="text1"/>
          <w14:textFill>
            <w14:solidFill>
              <w14:schemeClr w14:val="tx1"/>
            </w14:solidFill>
          </w14:textFill>
        </w:rPr>
        <w:t>单项计提坏账准备</w:t>
      </w:r>
    </w:p>
    <w:tbl>
      <w:tblPr>
        <w:tblStyle w:val="64"/>
        <w:tblW w:w="8789" w:type="dxa"/>
        <w:tblInd w:w="108" w:type="dxa"/>
        <w:tblLayout w:type="fixed"/>
        <w:tblCellMar>
          <w:top w:w="0" w:type="dxa"/>
          <w:left w:w="108" w:type="dxa"/>
          <w:bottom w:w="0" w:type="dxa"/>
          <w:right w:w="108" w:type="dxa"/>
        </w:tblCellMar>
      </w:tblPr>
      <w:tblGrid>
        <w:gridCol w:w="1600"/>
        <w:gridCol w:w="1790"/>
        <w:gridCol w:w="1800"/>
        <w:gridCol w:w="1218"/>
        <w:gridCol w:w="2381"/>
      </w:tblGrid>
      <w:tr w14:paraId="6A6D9C10">
        <w:tblPrEx>
          <w:tblCellMar>
            <w:top w:w="0" w:type="dxa"/>
            <w:left w:w="108" w:type="dxa"/>
            <w:bottom w:w="0" w:type="dxa"/>
            <w:right w:w="108" w:type="dxa"/>
          </w:tblCellMar>
        </w:tblPrEx>
        <w:tc>
          <w:tcPr>
            <w:tcW w:w="1600" w:type="dxa"/>
            <w:vMerge w:val="restart"/>
            <w:tcBorders>
              <w:top w:val="single" w:color="auto" w:sz="4" w:space="0"/>
              <w:left w:val="single" w:color="auto" w:sz="4" w:space="0"/>
              <w:bottom w:val="single" w:color="000000" w:sz="4" w:space="0"/>
              <w:right w:val="single" w:color="auto" w:sz="4" w:space="0"/>
            </w:tcBorders>
            <w:noWrap/>
            <w:vAlign w:val="center"/>
          </w:tcPr>
          <w:p w14:paraId="1C36A708">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名称</w:t>
            </w:r>
          </w:p>
        </w:tc>
        <w:tc>
          <w:tcPr>
            <w:tcW w:w="7189" w:type="dxa"/>
            <w:gridSpan w:val="4"/>
            <w:tcBorders>
              <w:top w:val="single" w:color="auto" w:sz="4" w:space="0"/>
              <w:left w:val="single" w:color="auto" w:sz="4" w:space="0"/>
              <w:bottom w:val="single" w:color="auto" w:sz="4" w:space="0"/>
              <w:right w:val="single" w:color="000000" w:sz="4" w:space="0"/>
            </w:tcBorders>
            <w:noWrap/>
            <w:vAlign w:val="center"/>
          </w:tcPr>
          <w:p w14:paraId="24936D03">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期末余额</w:t>
            </w:r>
          </w:p>
        </w:tc>
      </w:tr>
      <w:tr w14:paraId="034F45B4">
        <w:tblPrEx>
          <w:tblCellMar>
            <w:top w:w="0" w:type="dxa"/>
            <w:left w:w="108" w:type="dxa"/>
            <w:bottom w:w="0" w:type="dxa"/>
            <w:right w:w="108" w:type="dxa"/>
          </w:tblCellMar>
        </w:tblPrEx>
        <w:tc>
          <w:tcPr>
            <w:tcW w:w="1600" w:type="dxa"/>
            <w:vMerge w:val="continue"/>
            <w:tcBorders>
              <w:top w:val="single" w:color="auto" w:sz="4" w:space="0"/>
              <w:left w:val="single" w:color="auto" w:sz="4" w:space="0"/>
              <w:bottom w:val="single" w:color="000000" w:sz="4" w:space="0"/>
              <w:right w:val="single" w:color="auto" w:sz="4" w:space="0"/>
            </w:tcBorders>
            <w:vAlign w:val="center"/>
          </w:tcPr>
          <w:p w14:paraId="7B9A47BA">
            <w:pPr>
              <w:jc w:val="center"/>
              <w:rPr>
                <w:rFonts w:ascii="宋体" w:hAnsi="宋体" w:cs="Noto Sans CJK JP Regular"/>
                <w:color w:val="000000" w:themeColor="text1"/>
                <w14:textFill>
                  <w14:solidFill>
                    <w14:schemeClr w14:val="tx1"/>
                  </w14:solidFill>
                </w14:textFill>
              </w:rPr>
            </w:pPr>
          </w:p>
        </w:tc>
        <w:tc>
          <w:tcPr>
            <w:tcW w:w="1790" w:type="dxa"/>
            <w:tcBorders>
              <w:top w:val="nil"/>
              <w:left w:val="single" w:color="auto" w:sz="4" w:space="0"/>
              <w:bottom w:val="single" w:color="auto" w:sz="4" w:space="0"/>
              <w:right w:val="single" w:color="auto" w:sz="4" w:space="0"/>
            </w:tcBorders>
            <w:noWrap/>
            <w:vAlign w:val="center"/>
          </w:tcPr>
          <w:p w14:paraId="71CB51ED">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账面余额 </w:t>
            </w:r>
          </w:p>
        </w:tc>
        <w:tc>
          <w:tcPr>
            <w:tcW w:w="1800" w:type="dxa"/>
            <w:tcBorders>
              <w:top w:val="nil"/>
              <w:left w:val="nil"/>
              <w:bottom w:val="single" w:color="auto" w:sz="4" w:space="0"/>
              <w:right w:val="single" w:color="auto" w:sz="4" w:space="0"/>
            </w:tcBorders>
            <w:noWrap/>
            <w:vAlign w:val="center"/>
          </w:tcPr>
          <w:p w14:paraId="6FF98F70">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 xml:space="preserve"> 坏账准备 </w:t>
            </w:r>
          </w:p>
        </w:tc>
        <w:tc>
          <w:tcPr>
            <w:tcW w:w="1218" w:type="dxa"/>
            <w:tcBorders>
              <w:top w:val="nil"/>
              <w:left w:val="nil"/>
              <w:bottom w:val="single" w:color="auto" w:sz="4" w:space="0"/>
              <w:right w:val="single" w:color="auto" w:sz="4" w:space="0"/>
            </w:tcBorders>
            <w:vAlign w:val="center"/>
          </w:tcPr>
          <w:p w14:paraId="52ABBF6C">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计提比例（%）</w:t>
            </w:r>
          </w:p>
        </w:tc>
        <w:tc>
          <w:tcPr>
            <w:tcW w:w="2381" w:type="dxa"/>
            <w:tcBorders>
              <w:top w:val="nil"/>
              <w:left w:val="nil"/>
              <w:bottom w:val="single" w:color="auto" w:sz="4" w:space="0"/>
              <w:right w:val="single" w:color="auto" w:sz="4" w:space="0"/>
            </w:tcBorders>
            <w:noWrap/>
            <w:vAlign w:val="center"/>
          </w:tcPr>
          <w:p w14:paraId="2AE87140">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计提理由</w:t>
            </w:r>
          </w:p>
        </w:tc>
      </w:tr>
      <w:tr w14:paraId="1B20ED92">
        <w:tblPrEx>
          <w:tblCellMar>
            <w:top w:w="0" w:type="dxa"/>
            <w:left w:w="108" w:type="dxa"/>
            <w:bottom w:w="0" w:type="dxa"/>
            <w:right w:w="108" w:type="dxa"/>
          </w:tblCellMar>
        </w:tblPrEx>
        <w:tc>
          <w:tcPr>
            <w:tcW w:w="1600" w:type="dxa"/>
            <w:tcBorders>
              <w:top w:val="single" w:color="auto" w:sz="4" w:space="0"/>
              <w:left w:val="single" w:color="auto" w:sz="4" w:space="0"/>
              <w:bottom w:val="single" w:color="auto" w:sz="4" w:space="0"/>
              <w:right w:val="single" w:color="auto" w:sz="4" w:space="0"/>
            </w:tcBorders>
            <w:noWrap/>
            <w:vAlign w:val="center"/>
          </w:tcPr>
          <w:p w14:paraId="10F62916">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重庆市财政局</w:t>
            </w:r>
          </w:p>
        </w:tc>
        <w:tc>
          <w:tcPr>
            <w:tcW w:w="1790" w:type="dxa"/>
            <w:tcBorders>
              <w:top w:val="nil"/>
              <w:left w:val="nil"/>
              <w:bottom w:val="single" w:color="auto" w:sz="4" w:space="0"/>
              <w:right w:val="single" w:color="auto" w:sz="4" w:space="0"/>
            </w:tcBorders>
            <w:noWrap/>
            <w:vAlign w:val="center"/>
          </w:tcPr>
          <w:p w14:paraId="3FAC10B0">
            <w:pPr>
              <w:jc w:val="right"/>
            </w:pPr>
            <w:r>
              <w:rPr>
                <w:rFonts w:hint="eastAsia"/>
              </w:rPr>
              <w:t>383,512,209.25</w:t>
            </w:r>
          </w:p>
        </w:tc>
        <w:tc>
          <w:tcPr>
            <w:tcW w:w="1800" w:type="dxa"/>
            <w:tcBorders>
              <w:top w:val="nil"/>
              <w:left w:val="nil"/>
              <w:bottom w:val="single" w:color="auto" w:sz="4" w:space="0"/>
              <w:right w:val="single" w:color="auto" w:sz="4" w:space="0"/>
            </w:tcBorders>
            <w:noWrap/>
            <w:vAlign w:val="center"/>
          </w:tcPr>
          <w:p w14:paraId="617E5D3B">
            <w:pPr>
              <w:jc w:val="right"/>
            </w:pPr>
            <w:r>
              <w:rPr>
                <w:rFonts w:hint="eastAsia"/>
              </w:rPr>
              <w:t>291,715,814.40</w:t>
            </w:r>
          </w:p>
        </w:tc>
        <w:tc>
          <w:tcPr>
            <w:tcW w:w="1218" w:type="dxa"/>
            <w:tcBorders>
              <w:top w:val="nil"/>
              <w:left w:val="nil"/>
              <w:bottom w:val="single" w:color="auto" w:sz="4" w:space="0"/>
              <w:right w:val="single" w:color="auto" w:sz="4" w:space="0"/>
            </w:tcBorders>
            <w:noWrap/>
            <w:vAlign w:val="center"/>
          </w:tcPr>
          <w:p w14:paraId="2CE5F4C6">
            <w:pPr>
              <w:jc w:val="center"/>
            </w:pPr>
            <w:r>
              <w:rPr>
                <w:rFonts w:hint="eastAsia"/>
              </w:rPr>
              <w:t>76.06</w:t>
            </w:r>
          </w:p>
        </w:tc>
        <w:tc>
          <w:tcPr>
            <w:tcW w:w="2381" w:type="dxa"/>
            <w:tcBorders>
              <w:top w:val="nil"/>
              <w:left w:val="nil"/>
              <w:bottom w:val="single" w:color="auto" w:sz="4" w:space="0"/>
              <w:right w:val="single" w:color="auto" w:sz="4" w:space="0"/>
            </w:tcBorders>
            <w:vAlign w:val="center"/>
          </w:tcPr>
          <w:p w14:paraId="36125080">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计提部分预计不能收回</w:t>
            </w:r>
          </w:p>
        </w:tc>
      </w:tr>
      <w:tr w14:paraId="2CDF9DE8">
        <w:tblPrEx>
          <w:tblCellMar>
            <w:top w:w="0" w:type="dxa"/>
            <w:left w:w="108" w:type="dxa"/>
            <w:bottom w:w="0" w:type="dxa"/>
            <w:right w:w="108" w:type="dxa"/>
          </w:tblCellMar>
        </w:tblPrEx>
        <w:tc>
          <w:tcPr>
            <w:tcW w:w="1600" w:type="dxa"/>
            <w:tcBorders>
              <w:top w:val="nil"/>
              <w:left w:val="single" w:color="auto" w:sz="4" w:space="0"/>
              <w:bottom w:val="single" w:color="auto" w:sz="4" w:space="0"/>
              <w:right w:val="single" w:color="auto" w:sz="4" w:space="0"/>
            </w:tcBorders>
            <w:noWrap/>
            <w:vAlign w:val="center"/>
          </w:tcPr>
          <w:p w14:paraId="381B7F77">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其他</w:t>
            </w:r>
          </w:p>
        </w:tc>
        <w:tc>
          <w:tcPr>
            <w:tcW w:w="1790" w:type="dxa"/>
            <w:tcBorders>
              <w:top w:val="nil"/>
              <w:left w:val="nil"/>
              <w:bottom w:val="single" w:color="auto" w:sz="4" w:space="0"/>
              <w:right w:val="single" w:color="auto" w:sz="4" w:space="0"/>
            </w:tcBorders>
            <w:noWrap/>
            <w:vAlign w:val="center"/>
          </w:tcPr>
          <w:p w14:paraId="14F48810">
            <w:pPr>
              <w:jc w:val="right"/>
            </w:pPr>
            <w:r>
              <w:rPr>
                <w:rFonts w:hint="eastAsia"/>
              </w:rPr>
              <w:t>3,504,004.98</w:t>
            </w:r>
          </w:p>
        </w:tc>
        <w:tc>
          <w:tcPr>
            <w:tcW w:w="1800" w:type="dxa"/>
            <w:tcBorders>
              <w:top w:val="nil"/>
              <w:left w:val="nil"/>
              <w:bottom w:val="single" w:color="auto" w:sz="4" w:space="0"/>
              <w:right w:val="single" w:color="auto" w:sz="4" w:space="0"/>
            </w:tcBorders>
            <w:noWrap/>
            <w:vAlign w:val="center"/>
          </w:tcPr>
          <w:p w14:paraId="55077E1F">
            <w:pPr>
              <w:jc w:val="right"/>
            </w:pPr>
            <w:r>
              <w:rPr>
                <w:rFonts w:hint="eastAsia"/>
              </w:rPr>
              <w:t>3,504,004.98</w:t>
            </w:r>
          </w:p>
        </w:tc>
        <w:tc>
          <w:tcPr>
            <w:tcW w:w="1218" w:type="dxa"/>
            <w:tcBorders>
              <w:top w:val="nil"/>
              <w:left w:val="nil"/>
              <w:bottom w:val="single" w:color="auto" w:sz="4" w:space="0"/>
              <w:right w:val="single" w:color="auto" w:sz="4" w:space="0"/>
            </w:tcBorders>
            <w:noWrap/>
            <w:vAlign w:val="center"/>
          </w:tcPr>
          <w:p w14:paraId="4EAB5886">
            <w:pPr>
              <w:jc w:val="center"/>
            </w:pPr>
            <w:r>
              <w:rPr>
                <w:rFonts w:hint="eastAsia"/>
              </w:rPr>
              <w:t>100.00</w:t>
            </w:r>
          </w:p>
        </w:tc>
        <w:tc>
          <w:tcPr>
            <w:tcW w:w="2381" w:type="dxa"/>
            <w:tcBorders>
              <w:top w:val="nil"/>
              <w:left w:val="nil"/>
              <w:bottom w:val="single" w:color="auto" w:sz="4" w:space="0"/>
              <w:right w:val="single" w:color="auto" w:sz="4" w:space="0"/>
            </w:tcBorders>
            <w:noWrap/>
            <w:vAlign w:val="center"/>
          </w:tcPr>
          <w:p w14:paraId="76D4B8F6">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预计无法收回</w:t>
            </w:r>
          </w:p>
        </w:tc>
      </w:tr>
      <w:tr w14:paraId="2BF52337">
        <w:tblPrEx>
          <w:tblCellMar>
            <w:top w:w="0" w:type="dxa"/>
            <w:left w:w="108" w:type="dxa"/>
            <w:bottom w:w="0" w:type="dxa"/>
            <w:right w:w="108" w:type="dxa"/>
          </w:tblCellMar>
        </w:tblPrEx>
        <w:tc>
          <w:tcPr>
            <w:tcW w:w="1600" w:type="dxa"/>
            <w:tcBorders>
              <w:top w:val="nil"/>
              <w:left w:val="single" w:color="auto" w:sz="4" w:space="0"/>
              <w:bottom w:val="single" w:color="auto" w:sz="4" w:space="0"/>
              <w:right w:val="single" w:color="auto" w:sz="4" w:space="0"/>
            </w:tcBorders>
            <w:noWrap/>
            <w:vAlign w:val="center"/>
          </w:tcPr>
          <w:p w14:paraId="3EBCA465">
            <w:pPr>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合计</w:t>
            </w:r>
          </w:p>
        </w:tc>
        <w:tc>
          <w:tcPr>
            <w:tcW w:w="1790" w:type="dxa"/>
            <w:tcBorders>
              <w:top w:val="nil"/>
              <w:left w:val="nil"/>
              <w:bottom w:val="single" w:color="auto" w:sz="4" w:space="0"/>
              <w:right w:val="single" w:color="auto" w:sz="4" w:space="0"/>
            </w:tcBorders>
            <w:noWrap/>
            <w:vAlign w:val="center"/>
          </w:tcPr>
          <w:p w14:paraId="1E8FC258">
            <w:pPr>
              <w:jc w:val="right"/>
            </w:pPr>
            <w:r>
              <w:rPr>
                <w:rFonts w:hint="eastAsia"/>
              </w:rPr>
              <w:t>387,016,214.23</w:t>
            </w:r>
          </w:p>
        </w:tc>
        <w:tc>
          <w:tcPr>
            <w:tcW w:w="1800" w:type="dxa"/>
            <w:tcBorders>
              <w:top w:val="nil"/>
              <w:left w:val="nil"/>
              <w:bottom w:val="single" w:color="auto" w:sz="4" w:space="0"/>
              <w:right w:val="single" w:color="auto" w:sz="4" w:space="0"/>
            </w:tcBorders>
            <w:noWrap/>
            <w:vAlign w:val="center"/>
          </w:tcPr>
          <w:p w14:paraId="63183F30">
            <w:pPr>
              <w:jc w:val="right"/>
            </w:pPr>
            <w:r>
              <w:rPr>
                <w:rFonts w:hint="eastAsia"/>
              </w:rPr>
              <w:t>295,219,819.38</w:t>
            </w:r>
          </w:p>
        </w:tc>
        <w:tc>
          <w:tcPr>
            <w:tcW w:w="1218" w:type="dxa"/>
            <w:tcBorders>
              <w:top w:val="nil"/>
              <w:left w:val="nil"/>
              <w:bottom w:val="single" w:color="auto" w:sz="4" w:space="0"/>
              <w:right w:val="single" w:color="auto" w:sz="4" w:space="0"/>
            </w:tcBorders>
            <w:noWrap/>
            <w:vAlign w:val="center"/>
          </w:tcPr>
          <w:p w14:paraId="7C8789B0">
            <w:pPr>
              <w:jc w:val="center"/>
            </w:pPr>
            <w:r>
              <w:rPr>
                <w:rFonts w:hint="eastAsia"/>
              </w:rPr>
              <w:t>76.28</w:t>
            </w:r>
          </w:p>
        </w:tc>
        <w:tc>
          <w:tcPr>
            <w:tcW w:w="2381" w:type="dxa"/>
            <w:tcBorders>
              <w:top w:val="nil"/>
              <w:left w:val="nil"/>
              <w:bottom w:val="single" w:color="auto" w:sz="4" w:space="0"/>
              <w:right w:val="single" w:color="auto" w:sz="4" w:space="0"/>
            </w:tcBorders>
            <w:noWrap/>
            <w:vAlign w:val="center"/>
          </w:tcPr>
          <w:p w14:paraId="0C070D2F">
            <w:pPr>
              <w:jc w:val="center"/>
              <w:rPr>
                <w:rFonts w:ascii="宋体" w:hAnsi="宋体" w:cs="Noto Sans CJK JP Regular"/>
                <w:color w:val="000000" w:themeColor="text1"/>
                <w14:textFill>
                  <w14:solidFill>
                    <w14:schemeClr w14:val="tx1"/>
                  </w14:solidFill>
                </w14:textFill>
              </w:rPr>
            </w:pPr>
          </w:p>
        </w:tc>
      </w:tr>
    </w:tbl>
    <w:p w14:paraId="1BDC2FD3"/>
    <w:p w14:paraId="5CC75F98">
      <w:pPr>
        <w:autoSpaceDE w:val="0"/>
        <w:autoSpaceDN w:val="0"/>
        <w:adjustRightInd w:val="0"/>
        <w:spacing w:line="360" w:lineRule="auto"/>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按组合计提坏账准备的其他应收款</w:t>
      </w:r>
    </w:p>
    <w:p w14:paraId="647B029C">
      <w:pPr>
        <w:autoSpaceDE w:val="0"/>
        <w:autoSpaceDN w:val="0"/>
        <w:adjustRightInd w:val="0"/>
        <w:spacing w:line="360" w:lineRule="auto"/>
        <w:ind w:right="105" w:rightChars="50"/>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 xml:space="preserve"> 低风险</w:t>
      </w:r>
      <w:r>
        <w:rPr>
          <w:color w:val="000000" w:themeColor="text1"/>
          <w14:textFill>
            <w14:solidFill>
              <w14:schemeClr w14:val="tx1"/>
            </w14:solidFill>
          </w14:textFill>
        </w:rPr>
        <w:t>组合</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2259"/>
        <w:gridCol w:w="2170"/>
        <w:gridCol w:w="2446"/>
      </w:tblGrid>
      <w:tr w14:paraId="212C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201" w:type="pct"/>
            <w:vMerge w:val="restart"/>
            <w:vAlign w:val="center"/>
          </w:tcPr>
          <w:p w14:paraId="01B0B9F6">
            <w:pPr>
              <w:widowControl/>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组合</w:t>
            </w:r>
          </w:p>
        </w:tc>
        <w:tc>
          <w:tcPr>
            <w:tcW w:w="3798" w:type="pct"/>
            <w:gridSpan w:val="3"/>
            <w:vAlign w:val="center"/>
          </w:tcPr>
          <w:p w14:paraId="1FD7B07D">
            <w:pPr>
              <w:widowControl/>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期末余额</w:t>
            </w:r>
          </w:p>
        </w:tc>
      </w:tr>
      <w:tr w14:paraId="5C5A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201" w:type="pct"/>
            <w:vMerge w:val="continue"/>
            <w:vAlign w:val="center"/>
          </w:tcPr>
          <w:p w14:paraId="68684897">
            <w:pPr>
              <w:widowControl/>
              <w:jc w:val="center"/>
              <w:rPr>
                <w:rFonts w:ascii="宋体" w:hAnsi="宋体" w:cs="Noto Sans CJK JP Regular"/>
                <w:color w:val="000000" w:themeColor="text1"/>
                <w14:textFill>
                  <w14:solidFill>
                    <w14:schemeClr w14:val="tx1"/>
                  </w14:solidFill>
                </w14:textFill>
              </w:rPr>
            </w:pPr>
          </w:p>
        </w:tc>
        <w:tc>
          <w:tcPr>
            <w:tcW w:w="1248" w:type="pct"/>
            <w:vAlign w:val="center"/>
          </w:tcPr>
          <w:p w14:paraId="6ECA4D2E">
            <w:pPr>
              <w:widowControl/>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账面余额</w:t>
            </w:r>
          </w:p>
        </w:tc>
        <w:tc>
          <w:tcPr>
            <w:tcW w:w="1199" w:type="pct"/>
            <w:vAlign w:val="center"/>
          </w:tcPr>
          <w:p w14:paraId="41A77A82">
            <w:pPr>
              <w:widowControl/>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坏账准备</w:t>
            </w:r>
          </w:p>
        </w:tc>
        <w:tc>
          <w:tcPr>
            <w:tcW w:w="1350" w:type="pct"/>
            <w:vAlign w:val="center"/>
          </w:tcPr>
          <w:p w14:paraId="4F585501">
            <w:pPr>
              <w:widowControl/>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计提比例（%）</w:t>
            </w:r>
          </w:p>
        </w:tc>
      </w:tr>
      <w:tr w14:paraId="7910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01" w:type="pct"/>
            <w:vAlign w:val="center"/>
          </w:tcPr>
          <w:p w14:paraId="57B2D023">
            <w:pPr>
              <w:widowControl/>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低风险组合</w:t>
            </w:r>
          </w:p>
        </w:tc>
        <w:tc>
          <w:tcPr>
            <w:tcW w:w="1248" w:type="pct"/>
            <w:vAlign w:val="center"/>
          </w:tcPr>
          <w:p w14:paraId="501A4E0E">
            <w:pPr>
              <w:widowControl/>
              <w:jc w:val="right"/>
              <w:textAlignment w:val="center"/>
            </w:pPr>
            <w:r>
              <w:t>48,145,682.32</w:t>
            </w:r>
          </w:p>
        </w:tc>
        <w:tc>
          <w:tcPr>
            <w:tcW w:w="1199" w:type="pct"/>
            <w:vAlign w:val="center"/>
          </w:tcPr>
          <w:p w14:paraId="41612F70">
            <w:pPr>
              <w:widowControl/>
              <w:jc w:val="both"/>
              <w:textAlignment w:val="center"/>
            </w:pPr>
          </w:p>
        </w:tc>
        <w:tc>
          <w:tcPr>
            <w:tcW w:w="1350" w:type="pct"/>
            <w:vAlign w:val="center"/>
          </w:tcPr>
          <w:p w14:paraId="72F80694">
            <w:pPr>
              <w:widowControl/>
              <w:jc w:val="both"/>
            </w:pPr>
          </w:p>
        </w:tc>
      </w:tr>
      <w:tr w14:paraId="603E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01" w:type="pct"/>
            <w:vAlign w:val="center"/>
          </w:tcPr>
          <w:p w14:paraId="543FD63A">
            <w:pPr>
              <w:widowControl/>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合计</w:t>
            </w:r>
          </w:p>
        </w:tc>
        <w:tc>
          <w:tcPr>
            <w:tcW w:w="1248" w:type="pct"/>
            <w:vAlign w:val="center"/>
          </w:tcPr>
          <w:p w14:paraId="76B5EF65">
            <w:pPr>
              <w:widowControl/>
              <w:jc w:val="right"/>
              <w:textAlignment w:val="center"/>
            </w:pPr>
            <w:r>
              <w:t>48,145,682.32</w:t>
            </w:r>
          </w:p>
        </w:tc>
        <w:tc>
          <w:tcPr>
            <w:tcW w:w="1199" w:type="pct"/>
            <w:vAlign w:val="center"/>
          </w:tcPr>
          <w:p w14:paraId="50987490">
            <w:pPr>
              <w:widowControl/>
              <w:jc w:val="both"/>
              <w:textAlignment w:val="center"/>
            </w:pPr>
          </w:p>
        </w:tc>
        <w:tc>
          <w:tcPr>
            <w:tcW w:w="1350" w:type="pct"/>
            <w:vAlign w:val="center"/>
          </w:tcPr>
          <w:p w14:paraId="004D631D">
            <w:pPr>
              <w:widowControl/>
              <w:jc w:val="both"/>
              <w:textAlignment w:val="bottom"/>
            </w:pPr>
          </w:p>
        </w:tc>
      </w:tr>
    </w:tbl>
    <w:p w14:paraId="346DDEEF"/>
    <w:p w14:paraId="1FDF030C">
      <w:pPr>
        <w:autoSpaceDE w:val="0"/>
        <w:autoSpaceDN w:val="0"/>
        <w:adjustRightInd w:val="0"/>
        <w:ind w:right="105" w:rightChars="50"/>
        <w:rPr>
          <w:color w:val="000000" w:themeColor="text1"/>
          <w14:textFill>
            <w14:solidFill>
              <w14:schemeClr w14:val="tx1"/>
            </w14:solidFill>
          </w14:textFill>
        </w:rPr>
      </w:pPr>
      <w:r>
        <w:rPr>
          <w:color w:val="000000" w:themeColor="text1"/>
          <w14:textFill>
            <w14:solidFill>
              <w14:schemeClr w14:val="tx1"/>
            </w14:solidFill>
          </w14:textFill>
        </w:rPr>
        <w:t>b.</w:t>
      </w:r>
      <w:r>
        <w:rPr>
          <w:rFonts w:hint="eastAsia"/>
          <w:color w:val="000000" w:themeColor="text1"/>
          <w14:textFill>
            <w14:solidFill>
              <w14:schemeClr w14:val="tx1"/>
            </w14:solidFill>
          </w14:textFill>
        </w:rPr>
        <w:t xml:space="preserve"> 账龄</w:t>
      </w:r>
      <w:r>
        <w:rPr>
          <w:color w:val="000000" w:themeColor="text1"/>
          <w14:textFill>
            <w14:solidFill>
              <w14:schemeClr w14:val="tx1"/>
            </w14:solidFill>
          </w14:textFill>
        </w:rPr>
        <w:t>组合</w:t>
      </w:r>
    </w:p>
    <w:tbl>
      <w:tblPr>
        <w:tblStyle w:val="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1944"/>
        <w:gridCol w:w="1815"/>
        <w:gridCol w:w="2239"/>
      </w:tblGrid>
      <w:tr w14:paraId="495D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686" w:type="pct"/>
            <w:vMerge w:val="restart"/>
            <w:vAlign w:val="center"/>
          </w:tcPr>
          <w:p w14:paraId="43A5A220">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账龄</w:t>
            </w:r>
          </w:p>
        </w:tc>
        <w:tc>
          <w:tcPr>
            <w:tcW w:w="3314" w:type="pct"/>
            <w:gridSpan w:val="3"/>
            <w:vAlign w:val="center"/>
          </w:tcPr>
          <w:p w14:paraId="4262D8E2">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期末余额</w:t>
            </w:r>
          </w:p>
        </w:tc>
      </w:tr>
      <w:tr w14:paraId="1E48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686" w:type="pct"/>
            <w:vMerge w:val="continue"/>
            <w:vAlign w:val="center"/>
          </w:tcPr>
          <w:p w14:paraId="55A1058E">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p>
        </w:tc>
        <w:tc>
          <w:tcPr>
            <w:tcW w:w="1074" w:type="pct"/>
            <w:vAlign w:val="center"/>
          </w:tcPr>
          <w:p w14:paraId="38B02168">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账面余额</w:t>
            </w:r>
          </w:p>
        </w:tc>
        <w:tc>
          <w:tcPr>
            <w:tcW w:w="1003" w:type="pct"/>
            <w:vAlign w:val="center"/>
          </w:tcPr>
          <w:p w14:paraId="57DCC6B7">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坏账准备</w:t>
            </w:r>
          </w:p>
        </w:tc>
        <w:tc>
          <w:tcPr>
            <w:tcW w:w="1237" w:type="pct"/>
            <w:vAlign w:val="center"/>
          </w:tcPr>
          <w:p w14:paraId="1FD2FDBC">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计提比例（%）</w:t>
            </w:r>
          </w:p>
        </w:tc>
      </w:tr>
      <w:tr w14:paraId="7E9F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14:paraId="3E6BCC9A">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0-6个月（含6月）</w:t>
            </w:r>
          </w:p>
        </w:tc>
        <w:tc>
          <w:tcPr>
            <w:tcW w:w="1074" w:type="pct"/>
            <w:vAlign w:val="center"/>
          </w:tcPr>
          <w:p w14:paraId="0E2937B5">
            <w:pPr>
              <w:widowControl w:val="0"/>
              <w:jc w:val="right"/>
            </w:pPr>
            <w:r>
              <w:rPr>
                <w:rFonts w:hint="eastAsia"/>
              </w:rPr>
              <w:t>18,370,926.42</w:t>
            </w:r>
          </w:p>
        </w:tc>
        <w:tc>
          <w:tcPr>
            <w:tcW w:w="1003" w:type="pct"/>
            <w:vAlign w:val="center"/>
          </w:tcPr>
          <w:p w14:paraId="1FE06FD3">
            <w:pPr>
              <w:widowControl w:val="0"/>
              <w:jc w:val="right"/>
            </w:pPr>
          </w:p>
        </w:tc>
        <w:tc>
          <w:tcPr>
            <w:tcW w:w="1237" w:type="pct"/>
            <w:vAlign w:val="center"/>
          </w:tcPr>
          <w:p w14:paraId="7FA062EE">
            <w:pPr>
              <w:widowControl w:val="0"/>
              <w:jc w:val="center"/>
            </w:pPr>
          </w:p>
        </w:tc>
      </w:tr>
      <w:tr w14:paraId="4C77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14:paraId="1238DB59">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6个月-1年（含1年）</w:t>
            </w:r>
          </w:p>
        </w:tc>
        <w:tc>
          <w:tcPr>
            <w:tcW w:w="1074" w:type="pct"/>
            <w:vAlign w:val="center"/>
          </w:tcPr>
          <w:p w14:paraId="0C47F654">
            <w:pPr>
              <w:widowControl w:val="0"/>
              <w:jc w:val="right"/>
            </w:pPr>
            <w:r>
              <w:rPr>
                <w:rFonts w:hint="eastAsia"/>
              </w:rPr>
              <w:t>1,998,747.31</w:t>
            </w:r>
          </w:p>
        </w:tc>
        <w:tc>
          <w:tcPr>
            <w:tcW w:w="1003" w:type="pct"/>
            <w:vAlign w:val="center"/>
          </w:tcPr>
          <w:p w14:paraId="01870C37">
            <w:pPr>
              <w:widowControl w:val="0"/>
              <w:jc w:val="right"/>
            </w:pPr>
            <w:r>
              <w:rPr>
                <w:rFonts w:hint="eastAsia"/>
              </w:rPr>
              <w:t>99,937.37</w:t>
            </w:r>
          </w:p>
        </w:tc>
        <w:tc>
          <w:tcPr>
            <w:tcW w:w="1237" w:type="pct"/>
            <w:vAlign w:val="center"/>
          </w:tcPr>
          <w:p w14:paraId="0DEAB5FA">
            <w:pPr>
              <w:widowControl w:val="0"/>
              <w:jc w:val="center"/>
            </w:pPr>
            <w:r>
              <w:rPr>
                <w:rFonts w:hint="eastAsia"/>
              </w:rPr>
              <w:t>5.00</w:t>
            </w:r>
          </w:p>
        </w:tc>
      </w:tr>
      <w:tr w14:paraId="3E80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14:paraId="440BE402">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1-2年（含2年）</w:t>
            </w:r>
          </w:p>
        </w:tc>
        <w:tc>
          <w:tcPr>
            <w:tcW w:w="1074" w:type="pct"/>
            <w:vAlign w:val="center"/>
          </w:tcPr>
          <w:p w14:paraId="55596DAB">
            <w:pPr>
              <w:widowControl w:val="0"/>
              <w:jc w:val="right"/>
            </w:pPr>
            <w:r>
              <w:rPr>
                <w:rFonts w:hint="eastAsia"/>
              </w:rPr>
              <w:t>16,809,998.58</w:t>
            </w:r>
          </w:p>
        </w:tc>
        <w:tc>
          <w:tcPr>
            <w:tcW w:w="1003" w:type="pct"/>
            <w:vAlign w:val="center"/>
          </w:tcPr>
          <w:p w14:paraId="66C6B11E">
            <w:pPr>
              <w:widowControl w:val="0"/>
              <w:jc w:val="right"/>
            </w:pPr>
            <w:r>
              <w:rPr>
                <w:rFonts w:hint="eastAsia"/>
              </w:rPr>
              <w:t>1,680,999.86</w:t>
            </w:r>
          </w:p>
        </w:tc>
        <w:tc>
          <w:tcPr>
            <w:tcW w:w="1237" w:type="pct"/>
            <w:vAlign w:val="center"/>
          </w:tcPr>
          <w:p w14:paraId="40C6E85A">
            <w:pPr>
              <w:widowControl w:val="0"/>
              <w:jc w:val="center"/>
            </w:pPr>
            <w:r>
              <w:rPr>
                <w:rFonts w:hint="eastAsia"/>
              </w:rPr>
              <w:t>10.00</w:t>
            </w:r>
          </w:p>
        </w:tc>
      </w:tr>
      <w:tr w14:paraId="28B8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14:paraId="004CD562">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2-3年（含3年）</w:t>
            </w:r>
          </w:p>
        </w:tc>
        <w:tc>
          <w:tcPr>
            <w:tcW w:w="1074" w:type="pct"/>
            <w:vAlign w:val="center"/>
          </w:tcPr>
          <w:p w14:paraId="321A3767">
            <w:pPr>
              <w:widowControl w:val="0"/>
              <w:jc w:val="right"/>
            </w:pPr>
            <w:r>
              <w:rPr>
                <w:rFonts w:hint="eastAsia"/>
              </w:rPr>
              <w:t>1,269,100.29</w:t>
            </w:r>
          </w:p>
        </w:tc>
        <w:tc>
          <w:tcPr>
            <w:tcW w:w="1003" w:type="pct"/>
            <w:vAlign w:val="center"/>
          </w:tcPr>
          <w:p w14:paraId="6C6C3A9C">
            <w:pPr>
              <w:widowControl w:val="0"/>
              <w:jc w:val="right"/>
            </w:pPr>
            <w:r>
              <w:rPr>
                <w:rFonts w:hint="eastAsia"/>
              </w:rPr>
              <w:t>380,730.09</w:t>
            </w:r>
          </w:p>
        </w:tc>
        <w:tc>
          <w:tcPr>
            <w:tcW w:w="1237" w:type="pct"/>
            <w:vAlign w:val="center"/>
          </w:tcPr>
          <w:p w14:paraId="1F1CDE51">
            <w:pPr>
              <w:widowControl w:val="0"/>
              <w:jc w:val="center"/>
            </w:pPr>
            <w:r>
              <w:rPr>
                <w:rFonts w:hint="eastAsia"/>
              </w:rPr>
              <w:t>30.00</w:t>
            </w:r>
          </w:p>
        </w:tc>
      </w:tr>
      <w:tr w14:paraId="0735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14:paraId="1D828B09">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3-4年（含4年）</w:t>
            </w:r>
          </w:p>
        </w:tc>
        <w:tc>
          <w:tcPr>
            <w:tcW w:w="1074" w:type="pct"/>
            <w:vAlign w:val="center"/>
          </w:tcPr>
          <w:p w14:paraId="1DBEF00E">
            <w:pPr>
              <w:widowControl w:val="0"/>
              <w:jc w:val="right"/>
            </w:pPr>
            <w:r>
              <w:rPr>
                <w:rFonts w:hint="eastAsia"/>
              </w:rPr>
              <w:t>9,929,246.83</w:t>
            </w:r>
          </w:p>
        </w:tc>
        <w:tc>
          <w:tcPr>
            <w:tcW w:w="1003" w:type="pct"/>
            <w:vAlign w:val="center"/>
          </w:tcPr>
          <w:p w14:paraId="5D7363FF">
            <w:pPr>
              <w:widowControl w:val="0"/>
              <w:jc w:val="right"/>
            </w:pPr>
            <w:r>
              <w:rPr>
                <w:rFonts w:hint="eastAsia"/>
              </w:rPr>
              <w:t>4,964,623.42</w:t>
            </w:r>
          </w:p>
        </w:tc>
        <w:tc>
          <w:tcPr>
            <w:tcW w:w="1237" w:type="pct"/>
            <w:vAlign w:val="center"/>
          </w:tcPr>
          <w:p w14:paraId="56314EEC">
            <w:pPr>
              <w:widowControl w:val="0"/>
              <w:jc w:val="center"/>
            </w:pPr>
            <w:r>
              <w:rPr>
                <w:rFonts w:hint="eastAsia"/>
              </w:rPr>
              <w:t>50.00</w:t>
            </w:r>
          </w:p>
        </w:tc>
      </w:tr>
      <w:tr w14:paraId="2877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14:paraId="6B30F50A">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4-5年（含5年）</w:t>
            </w:r>
          </w:p>
        </w:tc>
        <w:tc>
          <w:tcPr>
            <w:tcW w:w="1074" w:type="pct"/>
            <w:vAlign w:val="center"/>
          </w:tcPr>
          <w:p w14:paraId="7B972701">
            <w:pPr>
              <w:widowControl w:val="0"/>
              <w:jc w:val="right"/>
            </w:pPr>
            <w:r>
              <w:rPr>
                <w:rFonts w:hint="eastAsia"/>
              </w:rPr>
              <w:t>12,288,976.62</w:t>
            </w:r>
          </w:p>
        </w:tc>
        <w:tc>
          <w:tcPr>
            <w:tcW w:w="1003" w:type="pct"/>
            <w:vAlign w:val="center"/>
          </w:tcPr>
          <w:p w14:paraId="7E9C28CE">
            <w:pPr>
              <w:widowControl w:val="0"/>
              <w:jc w:val="right"/>
            </w:pPr>
            <w:r>
              <w:rPr>
                <w:rFonts w:hint="eastAsia"/>
              </w:rPr>
              <w:t>9,831,181.31</w:t>
            </w:r>
          </w:p>
        </w:tc>
        <w:tc>
          <w:tcPr>
            <w:tcW w:w="1237" w:type="pct"/>
            <w:vAlign w:val="center"/>
          </w:tcPr>
          <w:p w14:paraId="7DADF832">
            <w:pPr>
              <w:widowControl w:val="0"/>
              <w:jc w:val="center"/>
            </w:pPr>
            <w:r>
              <w:rPr>
                <w:rFonts w:hint="eastAsia"/>
              </w:rPr>
              <w:t>80.00</w:t>
            </w:r>
          </w:p>
        </w:tc>
      </w:tr>
      <w:tr w14:paraId="5F8B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14:paraId="4E54DEC6">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5年以上</w:t>
            </w:r>
          </w:p>
        </w:tc>
        <w:tc>
          <w:tcPr>
            <w:tcW w:w="1074" w:type="pct"/>
            <w:vAlign w:val="center"/>
          </w:tcPr>
          <w:p w14:paraId="70425A00">
            <w:pPr>
              <w:widowControl w:val="0"/>
              <w:jc w:val="right"/>
            </w:pPr>
            <w:r>
              <w:rPr>
                <w:rFonts w:hint="eastAsia"/>
              </w:rPr>
              <w:t>12,174,343.87</w:t>
            </w:r>
          </w:p>
        </w:tc>
        <w:tc>
          <w:tcPr>
            <w:tcW w:w="1003" w:type="pct"/>
            <w:vAlign w:val="center"/>
          </w:tcPr>
          <w:p w14:paraId="2C10433E">
            <w:pPr>
              <w:widowControl w:val="0"/>
              <w:jc w:val="right"/>
            </w:pPr>
            <w:r>
              <w:rPr>
                <w:rFonts w:hint="eastAsia"/>
              </w:rPr>
              <w:t>12,174,343.87</w:t>
            </w:r>
          </w:p>
        </w:tc>
        <w:tc>
          <w:tcPr>
            <w:tcW w:w="1237" w:type="pct"/>
            <w:vAlign w:val="center"/>
          </w:tcPr>
          <w:p w14:paraId="2F30EE74">
            <w:pPr>
              <w:widowControl w:val="0"/>
              <w:jc w:val="center"/>
            </w:pPr>
            <w:r>
              <w:rPr>
                <w:rFonts w:hint="eastAsia"/>
              </w:rPr>
              <w:t>100.00</w:t>
            </w:r>
          </w:p>
        </w:tc>
      </w:tr>
      <w:tr w14:paraId="3F2B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14:paraId="1BDF56A3">
            <w:pPr>
              <w:widowControl w:val="0"/>
              <w:adjustRightInd w:val="0"/>
              <w:snapToGrid w:val="0"/>
              <w:spacing w:line="360" w:lineRule="exact"/>
              <w:jc w:val="center"/>
              <w:rPr>
                <w:rFonts w:ascii="宋体" w:hAnsi="宋体" w:cs="Noto Sans CJK JP Regular"/>
                <w:color w:val="000000" w:themeColor="text1"/>
                <w14:textFill>
                  <w14:solidFill>
                    <w14:schemeClr w14:val="tx1"/>
                  </w14:solidFill>
                </w14:textFill>
              </w:rPr>
            </w:pPr>
            <w:r>
              <w:rPr>
                <w:rFonts w:hint="eastAsia" w:ascii="宋体" w:hAnsi="宋体" w:cs="Noto Sans CJK JP Regular"/>
                <w:color w:val="000000" w:themeColor="text1"/>
                <w14:textFill>
                  <w14:solidFill>
                    <w14:schemeClr w14:val="tx1"/>
                  </w14:solidFill>
                </w14:textFill>
              </w:rPr>
              <w:t>合计</w:t>
            </w:r>
          </w:p>
        </w:tc>
        <w:tc>
          <w:tcPr>
            <w:tcW w:w="1074" w:type="pct"/>
            <w:vAlign w:val="center"/>
          </w:tcPr>
          <w:p w14:paraId="7801BA10">
            <w:pPr>
              <w:widowControl w:val="0"/>
              <w:jc w:val="right"/>
            </w:pPr>
            <w:r>
              <w:rPr>
                <w:rFonts w:hint="eastAsia"/>
              </w:rPr>
              <w:t>72,841,339.92</w:t>
            </w:r>
          </w:p>
        </w:tc>
        <w:tc>
          <w:tcPr>
            <w:tcW w:w="1003" w:type="pct"/>
            <w:vAlign w:val="center"/>
          </w:tcPr>
          <w:p w14:paraId="024A7768">
            <w:pPr>
              <w:widowControl w:val="0"/>
              <w:jc w:val="right"/>
            </w:pPr>
            <w:r>
              <w:rPr>
                <w:rFonts w:hint="eastAsia"/>
              </w:rPr>
              <w:t>29,131,815.92</w:t>
            </w:r>
          </w:p>
        </w:tc>
        <w:tc>
          <w:tcPr>
            <w:tcW w:w="1237" w:type="pct"/>
            <w:vAlign w:val="center"/>
          </w:tcPr>
          <w:p w14:paraId="22B47DF5">
            <w:pPr>
              <w:widowControl w:val="0"/>
              <w:jc w:val="center"/>
            </w:pPr>
            <w:r>
              <w:rPr>
                <w:rFonts w:hint="eastAsia"/>
              </w:rPr>
              <w:t>39.99</w:t>
            </w:r>
          </w:p>
        </w:tc>
      </w:tr>
    </w:tbl>
    <w:p w14:paraId="62D9E29E">
      <w:pPr>
        <w:autoSpaceDE w:val="0"/>
        <w:autoSpaceDN w:val="0"/>
        <w:adjustRightInd w:val="0"/>
        <w:ind w:right="105" w:rightChars="50"/>
        <w:rPr>
          <w:color w:val="000000" w:themeColor="text1"/>
          <w14:textFill>
            <w14:solidFill>
              <w14:schemeClr w14:val="tx1"/>
            </w14:solidFill>
          </w14:textFill>
        </w:rPr>
      </w:pPr>
    </w:p>
    <w:p w14:paraId="29F60E1F">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color w:val="000000" w:themeColor="text1"/>
          <w:szCs w:val="22"/>
          <w14:textFill>
            <w14:solidFill>
              <w14:schemeClr w14:val="tx1"/>
            </w14:solidFill>
          </w14:textFill>
        </w:rPr>
        <w:alias w:val="其他应收款各阶段划分依据和坏账准备计提比例"/>
        <w:tag w:val="_GBC_db1ccc25244541ad82774f0488b4825b"/>
        <w:id w:val="1728415371"/>
        <w:placeholder>
          <w:docPart w:val="GBC22222222222222222222222222222"/>
        </w:placeholder>
      </w:sdtPr>
      <w:sdtEndPr>
        <w:rPr>
          <w:rFonts w:cs="Times New Roman"/>
          <w:bCs/>
          <w:color w:val="000000" w:themeColor="text1"/>
          <w:szCs w:val="22"/>
          <w14:textFill>
            <w14:solidFill>
              <w14:schemeClr w14:val="tx1"/>
            </w14:solidFill>
          </w14:textFill>
        </w:rPr>
      </w:sdtEndPr>
      <w:sdtContent>
        <w:p w14:paraId="57D7F5AF">
          <w:pPr>
            <w:rPr>
              <w:rFonts w:cs="Times New Roman"/>
              <w:bCs/>
              <w:color w:val="000000" w:themeColor="text1"/>
              <w:szCs w:val="22"/>
              <w14:textFill>
                <w14:solidFill>
                  <w14:schemeClr w14:val="tx1"/>
                </w14:solidFill>
              </w14:textFill>
            </w:rPr>
          </w:pPr>
          <w:r>
            <w:rPr>
              <w:rFonts w:hint="eastAsia" w:cs="Times New Roman"/>
              <w:bCs/>
              <w:color w:val="000000" w:themeColor="text1"/>
              <w:szCs w:val="22"/>
              <w14:textFill>
                <w14:solidFill>
                  <w14:schemeClr w14:val="tx1"/>
                </w14:solidFill>
              </w14:textFill>
            </w:rPr>
            <w:t>无</w:t>
          </w:r>
        </w:p>
      </w:sdtContent>
    </w:sdt>
    <w:p w14:paraId="59EF2E92">
      <w:pPr>
        <w:rPr>
          <w:color w:val="000000" w:themeColor="text1"/>
          <w14:textFill>
            <w14:solidFill>
              <w14:schemeClr w14:val="tx1"/>
            </w14:solidFill>
          </w14:textFill>
        </w:rPr>
      </w:pPr>
    </w:p>
    <w:p w14:paraId="6D52D4DA">
      <w:pPr>
        <w:pStyle w:val="73"/>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对本期发生损失准备变动的其他应收款账面余额显著变动的情况说明：</w:t>
      </w:r>
    </w:p>
    <w:sdt>
      <w:sdtPr>
        <w:rPr>
          <w:color w:val="000000" w:themeColor="text1"/>
          <w14:textFill>
            <w14:solidFill>
              <w14:schemeClr w14:val="tx1"/>
            </w14:solidFill>
          </w14:textFill>
        </w:rPr>
        <w:alias w:val="是否适用：其他应收款本期发生损失准备变动且账面余额显著变动的情况说明[双击切换]"/>
        <w:tag w:val="_GBC_32e9d68fc5194869baa30fe15720ff13"/>
        <w:id w:val="-637956981"/>
        <w:placeholder>
          <w:docPart w:val="GBC22222222222222222222222222222"/>
        </w:placeholder>
      </w:sdtPr>
      <w:sdtEndPr>
        <w:rPr>
          <w:color w:val="000000" w:themeColor="text1"/>
          <w14:textFill>
            <w14:solidFill>
              <w14:schemeClr w14:val="tx1"/>
            </w14:solidFill>
          </w14:textFill>
        </w:rPr>
      </w:sdtEndPr>
      <w:sdtContent>
        <w:p w14:paraId="7E289F2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5F4B29">
      <w:pPr>
        <w:rPr>
          <w:color w:val="000000" w:themeColor="text1"/>
          <w14:textFill>
            <w14:solidFill>
              <w14:schemeClr w14:val="tx1"/>
            </w14:solidFill>
          </w14:textFill>
        </w:rPr>
      </w:pPr>
    </w:p>
    <w:p w14:paraId="0A445AFA">
      <w:pPr>
        <w:rPr>
          <w:color w:val="000000" w:themeColor="text1"/>
          <w14:textFill>
            <w14:solidFill>
              <w14:schemeClr w14:val="tx1"/>
            </w14:solidFill>
          </w14:textFill>
        </w:rPr>
      </w:pPr>
      <w:r>
        <w:rPr>
          <w:rFonts w:hint="eastAsia"/>
          <w:color w:val="000000" w:themeColor="text1"/>
          <w14:textFill>
            <w14:solidFill>
              <w14:schemeClr w14:val="tx1"/>
            </w14:solidFill>
          </w14:textFill>
        </w:rPr>
        <w:t>本期坏账准备计提金额以及评估金融工具的信用风险是否显著增加的采用依据：</w:t>
      </w:r>
    </w:p>
    <w:sdt>
      <w:sdtPr>
        <w:rPr>
          <w:color w:val="000000" w:themeColor="text1"/>
          <w14:textFill>
            <w14:solidFill>
              <w14:schemeClr w14:val="tx1"/>
            </w14:solidFill>
          </w14:textFill>
        </w:rPr>
        <w:alias w:val="是否适用：其他应收款本期坏账准备计提金额以及评估金融工具的信用风险显著增加的采用依据[双击切换]"/>
        <w:tag w:val="_GBC_dde26fcf385445edb7b0e96dab2a2b3e"/>
        <w:id w:val="373825236"/>
        <w:placeholder>
          <w:docPart w:val="GBC22222222222222222222222222222"/>
        </w:placeholder>
      </w:sdtPr>
      <w:sdtEndPr>
        <w:rPr>
          <w:color w:val="000000" w:themeColor="text1"/>
          <w14:textFill>
            <w14:solidFill>
              <w14:schemeClr w14:val="tx1"/>
            </w14:solidFill>
          </w14:textFill>
        </w:rPr>
      </w:sdtEndPr>
      <w:sdtContent>
        <w:p w14:paraId="1966B21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3FCBBB">
      <w:pPr>
        <w:rPr>
          <w:color w:val="000000" w:themeColor="text1"/>
          <w14:textFill>
            <w14:solidFill>
              <w14:schemeClr w14:val="tx1"/>
            </w14:solidFill>
          </w14:textFill>
        </w:rPr>
      </w:pPr>
    </w:p>
    <w:bookmarkEnd w:id="211"/>
    <w:p w14:paraId="42E3FC61">
      <w:pPr>
        <w:pStyle w:val="6"/>
        <w:numPr>
          <w:ilvl w:val="0"/>
          <w:numId w:val="50"/>
        </w:numPr>
      </w:pPr>
      <w:bookmarkStart w:id="212" w:name="_Hlk10469877"/>
      <w:r>
        <w:rPr>
          <w:rFonts w:hint="eastAsia"/>
        </w:rPr>
        <w:t>坏账准备的情况</w:t>
      </w:r>
    </w:p>
    <w:sdt>
      <w:sdtPr>
        <w:rPr>
          <w:color w:val="000000" w:themeColor="text1"/>
          <w14:textFill>
            <w14:solidFill>
              <w14:schemeClr w14:val="tx1"/>
            </w14:solidFill>
          </w14:textFill>
        </w:rPr>
        <w:alias w:val="是否适用：其他应收款坏账准备[双击切换]"/>
        <w:tag w:val="_GBC_b3f4f88802a54b1da539ba2563000c5c"/>
        <w:id w:val="-173501885"/>
        <w:placeholder>
          <w:docPart w:val="GBC22222222222222222222222222222"/>
        </w:placeholder>
      </w:sdtPr>
      <w:sdtEndPr>
        <w:rPr>
          <w:color w:val="000000" w:themeColor="text1"/>
          <w14:textFill>
            <w14:solidFill>
              <w14:schemeClr w14:val="tx1"/>
            </w14:solidFill>
          </w14:textFill>
        </w:rPr>
      </w:sdtEndPr>
      <w:sdtContent>
        <w:p w14:paraId="156342A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3078FB">
      <w:pPr>
        <w:pStyle w:val="68"/>
        <w:snapToGrid w:val="0"/>
        <w:spacing w:line="240" w:lineRule="atLeast"/>
        <w:ind w:left="42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其他应收款坏账准备"/>
          <w:tag w:val="_GBC_1cb0ccc9627340bb9775e68ec1d11af7"/>
          <w:id w:val="21285832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其他应收款坏账准备"/>
          <w:tag w:val="_GBC_14d59c8ccaef434da24604201125f1f0"/>
          <w:id w:val="7792317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006"/>
        <w:gridCol w:w="1597"/>
        <w:gridCol w:w="1472"/>
        <w:gridCol w:w="865"/>
        <w:gridCol w:w="1171"/>
        <w:gridCol w:w="1371"/>
        <w:gridCol w:w="1577"/>
      </w:tblGrid>
      <w:tr w14:paraId="7158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1bfbbc8809c484e8788c004875b73f7"/>
            <w:id w:val="781381703"/>
          </w:sdtPr>
          <w:sdtContent>
            <w:tc>
              <w:tcPr>
                <w:tcW w:w="556" w:type="pct"/>
                <w:vMerge w:val="restart"/>
                <w:shd w:val="clear" w:color="auto" w:fill="FFFFFF"/>
                <w:vAlign w:val="center"/>
              </w:tcPr>
              <w:p w14:paraId="394B7160">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类别</w:t>
                </w:r>
              </w:p>
            </w:tc>
          </w:sdtContent>
        </w:sdt>
        <w:sdt>
          <w:sdtPr>
            <w:tag w:val="_PLD_8a84de1ffd5c434f9fdf644972838511"/>
            <w:id w:val="796566259"/>
          </w:sdtPr>
          <w:sdtContent>
            <w:tc>
              <w:tcPr>
                <w:tcW w:w="882" w:type="pct"/>
                <w:vMerge w:val="restart"/>
                <w:shd w:val="clear" w:color="auto" w:fill="FFFFFF"/>
                <w:vAlign w:val="center"/>
              </w:tcPr>
              <w:p w14:paraId="04C03DF2">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期初余额</w:t>
                </w:r>
              </w:p>
            </w:tc>
          </w:sdtContent>
        </w:sdt>
        <w:sdt>
          <w:sdtPr>
            <w:tag w:val="_PLD_98e8a6b913f14f6ca45be028ca7fe9b3"/>
            <w:id w:val="-1510214862"/>
          </w:sdtPr>
          <w:sdtContent>
            <w:tc>
              <w:tcPr>
                <w:tcW w:w="2690" w:type="pct"/>
                <w:gridSpan w:val="4"/>
                <w:shd w:val="clear" w:color="auto" w:fill="FFFFFF"/>
                <w:vAlign w:val="center"/>
              </w:tcPr>
              <w:p w14:paraId="2CC0ECB7">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本期变动</w:t>
                </w:r>
                <w:r>
                  <w:rPr>
                    <w:color w:val="000000" w:themeColor="text1"/>
                    <w14:textFill>
                      <w14:solidFill>
                        <w14:schemeClr w14:val="tx1"/>
                      </w14:solidFill>
                    </w14:textFill>
                  </w:rPr>
                  <w:t>金额</w:t>
                </w:r>
              </w:p>
            </w:tc>
          </w:sdtContent>
        </w:sdt>
        <w:sdt>
          <w:sdtPr>
            <w:tag w:val="_PLD_79cbcdb53d6946aa8890a6614ae8fa7c"/>
            <w:id w:val="760720306"/>
          </w:sdtPr>
          <w:sdtContent>
            <w:tc>
              <w:tcPr>
                <w:tcW w:w="872" w:type="pct"/>
                <w:vMerge w:val="restart"/>
                <w:shd w:val="clear" w:color="auto" w:fill="FFFFFF"/>
                <w:vAlign w:val="center"/>
              </w:tcPr>
              <w:p w14:paraId="006F2BA0">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期末余额</w:t>
                </w:r>
              </w:p>
            </w:tc>
          </w:sdtContent>
        </w:sdt>
      </w:tr>
      <w:tr w14:paraId="6AA7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56" w:type="pct"/>
            <w:vMerge w:val="continue"/>
            <w:shd w:val="clear" w:color="auto" w:fill="FFFFFF"/>
          </w:tcPr>
          <w:p w14:paraId="284C2B7A">
            <w:pPr>
              <w:widowControl w:val="0"/>
              <w:jc w:val="center"/>
              <w:rPr>
                <w:color w:val="000000" w:themeColor="text1"/>
                <w14:textFill>
                  <w14:solidFill>
                    <w14:schemeClr w14:val="tx1"/>
                  </w14:solidFill>
                </w14:textFill>
              </w:rPr>
            </w:pPr>
          </w:p>
        </w:tc>
        <w:tc>
          <w:tcPr>
            <w:tcW w:w="882" w:type="pct"/>
            <w:vMerge w:val="continue"/>
            <w:shd w:val="clear" w:color="auto" w:fill="FFFFFF"/>
          </w:tcPr>
          <w:p w14:paraId="220A3F45">
            <w:pPr>
              <w:widowControl w:val="0"/>
              <w:jc w:val="center"/>
              <w:rPr>
                <w:color w:val="000000" w:themeColor="text1"/>
                <w14:textFill>
                  <w14:solidFill>
                    <w14:schemeClr w14:val="tx1"/>
                  </w14:solidFill>
                </w14:textFill>
              </w:rPr>
            </w:pPr>
          </w:p>
        </w:tc>
        <w:sdt>
          <w:sdtPr>
            <w:tag w:val="_PLD_e690235010e24ffc8796adbde1bb559c"/>
            <w:id w:val="730264746"/>
          </w:sdtPr>
          <w:sdtContent>
            <w:tc>
              <w:tcPr>
                <w:tcW w:w="813" w:type="pct"/>
                <w:shd w:val="clear" w:color="auto" w:fill="FFFFFF"/>
                <w:vAlign w:val="center"/>
              </w:tcPr>
              <w:p w14:paraId="4A2ED84D">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计提</w:t>
                </w:r>
              </w:p>
            </w:tc>
          </w:sdtContent>
        </w:sdt>
        <w:sdt>
          <w:sdtPr>
            <w:tag w:val="_PLD_d059ae406aed4a3a8f46c2d712ef508e"/>
            <w:id w:val="2112318330"/>
          </w:sdtPr>
          <w:sdtContent>
            <w:tc>
              <w:tcPr>
                <w:tcW w:w="478" w:type="pct"/>
                <w:shd w:val="clear" w:color="auto" w:fill="FFFFFF"/>
                <w:vAlign w:val="center"/>
              </w:tcPr>
              <w:p w14:paraId="4322FE72">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收回或转回</w:t>
                </w:r>
              </w:p>
            </w:tc>
          </w:sdtContent>
        </w:sdt>
        <w:sdt>
          <w:sdtPr>
            <w:tag w:val="_PLD_da780fd6da3646febcd85bf9dbd8b64e"/>
            <w:id w:val="-2085367875"/>
          </w:sdtPr>
          <w:sdtContent>
            <w:tc>
              <w:tcPr>
                <w:tcW w:w="643" w:type="pct"/>
                <w:shd w:val="clear" w:color="auto" w:fill="FFFFFF"/>
                <w:vAlign w:val="center"/>
              </w:tcPr>
              <w:p w14:paraId="51D30D71">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转销或核销</w:t>
                </w:r>
              </w:p>
            </w:tc>
          </w:sdtContent>
        </w:sdt>
        <w:tc>
          <w:tcPr>
            <w:tcW w:w="757" w:type="pct"/>
            <w:shd w:val="clear" w:color="auto" w:fill="FFFFFF"/>
            <w:vAlign w:val="center"/>
          </w:tcPr>
          <w:sdt>
            <w:sdtPr>
              <w:tag w:val="_PLD_d6a9b9888c1a49429189a2a72159c309"/>
              <w:id w:val="-304632022"/>
            </w:sdtPr>
            <w:sdtContent>
              <w:p w14:paraId="7D187D09">
                <w:pPr>
                  <w:widowControl w:val="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其他变动</w:t>
                </w:r>
              </w:p>
            </w:sdtContent>
          </w:sdt>
        </w:tc>
        <w:tc>
          <w:tcPr>
            <w:tcW w:w="872" w:type="pct"/>
            <w:vMerge w:val="continue"/>
            <w:shd w:val="clear" w:color="auto" w:fill="FFFFFF"/>
          </w:tcPr>
          <w:p w14:paraId="645EBA43">
            <w:pPr>
              <w:widowControl w:val="0"/>
              <w:jc w:val="right"/>
              <w:rPr>
                <w:color w:val="000000" w:themeColor="text1"/>
                <w14:textFill>
                  <w14:solidFill>
                    <w14:schemeClr w14:val="tx1"/>
                  </w14:solidFill>
                </w14:textFill>
              </w:rPr>
            </w:pPr>
          </w:p>
        </w:tc>
      </w:tr>
      <w:tr w14:paraId="08FF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56" w:type="pct"/>
          </w:tcPr>
          <w:p w14:paraId="41EB83E8">
            <w:pPr>
              <w:widowControl w:val="0"/>
            </w:pPr>
            <w:r>
              <w:rPr>
                <w:rFonts w:hint="eastAsia"/>
              </w:rPr>
              <w:t>其他应收款坏账准备</w:t>
            </w:r>
          </w:p>
        </w:tc>
        <w:tc>
          <w:tcPr>
            <w:tcW w:w="882" w:type="pct"/>
            <w:vAlign w:val="center"/>
          </w:tcPr>
          <w:p w14:paraId="353A09E3">
            <w:pPr>
              <w:jc w:val="right"/>
            </w:pPr>
            <w:r>
              <w:t>302,915,875.61</w:t>
            </w:r>
          </w:p>
        </w:tc>
        <w:tc>
          <w:tcPr>
            <w:tcW w:w="813" w:type="pct"/>
            <w:vAlign w:val="center"/>
          </w:tcPr>
          <w:p w14:paraId="504ECF78">
            <w:pPr>
              <w:jc w:val="right"/>
            </w:pPr>
            <w:r>
              <w:t>21,758,646.00</w:t>
            </w:r>
          </w:p>
        </w:tc>
        <w:tc>
          <w:tcPr>
            <w:tcW w:w="478" w:type="pct"/>
            <w:vAlign w:val="center"/>
          </w:tcPr>
          <w:p w14:paraId="3A7F74FF">
            <w:pPr>
              <w:jc w:val="right"/>
            </w:pPr>
          </w:p>
        </w:tc>
        <w:tc>
          <w:tcPr>
            <w:tcW w:w="643" w:type="pct"/>
            <w:vAlign w:val="center"/>
          </w:tcPr>
          <w:p w14:paraId="3B317150">
            <w:pPr>
              <w:jc w:val="right"/>
              <w:rPr>
                <w:rFonts w:ascii="宋体" w:hAnsi="宋体"/>
                <w:sz w:val="24"/>
                <w:szCs w:val="24"/>
              </w:rPr>
            </w:pPr>
            <w:r>
              <w:t>270,855.14</w:t>
            </w:r>
          </w:p>
        </w:tc>
        <w:tc>
          <w:tcPr>
            <w:tcW w:w="757" w:type="pct"/>
            <w:vAlign w:val="center"/>
          </w:tcPr>
          <w:p w14:paraId="3E5280C9">
            <w:pPr>
              <w:jc w:val="right"/>
            </w:pPr>
            <w:r>
              <w:t>-52,031.17</w:t>
            </w:r>
          </w:p>
        </w:tc>
        <w:tc>
          <w:tcPr>
            <w:tcW w:w="872" w:type="pct"/>
            <w:vAlign w:val="center"/>
          </w:tcPr>
          <w:p w14:paraId="4A7EF88A">
            <w:pPr>
              <w:jc w:val="right"/>
            </w:pPr>
            <w:r>
              <w:t>324,351,635.30</w:t>
            </w:r>
          </w:p>
        </w:tc>
      </w:tr>
      <w:tr w14:paraId="2085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56" w:type="pct"/>
          </w:tcPr>
          <w:p w14:paraId="4BD19232">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882" w:type="pct"/>
            <w:vAlign w:val="center"/>
          </w:tcPr>
          <w:p w14:paraId="295FD68A">
            <w:pPr>
              <w:jc w:val="right"/>
            </w:pPr>
            <w:r>
              <w:t>302,915,875.61</w:t>
            </w:r>
          </w:p>
        </w:tc>
        <w:tc>
          <w:tcPr>
            <w:tcW w:w="813" w:type="pct"/>
            <w:vAlign w:val="center"/>
          </w:tcPr>
          <w:p w14:paraId="2F233B31">
            <w:pPr>
              <w:jc w:val="right"/>
            </w:pPr>
            <w:r>
              <w:t>21,758,646.00</w:t>
            </w:r>
          </w:p>
        </w:tc>
        <w:tc>
          <w:tcPr>
            <w:tcW w:w="478" w:type="pct"/>
            <w:vAlign w:val="center"/>
          </w:tcPr>
          <w:p w14:paraId="0CF91078">
            <w:pPr>
              <w:jc w:val="right"/>
            </w:pPr>
          </w:p>
        </w:tc>
        <w:tc>
          <w:tcPr>
            <w:tcW w:w="643" w:type="pct"/>
            <w:vAlign w:val="center"/>
          </w:tcPr>
          <w:p w14:paraId="2036837D">
            <w:pPr>
              <w:jc w:val="right"/>
              <w:rPr>
                <w:rFonts w:ascii="宋体" w:hAnsi="宋体"/>
                <w:sz w:val="24"/>
                <w:szCs w:val="24"/>
              </w:rPr>
            </w:pPr>
            <w:r>
              <w:t>270,855.14</w:t>
            </w:r>
          </w:p>
        </w:tc>
        <w:tc>
          <w:tcPr>
            <w:tcW w:w="757" w:type="pct"/>
            <w:vAlign w:val="center"/>
          </w:tcPr>
          <w:p w14:paraId="1E14BD73">
            <w:pPr>
              <w:jc w:val="right"/>
            </w:pPr>
            <w:r>
              <w:t>-52,031.17</w:t>
            </w:r>
          </w:p>
        </w:tc>
        <w:tc>
          <w:tcPr>
            <w:tcW w:w="872" w:type="pct"/>
            <w:vAlign w:val="center"/>
          </w:tcPr>
          <w:p w14:paraId="3F0ABAEC">
            <w:pPr>
              <w:jc w:val="right"/>
              <w:rPr>
                <w:rFonts w:ascii="宋体" w:hAnsi="宋体"/>
                <w:sz w:val="24"/>
                <w:szCs w:val="24"/>
              </w:rPr>
            </w:pPr>
            <w:r>
              <w:t>324,351,635.30</w:t>
            </w:r>
          </w:p>
        </w:tc>
      </w:tr>
    </w:tbl>
    <w:p w14:paraId="7C812463">
      <w:pPr>
        <w:rPr>
          <w:color w:val="000000" w:themeColor="text1"/>
          <w14:textFill>
            <w14:solidFill>
              <w14:schemeClr w14:val="tx1"/>
            </w14:solidFill>
          </w14:textFill>
        </w:rPr>
      </w:pPr>
    </w:p>
    <w:p w14:paraId="6F14B311">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其他变动系海博瑞德（重庆）汽车动力控制系统有限公司股权变更，丧失对其控制，合并范围变化导致相关坏账准备减少。</w:t>
      </w:r>
    </w:p>
    <w:p w14:paraId="1803FBBF">
      <w:pPr>
        <w:rPr>
          <w:color w:val="000000" w:themeColor="text1"/>
          <w14:textFill>
            <w14:solidFill>
              <w14:schemeClr w14:val="tx1"/>
            </w14:solidFill>
          </w14:textFill>
        </w:rPr>
      </w:pPr>
    </w:p>
    <w:p w14:paraId="0D05BE49">
      <w:pPr>
        <w:rPr>
          <w:color w:val="000000" w:themeColor="text1"/>
          <w14:textFill>
            <w14:solidFill>
              <w14:schemeClr w14:val="tx1"/>
            </w14:solidFill>
          </w14:textFill>
        </w:rPr>
      </w:pPr>
      <w:bookmarkStart w:id="213" w:name="_Hlk154157836"/>
      <w:bookmarkStart w:id="214" w:name="_Hlk167890685"/>
      <w:r>
        <w:rPr>
          <w:rFonts w:hint="eastAsia"/>
          <w:color w:val="000000" w:themeColor="text1"/>
          <w14:textFill>
            <w14:solidFill>
              <w14:schemeClr w14:val="tx1"/>
            </w14:solidFill>
          </w14:textFill>
        </w:rPr>
        <w:t>其中本期坏账准备转回或收回金额重要的：</w:t>
      </w:r>
    </w:p>
    <w:sdt>
      <w:sdtPr>
        <w:rPr>
          <w:color w:val="000000" w:themeColor="text1"/>
          <w14:textFill>
            <w14:solidFill>
              <w14:schemeClr w14:val="tx1"/>
            </w14:solidFill>
          </w14:textFill>
        </w:rPr>
        <w:alias w:val="是否适用：其中本期其他应收账款坏账准备收回或转回金额重要的[双击切换]"/>
        <w:tag w:val="_GBC_eff381ff9a444ac19dde18c443ef3ff1"/>
        <w:id w:val="932399417"/>
        <w:placeholder>
          <w:docPart w:val="GBC22222222222222222222222222222"/>
        </w:placeholder>
      </w:sdtPr>
      <w:sdtEndPr>
        <w:rPr>
          <w:color w:val="000000" w:themeColor="text1"/>
          <w14:textFill>
            <w14:solidFill>
              <w14:schemeClr w14:val="tx1"/>
            </w14:solidFill>
          </w14:textFill>
        </w:rPr>
      </w:sdtEndPr>
      <w:sdtContent>
        <w:p w14:paraId="3CF56D7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9451F1">
      <w:pPr>
        <w:rPr>
          <w:color w:val="000000" w:themeColor="text1"/>
          <w14:textFill>
            <w14:solidFill>
              <w14:schemeClr w14:val="tx1"/>
            </w14:solidFill>
          </w14:textFill>
        </w:rPr>
      </w:pPr>
    </w:p>
    <w:p w14:paraId="78D42EB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其他应收款坏账准备情况的说明"/>
        <w:tag w:val="_GBC_11748f5205eb4dda805c8e59fe7ff0df"/>
        <w:id w:val="1573859296"/>
        <w:placeholder>
          <w:docPart w:val="GBC22222222222222222222222222222"/>
        </w:placeholder>
      </w:sdtPr>
      <w:sdtEndPr>
        <w:rPr>
          <w:color w:val="000000" w:themeColor="text1"/>
          <w14:textFill>
            <w14:solidFill>
              <w14:schemeClr w14:val="tx1"/>
            </w14:solidFill>
          </w14:textFill>
        </w:rPr>
      </w:sdtEndPr>
      <w:sdtContent>
        <w:p w14:paraId="26010752">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213"/>
    <w:bookmarkEnd w:id="214"/>
    <w:p w14:paraId="248AA7AB">
      <w:pPr>
        <w:rPr>
          <w:color w:val="000000" w:themeColor="text1"/>
          <w14:textFill>
            <w14:solidFill>
              <w14:schemeClr w14:val="tx1"/>
            </w14:solidFill>
          </w14:textFill>
        </w:rPr>
      </w:pPr>
    </w:p>
    <w:bookmarkEnd w:id="212"/>
    <w:p w14:paraId="05656B4A">
      <w:pPr>
        <w:pStyle w:val="6"/>
        <w:numPr>
          <w:ilvl w:val="0"/>
          <w:numId w:val="50"/>
        </w:numPr>
      </w:pPr>
      <w:r>
        <w:rPr>
          <w:rFonts w:hint="eastAsia"/>
        </w:rPr>
        <w:t>本期实际核销的其他应收款情况</w:t>
      </w:r>
    </w:p>
    <w:sdt>
      <w:sdtPr>
        <w:rPr>
          <w:color w:val="000000" w:themeColor="text1"/>
          <w14:textFill>
            <w14:solidFill>
              <w14:schemeClr w14:val="tx1"/>
            </w14:solidFill>
          </w14:textFill>
        </w:rPr>
        <w:alias w:val="是否适用：本期实际核销的其他应收款情况[双击切换]"/>
        <w:tag w:val="_GBC_99c0ad513e2447ba8b2267c169be5583"/>
        <w:id w:val="-468598993"/>
        <w:placeholder>
          <w:docPart w:val="GBC22222222222222222222222222222"/>
        </w:placeholder>
      </w:sdtPr>
      <w:sdtEndPr>
        <w:rPr>
          <w:color w:val="000000" w:themeColor="text1"/>
          <w14:textFill>
            <w14:solidFill>
              <w14:schemeClr w14:val="tx1"/>
            </w14:solidFill>
          </w14:textFill>
        </w:rPr>
      </w:sdtEndPr>
      <w:sdtContent>
        <w:p w14:paraId="013C0F9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035EAA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本报告期实际核销的其他应收款项情况"/>
          <w:tag w:val="_GBC_ab04a19baf3a48968d04429328fe957d"/>
          <w:id w:val="-8540368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本报告期实际核销的其他应收款项情况"/>
          <w:tag w:val="_GBC_8d43ab8d3f0a44d4baf90271ebef5e19"/>
          <w:id w:val="8540072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430"/>
        <w:gridCol w:w="4465"/>
      </w:tblGrid>
      <w:tr w14:paraId="48A6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e3497345055466bbb17c2159400fd42"/>
            <w:id w:val="-1814166468"/>
          </w:sdtPr>
          <w:sdtContent>
            <w:tc>
              <w:tcPr>
                <w:tcW w:w="2490" w:type="pct"/>
              </w:tcPr>
              <w:p w14:paraId="34EE2C6C">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c988ea530cd249f990ba3faf444225f8"/>
            <w:id w:val="-1274784788"/>
          </w:sdtPr>
          <w:sdtContent>
            <w:tc>
              <w:tcPr>
                <w:tcW w:w="2510" w:type="pct"/>
              </w:tcPr>
              <w:p w14:paraId="6F2FC6B9">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核销金额</w:t>
                </w:r>
              </w:p>
            </w:tc>
          </w:sdtContent>
        </w:sdt>
      </w:tr>
      <w:tr w14:paraId="0D48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2490" w:type="pct"/>
          </w:tcPr>
          <w:p w14:paraId="3B8EFD3B">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实际核销的其他应收款</w:t>
            </w:r>
          </w:p>
        </w:tc>
        <w:tc>
          <w:tcPr>
            <w:tcW w:w="2510" w:type="pct"/>
          </w:tcPr>
          <w:p w14:paraId="60DF87EF">
            <w:pPr>
              <w:ind w:right="73"/>
              <w:jc w:val="right"/>
            </w:pPr>
            <w:r>
              <w:t>270,855.14</w:t>
            </w:r>
          </w:p>
        </w:tc>
      </w:tr>
    </w:tbl>
    <w:p w14:paraId="3EFE919D">
      <w:pPr>
        <w:rPr>
          <w:color w:val="000000" w:themeColor="text1"/>
          <w14:textFill>
            <w14:solidFill>
              <w14:schemeClr w14:val="tx1"/>
            </w14:solidFill>
          </w14:textFill>
        </w:rPr>
      </w:pPr>
    </w:p>
    <w:p w14:paraId="4FCA8CE4">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其中重要的其他应收款核销情况：</w:t>
      </w:r>
    </w:p>
    <w:sdt>
      <w:sdtPr>
        <w:rPr>
          <w:color w:val="000000" w:themeColor="text1"/>
          <w14:textFill>
            <w14:solidFill>
              <w14:schemeClr w14:val="tx1"/>
            </w14:solidFill>
          </w14:textFill>
        </w:rPr>
        <w:alias w:val="是否适用：其中重要的其他应收款核销情况[双击切换]"/>
        <w:tag w:val="_GBC_18f34d9f47f24d07986c3f3568dd2c70"/>
        <w:id w:val="-367533724"/>
        <w:placeholder>
          <w:docPart w:val="GBC22222222222222222222222222222"/>
        </w:placeholder>
      </w:sdtPr>
      <w:sdtEndPr>
        <w:rPr>
          <w:color w:val="000000" w:themeColor="text1"/>
          <w14:textFill>
            <w14:solidFill>
              <w14:schemeClr w14:val="tx1"/>
            </w14:solidFill>
          </w14:textFill>
        </w:rPr>
      </w:sdtEndPr>
      <w:sdtContent>
        <w:p w14:paraId="3968851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257B5B">
      <w:pPr>
        <w:rPr>
          <w:color w:val="000000" w:themeColor="text1"/>
          <w14:textFill>
            <w14:solidFill>
              <w14:schemeClr w14:val="tx1"/>
            </w14:solidFill>
          </w14:textFill>
        </w:rPr>
      </w:pPr>
    </w:p>
    <w:p w14:paraId="6024CB97">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其他应收款核销说明：</w:t>
      </w:r>
    </w:p>
    <w:sdt>
      <w:sdtPr>
        <w:rPr>
          <w:b/>
          <w:bCs/>
          <w:color w:val="000000" w:themeColor="text1"/>
          <w14:textFill>
            <w14:solidFill>
              <w14:schemeClr w14:val="tx1"/>
            </w14:solidFill>
          </w14:textFill>
        </w:rPr>
        <w:alias w:val="是否适用：其他应收款冲销坏帐明细的说明[双击切换]"/>
        <w:tag w:val="_GBC_04f9a50bf0244ec4a466448325e84289"/>
        <w:id w:val="776679939"/>
        <w:placeholder>
          <w:docPart w:val="GBC22222222222222222222222222222"/>
        </w:placeholder>
      </w:sdtPr>
      <w:sdtEndPr>
        <w:rPr>
          <w:b w:val="0"/>
          <w:bCs/>
          <w:color w:val="000000" w:themeColor="text1"/>
          <w14:textFill>
            <w14:solidFill>
              <w14:schemeClr w14:val="tx1"/>
            </w14:solidFill>
          </w14:textFill>
        </w:rPr>
      </w:sdtEndPr>
      <w:sdtContent>
        <w:p w14:paraId="253907E7">
          <w:pPr>
            <w:snapToGrid w:val="0"/>
            <w:spacing w:line="240" w:lineRule="atLeast"/>
            <w:rPr>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p w14:paraId="411CED8A">
      <w:pPr>
        <w:rPr>
          <w:color w:val="000000" w:themeColor="text1"/>
          <w14:textFill>
            <w14:solidFill>
              <w14:schemeClr w14:val="tx1"/>
            </w14:solidFill>
          </w14:textFill>
        </w:rPr>
      </w:pPr>
    </w:p>
    <w:p w14:paraId="17A3B88B">
      <w:pPr>
        <w:pStyle w:val="6"/>
        <w:numPr>
          <w:ilvl w:val="0"/>
          <w:numId w:val="50"/>
        </w:numPr>
      </w:pPr>
      <w:r>
        <w:rPr>
          <w:rFonts w:hint="eastAsia"/>
        </w:rPr>
        <w:t>按欠款方归集的期末余额前五名的其他应收款情况</w:t>
      </w:r>
    </w:p>
    <w:sdt>
      <w:sdtPr>
        <w:rPr>
          <w:color w:val="000000" w:themeColor="text1"/>
          <w14:textFill>
            <w14:solidFill>
              <w14:schemeClr w14:val="tx1"/>
            </w14:solidFill>
          </w14:textFill>
        </w:rPr>
        <w:alias w:val="是否适用：按欠款方归集的期末余额前五名的其他应收款情况[双击切换]"/>
        <w:tag w:val="_GBC_1ad831584f90441b93cce7d9b7baa3c9"/>
        <w:id w:val="-176577812"/>
        <w:placeholder>
          <w:docPart w:val="GBC22222222222222222222222222222"/>
        </w:placeholder>
      </w:sdtPr>
      <w:sdtEndPr>
        <w:rPr>
          <w:color w:val="000000" w:themeColor="text1"/>
          <w14:textFill>
            <w14:solidFill>
              <w14:schemeClr w14:val="tx1"/>
            </w14:solidFill>
          </w14:textFill>
        </w:rPr>
      </w:sdtEndPr>
      <w:sdtContent>
        <w:p w14:paraId="784910F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5C8F1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应收账款前五名欠款情况"/>
          <w:tag w:val="_GBC_1f85b3036b0644cbaf6c33311b7f159d"/>
          <w:id w:val="-16042630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应收账款前五名欠款情况"/>
          <w:tag w:val="_GBC_bc5cf48306144a92af62fef51b293c5a"/>
          <w:id w:val="-14256401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494"/>
        <w:gridCol w:w="1448"/>
        <w:gridCol w:w="1720"/>
        <w:gridCol w:w="1312"/>
        <w:gridCol w:w="1287"/>
        <w:gridCol w:w="1634"/>
      </w:tblGrid>
      <w:tr w14:paraId="0E4C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d371f7abd044db6abe05c7f74810d89"/>
            <w:id w:val="-886410304"/>
          </w:sdtPr>
          <w:sdtContent>
            <w:tc>
              <w:tcPr>
                <w:tcW w:w="865" w:type="pct"/>
                <w:vAlign w:val="center"/>
              </w:tcPr>
              <w:p w14:paraId="0C5B3D9C">
                <w:pPr>
                  <w:ind w:right="105"/>
                  <w:jc w:val="center"/>
                  <w:rPr>
                    <w:color w:val="000000" w:themeColor="text1"/>
                    <w14:textFill>
                      <w14:solidFill>
                        <w14:schemeClr w14:val="tx1"/>
                      </w14:solidFill>
                    </w14:textFill>
                  </w:rPr>
                </w:pPr>
                <w:bookmarkStart w:id="215" w:name="_Hlk167891115"/>
                <w:r>
                  <w:rPr>
                    <w:rFonts w:hint="eastAsia"/>
                    <w:color w:val="000000" w:themeColor="text1"/>
                    <w14:textFill>
                      <w14:solidFill>
                        <w14:schemeClr w14:val="tx1"/>
                      </w14:solidFill>
                    </w14:textFill>
                  </w:rPr>
                  <w:t>单位名称</w:t>
                </w:r>
              </w:p>
            </w:tc>
          </w:sdtContent>
        </w:sdt>
        <w:sdt>
          <w:sdtPr>
            <w:tag w:val="_PLD_9561b3d624ee40c28568fb322a981ebc"/>
            <w:id w:val="-600341958"/>
          </w:sdtPr>
          <w:sdtContent>
            <w:tc>
              <w:tcPr>
                <w:tcW w:w="690" w:type="pct"/>
                <w:vAlign w:val="center"/>
              </w:tcPr>
              <w:p w14:paraId="1F4FB9F2">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e2774c827e314521821234a0e399c2c1"/>
            <w:id w:val="1233506108"/>
          </w:sdtPr>
          <w:sdtContent>
            <w:tc>
              <w:tcPr>
                <w:tcW w:w="992" w:type="pct"/>
                <w:vAlign w:val="center"/>
              </w:tcPr>
              <w:p w14:paraId="12DC9D4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占其他应收款期末余额合计数的比例(</w:t>
                </w:r>
                <w:r>
                  <w:rPr>
                    <w:color w:val="000000" w:themeColor="text1"/>
                    <w14:textFill>
                      <w14:solidFill>
                        <w14:schemeClr w14:val="tx1"/>
                      </w14:solidFill>
                    </w14:textFill>
                  </w:rPr>
                  <w:t>%)</w:t>
                </w:r>
              </w:p>
            </w:tc>
          </w:sdtContent>
        </w:sdt>
        <w:sdt>
          <w:sdtPr>
            <w:tag w:val="_PLD_538171446ab849ca976672ecf5055c60"/>
            <w:id w:val="-1784404818"/>
          </w:sdtPr>
          <w:sdtContent>
            <w:tc>
              <w:tcPr>
                <w:tcW w:w="762" w:type="pct"/>
                <w:vAlign w:val="center"/>
              </w:tcPr>
              <w:p w14:paraId="08588D1B">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款项的性质</w:t>
                </w:r>
              </w:p>
            </w:tc>
          </w:sdtContent>
        </w:sdt>
        <w:sdt>
          <w:sdtPr>
            <w:tag w:val="_PLD_a97392b37d5d4c709a23cfdece48161b"/>
            <w:id w:val="1794793501"/>
          </w:sdtPr>
          <w:sdtContent>
            <w:tc>
              <w:tcPr>
                <w:tcW w:w="748" w:type="pct"/>
                <w:vAlign w:val="center"/>
              </w:tcPr>
              <w:p w14:paraId="4ACFBBE8">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ac7ac1a39d1a46eb9269fc6979d54f6f"/>
            <w:id w:val="-1807539189"/>
          </w:sdtPr>
          <w:sdtContent>
            <w:tc>
              <w:tcPr>
                <w:tcW w:w="943" w:type="pct"/>
                <w:vAlign w:val="center"/>
              </w:tcPr>
              <w:p w14:paraId="4925782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p w14:paraId="42B618C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2110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vAlign w:val="center"/>
          </w:tcPr>
          <w:p w14:paraId="743E001D">
            <w:pPr>
              <w:ind w:right="105"/>
              <w:jc w:val="both"/>
            </w:pPr>
            <w:r>
              <w:t>重庆市财政局</w:t>
            </w:r>
          </w:p>
        </w:tc>
        <w:tc>
          <w:tcPr>
            <w:tcW w:w="690" w:type="pct"/>
            <w:vAlign w:val="center"/>
          </w:tcPr>
          <w:p w14:paraId="2C83CA34">
            <w:pPr>
              <w:ind w:right="73"/>
              <w:jc w:val="center"/>
            </w:pPr>
            <w:r>
              <w:t>383,512,209.25</w:t>
            </w:r>
          </w:p>
        </w:tc>
        <w:tc>
          <w:tcPr>
            <w:tcW w:w="992" w:type="pct"/>
            <w:vAlign w:val="center"/>
          </w:tcPr>
          <w:p w14:paraId="5B8E599E">
            <w:pPr>
              <w:jc w:val="center"/>
            </w:pPr>
            <w:r>
              <w:t>75.49</w:t>
            </w:r>
          </w:p>
        </w:tc>
        <w:tc>
          <w:tcPr>
            <w:tcW w:w="762" w:type="pct"/>
            <w:vAlign w:val="center"/>
          </w:tcPr>
          <w:p w14:paraId="6DCAC0CE">
            <w:pPr>
              <w:ind w:right="73"/>
              <w:jc w:val="center"/>
            </w:pPr>
            <w:r>
              <w:t>应收新能源汽车补贴</w:t>
            </w:r>
          </w:p>
        </w:tc>
        <w:tc>
          <w:tcPr>
            <w:tcW w:w="748" w:type="pct"/>
          </w:tcPr>
          <w:p w14:paraId="7FC988D7">
            <w:pPr>
              <w:ind w:right="73"/>
            </w:pPr>
            <w:r>
              <w:t>1-2年、3-4年、4-5年、5年以上</w:t>
            </w:r>
          </w:p>
        </w:tc>
        <w:tc>
          <w:tcPr>
            <w:tcW w:w="943" w:type="pct"/>
            <w:vAlign w:val="center"/>
          </w:tcPr>
          <w:p w14:paraId="382A96F4">
            <w:pPr>
              <w:jc w:val="right"/>
            </w:pPr>
            <w:r>
              <w:t>291,715,814.40</w:t>
            </w:r>
          </w:p>
        </w:tc>
      </w:tr>
      <w:tr w14:paraId="2551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vAlign w:val="center"/>
          </w:tcPr>
          <w:p w14:paraId="7135299F">
            <w:pPr>
              <w:ind w:right="105"/>
              <w:jc w:val="both"/>
            </w:pPr>
            <w:r>
              <w:t>重庆市沙坪坝区国家税务局</w:t>
            </w:r>
          </w:p>
        </w:tc>
        <w:tc>
          <w:tcPr>
            <w:tcW w:w="690" w:type="pct"/>
            <w:vAlign w:val="center"/>
          </w:tcPr>
          <w:p w14:paraId="233AB57F">
            <w:pPr>
              <w:ind w:right="73"/>
              <w:jc w:val="center"/>
            </w:pPr>
            <w:r>
              <w:t>40,350,792.72</w:t>
            </w:r>
          </w:p>
        </w:tc>
        <w:tc>
          <w:tcPr>
            <w:tcW w:w="992" w:type="pct"/>
            <w:vAlign w:val="center"/>
          </w:tcPr>
          <w:p w14:paraId="412981F8">
            <w:pPr>
              <w:jc w:val="center"/>
            </w:pPr>
            <w:r>
              <w:t>7.94</w:t>
            </w:r>
          </w:p>
        </w:tc>
        <w:tc>
          <w:tcPr>
            <w:tcW w:w="762" w:type="pct"/>
            <w:vAlign w:val="center"/>
          </w:tcPr>
          <w:p w14:paraId="3FA92C0D">
            <w:pPr>
              <w:ind w:right="73"/>
              <w:jc w:val="center"/>
            </w:pPr>
            <w:r>
              <w:t>应收出口退税款及出口补贴</w:t>
            </w:r>
          </w:p>
        </w:tc>
        <w:tc>
          <w:tcPr>
            <w:tcW w:w="748" w:type="pct"/>
          </w:tcPr>
          <w:p w14:paraId="352F010B">
            <w:pPr>
              <w:ind w:right="73"/>
            </w:pPr>
            <w:r>
              <w:t>0-6个月</w:t>
            </w:r>
          </w:p>
        </w:tc>
        <w:tc>
          <w:tcPr>
            <w:tcW w:w="943" w:type="pct"/>
            <w:vAlign w:val="center"/>
          </w:tcPr>
          <w:p w14:paraId="1327FE09">
            <w:pPr>
              <w:jc w:val="right"/>
            </w:pPr>
          </w:p>
        </w:tc>
      </w:tr>
      <w:tr w14:paraId="0CAD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vAlign w:val="center"/>
          </w:tcPr>
          <w:p w14:paraId="22BD9479">
            <w:pPr>
              <w:ind w:right="105"/>
              <w:jc w:val="both"/>
            </w:pPr>
            <w:r>
              <w:t>重庆市北碚区国家税务局</w:t>
            </w:r>
          </w:p>
        </w:tc>
        <w:tc>
          <w:tcPr>
            <w:tcW w:w="690" w:type="pct"/>
            <w:vAlign w:val="center"/>
          </w:tcPr>
          <w:p w14:paraId="3D59DED3">
            <w:pPr>
              <w:ind w:right="73"/>
              <w:jc w:val="center"/>
            </w:pPr>
            <w:r>
              <w:t>6,933,593.98</w:t>
            </w:r>
          </w:p>
        </w:tc>
        <w:tc>
          <w:tcPr>
            <w:tcW w:w="992" w:type="pct"/>
            <w:vAlign w:val="center"/>
          </w:tcPr>
          <w:p w14:paraId="283258CF">
            <w:pPr>
              <w:jc w:val="center"/>
            </w:pPr>
            <w:r>
              <w:t>1.36</w:t>
            </w:r>
          </w:p>
        </w:tc>
        <w:tc>
          <w:tcPr>
            <w:tcW w:w="762" w:type="pct"/>
            <w:vAlign w:val="center"/>
          </w:tcPr>
          <w:p w14:paraId="2E9BC385">
            <w:pPr>
              <w:ind w:right="73"/>
              <w:jc w:val="center"/>
            </w:pPr>
            <w:r>
              <w:t>应收出口退税款及出口补贴</w:t>
            </w:r>
          </w:p>
        </w:tc>
        <w:tc>
          <w:tcPr>
            <w:tcW w:w="748" w:type="pct"/>
          </w:tcPr>
          <w:p w14:paraId="41AE7CB7">
            <w:pPr>
              <w:ind w:right="73"/>
            </w:pPr>
            <w:r>
              <w:t>0-6个月</w:t>
            </w:r>
          </w:p>
        </w:tc>
        <w:tc>
          <w:tcPr>
            <w:tcW w:w="943" w:type="pct"/>
            <w:vAlign w:val="center"/>
          </w:tcPr>
          <w:p w14:paraId="5E08A01F">
            <w:pPr>
              <w:jc w:val="right"/>
            </w:pPr>
          </w:p>
        </w:tc>
      </w:tr>
      <w:tr w14:paraId="4E2E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vAlign w:val="center"/>
          </w:tcPr>
          <w:p w14:paraId="5771F21A">
            <w:pPr>
              <w:ind w:right="105"/>
              <w:jc w:val="both"/>
            </w:pPr>
            <w:r>
              <w:t>张家港保税区国际汽车城有限公司</w:t>
            </w:r>
          </w:p>
        </w:tc>
        <w:tc>
          <w:tcPr>
            <w:tcW w:w="690" w:type="pct"/>
            <w:vAlign w:val="center"/>
          </w:tcPr>
          <w:p w14:paraId="26CB599B">
            <w:pPr>
              <w:ind w:right="73"/>
              <w:jc w:val="center"/>
            </w:pPr>
            <w:r>
              <w:t>5,365,400.00</w:t>
            </w:r>
          </w:p>
        </w:tc>
        <w:tc>
          <w:tcPr>
            <w:tcW w:w="992" w:type="pct"/>
            <w:vAlign w:val="center"/>
          </w:tcPr>
          <w:p w14:paraId="5A2FA573">
            <w:pPr>
              <w:jc w:val="center"/>
            </w:pPr>
            <w:r>
              <w:t>1.06</w:t>
            </w:r>
          </w:p>
        </w:tc>
        <w:tc>
          <w:tcPr>
            <w:tcW w:w="762" w:type="pct"/>
            <w:vAlign w:val="center"/>
          </w:tcPr>
          <w:p w14:paraId="60F8644F">
            <w:pPr>
              <w:ind w:right="73"/>
              <w:jc w:val="center"/>
            </w:pPr>
            <w:r>
              <w:t>撤资款</w:t>
            </w:r>
          </w:p>
        </w:tc>
        <w:tc>
          <w:tcPr>
            <w:tcW w:w="748" w:type="pct"/>
          </w:tcPr>
          <w:p w14:paraId="585F9804">
            <w:pPr>
              <w:ind w:right="73"/>
            </w:pPr>
            <w:r>
              <w:t>1-2年</w:t>
            </w:r>
          </w:p>
        </w:tc>
        <w:tc>
          <w:tcPr>
            <w:tcW w:w="943" w:type="pct"/>
            <w:vAlign w:val="center"/>
          </w:tcPr>
          <w:p w14:paraId="45370286">
            <w:pPr>
              <w:jc w:val="right"/>
            </w:pPr>
            <w:r>
              <w:t>536,540.00</w:t>
            </w:r>
          </w:p>
        </w:tc>
      </w:tr>
      <w:tr w14:paraId="2478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vAlign w:val="center"/>
          </w:tcPr>
          <w:p w14:paraId="157B84C8">
            <w:pPr>
              <w:ind w:right="105"/>
              <w:jc w:val="both"/>
            </w:pPr>
            <w:r>
              <w:t>Kawo Int’l Inc</w:t>
            </w:r>
          </w:p>
        </w:tc>
        <w:tc>
          <w:tcPr>
            <w:tcW w:w="690" w:type="pct"/>
            <w:vAlign w:val="center"/>
          </w:tcPr>
          <w:p w14:paraId="6A4F93F4">
            <w:pPr>
              <w:ind w:right="73"/>
              <w:jc w:val="center"/>
            </w:pPr>
            <w:r>
              <w:t>4,651,762.80</w:t>
            </w:r>
          </w:p>
        </w:tc>
        <w:tc>
          <w:tcPr>
            <w:tcW w:w="992" w:type="pct"/>
            <w:vAlign w:val="center"/>
          </w:tcPr>
          <w:p w14:paraId="6E912C98">
            <w:pPr>
              <w:jc w:val="center"/>
            </w:pPr>
            <w:r>
              <w:t>0.92</w:t>
            </w:r>
          </w:p>
        </w:tc>
        <w:tc>
          <w:tcPr>
            <w:tcW w:w="762" w:type="pct"/>
            <w:vAlign w:val="center"/>
          </w:tcPr>
          <w:p w14:paraId="26639A62">
            <w:pPr>
              <w:ind w:right="73"/>
              <w:jc w:val="center"/>
            </w:pPr>
            <w:r>
              <w:t>往来款</w:t>
            </w:r>
          </w:p>
        </w:tc>
        <w:tc>
          <w:tcPr>
            <w:tcW w:w="748" w:type="pct"/>
          </w:tcPr>
          <w:p w14:paraId="17A99F9F">
            <w:pPr>
              <w:ind w:right="73"/>
            </w:pPr>
            <w:r>
              <w:t>5年以上</w:t>
            </w:r>
          </w:p>
        </w:tc>
        <w:tc>
          <w:tcPr>
            <w:tcW w:w="943" w:type="pct"/>
            <w:vAlign w:val="center"/>
          </w:tcPr>
          <w:p w14:paraId="0D2A8EE7">
            <w:pPr>
              <w:jc w:val="right"/>
            </w:pPr>
            <w:r>
              <w:t>4,651,762.80</w:t>
            </w:r>
          </w:p>
        </w:tc>
      </w:tr>
      <w:tr w14:paraId="3E5A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65" w:type="pct"/>
          </w:tcPr>
          <w:p w14:paraId="5A87B384">
            <w:pPr>
              <w:ind w:right="105"/>
              <w:jc w:val="center"/>
            </w:pPr>
            <w:r>
              <w:rPr>
                <w:rFonts w:hint="eastAsia"/>
              </w:rPr>
              <w:t>合计</w:t>
            </w:r>
          </w:p>
        </w:tc>
        <w:tc>
          <w:tcPr>
            <w:tcW w:w="690" w:type="pct"/>
            <w:vAlign w:val="center"/>
          </w:tcPr>
          <w:p w14:paraId="05409EE0">
            <w:pPr>
              <w:ind w:right="73"/>
              <w:jc w:val="center"/>
            </w:pPr>
            <w:r>
              <w:t>440,813,758.75</w:t>
            </w:r>
          </w:p>
        </w:tc>
        <w:tc>
          <w:tcPr>
            <w:tcW w:w="992" w:type="pct"/>
            <w:vAlign w:val="center"/>
          </w:tcPr>
          <w:p w14:paraId="086E771E">
            <w:pPr>
              <w:jc w:val="center"/>
            </w:pPr>
            <w:r>
              <w:t>86.77</w:t>
            </w:r>
          </w:p>
        </w:tc>
        <w:tc>
          <w:tcPr>
            <w:tcW w:w="762" w:type="pct"/>
          </w:tcPr>
          <w:p w14:paraId="53839841">
            <w:pPr>
              <w:ind w:right="73"/>
              <w:jc w:val="center"/>
            </w:pPr>
            <w:r>
              <w:t>/</w:t>
            </w:r>
          </w:p>
        </w:tc>
        <w:tc>
          <w:tcPr>
            <w:tcW w:w="748" w:type="pct"/>
          </w:tcPr>
          <w:p w14:paraId="36816EDF">
            <w:pPr>
              <w:ind w:right="73"/>
              <w:jc w:val="center"/>
            </w:pPr>
            <w:r>
              <w:t>/</w:t>
            </w:r>
          </w:p>
        </w:tc>
        <w:tc>
          <w:tcPr>
            <w:tcW w:w="943" w:type="pct"/>
            <w:vAlign w:val="center"/>
          </w:tcPr>
          <w:p w14:paraId="3A781A51">
            <w:pPr>
              <w:jc w:val="right"/>
            </w:pPr>
            <w:r>
              <w:t>296,904,117.20</w:t>
            </w:r>
          </w:p>
        </w:tc>
      </w:tr>
    </w:tbl>
    <w:p w14:paraId="234C7329"/>
    <w:p w14:paraId="783E1E1C">
      <w:pPr>
        <w:pStyle w:val="6"/>
        <w:numPr>
          <w:ilvl w:val="0"/>
          <w:numId w:val="50"/>
        </w:numPr>
      </w:pPr>
      <w:r>
        <w:rPr>
          <w:rFonts w:hint="eastAsia"/>
        </w:rPr>
        <w:t>因资金集中管理而列报于其他应收款</w:t>
      </w:r>
    </w:p>
    <w:sdt>
      <w:sdtPr>
        <w:rPr>
          <w:color w:val="000000" w:themeColor="text1"/>
          <w14:textFill>
            <w14:solidFill>
              <w14:schemeClr w14:val="tx1"/>
            </w14:solidFill>
          </w14:textFill>
        </w:rPr>
        <w:alias w:val="是否适用：因资金集中管理而列报于其他应收款[双击切换]"/>
        <w:tag w:val="_GBC_4dd617ad43cc44e08e5603fa324c6566"/>
        <w:id w:val="387765074"/>
        <w:placeholder>
          <w:docPart w:val="GBC22222222222222222222222222222"/>
        </w:placeholder>
      </w:sdtPr>
      <w:sdtEndPr>
        <w:rPr>
          <w:color w:val="000000" w:themeColor="text1"/>
          <w14:textFill>
            <w14:solidFill>
              <w14:schemeClr w14:val="tx1"/>
            </w14:solidFill>
          </w14:textFill>
        </w:rPr>
      </w:sdtEndPr>
      <w:sdtContent>
        <w:p w14:paraId="392235D0">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15"/>
    <w:p w14:paraId="3BCDB5E7">
      <w:pPr>
        <w:snapToGrid w:val="0"/>
        <w:spacing w:line="240" w:lineRule="atLeast"/>
        <w:rPr>
          <w:color w:val="000000" w:themeColor="text1"/>
          <w14:textFill>
            <w14:solidFill>
              <w14:schemeClr w14:val="tx1"/>
            </w14:solidFill>
          </w14:textFill>
        </w:rPr>
      </w:pPr>
    </w:p>
    <w:p w14:paraId="6B47CB4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color w:val="000000" w:themeColor="text1"/>
          <w14:textFill>
            <w14:solidFill>
              <w14:schemeClr w14:val="tx1"/>
            </w14:solidFill>
          </w14:textFill>
        </w:rPr>
        <w:alias w:val="是否适用：其他应收款的其他说明[双击切换]"/>
        <w:tag w:val="_GBC_55d570440c184744bd13a4938ba488d1"/>
        <w:id w:val="1610392500"/>
        <w:placeholder>
          <w:docPart w:val="GBC22222222222222222222222222222"/>
        </w:placeholder>
      </w:sdtPr>
      <w:sdtEndPr>
        <w:rPr>
          <w:color w:val="000000" w:themeColor="text1"/>
          <w14:textFill>
            <w14:solidFill>
              <w14:schemeClr w14:val="tx1"/>
            </w14:solidFill>
          </w14:textFill>
        </w:rPr>
      </w:sdtEndPr>
      <w:sdtContent>
        <w:p w14:paraId="0D3FCFC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4A63D3">
      <w:pPr>
        <w:rPr>
          <w:color w:val="000000" w:themeColor="text1"/>
          <w14:textFill>
            <w14:solidFill>
              <w14:schemeClr w14:val="tx1"/>
            </w14:solidFill>
          </w14:textFill>
        </w:rPr>
      </w:pPr>
    </w:p>
    <w:p w14:paraId="5CC396D2">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存货</w:t>
      </w:r>
    </w:p>
    <w:p w14:paraId="359723D7">
      <w:pPr>
        <w:pStyle w:val="5"/>
        <w:numPr>
          <w:ilvl w:val="0"/>
          <w:numId w:val="51"/>
        </w:numPr>
        <w:tabs>
          <w:tab w:val="left" w:pos="630"/>
        </w:tabs>
        <w:rPr>
          <w:rFonts w:ascii="宋体" w:hAnsi="宋体"/>
          <w:color w:val="000000" w:themeColor="text1"/>
          <w14:textFill>
            <w14:solidFill>
              <w14:schemeClr w14:val="tx1"/>
            </w14:solidFill>
          </w14:textFill>
        </w:rPr>
      </w:pPr>
      <w:bookmarkStart w:id="216" w:name="_Hlk10470159"/>
      <w:r>
        <w:rPr>
          <w:rFonts w:hint="eastAsia" w:ascii="宋体" w:hAnsi="宋体"/>
          <w:color w:val="000000" w:themeColor="text1"/>
          <w14:textFill>
            <w14:solidFill>
              <w14:schemeClr w14:val="tx1"/>
            </w14:solidFill>
          </w14:textFill>
        </w:rPr>
        <w:t>存货分类</w:t>
      </w:r>
    </w:p>
    <w:sdt>
      <w:sdtPr>
        <w:rPr>
          <w:color w:val="000000" w:themeColor="text1"/>
          <w14:textFill>
            <w14:solidFill>
              <w14:schemeClr w14:val="tx1"/>
            </w14:solidFill>
          </w14:textFill>
        </w:rPr>
        <w:alias w:val="是否适用：存货分类[双击切换]"/>
        <w:tag w:val="_GBC_06c46a03a226418fb8e5e84326c47750"/>
        <w:id w:val="-1725288190"/>
        <w:placeholder>
          <w:docPart w:val="GBC22222222222222222222222222222"/>
        </w:placeholder>
      </w:sdtPr>
      <w:sdtEndPr>
        <w:rPr>
          <w:color w:val="000000" w:themeColor="text1"/>
          <w14:textFill>
            <w14:solidFill>
              <w14:schemeClr w14:val="tx1"/>
            </w14:solidFill>
          </w14:textFill>
        </w:rPr>
      </w:sdtEndPr>
      <w:sdtContent>
        <w:p w14:paraId="20C7279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9044D3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存货分类"/>
          <w:tag w:val="_GBC_cc6e1ec3be0141cbb25cf999a897b29b"/>
          <w:id w:val="19285271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存货分类"/>
          <w:tag w:val="_GBC_d85b2ad6790d4fa2ace1d773934cd4b3"/>
          <w:id w:val="-16119657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216"/>
    <w:tbl>
      <w:tblPr>
        <w:tblStyle w:val="37"/>
        <w:tblW w:w="5426" w:type="pct"/>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285"/>
        <w:gridCol w:w="1344"/>
        <w:gridCol w:w="1315"/>
        <w:gridCol w:w="1466"/>
        <w:gridCol w:w="1464"/>
        <w:gridCol w:w="1315"/>
        <w:gridCol w:w="1464"/>
      </w:tblGrid>
      <w:tr w14:paraId="5AE1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z w:val="18"/>
              <w:szCs w:val="18"/>
            </w:rPr>
            <w:tag w:val="_PLD_48d855cd658044389f8d1cbe0016be78"/>
            <w:id w:val="-1613435372"/>
          </w:sdtPr>
          <w:sdtEndPr>
            <w:rPr>
              <w:sz w:val="18"/>
              <w:szCs w:val="18"/>
            </w:rPr>
          </w:sdtEndPr>
          <w:sdtContent>
            <w:tc>
              <w:tcPr>
                <w:tcW w:w="666" w:type="pct"/>
                <w:vMerge w:val="restart"/>
                <w:vAlign w:val="center"/>
              </w:tcPr>
              <w:p w14:paraId="7F268B8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p>
            </w:tc>
          </w:sdtContent>
        </w:sdt>
        <w:sdt>
          <w:sdtPr>
            <w:rPr>
              <w:sz w:val="18"/>
              <w:szCs w:val="18"/>
            </w:rPr>
            <w:tag w:val="_PLD_586606f595aa4fff8214f9b6209260b6"/>
            <w:id w:val="-339002226"/>
          </w:sdtPr>
          <w:sdtEndPr>
            <w:rPr>
              <w:sz w:val="18"/>
              <w:szCs w:val="18"/>
            </w:rPr>
          </w:sdtEndPr>
          <w:sdtContent>
            <w:tc>
              <w:tcPr>
                <w:tcW w:w="2136" w:type="pct"/>
                <w:gridSpan w:val="3"/>
                <w:vAlign w:val="center"/>
              </w:tcPr>
              <w:p w14:paraId="1BBB779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期末余额</w:t>
                </w:r>
              </w:p>
            </w:tc>
          </w:sdtContent>
        </w:sdt>
        <w:sdt>
          <w:sdtPr>
            <w:rPr>
              <w:sz w:val="18"/>
              <w:szCs w:val="18"/>
            </w:rPr>
            <w:tag w:val="_PLD_a1bbc97888494137a790328386c2b9d8"/>
            <w:id w:val="1847586324"/>
          </w:sdtPr>
          <w:sdtEndPr>
            <w:rPr>
              <w:sz w:val="18"/>
              <w:szCs w:val="18"/>
            </w:rPr>
          </w:sdtEndPr>
          <w:sdtContent>
            <w:tc>
              <w:tcPr>
                <w:tcW w:w="2197" w:type="pct"/>
                <w:gridSpan w:val="3"/>
                <w:vAlign w:val="center"/>
              </w:tcPr>
              <w:p w14:paraId="21E42AD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期初余额</w:t>
                </w:r>
              </w:p>
            </w:tc>
          </w:sdtContent>
        </w:sdt>
      </w:tr>
      <w:tr w14:paraId="641A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66" w:type="pct"/>
            <w:vMerge w:val="continue"/>
          </w:tcPr>
          <w:p w14:paraId="69E747CB">
            <w:pPr>
              <w:ind w:right="5"/>
              <w:jc w:val="center"/>
              <w:rPr>
                <w:color w:val="000000" w:themeColor="text1"/>
                <w:sz w:val="18"/>
                <w:szCs w:val="18"/>
                <w14:textFill>
                  <w14:solidFill>
                    <w14:schemeClr w14:val="tx1"/>
                  </w14:solidFill>
                </w14:textFill>
              </w:rPr>
            </w:pPr>
          </w:p>
        </w:tc>
        <w:sdt>
          <w:sdtPr>
            <w:rPr>
              <w:sz w:val="18"/>
              <w:szCs w:val="18"/>
            </w:rPr>
            <w:tag w:val="_PLD_60368d835c2843d99b5061f4c84f8d8e"/>
            <w:id w:val="-406005699"/>
          </w:sdtPr>
          <w:sdtEndPr>
            <w:rPr>
              <w:sz w:val="18"/>
              <w:szCs w:val="18"/>
            </w:rPr>
          </w:sdtEndPr>
          <w:sdtContent>
            <w:tc>
              <w:tcPr>
                <w:tcW w:w="696" w:type="pct"/>
                <w:vAlign w:val="center"/>
              </w:tcPr>
              <w:p w14:paraId="0C797F7F">
                <w:pPr>
                  <w:ind w:right="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账面余额</w:t>
                </w:r>
              </w:p>
            </w:tc>
          </w:sdtContent>
        </w:sdt>
        <w:tc>
          <w:tcPr>
            <w:tcW w:w="681" w:type="pct"/>
            <w:vAlign w:val="center"/>
          </w:tcPr>
          <w:p w14:paraId="13AC3FC3">
            <w:pPr>
              <w:ind w:right="5"/>
              <w:jc w:val="center"/>
              <w:rPr>
                <w:color w:val="000000" w:themeColor="text1"/>
                <w:sz w:val="18"/>
                <w:szCs w:val="18"/>
                <w14:textFill>
                  <w14:solidFill>
                    <w14:schemeClr w14:val="tx1"/>
                  </w14:solidFill>
                </w14:textFill>
              </w:rPr>
            </w:pPr>
            <w:sdt>
              <w:sdtPr>
                <w:rPr>
                  <w:sz w:val="18"/>
                  <w:szCs w:val="18"/>
                </w:rPr>
                <w:tag w:val="_PLD_b5c53ce2a5004db988af9e72594f6b6a"/>
                <w:id w:val="-179901486"/>
              </w:sdtPr>
              <w:sdtEndPr>
                <w:rPr>
                  <w:sz w:val="18"/>
                  <w:szCs w:val="18"/>
                </w:rPr>
              </w:sdtEndPr>
              <w:sdtContent>
                <w:r>
                  <w:rPr>
                    <w:rFonts w:hint="eastAsia"/>
                    <w:color w:val="000000" w:themeColor="text1"/>
                    <w:sz w:val="18"/>
                    <w:szCs w:val="18"/>
                    <w14:textFill>
                      <w14:solidFill>
                        <w14:schemeClr w14:val="tx1"/>
                      </w14:solidFill>
                    </w14:textFill>
                  </w:rPr>
                  <w:t>存货跌价准备</w:t>
                </w:r>
                <w:r>
                  <w:rPr>
                    <w:color w:val="000000" w:themeColor="text1"/>
                    <w:sz w:val="18"/>
                    <w:szCs w:val="18"/>
                    <w14:textFill>
                      <w14:solidFill>
                        <w14:schemeClr w14:val="tx1"/>
                      </w14:solidFill>
                    </w14:textFill>
                  </w:rPr>
                  <w:t>/合同履约成本减值准备</w:t>
                </w:r>
              </w:sdtContent>
            </w:sdt>
          </w:p>
        </w:tc>
        <w:sdt>
          <w:sdtPr>
            <w:rPr>
              <w:sz w:val="18"/>
              <w:szCs w:val="18"/>
            </w:rPr>
            <w:tag w:val="_PLD_f2691cf723784fbcbc9a900f61c6e250"/>
            <w:id w:val="960077004"/>
          </w:sdtPr>
          <w:sdtEndPr>
            <w:rPr>
              <w:sz w:val="18"/>
              <w:szCs w:val="18"/>
            </w:rPr>
          </w:sdtEndPr>
          <w:sdtContent>
            <w:tc>
              <w:tcPr>
                <w:tcW w:w="759" w:type="pct"/>
                <w:vAlign w:val="center"/>
              </w:tcPr>
              <w:p w14:paraId="4E34DE82">
                <w:pPr>
                  <w:ind w:right="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账面价值</w:t>
                </w:r>
              </w:p>
            </w:tc>
          </w:sdtContent>
        </w:sdt>
        <w:sdt>
          <w:sdtPr>
            <w:rPr>
              <w:sz w:val="18"/>
              <w:szCs w:val="18"/>
            </w:rPr>
            <w:tag w:val="_PLD_df34ec94af0b441bab962cb42fe65b1a"/>
            <w:id w:val="-1329289830"/>
          </w:sdtPr>
          <w:sdtEndPr>
            <w:rPr>
              <w:sz w:val="18"/>
              <w:szCs w:val="18"/>
            </w:rPr>
          </w:sdtEndPr>
          <w:sdtContent>
            <w:tc>
              <w:tcPr>
                <w:tcW w:w="758" w:type="pct"/>
                <w:vAlign w:val="center"/>
              </w:tcPr>
              <w:p w14:paraId="18C24537">
                <w:pPr>
                  <w:ind w:right="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账面余额</w:t>
                </w:r>
              </w:p>
            </w:tc>
          </w:sdtContent>
        </w:sdt>
        <w:tc>
          <w:tcPr>
            <w:tcW w:w="681" w:type="pct"/>
            <w:vAlign w:val="center"/>
          </w:tcPr>
          <w:p w14:paraId="2D0F4F6C">
            <w:pPr>
              <w:ind w:right="5"/>
              <w:jc w:val="center"/>
              <w:rPr>
                <w:color w:val="000000" w:themeColor="text1"/>
                <w:sz w:val="18"/>
                <w:szCs w:val="18"/>
                <w14:textFill>
                  <w14:solidFill>
                    <w14:schemeClr w14:val="tx1"/>
                  </w14:solidFill>
                </w14:textFill>
              </w:rPr>
            </w:pPr>
            <w:sdt>
              <w:sdtPr>
                <w:rPr>
                  <w:sz w:val="18"/>
                  <w:szCs w:val="18"/>
                </w:rPr>
                <w:tag w:val="_PLD_7a42c47b54924b47b9e161d8fd9fb840"/>
                <w:id w:val="1726404456"/>
              </w:sdtPr>
              <w:sdtEndPr>
                <w:rPr>
                  <w:sz w:val="18"/>
                  <w:szCs w:val="18"/>
                </w:rPr>
              </w:sdtEndPr>
              <w:sdtContent>
                <w:r>
                  <w:rPr>
                    <w:rFonts w:hint="eastAsia"/>
                    <w:color w:val="000000" w:themeColor="text1"/>
                    <w:sz w:val="18"/>
                    <w:szCs w:val="18"/>
                    <w14:textFill>
                      <w14:solidFill>
                        <w14:schemeClr w14:val="tx1"/>
                      </w14:solidFill>
                    </w14:textFill>
                  </w:rPr>
                  <w:t>存货跌价准备</w:t>
                </w:r>
                <w:r>
                  <w:rPr>
                    <w:color w:val="000000" w:themeColor="text1"/>
                    <w:sz w:val="18"/>
                    <w:szCs w:val="18"/>
                    <w14:textFill>
                      <w14:solidFill>
                        <w14:schemeClr w14:val="tx1"/>
                      </w14:solidFill>
                    </w14:textFill>
                  </w:rPr>
                  <w:t>/合同履约成本减值准备</w:t>
                </w:r>
              </w:sdtContent>
            </w:sdt>
          </w:p>
        </w:tc>
        <w:sdt>
          <w:sdtPr>
            <w:rPr>
              <w:sz w:val="18"/>
              <w:szCs w:val="18"/>
            </w:rPr>
            <w:tag w:val="_PLD_0db3a7f82db34583bb111dc2a8e88f8c"/>
            <w:id w:val="353312092"/>
          </w:sdtPr>
          <w:sdtEndPr>
            <w:rPr>
              <w:sz w:val="18"/>
              <w:szCs w:val="18"/>
            </w:rPr>
          </w:sdtEndPr>
          <w:sdtContent>
            <w:tc>
              <w:tcPr>
                <w:tcW w:w="758" w:type="pct"/>
                <w:vAlign w:val="center"/>
              </w:tcPr>
              <w:p w14:paraId="3E1FC428">
                <w:pPr>
                  <w:ind w:right="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账面价值</w:t>
                </w:r>
              </w:p>
            </w:tc>
          </w:sdtContent>
        </w:sdt>
      </w:tr>
      <w:tr w14:paraId="04CC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66" w:type="pct"/>
          </w:tcPr>
          <w:p w14:paraId="2251549E">
            <w:pPr>
              <w:ind w:right="5"/>
              <w:rPr>
                <w:sz w:val="18"/>
                <w:szCs w:val="18"/>
              </w:rPr>
            </w:pPr>
            <w:r>
              <w:rPr>
                <w:sz w:val="18"/>
                <w:szCs w:val="18"/>
              </w:rPr>
              <w:t>原材料</w:t>
            </w:r>
          </w:p>
        </w:tc>
        <w:tc>
          <w:tcPr>
            <w:tcW w:w="696" w:type="pct"/>
            <w:vAlign w:val="center"/>
          </w:tcPr>
          <w:p w14:paraId="39641347">
            <w:pPr>
              <w:ind w:right="5"/>
              <w:jc w:val="right"/>
              <w:rPr>
                <w:sz w:val="18"/>
                <w:szCs w:val="18"/>
              </w:rPr>
            </w:pPr>
            <w:r>
              <w:rPr>
                <w:rFonts w:hint="eastAsia"/>
                <w:color w:val="000000"/>
                <w:sz w:val="18"/>
                <w:szCs w:val="18"/>
              </w:rPr>
              <w:t>233,945,474.62</w:t>
            </w:r>
          </w:p>
        </w:tc>
        <w:tc>
          <w:tcPr>
            <w:tcW w:w="681" w:type="pct"/>
            <w:vAlign w:val="center"/>
          </w:tcPr>
          <w:p w14:paraId="5ED3AA33">
            <w:pPr>
              <w:ind w:right="5"/>
              <w:jc w:val="right"/>
              <w:rPr>
                <w:sz w:val="18"/>
                <w:szCs w:val="18"/>
              </w:rPr>
            </w:pPr>
            <w:r>
              <w:rPr>
                <w:rFonts w:hint="eastAsia"/>
                <w:color w:val="000000"/>
                <w:sz w:val="18"/>
                <w:szCs w:val="18"/>
              </w:rPr>
              <w:t>38,526,355.41</w:t>
            </w:r>
          </w:p>
        </w:tc>
        <w:tc>
          <w:tcPr>
            <w:tcW w:w="759" w:type="pct"/>
            <w:vAlign w:val="center"/>
          </w:tcPr>
          <w:p w14:paraId="09F71A61">
            <w:pPr>
              <w:ind w:right="5"/>
              <w:jc w:val="right"/>
              <w:rPr>
                <w:sz w:val="18"/>
                <w:szCs w:val="18"/>
              </w:rPr>
            </w:pPr>
            <w:r>
              <w:rPr>
                <w:rFonts w:hint="eastAsia"/>
                <w:color w:val="000000"/>
                <w:sz w:val="18"/>
                <w:szCs w:val="18"/>
              </w:rPr>
              <w:t>195,419,119.21</w:t>
            </w:r>
          </w:p>
        </w:tc>
        <w:tc>
          <w:tcPr>
            <w:tcW w:w="758" w:type="pct"/>
            <w:vAlign w:val="center"/>
          </w:tcPr>
          <w:p w14:paraId="313ADA03">
            <w:pPr>
              <w:ind w:right="5"/>
              <w:jc w:val="right"/>
              <w:rPr>
                <w:sz w:val="18"/>
                <w:szCs w:val="18"/>
              </w:rPr>
            </w:pPr>
            <w:r>
              <w:rPr>
                <w:sz w:val="18"/>
                <w:szCs w:val="18"/>
              </w:rPr>
              <w:t>146,444,790.16</w:t>
            </w:r>
          </w:p>
        </w:tc>
        <w:tc>
          <w:tcPr>
            <w:tcW w:w="681" w:type="pct"/>
            <w:vAlign w:val="center"/>
          </w:tcPr>
          <w:p w14:paraId="37329896">
            <w:pPr>
              <w:ind w:right="5"/>
              <w:jc w:val="right"/>
              <w:rPr>
                <w:sz w:val="18"/>
                <w:szCs w:val="18"/>
              </w:rPr>
            </w:pPr>
            <w:r>
              <w:rPr>
                <w:sz w:val="18"/>
                <w:szCs w:val="18"/>
              </w:rPr>
              <w:t>14,722,242.44</w:t>
            </w:r>
          </w:p>
        </w:tc>
        <w:tc>
          <w:tcPr>
            <w:tcW w:w="758" w:type="pct"/>
            <w:vAlign w:val="center"/>
          </w:tcPr>
          <w:p w14:paraId="66D1C4AA">
            <w:pPr>
              <w:ind w:right="5"/>
              <w:jc w:val="right"/>
              <w:rPr>
                <w:sz w:val="18"/>
                <w:szCs w:val="18"/>
              </w:rPr>
            </w:pPr>
            <w:r>
              <w:rPr>
                <w:sz w:val="18"/>
                <w:szCs w:val="18"/>
              </w:rPr>
              <w:t>131,722,547.72</w:t>
            </w:r>
          </w:p>
        </w:tc>
      </w:tr>
      <w:tr w14:paraId="7D69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66" w:type="pct"/>
          </w:tcPr>
          <w:p w14:paraId="29E041D9">
            <w:pPr>
              <w:ind w:right="5"/>
              <w:rPr>
                <w:sz w:val="18"/>
                <w:szCs w:val="18"/>
              </w:rPr>
            </w:pPr>
            <w:r>
              <w:rPr>
                <w:sz w:val="18"/>
                <w:szCs w:val="18"/>
              </w:rPr>
              <w:t>低值易耗品</w:t>
            </w:r>
          </w:p>
        </w:tc>
        <w:tc>
          <w:tcPr>
            <w:tcW w:w="696" w:type="pct"/>
            <w:vAlign w:val="center"/>
          </w:tcPr>
          <w:p w14:paraId="7CA61507">
            <w:pPr>
              <w:ind w:right="5"/>
              <w:jc w:val="right"/>
              <w:rPr>
                <w:sz w:val="18"/>
                <w:szCs w:val="18"/>
              </w:rPr>
            </w:pPr>
            <w:r>
              <w:rPr>
                <w:rFonts w:hint="eastAsia"/>
                <w:color w:val="000000"/>
                <w:sz w:val="18"/>
                <w:szCs w:val="18"/>
              </w:rPr>
              <w:t>654,302.69</w:t>
            </w:r>
          </w:p>
        </w:tc>
        <w:tc>
          <w:tcPr>
            <w:tcW w:w="681" w:type="pct"/>
            <w:vAlign w:val="center"/>
          </w:tcPr>
          <w:p w14:paraId="295E2A56">
            <w:pPr>
              <w:ind w:right="5"/>
              <w:jc w:val="right"/>
              <w:rPr>
                <w:sz w:val="18"/>
                <w:szCs w:val="18"/>
              </w:rPr>
            </w:pPr>
            <w:r>
              <w:rPr>
                <w:rFonts w:hint="eastAsia"/>
                <w:color w:val="000000"/>
                <w:sz w:val="18"/>
                <w:szCs w:val="18"/>
              </w:rPr>
              <w:t>2,746.54</w:t>
            </w:r>
          </w:p>
        </w:tc>
        <w:tc>
          <w:tcPr>
            <w:tcW w:w="759" w:type="pct"/>
            <w:vAlign w:val="center"/>
          </w:tcPr>
          <w:p w14:paraId="2DE86110">
            <w:pPr>
              <w:ind w:right="5"/>
              <w:jc w:val="right"/>
              <w:rPr>
                <w:sz w:val="18"/>
                <w:szCs w:val="18"/>
              </w:rPr>
            </w:pPr>
            <w:r>
              <w:rPr>
                <w:rFonts w:hint="eastAsia"/>
                <w:color w:val="000000"/>
                <w:sz w:val="18"/>
                <w:szCs w:val="18"/>
              </w:rPr>
              <w:t>651,556.15</w:t>
            </w:r>
          </w:p>
        </w:tc>
        <w:tc>
          <w:tcPr>
            <w:tcW w:w="758" w:type="pct"/>
            <w:vAlign w:val="center"/>
          </w:tcPr>
          <w:p w14:paraId="11FD2E49">
            <w:pPr>
              <w:ind w:right="5"/>
              <w:jc w:val="right"/>
              <w:rPr>
                <w:sz w:val="18"/>
                <w:szCs w:val="18"/>
              </w:rPr>
            </w:pPr>
            <w:r>
              <w:rPr>
                <w:sz w:val="18"/>
                <w:szCs w:val="18"/>
              </w:rPr>
              <w:t>696,660.51</w:t>
            </w:r>
          </w:p>
        </w:tc>
        <w:tc>
          <w:tcPr>
            <w:tcW w:w="681" w:type="pct"/>
            <w:vAlign w:val="center"/>
          </w:tcPr>
          <w:p w14:paraId="45C35BA3">
            <w:pPr>
              <w:ind w:right="5"/>
              <w:jc w:val="right"/>
              <w:rPr>
                <w:sz w:val="18"/>
                <w:szCs w:val="18"/>
              </w:rPr>
            </w:pPr>
            <w:r>
              <w:rPr>
                <w:sz w:val="18"/>
                <w:szCs w:val="18"/>
              </w:rPr>
              <w:t>11,355.76</w:t>
            </w:r>
          </w:p>
        </w:tc>
        <w:tc>
          <w:tcPr>
            <w:tcW w:w="758" w:type="pct"/>
            <w:vAlign w:val="center"/>
          </w:tcPr>
          <w:p w14:paraId="412C4848">
            <w:pPr>
              <w:ind w:right="5"/>
              <w:jc w:val="right"/>
              <w:rPr>
                <w:sz w:val="18"/>
                <w:szCs w:val="18"/>
              </w:rPr>
            </w:pPr>
            <w:r>
              <w:rPr>
                <w:sz w:val="18"/>
                <w:szCs w:val="18"/>
              </w:rPr>
              <w:t>685,304.75</w:t>
            </w:r>
          </w:p>
        </w:tc>
      </w:tr>
      <w:tr w14:paraId="0BA1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66" w:type="pct"/>
          </w:tcPr>
          <w:p w14:paraId="19465A3D">
            <w:pPr>
              <w:ind w:right="5"/>
              <w:rPr>
                <w:sz w:val="18"/>
                <w:szCs w:val="18"/>
              </w:rPr>
            </w:pPr>
            <w:r>
              <w:rPr>
                <w:sz w:val="18"/>
                <w:szCs w:val="18"/>
              </w:rPr>
              <w:t>委托加工物资</w:t>
            </w:r>
          </w:p>
        </w:tc>
        <w:tc>
          <w:tcPr>
            <w:tcW w:w="696" w:type="pct"/>
            <w:vAlign w:val="center"/>
          </w:tcPr>
          <w:p w14:paraId="16C81638">
            <w:pPr>
              <w:ind w:right="5"/>
              <w:jc w:val="right"/>
              <w:rPr>
                <w:sz w:val="18"/>
                <w:szCs w:val="18"/>
              </w:rPr>
            </w:pPr>
            <w:r>
              <w:rPr>
                <w:rFonts w:hint="eastAsia"/>
                <w:color w:val="000000"/>
                <w:sz w:val="18"/>
                <w:szCs w:val="18"/>
              </w:rPr>
              <w:t>2,438,930.11</w:t>
            </w:r>
          </w:p>
        </w:tc>
        <w:tc>
          <w:tcPr>
            <w:tcW w:w="681" w:type="pct"/>
            <w:vAlign w:val="center"/>
          </w:tcPr>
          <w:p w14:paraId="33320E89">
            <w:pPr>
              <w:ind w:right="5"/>
              <w:jc w:val="right"/>
              <w:rPr>
                <w:sz w:val="18"/>
                <w:szCs w:val="18"/>
              </w:rPr>
            </w:pPr>
            <w:r>
              <w:rPr>
                <w:rFonts w:hint="eastAsia"/>
                <w:color w:val="000000"/>
                <w:sz w:val="18"/>
                <w:szCs w:val="18"/>
              </w:rPr>
              <w:t>62,528.94</w:t>
            </w:r>
          </w:p>
        </w:tc>
        <w:tc>
          <w:tcPr>
            <w:tcW w:w="759" w:type="pct"/>
            <w:vAlign w:val="center"/>
          </w:tcPr>
          <w:p w14:paraId="7F60CFAF">
            <w:pPr>
              <w:ind w:right="5"/>
              <w:jc w:val="right"/>
              <w:rPr>
                <w:sz w:val="18"/>
                <w:szCs w:val="18"/>
              </w:rPr>
            </w:pPr>
            <w:r>
              <w:rPr>
                <w:rFonts w:hint="eastAsia"/>
                <w:color w:val="000000"/>
                <w:sz w:val="18"/>
                <w:szCs w:val="18"/>
              </w:rPr>
              <w:t>2,376,401.17</w:t>
            </w:r>
          </w:p>
        </w:tc>
        <w:tc>
          <w:tcPr>
            <w:tcW w:w="758" w:type="pct"/>
            <w:vAlign w:val="center"/>
          </w:tcPr>
          <w:p w14:paraId="4D38F1C9">
            <w:pPr>
              <w:ind w:right="5"/>
              <w:jc w:val="right"/>
              <w:rPr>
                <w:sz w:val="18"/>
                <w:szCs w:val="18"/>
              </w:rPr>
            </w:pPr>
            <w:r>
              <w:rPr>
                <w:sz w:val="18"/>
                <w:szCs w:val="18"/>
              </w:rPr>
              <w:t>3,018,974.51</w:t>
            </w:r>
          </w:p>
        </w:tc>
        <w:tc>
          <w:tcPr>
            <w:tcW w:w="681" w:type="pct"/>
            <w:vAlign w:val="center"/>
          </w:tcPr>
          <w:p w14:paraId="4E0AED37">
            <w:pPr>
              <w:ind w:right="5"/>
              <w:jc w:val="right"/>
              <w:rPr>
                <w:sz w:val="18"/>
                <w:szCs w:val="18"/>
              </w:rPr>
            </w:pPr>
            <w:r>
              <w:rPr>
                <w:sz w:val="18"/>
                <w:szCs w:val="18"/>
              </w:rPr>
              <w:t>19,752.68</w:t>
            </w:r>
          </w:p>
        </w:tc>
        <w:tc>
          <w:tcPr>
            <w:tcW w:w="758" w:type="pct"/>
            <w:vAlign w:val="center"/>
          </w:tcPr>
          <w:p w14:paraId="34505148">
            <w:pPr>
              <w:ind w:right="5"/>
              <w:jc w:val="right"/>
              <w:rPr>
                <w:sz w:val="18"/>
                <w:szCs w:val="18"/>
              </w:rPr>
            </w:pPr>
            <w:r>
              <w:rPr>
                <w:sz w:val="18"/>
                <w:szCs w:val="18"/>
              </w:rPr>
              <w:t>2,999,221.83</w:t>
            </w:r>
          </w:p>
        </w:tc>
      </w:tr>
      <w:tr w14:paraId="3B69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66" w:type="pct"/>
          </w:tcPr>
          <w:p w14:paraId="3E3C7336">
            <w:pPr>
              <w:ind w:right="5"/>
              <w:rPr>
                <w:sz w:val="18"/>
                <w:szCs w:val="18"/>
              </w:rPr>
            </w:pPr>
            <w:r>
              <w:rPr>
                <w:sz w:val="18"/>
                <w:szCs w:val="18"/>
              </w:rPr>
              <w:t>在产品</w:t>
            </w:r>
          </w:p>
        </w:tc>
        <w:tc>
          <w:tcPr>
            <w:tcW w:w="696" w:type="pct"/>
            <w:vAlign w:val="center"/>
          </w:tcPr>
          <w:p w14:paraId="64E7AF6C">
            <w:pPr>
              <w:ind w:right="5"/>
              <w:jc w:val="right"/>
              <w:rPr>
                <w:sz w:val="18"/>
                <w:szCs w:val="18"/>
              </w:rPr>
            </w:pPr>
            <w:r>
              <w:rPr>
                <w:rFonts w:hint="eastAsia"/>
                <w:color w:val="000000"/>
                <w:sz w:val="18"/>
                <w:szCs w:val="18"/>
              </w:rPr>
              <w:t>18,181,426.37</w:t>
            </w:r>
          </w:p>
        </w:tc>
        <w:tc>
          <w:tcPr>
            <w:tcW w:w="681" w:type="pct"/>
            <w:vAlign w:val="center"/>
          </w:tcPr>
          <w:p w14:paraId="70ACD711">
            <w:pPr>
              <w:ind w:right="5"/>
              <w:jc w:val="right"/>
              <w:rPr>
                <w:sz w:val="18"/>
                <w:szCs w:val="18"/>
              </w:rPr>
            </w:pPr>
            <w:r>
              <w:rPr>
                <w:rFonts w:hint="eastAsia"/>
                <w:color w:val="000000"/>
                <w:sz w:val="18"/>
                <w:szCs w:val="18"/>
              </w:rPr>
              <w:t>225,295.90</w:t>
            </w:r>
          </w:p>
        </w:tc>
        <w:tc>
          <w:tcPr>
            <w:tcW w:w="759" w:type="pct"/>
            <w:vAlign w:val="center"/>
          </w:tcPr>
          <w:p w14:paraId="3CB7E9F8">
            <w:pPr>
              <w:ind w:right="5"/>
              <w:jc w:val="right"/>
              <w:rPr>
                <w:sz w:val="18"/>
                <w:szCs w:val="18"/>
              </w:rPr>
            </w:pPr>
            <w:r>
              <w:rPr>
                <w:rFonts w:hint="eastAsia"/>
                <w:color w:val="000000"/>
                <w:sz w:val="18"/>
                <w:szCs w:val="18"/>
              </w:rPr>
              <w:t>17,956,130.47</w:t>
            </w:r>
          </w:p>
        </w:tc>
        <w:tc>
          <w:tcPr>
            <w:tcW w:w="758" w:type="pct"/>
            <w:vAlign w:val="center"/>
          </w:tcPr>
          <w:p w14:paraId="5EF9828E">
            <w:pPr>
              <w:ind w:right="5"/>
              <w:jc w:val="right"/>
              <w:rPr>
                <w:sz w:val="18"/>
                <w:szCs w:val="18"/>
              </w:rPr>
            </w:pPr>
            <w:r>
              <w:rPr>
                <w:sz w:val="18"/>
                <w:szCs w:val="18"/>
              </w:rPr>
              <w:t>118,446,338.11</w:t>
            </w:r>
          </w:p>
        </w:tc>
        <w:tc>
          <w:tcPr>
            <w:tcW w:w="681" w:type="pct"/>
            <w:vAlign w:val="center"/>
          </w:tcPr>
          <w:p w14:paraId="6C3395F5">
            <w:pPr>
              <w:ind w:right="5"/>
              <w:jc w:val="right"/>
              <w:rPr>
                <w:sz w:val="18"/>
                <w:szCs w:val="18"/>
              </w:rPr>
            </w:pPr>
            <w:r>
              <w:rPr>
                <w:sz w:val="18"/>
                <w:szCs w:val="18"/>
              </w:rPr>
              <w:t>83,520,337.58</w:t>
            </w:r>
          </w:p>
        </w:tc>
        <w:tc>
          <w:tcPr>
            <w:tcW w:w="758" w:type="pct"/>
            <w:vAlign w:val="center"/>
          </w:tcPr>
          <w:p w14:paraId="5BC78000">
            <w:pPr>
              <w:ind w:right="5"/>
              <w:jc w:val="right"/>
              <w:rPr>
                <w:sz w:val="18"/>
                <w:szCs w:val="18"/>
              </w:rPr>
            </w:pPr>
            <w:r>
              <w:rPr>
                <w:sz w:val="18"/>
                <w:szCs w:val="18"/>
              </w:rPr>
              <w:t>34,926,000.53</w:t>
            </w:r>
          </w:p>
        </w:tc>
      </w:tr>
      <w:tr w14:paraId="7685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66" w:type="pct"/>
          </w:tcPr>
          <w:p w14:paraId="73AA8E84">
            <w:pPr>
              <w:ind w:right="5"/>
              <w:rPr>
                <w:sz w:val="18"/>
                <w:szCs w:val="18"/>
              </w:rPr>
            </w:pPr>
            <w:r>
              <w:rPr>
                <w:sz w:val="18"/>
                <w:szCs w:val="18"/>
              </w:rPr>
              <w:t>库存商品</w:t>
            </w:r>
          </w:p>
        </w:tc>
        <w:tc>
          <w:tcPr>
            <w:tcW w:w="696" w:type="pct"/>
            <w:vAlign w:val="center"/>
          </w:tcPr>
          <w:p w14:paraId="162BF156">
            <w:pPr>
              <w:ind w:right="5"/>
              <w:jc w:val="right"/>
              <w:rPr>
                <w:sz w:val="18"/>
                <w:szCs w:val="18"/>
              </w:rPr>
            </w:pPr>
            <w:r>
              <w:rPr>
                <w:rFonts w:hint="eastAsia"/>
                <w:color w:val="000000"/>
                <w:sz w:val="18"/>
                <w:szCs w:val="18"/>
              </w:rPr>
              <w:t>770,924,764.66</w:t>
            </w:r>
          </w:p>
        </w:tc>
        <w:tc>
          <w:tcPr>
            <w:tcW w:w="681" w:type="pct"/>
            <w:vAlign w:val="center"/>
          </w:tcPr>
          <w:p w14:paraId="295C170E">
            <w:pPr>
              <w:ind w:right="5"/>
              <w:jc w:val="right"/>
              <w:rPr>
                <w:sz w:val="18"/>
                <w:szCs w:val="18"/>
              </w:rPr>
            </w:pPr>
            <w:r>
              <w:rPr>
                <w:rFonts w:hint="eastAsia"/>
                <w:color w:val="000000"/>
                <w:sz w:val="18"/>
                <w:szCs w:val="18"/>
              </w:rPr>
              <w:t>105,081,931.33</w:t>
            </w:r>
          </w:p>
        </w:tc>
        <w:tc>
          <w:tcPr>
            <w:tcW w:w="759" w:type="pct"/>
            <w:vAlign w:val="center"/>
          </w:tcPr>
          <w:p w14:paraId="2BB01896">
            <w:pPr>
              <w:ind w:right="5"/>
              <w:jc w:val="right"/>
              <w:rPr>
                <w:sz w:val="18"/>
                <w:szCs w:val="18"/>
              </w:rPr>
            </w:pPr>
            <w:r>
              <w:rPr>
                <w:rFonts w:hint="eastAsia"/>
                <w:color w:val="000000"/>
                <w:sz w:val="18"/>
                <w:szCs w:val="18"/>
              </w:rPr>
              <w:t>665,842,833.33</w:t>
            </w:r>
          </w:p>
        </w:tc>
        <w:tc>
          <w:tcPr>
            <w:tcW w:w="758" w:type="pct"/>
            <w:vAlign w:val="center"/>
          </w:tcPr>
          <w:p w14:paraId="4D383395">
            <w:pPr>
              <w:ind w:right="5"/>
              <w:jc w:val="right"/>
              <w:rPr>
                <w:sz w:val="18"/>
                <w:szCs w:val="18"/>
              </w:rPr>
            </w:pPr>
            <w:r>
              <w:rPr>
                <w:sz w:val="18"/>
                <w:szCs w:val="18"/>
              </w:rPr>
              <w:t>932,773,394.53</w:t>
            </w:r>
          </w:p>
        </w:tc>
        <w:tc>
          <w:tcPr>
            <w:tcW w:w="681" w:type="pct"/>
            <w:vAlign w:val="center"/>
          </w:tcPr>
          <w:p w14:paraId="230C67AC">
            <w:pPr>
              <w:ind w:right="5"/>
              <w:jc w:val="right"/>
              <w:rPr>
                <w:sz w:val="18"/>
                <w:szCs w:val="18"/>
              </w:rPr>
            </w:pPr>
            <w:r>
              <w:rPr>
                <w:sz w:val="18"/>
                <w:szCs w:val="18"/>
              </w:rPr>
              <w:t>115,323,122.00</w:t>
            </w:r>
          </w:p>
        </w:tc>
        <w:tc>
          <w:tcPr>
            <w:tcW w:w="758" w:type="pct"/>
            <w:vAlign w:val="center"/>
          </w:tcPr>
          <w:p w14:paraId="2AD610D8">
            <w:pPr>
              <w:ind w:right="5"/>
              <w:jc w:val="right"/>
              <w:rPr>
                <w:sz w:val="18"/>
                <w:szCs w:val="18"/>
              </w:rPr>
            </w:pPr>
            <w:r>
              <w:rPr>
                <w:sz w:val="18"/>
                <w:szCs w:val="18"/>
              </w:rPr>
              <w:t>817,450,272.53</w:t>
            </w:r>
          </w:p>
        </w:tc>
      </w:tr>
      <w:tr w14:paraId="54D2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66" w:type="pct"/>
          </w:tcPr>
          <w:p w14:paraId="190BF02F">
            <w:pPr>
              <w:ind w:right="5"/>
              <w:rPr>
                <w:sz w:val="18"/>
                <w:szCs w:val="18"/>
              </w:rPr>
            </w:pPr>
            <w:r>
              <w:rPr>
                <w:sz w:val="18"/>
                <w:szCs w:val="18"/>
              </w:rPr>
              <w:t>发出商品</w:t>
            </w:r>
          </w:p>
        </w:tc>
        <w:tc>
          <w:tcPr>
            <w:tcW w:w="696" w:type="pct"/>
            <w:vAlign w:val="center"/>
          </w:tcPr>
          <w:p w14:paraId="6025231F">
            <w:pPr>
              <w:ind w:right="5"/>
              <w:jc w:val="right"/>
              <w:rPr>
                <w:sz w:val="18"/>
                <w:szCs w:val="18"/>
              </w:rPr>
            </w:pPr>
            <w:r>
              <w:rPr>
                <w:rFonts w:hint="eastAsia"/>
                <w:color w:val="000000"/>
                <w:sz w:val="18"/>
                <w:szCs w:val="18"/>
              </w:rPr>
              <w:t>134,370,243.25</w:t>
            </w:r>
          </w:p>
        </w:tc>
        <w:tc>
          <w:tcPr>
            <w:tcW w:w="681" w:type="pct"/>
            <w:vAlign w:val="center"/>
          </w:tcPr>
          <w:p w14:paraId="2BD488E4">
            <w:pPr>
              <w:ind w:right="5"/>
              <w:jc w:val="right"/>
              <w:rPr>
                <w:sz w:val="18"/>
                <w:szCs w:val="18"/>
              </w:rPr>
            </w:pPr>
            <w:r>
              <w:rPr>
                <w:rFonts w:hint="eastAsia"/>
                <w:color w:val="000000"/>
                <w:sz w:val="18"/>
                <w:szCs w:val="18"/>
              </w:rPr>
              <w:t>12,434.13</w:t>
            </w:r>
          </w:p>
        </w:tc>
        <w:tc>
          <w:tcPr>
            <w:tcW w:w="759" w:type="pct"/>
            <w:vAlign w:val="center"/>
          </w:tcPr>
          <w:p w14:paraId="18CF06DE">
            <w:pPr>
              <w:ind w:right="5"/>
              <w:jc w:val="right"/>
              <w:rPr>
                <w:sz w:val="18"/>
                <w:szCs w:val="18"/>
              </w:rPr>
            </w:pPr>
            <w:r>
              <w:rPr>
                <w:rFonts w:hint="eastAsia"/>
                <w:color w:val="000000"/>
                <w:sz w:val="18"/>
                <w:szCs w:val="18"/>
              </w:rPr>
              <w:t>134,357,809.12</w:t>
            </w:r>
          </w:p>
        </w:tc>
        <w:tc>
          <w:tcPr>
            <w:tcW w:w="758" w:type="pct"/>
            <w:vAlign w:val="center"/>
          </w:tcPr>
          <w:p w14:paraId="721C15FF">
            <w:pPr>
              <w:ind w:right="5"/>
              <w:jc w:val="right"/>
              <w:rPr>
                <w:sz w:val="18"/>
                <w:szCs w:val="18"/>
              </w:rPr>
            </w:pPr>
            <w:r>
              <w:rPr>
                <w:sz w:val="18"/>
                <w:szCs w:val="18"/>
              </w:rPr>
              <w:t>28,713,382.03</w:t>
            </w:r>
          </w:p>
        </w:tc>
        <w:tc>
          <w:tcPr>
            <w:tcW w:w="681" w:type="pct"/>
            <w:vAlign w:val="center"/>
          </w:tcPr>
          <w:p w14:paraId="36C26323">
            <w:pPr>
              <w:ind w:right="5"/>
              <w:jc w:val="right"/>
              <w:rPr>
                <w:sz w:val="18"/>
                <w:szCs w:val="18"/>
              </w:rPr>
            </w:pPr>
            <w:r>
              <w:rPr>
                <w:sz w:val="18"/>
                <w:szCs w:val="18"/>
              </w:rPr>
              <w:t>410,521.72</w:t>
            </w:r>
          </w:p>
        </w:tc>
        <w:tc>
          <w:tcPr>
            <w:tcW w:w="758" w:type="pct"/>
            <w:vAlign w:val="center"/>
          </w:tcPr>
          <w:p w14:paraId="7A00C0E4">
            <w:pPr>
              <w:ind w:right="5"/>
              <w:jc w:val="right"/>
              <w:rPr>
                <w:sz w:val="18"/>
                <w:szCs w:val="18"/>
              </w:rPr>
            </w:pPr>
            <w:r>
              <w:rPr>
                <w:sz w:val="18"/>
                <w:szCs w:val="18"/>
              </w:rPr>
              <w:t>28,302,860.31</w:t>
            </w:r>
          </w:p>
        </w:tc>
      </w:tr>
      <w:tr w14:paraId="1BAD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66" w:type="pct"/>
          </w:tcPr>
          <w:p w14:paraId="7B0DFA26">
            <w:pPr>
              <w:ind w:right="5"/>
              <w:rPr>
                <w:sz w:val="18"/>
                <w:szCs w:val="18"/>
              </w:rPr>
            </w:pPr>
            <w:r>
              <w:rPr>
                <w:sz w:val="18"/>
                <w:szCs w:val="18"/>
              </w:rPr>
              <w:t>开发成本及开发产品</w:t>
            </w:r>
          </w:p>
        </w:tc>
        <w:tc>
          <w:tcPr>
            <w:tcW w:w="696" w:type="pct"/>
            <w:vAlign w:val="center"/>
          </w:tcPr>
          <w:p w14:paraId="2EDBAE31">
            <w:pPr>
              <w:ind w:right="5"/>
              <w:jc w:val="right"/>
              <w:rPr>
                <w:sz w:val="18"/>
                <w:szCs w:val="18"/>
              </w:rPr>
            </w:pPr>
            <w:r>
              <w:rPr>
                <w:rFonts w:hint="eastAsia"/>
                <w:color w:val="000000"/>
                <w:sz w:val="18"/>
                <w:szCs w:val="18"/>
              </w:rPr>
              <w:t>1,254,728,134.97</w:t>
            </w:r>
          </w:p>
        </w:tc>
        <w:tc>
          <w:tcPr>
            <w:tcW w:w="681" w:type="pct"/>
            <w:vAlign w:val="center"/>
          </w:tcPr>
          <w:p w14:paraId="7328B954">
            <w:pPr>
              <w:ind w:right="5"/>
              <w:jc w:val="right"/>
              <w:rPr>
                <w:sz w:val="18"/>
                <w:szCs w:val="18"/>
              </w:rPr>
            </w:pPr>
            <w:r>
              <w:rPr>
                <w:rFonts w:hint="eastAsia"/>
                <w:color w:val="000000"/>
                <w:sz w:val="18"/>
                <w:szCs w:val="18"/>
              </w:rPr>
              <w:t>　</w:t>
            </w:r>
          </w:p>
        </w:tc>
        <w:tc>
          <w:tcPr>
            <w:tcW w:w="759" w:type="pct"/>
            <w:vAlign w:val="center"/>
          </w:tcPr>
          <w:p w14:paraId="6A831208">
            <w:pPr>
              <w:ind w:right="5"/>
              <w:jc w:val="right"/>
              <w:rPr>
                <w:sz w:val="18"/>
                <w:szCs w:val="18"/>
              </w:rPr>
            </w:pPr>
            <w:r>
              <w:rPr>
                <w:rFonts w:hint="eastAsia"/>
                <w:color w:val="000000"/>
                <w:sz w:val="18"/>
                <w:szCs w:val="18"/>
              </w:rPr>
              <w:t>1,254,728,134.97</w:t>
            </w:r>
          </w:p>
        </w:tc>
        <w:tc>
          <w:tcPr>
            <w:tcW w:w="758" w:type="pct"/>
            <w:vAlign w:val="center"/>
          </w:tcPr>
          <w:p w14:paraId="65441516">
            <w:pPr>
              <w:ind w:right="5"/>
              <w:jc w:val="right"/>
              <w:rPr>
                <w:sz w:val="18"/>
                <w:szCs w:val="18"/>
              </w:rPr>
            </w:pPr>
            <w:r>
              <w:rPr>
                <w:sz w:val="18"/>
                <w:szCs w:val="18"/>
              </w:rPr>
              <w:t>1,250,867,456.97</w:t>
            </w:r>
          </w:p>
        </w:tc>
        <w:tc>
          <w:tcPr>
            <w:tcW w:w="681" w:type="pct"/>
            <w:vAlign w:val="center"/>
          </w:tcPr>
          <w:p w14:paraId="31299160">
            <w:pPr>
              <w:ind w:right="5"/>
              <w:jc w:val="right"/>
              <w:rPr>
                <w:sz w:val="18"/>
                <w:szCs w:val="18"/>
              </w:rPr>
            </w:pPr>
          </w:p>
        </w:tc>
        <w:tc>
          <w:tcPr>
            <w:tcW w:w="758" w:type="pct"/>
            <w:vAlign w:val="center"/>
          </w:tcPr>
          <w:p w14:paraId="3BAFFBF2">
            <w:pPr>
              <w:ind w:right="5"/>
              <w:jc w:val="right"/>
              <w:rPr>
                <w:sz w:val="18"/>
                <w:szCs w:val="18"/>
              </w:rPr>
            </w:pPr>
            <w:r>
              <w:rPr>
                <w:sz w:val="18"/>
                <w:szCs w:val="18"/>
              </w:rPr>
              <w:t>1,250,867,456.97</w:t>
            </w:r>
          </w:p>
        </w:tc>
      </w:tr>
      <w:tr w14:paraId="097E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66" w:type="pct"/>
          </w:tcPr>
          <w:p w14:paraId="29FEA432">
            <w:pPr>
              <w:ind w:right="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合计</w:t>
            </w:r>
          </w:p>
        </w:tc>
        <w:tc>
          <w:tcPr>
            <w:tcW w:w="696" w:type="pct"/>
            <w:vAlign w:val="center"/>
          </w:tcPr>
          <w:p w14:paraId="5593E243">
            <w:pPr>
              <w:jc w:val="right"/>
              <w:rPr>
                <w:color w:val="000000"/>
                <w:sz w:val="18"/>
                <w:szCs w:val="18"/>
              </w:rPr>
            </w:pPr>
            <w:r>
              <w:rPr>
                <w:rFonts w:hint="eastAsia"/>
                <w:color w:val="000000"/>
                <w:sz w:val="18"/>
                <w:szCs w:val="18"/>
              </w:rPr>
              <w:t>2,415,243,276.67</w:t>
            </w:r>
          </w:p>
        </w:tc>
        <w:tc>
          <w:tcPr>
            <w:tcW w:w="681" w:type="pct"/>
            <w:vAlign w:val="center"/>
          </w:tcPr>
          <w:p w14:paraId="13498473">
            <w:pPr>
              <w:jc w:val="right"/>
              <w:rPr>
                <w:color w:val="000000"/>
                <w:sz w:val="18"/>
                <w:szCs w:val="18"/>
              </w:rPr>
            </w:pPr>
            <w:r>
              <w:rPr>
                <w:rFonts w:hint="eastAsia"/>
                <w:color w:val="000000"/>
                <w:sz w:val="18"/>
                <w:szCs w:val="18"/>
              </w:rPr>
              <w:t>143,911,292.25</w:t>
            </w:r>
          </w:p>
        </w:tc>
        <w:tc>
          <w:tcPr>
            <w:tcW w:w="759" w:type="pct"/>
            <w:vAlign w:val="center"/>
          </w:tcPr>
          <w:p w14:paraId="1BB91801">
            <w:pPr>
              <w:jc w:val="right"/>
              <w:rPr>
                <w:color w:val="000000"/>
                <w:sz w:val="18"/>
                <w:szCs w:val="18"/>
              </w:rPr>
            </w:pPr>
            <w:r>
              <w:rPr>
                <w:rFonts w:hint="eastAsia"/>
                <w:color w:val="000000"/>
                <w:sz w:val="18"/>
                <w:szCs w:val="18"/>
              </w:rPr>
              <w:t>2,271,331,984.42</w:t>
            </w:r>
          </w:p>
        </w:tc>
        <w:tc>
          <w:tcPr>
            <w:tcW w:w="758" w:type="pct"/>
            <w:vAlign w:val="center"/>
          </w:tcPr>
          <w:p w14:paraId="5AF04823">
            <w:pPr>
              <w:jc w:val="right"/>
              <w:rPr>
                <w:color w:val="000000"/>
                <w:sz w:val="18"/>
                <w:szCs w:val="18"/>
              </w:rPr>
            </w:pPr>
            <w:r>
              <w:rPr>
                <w:rFonts w:hint="eastAsia"/>
                <w:color w:val="000000"/>
                <w:sz w:val="18"/>
                <w:szCs w:val="18"/>
              </w:rPr>
              <w:t>2,480,960,996.82</w:t>
            </w:r>
          </w:p>
        </w:tc>
        <w:tc>
          <w:tcPr>
            <w:tcW w:w="681" w:type="pct"/>
            <w:vAlign w:val="center"/>
          </w:tcPr>
          <w:p w14:paraId="640D673D">
            <w:pPr>
              <w:jc w:val="right"/>
              <w:rPr>
                <w:color w:val="000000"/>
                <w:sz w:val="18"/>
                <w:szCs w:val="18"/>
              </w:rPr>
            </w:pPr>
            <w:r>
              <w:rPr>
                <w:rFonts w:hint="eastAsia"/>
                <w:color w:val="000000"/>
                <w:sz w:val="18"/>
                <w:szCs w:val="18"/>
              </w:rPr>
              <w:t>214,007,332.18</w:t>
            </w:r>
          </w:p>
        </w:tc>
        <w:tc>
          <w:tcPr>
            <w:tcW w:w="758" w:type="pct"/>
            <w:vAlign w:val="center"/>
          </w:tcPr>
          <w:p w14:paraId="5292E7B5">
            <w:pPr>
              <w:jc w:val="right"/>
              <w:rPr>
                <w:color w:val="000000"/>
                <w:sz w:val="18"/>
                <w:szCs w:val="18"/>
              </w:rPr>
            </w:pPr>
            <w:r>
              <w:rPr>
                <w:rFonts w:hint="eastAsia"/>
                <w:color w:val="000000"/>
                <w:sz w:val="18"/>
                <w:szCs w:val="18"/>
              </w:rPr>
              <w:t>2,266,953,664.64</w:t>
            </w:r>
          </w:p>
        </w:tc>
      </w:tr>
    </w:tbl>
    <w:p w14:paraId="55BE1102"/>
    <w:p w14:paraId="52853962">
      <w:pPr>
        <w:pStyle w:val="5"/>
        <w:numPr>
          <w:ilvl w:val="0"/>
          <w:numId w:val="51"/>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确认为存货的数据资源</w:t>
      </w:r>
    </w:p>
    <w:sdt>
      <w:sdtPr>
        <w:rPr>
          <w:rFonts w:hint="eastAsia"/>
          <w:color w:val="000000" w:themeColor="text1"/>
          <w14:textFill>
            <w14:solidFill>
              <w14:schemeClr w14:val="tx1"/>
            </w14:solidFill>
          </w14:textFill>
        </w:rPr>
        <w:alias w:val="是否适用：确认为存货的数据资源[双击切换]"/>
        <w:tag w:val="_GBC_b3f6ef82894a4eb29036b70065be8671"/>
        <w:id w:val="-1567648058"/>
        <w:placeholder>
          <w:docPart w:val="GBC22222222222222222222222222222"/>
        </w:placeholder>
      </w:sdtPr>
      <w:sdtEndPr>
        <w:rPr>
          <w:rFonts w:hint="eastAsia"/>
          <w:color w:val="000000" w:themeColor="text1"/>
          <w14:textFill>
            <w14:solidFill>
              <w14:schemeClr w14:val="tx1"/>
            </w14:solidFill>
          </w14:textFill>
        </w:rPr>
      </w:sdtEndPr>
      <w:sdtContent>
        <w:p w14:paraId="52F85B0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E604E5">
      <w:pPr>
        <w:rPr>
          <w:color w:val="000000" w:themeColor="text1"/>
          <w14:textFill>
            <w14:solidFill>
              <w14:schemeClr w14:val="tx1"/>
            </w14:solidFill>
          </w14:textFill>
        </w:rPr>
      </w:pPr>
    </w:p>
    <w:p w14:paraId="5DBBA8E6">
      <w:pPr>
        <w:rPr>
          <w:color w:val="000000" w:themeColor="text1"/>
          <w14:textFill>
            <w14:solidFill>
              <w14:schemeClr w14:val="tx1"/>
            </w14:solidFill>
          </w14:textFill>
        </w:rPr>
      </w:pPr>
    </w:p>
    <w:p w14:paraId="01E89771">
      <w:pPr>
        <w:pStyle w:val="5"/>
        <w:numPr>
          <w:ilvl w:val="0"/>
          <w:numId w:val="51"/>
        </w:numPr>
        <w:tabs>
          <w:tab w:val="left" w:pos="630"/>
        </w:tabs>
        <w:rPr>
          <w:rFonts w:ascii="宋体" w:hAnsi="宋体"/>
          <w:color w:val="000000" w:themeColor="text1"/>
          <w14:textFill>
            <w14:solidFill>
              <w14:schemeClr w14:val="tx1"/>
            </w14:solidFill>
          </w14:textFill>
        </w:rPr>
      </w:pPr>
      <w:bookmarkStart w:id="217" w:name="_Hlk10470459"/>
      <w:r>
        <w:rPr>
          <w:rFonts w:hint="eastAsia" w:ascii="宋体" w:hAnsi="宋体"/>
          <w:color w:val="000000" w:themeColor="text1"/>
          <w14:textFill>
            <w14:solidFill>
              <w14:schemeClr w14:val="tx1"/>
            </w14:solidFill>
          </w14:textFill>
        </w:rPr>
        <w:t>存货跌价准备及合同履约成本减值准备</w:t>
      </w:r>
    </w:p>
    <w:sdt>
      <w:sdtPr>
        <w:rPr>
          <w:color w:val="000000" w:themeColor="text1"/>
          <w14:textFill>
            <w14:solidFill>
              <w14:schemeClr w14:val="tx1"/>
            </w14:solidFill>
          </w14:textFill>
        </w:rPr>
        <w:alias w:val="是否适用：存货跌价准备[双击切换]"/>
        <w:tag w:val="_GBC_b9bd4a0fa089468ebded8bb61a86fbae"/>
        <w:id w:val="2000231608"/>
        <w:placeholder>
          <w:docPart w:val="GBC22222222222222222222222222222"/>
        </w:placeholder>
      </w:sdtPr>
      <w:sdtEndPr>
        <w:rPr>
          <w:color w:val="000000" w:themeColor="text1"/>
          <w14:textFill>
            <w14:solidFill>
              <w14:schemeClr w14:val="tx1"/>
            </w14:solidFill>
          </w14:textFill>
        </w:rPr>
      </w:sdtEndPr>
      <w:sdtContent>
        <w:p w14:paraId="4230373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CA6A2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存货跌价准备"/>
          <w:tag w:val="_GBC_42225a9505da4f598594afea08f9738b"/>
          <w:id w:val="-176233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存货跌价准备"/>
          <w:tag w:val="_GBC_4de434e29d00482b8b3175d1e7874ff2"/>
          <w:id w:val="-1159847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536"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1569"/>
        <w:gridCol w:w="1707"/>
        <w:gridCol w:w="653"/>
        <w:gridCol w:w="1569"/>
        <w:gridCol w:w="1355"/>
        <w:gridCol w:w="1565"/>
      </w:tblGrid>
      <w:tr w14:paraId="1459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tag w:val="_PLD_08d27e088675483b81e6b09cfaf565b8"/>
            <w:id w:val="-1133243611"/>
          </w:sdtPr>
          <w:sdtContent>
            <w:tc>
              <w:tcPr>
                <w:tcW w:w="799" w:type="pct"/>
                <w:vMerge w:val="restart"/>
                <w:tcBorders>
                  <w:top w:val="single" w:color="auto" w:sz="4" w:space="0"/>
                  <w:left w:val="single" w:color="auto" w:sz="4" w:space="0"/>
                  <w:bottom w:val="single" w:color="auto" w:sz="4" w:space="0"/>
                  <w:right w:val="single" w:color="auto" w:sz="4" w:space="0"/>
                </w:tcBorders>
                <w:vAlign w:val="center"/>
              </w:tcPr>
              <w:p w14:paraId="313F5C0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31ae60526c9437f842913d632c47f24"/>
            <w:id w:val="-790125901"/>
          </w:sdtPr>
          <w:sdtContent>
            <w:tc>
              <w:tcPr>
                <w:tcW w:w="783" w:type="pct"/>
                <w:vMerge w:val="restart"/>
                <w:tcBorders>
                  <w:top w:val="single" w:color="auto" w:sz="4" w:space="0"/>
                  <w:left w:val="single" w:color="auto" w:sz="4" w:space="0"/>
                  <w:bottom w:val="single" w:color="auto" w:sz="4" w:space="0"/>
                  <w:right w:val="single" w:color="auto" w:sz="4" w:space="0"/>
                </w:tcBorders>
                <w:vAlign w:val="center"/>
              </w:tcPr>
              <w:p w14:paraId="58A0C11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bc39054479074b8ab34cb8519780a5f1"/>
            <w:id w:val="109090057"/>
          </w:sdtPr>
          <w:sdtContent>
            <w:tc>
              <w:tcPr>
                <w:tcW w:w="1178" w:type="pct"/>
                <w:gridSpan w:val="2"/>
                <w:tcBorders>
                  <w:top w:val="single" w:color="auto" w:sz="4" w:space="0"/>
                  <w:left w:val="single" w:color="auto" w:sz="4" w:space="0"/>
                  <w:right w:val="single" w:color="auto" w:sz="4" w:space="0"/>
                </w:tcBorders>
                <w:vAlign w:val="center"/>
              </w:tcPr>
              <w:p w14:paraId="3F9CC9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本期增加金额</w:t>
                </w:r>
              </w:p>
            </w:tc>
          </w:sdtContent>
        </w:sdt>
        <w:sdt>
          <w:sdtPr>
            <w:tag w:val="_PLD_a4a235b43e524c0c98a604df05693747"/>
            <w:id w:val="-545297942"/>
          </w:sdtPr>
          <w:sdtContent>
            <w:tc>
              <w:tcPr>
                <w:tcW w:w="1458" w:type="pct"/>
                <w:gridSpan w:val="2"/>
                <w:tcBorders>
                  <w:top w:val="single" w:color="auto" w:sz="4" w:space="0"/>
                  <w:left w:val="single" w:color="auto" w:sz="4" w:space="0"/>
                  <w:right w:val="single" w:color="auto" w:sz="4" w:space="0"/>
                </w:tcBorders>
                <w:vAlign w:val="center"/>
              </w:tcPr>
              <w:p w14:paraId="45192D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本期减少金额</w:t>
                </w:r>
              </w:p>
            </w:tc>
          </w:sdtContent>
        </w:sdt>
        <w:sdt>
          <w:sdtPr>
            <w:tag w:val="_PLD_fcea706dd57f438c8205de888401e160"/>
            <w:id w:val="-2051368975"/>
          </w:sdtPr>
          <w:sdtContent>
            <w:tc>
              <w:tcPr>
                <w:tcW w:w="783" w:type="pct"/>
                <w:vMerge w:val="restart"/>
                <w:tcBorders>
                  <w:top w:val="single" w:color="auto" w:sz="4" w:space="0"/>
                  <w:left w:val="single" w:color="auto" w:sz="4" w:space="0"/>
                  <w:bottom w:val="single" w:color="auto" w:sz="4" w:space="0"/>
                  <w:right w:val="single" w:color="auto" w:sz="4" w:space="0"/>
                </w:tcBorders>
                <w:vAlign w:val="center"/>
              </w:tcPr>
              <w:p w14:paraId="5CD7414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65ED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99" w:type="pct"/>
            <w:vMerge w:val="continue"/>
            <w:tcBorders>
              <w:top w:val="single" w:color="auto" w:sz="4" w:space="0"/>
              <w:left w:val="single" w:color="auto" w:sz="4" w:space="0"/>
              <w:bottom w:val="single" w:color="auto" w:sz="4" w:space="0"/>
              <w:right w:val="single" w:color="auto" w:sz="4" w:space="0"/>
            </w:tcBorders>
          </w:tcPr>
          <w:p w14:paraId="0BFB712F">
            <w:pPr>
              <w:jc w:val="center"/>
              <w:rPr>
                <w:color w:val="000000" w:themeColor="text1"/>
                <w14:textFill>
                  <w14:solidFill>
                    <w14:schemeClr w14:val="tx1"/>
                  </w14:solidFill>
                </w14:textFill>
              </w:rPr>
            </w:pPr>
          </w:p>
        </w:tc>
        <w:tc>
          <w:tcPr>
            <w:tcW w:w="783" w:type="pct"/>
            <w:vMerge w:val="continue"/>
            <w:tcBorders>
              <w:top w:val="single" w:color="auto" w:sz="4" w:space="0"/>
              <w:left w:val="single" w:color="auto" w:sz="4" w:space="0"/>
              <w:bottom w:val="single" w:color="auto" w:sz="4" w:space="0"/>
              <w:right w:val="single" w:color="auto" w:sz="4" w:space="0"/>
            </w:tcBorders>
          </w:tcPr>
          <w:p w14:paraId="2C3CE043">
            <w:pPr>
              <w:jc w:val="center"/>
              <w:rPr>
                <w:color w:val="000000" w:themeColor="text1"/>
                <w14:textFill>
                  <w14:solidFill>
                    <w14:schemeClr w14:val="tx1"/>
                  </w14:solidFill>
                </w14:textFill>
              </w:rPr>
            </w:pPr>
          </w:p>
        </w:tc>
        <w:sdt>
          <w:sdtPr>
            <w:tag w:val="_PLD_9355443eafab4f4a862c075a55d7e279"/>
            <w:id w:val="1382293126"/>
          </w:sdtPr>
          <w:sdtContent>
            <w:tc>
              <w:tcPr>
                <w:tcW w:w="852" w:type="pct"/>
                <w:tcBorders>
                  <w:left w:val="single" w:color="auto" w:sz="4" w:space="0"/>
                  <w:bottom w:val="single" w:color="auto" w:sz="4" w:space="0"/>
                  <w:right w:val="single" w:color="auto" w:sz="4" w:space="0"/>
                </w:tcBorders>
                <w:vAlign w:val="center"/>
              </w:tcPr>
              <w:p w14:paraId="1428A11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计提</w:t>
                </w:r>
              </w:p>
            </w:tc>
          </w:sdtContent>
        </w:sdt>
        <w:sdt>
          <w:sdtPr>
            <w:tag w:val="_PLD_e67cdd42c79245c980edb6a9d839ecd0"/>
            <w:id w:val="1501002132"/>
          </w:sdtPr>
          <w:sdtContent>
            <w:tc>
              <w:tcPr>
                <w:tcW w:w="326" w:type="pct"/>
                <w:tcBorders>
                  <w:left w:val="single" w:color="auto" w:sz="4" w:space="0"/>
                  <w:bottom w:val="single" w:color="auto" w:sz="4" w:space="0"/>
                  <w:right w:val="single" w:color="auto" w:sz="4" w:space="0"/>
                </w:tcBorders>
                <w:vAlign w:val="center"/>
              </w:tcPr>
              <w:p w14:paraId="578AAC5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sdtContent>
        </w:sdt>
        <w:sdt>
          <w:sdtPr>
            <w:tag w:val="_PLD_d2a5b409858c40b5a77dea8d7f7c8500"/>
            <w:id w:val="2037077665"/>
          </w:sdtPr>
          <w:sdtContent>
            <w:tc>
              <w:tcPr>
                <w:tcW w:w="783" w:type="pct"/>
                <w:tcBorders>
                  <w:top w:val="single" w:color="auto" w:sz="4" w:space="0"/>
                  <w:left w:val="single" w:color="auto" w:sz="4" w:space="0"/>
                  <w:bottom w:val="single" w:color="auto" w:sz="4" w:space="0"/>
                  <w:right w:val="single" w:color="auto" w:sz="4" w:space="0"/>
                </w:tcBorders>
                <w:vAlign w:val="center"/>
              </w:tcPr>
              <w:p w14:paraId="649C423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转回或转销</w:t>
                </w:r>
              </w:p>
            </w:tc>
          </w:sdtContent>
        </w:sdt>
        <w:sdt>
          <w:sdtPr>
            <w:tag w:val="_PLD_a0a39eeb19a049d18a777b0dc41ab25e"/>
            <w:id w:val="-1514061771"/>
          </w:sdtPr>
          <w:sdtContent>
            <w:tc>
              <w:tcPr>
                <w:tcW w:w="676" w:type="pct"/>
                <w:tcBorders>
                  <w:top w:val="single" w:color="auto" w:sz="4" w:space="0"/>
                  <w:left w:val="single" w:color="auto" w:sz="4" w:space="0"/>
                  <w:bottom w:val="single" w:color="auto" w:sz="4" w:space="0"/>
                  <w:right w:val="single" w:color="auto" w:sz="4" w:space="0"/>
                </w:tcBorders>
                <w:vAlign w:val="center"/>
              </w:tcPr>
              <w:p w14:paraId="792DC3E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sdtContent>
        </w:sdt>
        <w:tc>
          <w:tcPr>
            <w:tcW w:w="783" w:type="pct"/>
            <w:vMerge w:val="continue"/>
            <w:tcBorders>
              <w:top w:val="single" w:color="auto" w:sz="4" w:space="0"/>
              <w:left w:val="single" w:color="auto" w:sz="4" w:space="0"/>
              <w:bottom w:val="single" w:color="auto" w:sz="4" w:space="0"/>
              <w:right w:val="single" w:color="auto" w:sz="4" w:space="0"/>
            </w:tcBorders>
            <w:vAlign w:val="center"/>
          </w:tcPr>
          <w:p w14:paraId="2C410604">
            <w:pPr>
              <w:jc w:val="center"/>
              <w:rPr>
                <w:color w:val="000000" w:themeColor="text1"/>
                <w14:textFill>
                  <w14:solidFill>
                    <w14:schemeClr w14:val="tx1"/>
                  </w14:solidFill>
                </w14:textFill>
              </w:rPr>
            </w:pPr>
          </w:p>
        </w:tc>
      </w:tr>
      <w:tr w14:paraId="76EF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9" w:type="pct"/>
            <w:tcBorders>
              <w:top w:val="single" w:color="auto" w:sz="4" w:space="0"/>
              <w:left w:val="single" w:color="auto" w:sz="4" w:space="0"/>
              <w:bottom w:val="single" w:color="auto" w:sz="4" w:space="0"/>
              <w:right w:val="single" w:color="auto" w:sz="4" w:space="0"/>
            </w:tcBorders>
            <w:vAlign w:val="center"/>
          </w:tcPr>
          <w:p w14:paraId="1622CD45">
            <w:pPr>
              <w:jc w:val="center"/>
              <w:rPr>
                <w:color w:val="000000"/>
              </w:rPr>
            </w:pPr>
            <w:r>
              <w:rPr>
                <w:rFonts w:hint="eastAsia"/>
                <w:color w:val="000000"/>
              </w:rPr>
              <w:t>原材料</w:t>
            </w:r>
          </w:p>
        </w:tc>
        <w:tc>
          <w:tcPr>
            <w:tcW w:w="783" w:type="pct"/>
            <w:tcBorders>
              <w:top w:val="single" w:color="auto" w:sz="4" w:space="0"/>
              <w:left w:val="single" w:color="auto" w:sz="4" w:space="0"/>
              <w:bottom w:val="single" w:color="auto" w:sz="4" w:space="0"/>
              <w:right w:val="single" w:color="auto" w:sz="4" w:space="0"/>
            </w:tcBorders>
            <w:vAlign w:val="center"/>
          </w:tcPr>
          <w:p w14:paraId="55494480">
            <w:pPr>
              <w:jc w:val="right"/>
              <w:rPr>
                <w:color w:val="000000"/>
              </w:rPr>
            </w:pPr>
            <w:r>
              <w:rPr>
                <w:rFonts w:hint="eastAsia"/>
                <w:color w:val="000000"/>
              </w:rPr>
              <w:t>14,722,242.44</w:t>
            </w:r>
          </w:p>
        </w:tc>
        <w:tc>
          <w:tcPr>
            <w:tcW w:w="852" w:type="pct"/>
            <w:tcBorders>
              <w:top w:val="single" w:color="auto" w:sz="4" w:space="0"/>
              <w:left w:val="single" w:color="auto" w:sz="4" w:space="0"/>
              <w:bottom w:val="single" w:color="auto" w:sz="4" w:space="0"/>
              <w:right w:val="single" w:color="auto" w:sz="4" w:space="0"/>
            </w:tcBorders>
            <w:vAlign w:val="center"/>
          </w:tcPr>
          <w:p w14:paraId="50EAC7F8">
            <w:pPr>
              <w:jc w:val="right"/>
              <w:rPr>
                <w:rFonts w:eastAsia="等线" w:cs="Times New Roman"/>
                <w:color w:val="000000"/>
              </w:rPr>
            </w:pPr>
            <w:r>
              <w:rPr>
                <w:rFonts w:eastAsia="等线" w:cs="Times New Roman"/>
                <w:color w:val="000000"/>
              </w:rPr>
              <w:t xml:space="preserve">31,270,813.28 </w:t>
            </w:r>
          </w:p>
        </w:tc>
        <w:tc>
          <w:tcPr>
            <w:tcW w:w="326" w:type="pct"/>
            <w:tcBorders>
              <w:top w:val="single" w:color="auto" w:sz="4" w:space="0"/>
              <w:left w:val="single" w:color="auto" w:sz="4" w:space="0"/>
              <w:bottom w:val="single" w:color="auto" w:sz="4" w:space="0"/>
              <w:right w:val="single" w:color="auto" w:sz="4" w:space="0"/>
            </w:tcBorders>
            <w:vAlign w:val="center"/>
          </w:tcPr>
          <w:p w14:paraId="389C7196">
            <w:pPr>
              <w:jc w:val="right"/>
              <w:rPr>
                <w:rFonts w:eastAsia="等线" w:cs="Times New Roman"/>
                <w:color w:val="000000"/>
              </w:rPr>
            </w:pPr>
            <w:r>
              <w:rPr>
                <w:rFonts w:eastAsia="等线" w:cs="Times New Roman"/>
                <w:color w:val="000000"/>
              </w:rPr>
              <w:t>　</w:t>
            </w:r>
          </w:p>
        </w:tc>
        <w:tc>
          <w:tcPr>
            <w:tcW w:w="783" w:type="pct"/>
            <w:tcBorders>
              <w:top w:val="single" w:color="auto" w:sz="4" w:space="0"/>
              <w:left w:val="single" w:color="auto" w:sz="4" w:space="0"/>
              <w:bottom w:val="single" w:color="auto" w:sz="4" w:space="0"/>
              <w:right w:val="single" w:color="auto" w:sz="4" w:space="0"/>
            </w:tcBorders>
            <w:vAlign w:val="center"/>
          </w:tcPr>
          <w:p w14:paraId="1A4A2E8B">
            <w:pPr>
              <w:jc w:val="right"/>
              <w:rPr>
                <w:rFonts w:eastAsia="等线" w:cs="Times New Roman"/>
                <w:color w:val="000000"/>
              </w:rPr>
            </w:pPr>
            <w:r>
              <w:rPr>
                <w:rFonts w:eastAsia="等线" w:cs="Times New Roman"/>
                <w:color w:val="000000"/>
              </w:rPr>
              <w:t xml:space="preserve">5,512,074.98 </w:t>
            </w:r>
          </w:p>
        </w:tc>
        <w:tc>
          <w:tcPr>
            <w:tcW w:w="676" w:type="pct"/>
            <w:tcBorders>
              <w:left w:val="single" w:color="auto" w:sz="4" w:space="0"/>
              <w:right w:val="single" w:color="auto" w:sz="4" w:space="0"/>
            </w:tcBorders>
            <w:vAlign w:val="center"/>
          </w:tcPr>
          <w:p w14:paraId="1AE1997F">
            <w:pPr>
              <w:jc w:val="right"/>
              <w:rPr>
                <w:rFonts w:eastAsia="等线" w:cs="Times New Roman"/>
                <w:color w:val="000000"/>
              </w:rPr>
            </w:pPr>
            <w:r>
              <w:rPr>
                <w:rFonts w:eastAsia="等线" w:cs="Times New Roman"/>
                <w:color w:val="000000"/>
              </w:rPr>
              <w:t xml:space="preserve">1,954,625.33 </w:t>
            </w:r>
          </w:p>
        </w:tc>
        <w:tc>
          <w:tcPr>
            <w:tcW w:w="783" w:type="pct"/>
            <w:tcBorders>
              <w:top w:val="single" w:color="auto" w:sz="4" w:space="0"/>
              <w:left w:val="single" w:color="auto" w:sz="4" w:space="0"/>
              <w:bottom w:val="single" w:color="auto" w:sz="4" w:space="0"/>
              <w:right w:val="single" w:color="auto" w:sz="4" w:space="0"/>
            </w:tcBorders>
            <w:vAlign w:val="center"/>
          </w:tcPr>
          <w:p w14:paraId="31975C5A">
            <w:pPr>
              <w:jc w:val="right"/>
              <w:rPr>
                <w:rFonts w:eastAsia="等线" w:cs="Times New Roman"/>
                <w:color w:val="000000"/>
              </w:rPr>
            </w:pPr>
            <w:r>
              <w:rPr>
                <w:rFonts w:eastAsia="等线" w:cs="Times New Roman"/>
                <w:color w:val="000000"/>
              </w:rPr>
              <w:t xml:space="preserve">38,526,355.41 </w:t>
            </w:r>
          </w:p>
        </w:tc>
      </w:tr>
      <w:tr w14:paraId="3222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9" w:type="pct"/>
            <w:tcBorders>
              <w:top w:val="single" w:color="auto" w:sz="4" w:space="0"/>
              <w:left w:val="single" w:color="auto" w:sz="4" w:space="0"/>
              <w:bottom w:val="single" w:color="auto" w:sz="4" w:space="0"/>
              <w:right w:val="single" w:color="auto" w:sz="4" w:space="0"/>
            </w:tcBorders>
            <w:vAlign w:val="center"/>
          </w:tcPr>
          <w:p w14:paraId="3A69D9D4">
            <w:pPr>
              <w:jc w:val="center"/>
              <w:rPr>
                <w:rFonts w:ascii="宋体" w:hAnsi="宋体"/>
                <w:color w:val="000000"/>
              </w:rPr>
            </w:pPr>
            <w:r>
              <w:rPr>
                <w:rFonts w:hint="eastAsia"/>
                <w:color w:val="000000"/>
              </w:rPr>
              <w:t>低值易耗品</w:t>
            </w:r>
          </w:p>
        </w:tc>
        <w:tc>
          <w:tcPr>
            <w:tcW w:w="783" w:type="pct"/>
            <w:tcBorders>
              <w:top w:val="single" w:color="auto" w:sz="4" w:space="0"/>
              <w:left w:val="single" w:color="auto" w:sz="4" w:space="0"/>
              <w:bottom w:val="single" w:color="auto" w:sz="4" w:space="0"/>
              <w:right w:val="single" w:color="auto" w:sz="4" w:space="0"/>
            </w:tcBorders>
            <w:vAlign w:val="center"/>
          </w:tcPr>
          <w:p w14:paraId="5AD73CC6">
            <w:pPr>
              <w:jc w:val="right"/>
              <w:rPr>
                <w:color w:val="000000"/>
              </w:rPr>
            </w:pPr>
            <w:r>
              <w:rPr>
                <w:rFonts w:hint="eastAsia"/>
                <w:color w:val="000000"/>
              </w:rPr>
              <w:t>11,355.76</w:t>
            </w:r>
          </w:p>
        </w:tc>
        <w:tc>
          <w:tcPr>
            <w:tcW w:w="852" w:type="pct"/>
            <w:tcBorders>
              <w:top w:val="single" w:color="auto" w:sz="4" w:space="0"/>
              <w:left w:val="single" w:color="auto" w:sz="4" w:space="0"/>
              <w:bottom w:val="single" w:color="auto" w:sz="4" w:space="0"/>
              <w:right w:val="single" w:color="auto" w:sz="4" w:space="0"/>
            </w:tcBorders>
            <w:vAlign w:val="center"/>
          </w:tcPr>
          <w:p w14:paraId="4AE2903B">
            <w:pPr>
              <w:ind w:right="840"/>
              <w:jc w:val="right"/>
              <w:rPr>
                <w:rFonts w:eastAsia="等线" w:cs="Times New Roman"/>
                <w:color w:val="000000"/>
              </w:rPr>
            </w:pPr>
            <w:r>
              <w:rPr>
                <w:rFonts w:eastAsia="等线" w:cs="Times New Roman"/>
                <w:color w:val="000000"/>
              </w:rPr>
              <w:t>　</w:t>
            </w:r>
          </w:p>
        </w:tc>
        <w:tc>
          <w:tcPr>
            <w:tcW w:w="326" w:type="pct"/>
            <w:tcBorders>
              <w:top w:val="single" w:color="auto" w:sz="4" w:space="0"/>
              <w:left w:val="single" w:color="auto" w:sz="4" w:space="0"/>
              <w:bottom w:val="single" w:color="auto" w:sz="4" w:space="0"/>
              <w:right w:val="single" w:color="auto" w:sz="4" w:space="0"/>
            </w:tcBorders>
            <w:vAlign w:val="center"/>
          </w:tcPr>
          <w:p w14:paraId="2318C99F">
            <w:pPr>
              <w:jc w:val="right"/>
              <w:rPr>
                <w:rFonts w:eastAsia="等线" w:cs="Times New Roman"/>
                <w:color w:val="000000"/>
              </w:rPr>
            </w:pPr>
            <w:r>
              <w:rPr>
                <w:rFonts w:eastAsia="等线" w:cs="Times New Roman"/>
                <w:color w:val="000000"/>
              </w:rPr>
              <w:t>　</w:t>
            </w:r>
          </w:p>
        </w:tc>
        <w:tc>
          <w:tcPr>
            <w:tcW w:w="783" w:type="pct"/>
            <w:tcBorders>
              <w:top w:val="single" w:color="auto" w:sz="4" w:space="0"/>
              <w:left w:val="single" w:color="auto" w:sz="4" w:space="0"/>
              <w:bottom w:val="single" w:color="auto" w:sz="4" w:space="0"/>
              <w:right w:val="single" w:color="auto" w:sz="4" w:space="0"/>
            </w:tcBorders>
            <w:vAlign w:val="center"/>
          </w:tcPr>
          <w:p w14:paraId="4876F512">
            <w:pPr>
              <w:jc w:val="right"/>
              <w:rPr>
                <w:rFonts w:eastAsia="等线" w:cs="Times New Roman"/>
                <w:color w:val="000000"/>
              </w:rPr>
            </w:pPr>
            <w:r>
              <w:rPr>
                <w:rFonts w:eastAsia="等线" w:cs="Times New Roman"/>
                <w:color w:val="000000"/>
              </w:rPr>
              <w:t xml:space="preserve">8,609.22 </w:t>
            </w:r>
          </w:p>
        </w:tc>
        <w:tc>
          <w:tcPr>
            <w:tcW w:w="676" w:type="pct"/>
            <w:tcBorders>
              <w:left w:val="single" w:color="auto" w:sz="4" w:space="0"/>
              <w:right w:val="single" w:color="auto" w:sz="4" w:space="0"/>
            </w:tcBorders>
            <w:vAlign w:val="center"/>
          </w:tcPr>
          <w:p w14:paraId="20CBB1C8">
            <w:pPr>
              <w:ind w:right="840"/>
              <w:jc w:val="right"/>
              <w:rPr>
                <w:rFonts w:eastAsia="等线" w:cs="Times New Roman"/>
                <w:color w:val="000000"/>
              </w:rPr>
            </w:pPr>
            <w:r>
              <w:rPr>
                <w:rFonts w:eastAsia="等线" w:cs="Times New Roman"/>
                <w:color w:val="000000"/>
              </w:rPr>
              <w:t>　</w:t>
            </w:r>
          </w:p>
        </w:tc>
        <w:tc>
          <w:tcPr>
            <w:tcW w:w="783" w:type="pct"/>
            <w:tcBorders>
              <w:top w:val="single" w:color="auto" w:sz="4" w:space="0"/>
              <w:left w:val="single" w:color="auto" w:sz="4" w:space="0"/>
              <w:bottom w:val="single" w:color="auto" w:sz="4" w:space="0"/>
              <w:right w:val="single" w:color="auto" w:sz="4" w:space="0"/>
            </w:tcBorders>
            <w:vAlign w:val="center"/>
          </w:tcPr>
          <w:p w14:paraId="2C94F2FB">
            <w:pPr>
              <w:jc w:val="right"/>
              <w:rPr>
                <w:rFonts w:eastAsia="等线" w:cs="Times New Roman"/>
                <w:color w:val="000000"/>
              </w:rPr>
            </w:pPr>
            <w:r>
              <w:rPr>
                <w:rFonts w:eastAsia="等线" w:cs="Times New Roman"/>
                <w:color w:val="000000"/>
              </w:rPr>
              <w:t xml:space="preserve">2,746.54 </w:t>
            </w:r>
          </w:p>
        </w:tc>
      </w:tr>
      <w:tr w14:paraId="37AD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9" w:type="pct"/>
            <w:tcBorders>
              <w:top w:val="single" w:color="auto" w:sz="4" w:space="0"/>
              <w:left w:val="single" w:color="auto" w:sz="4" w:space="0"/>
              <w:bottom w:val="single" w:color="auto" w:sz="4" w:space="0"/>
              <w:right w:val="single" w:color="auto" w:sz="4" w:space="0"/>
            </w:tcBorders>
            <w:vAlign w:val="center"/>
          </w:tcPr>
          <w:p w14:paraId="73E2329B">
            <w:pPr>
              <w:jc w:val="center"/>
              <w:rPr>
                <w:rFonts w:ascii="宋体" w:hAnsi="宋体"/>
                <w:color w:val="000000"/>
              </w:rPr>
            </w:pPr>
            <w:r>
              <w:rPr>
                <w:rFonts w:hint="eastAsia"/>
                <w:color w:val="000000"/>
              </w:rPr>
              <w:t>委托加工物资</w:t>
            </w:r>
          </w:p>
        </w:tc>
        <w:tc>
          <w:tcPr>
            <w:tcW w:w="783" w:type="pct"/>
            <w:tcBorders>
              <w:top w:val="single" w:color="auto" w:sz="4" w:space="0"/>
              <w:left w:val="single" w:color="auto" w:sz="4" w:space="0"/>
              <w:bottom w:val="single" w:color="auto" w:sz="4" w:space="0"/>
              <w:right w:val="single" w:color="auto" w:sz="4" w:space="0"/>
            </w:tcBorders>
            <w:vAlign w:val="center"/>
          </w:tcPr>
          <w:p w14:paraId="78D1E977">
            <w:pPr>
              <w:jc w:val="right"/>
              <w:rPr>
                <w:color w:val="000000"/>
              </w:rPr>
            </w:pPr>
            <w:r>
              <w:rPr>
                <w:rFonts w:hint="eastAsia"/>
                <w:color w:val="000000"/>
              </w:rPr>
              <w:t>19,752.68</w:t>
            </w:r>
          </w:p>
        </w:tc>
        <w:tc>
          <w:tcPr>
            <w:tcW w:w="852" w:type="pct"/>
            <w:tcBorders>
              <w:top w:val="single" w:color="auto" w:sz="4" w:space="0"/>
              <w:left w:val="single" w:color="auto" w:sz="4" w:space="0"/>
              <w:bottom w:val="single" w:color="auto" w:sz="4" w:space="0"/>
              <w:right w:val="single" w:color="auto" w:sz="4" w:space="0"/>
            </w:tcBorders>
            <w:vAlign w:val="center"/>
          </w:tcPr>
          <w:p w14:paraId="5754E47B">
            <w:pPr>
              <w:jc w:val="right"/>
              <w:rPr>
                <w:rFonts w:eastAsia="等线" w:cs="Times New Roman"/>
                <w:color w:val="000000"/>
              </w:rPr>
            </w:pPr>
            <w:r>
              <w:rPr>
                <w:rFonts w:eastAsia="等线" w:cs="Times New Roman"/>
                <w:color w:val="000000"/>
              </w:rPr>
              <w:t xml:space="preserve">42,776.26 </w:t>
            </w:r>
          </w:p>
        </w:tc>
        <w:tc>
          <w:tcPr>
            <w:tcW w:w="326" w:type="pct"/>
            <w:tcBorders>
              <w:top w:val="single" w:color="auto" w:sz="4" w:space="0"/>
              <w:left w:val="single" w:color="auto" w:sz="4" w:space="0"/>
              <w:bottom w:val="single" w:color="auto" w:sz="4" w:space="0"/>
              <w:right w:val="single" w:color="auto" w:sz="4" w:space="0"/>
            </w:tcBorders>
            <w:vAlign w:val="center"/>
          </w:tcPr>
          <w:p w14:paraId="3D9DD11E">
            <w:pPr>
              <w:ind w:right="420"/>
              <w:jc w:val="right"/>
              <w:rPr>
                <w:rFonts w:eastAsia="等线" w:cs="Times New Roman"/>
                <w:color w:val="000000"/>
              </w:rPr>
            </w:pPr>
            <w:r>
              <w:rPr>
                <w:rFonts w:eastAsia="等线" w:cs="Times New Roman"/>
                <w:color w:val="000000"/>
              </w:rPr>
              <w:t>　</w:t>
            </w:r>
          </w:p>
        </w:tc>
        <w:tc>
          <w:tcPr>
            <w:tcW w:w="783" w:type="pct"/>
            <w:tcBorders>
              <w:top w:val="single" w:color="auto" w:sz="4" w:space="0"/>
              <w:left w:val="single" w:color="auto" w:sz="4" w:space="0"/>
              <w:bottom w:val="single" w:color="auto" w:sz="4" w:space="0"/>
              <w:right w:val="single" w:color="auto" w:sz="4" w:space="0"/>
            </w:tcBorders>
            <w:vAlign w:val="center"/>
          </w:tcPr>
          <w:p w14:paraId="71ADEFF4">
            <w:pPr>
              <w:ind w:right="840"/>
              <w:jc w:val="right"/>
              <w:rPr>
                <w:rFonts w:eastAsia="等线" w:cs="Times New Roman"/>
                <w:color w:val="000000"/>
              </w:rPr>
            </w:pPr>
            <w:r>
              <w:rPr>
                <w:rFonts w:eastAsia="等线" w:cs="Times New Roman"/>
                <w:color w:val="000000"/>
              </w:rPr>
              <w:t>　</w:t>
            </w:r>
          </w:p>
        </w:tc>
        <w:tc>
          <w:tcPr>
            <w:tcW w:w="676" w:type="pct"/>
            <w:tcBorders>
              <w:left w:val="single" w:color="auto" w:sz="4" w:space="0"/>
              <w:right w:val="single" w:color="auto" w:sz="4" w:space="0"/>
            </w:tcBorders>
            <w:vAlign w:val="center"/>
          </w:tcPr>
          <w:p w14:paraId="299103E8">
            <w:pPr>
              <w:ind w:right="840"/>
              <w:jc w:val="right"/>
              <w:rPr>
                <w:rFonts w:eastAsia="等线" w:cs="Times New Roman"/>
                <w:color w:val="000000"/>
              </w:rPr>
            </w:pPr>
            <w:r>
              <w:rPr>
                <w:rFonts w:eastAsia="等线" w:cs="Times New Roman"/>
                <w:color w:val="000000"/>
              </w:rPr>
              <w:t>　</w:t>
            </w:r>
          </w:p>
        </w:tc>
        <w:tc>
          <w:tcPr>
            <w:tcW w:w="783" w:type="pct"/>
            <w:tcBorders>
              <w:top w:val="single" w:color="auto" w:sz="4" w:space="0"/>
              <w:left w:val="single" w:color="auto" w:sz="4" w:space="0"/>
              <w:bottom w:val="single" w:color="auto" w:sz="4" w:space="0"/>
              <w:right w:val="single" w:color="auto" w:sz="4" w:space="0"/>
            </w:tcBorders>
            <w:vAlign w:val="center"/>
          </w:tcPr>
          <w:p w14:paraId="0A32E4A8">
            <w:pPr>
              <w:jc w:val="right"/>
              <w:rPr>
                <w:rFonts w:eastAsia="等线" w:cs="Times New Roman"/>
                <w:color w:val="000000"/>
              </w:rPr>
            </w:pPr>
            <w:r>
              <w:rPr>
                <w:rFonts w:eastAsia="等线" w:cs="Times New Roman"/>
                <w:color w:val="000000"/>
              </w:rPr>
              <w:t xml:space="preserve"> 62,528.94 </w:t>
            </w:r>
          </w:p>
        </w:tc>
      </w:tr>
      <w:tr w14:paraId="3DD9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9" w:type="pct"/>
            <w:tcBorders>
              <w:top w:val="single" w:color="auto" w:sz="4" w:space="0"/>
              <w:left w:val="single" w:color="auto" w:sz="4" w:space="0"/>
              <w:bottom w:val="single" w:color="auto" w:sz="4" w:space="0"/>
              <w:right w:val="single" w:color="auto" w:sz="4" w:space="0"/>
            </w:tcBorders>
            <w:vAlign w:val="center"/>
          </w:tcPr>
          <w:p w14:paraId="4A8ED023">
            <w:pPr>
              <w:jc w:val="center"/>
              <w:rPr>
                <w:rFonts w:ascii="宋体" w:hAnsi="宋体"/>
                <w:color w:val="000000"/>
              </w:rPr>
            </w:pPr>
            <w:r>
              <w:rPr>
                <w:rFonts w:hint="eastAsia"/>
                <w:color w:val="000000"/>
              </w:rPr>
              <w:t>在产品</w:t>
            </w:r>
          </w:p>
        </w:tc>
        <w:tc>
          <w:tcPr>
            <w:tcW w:w="783" w:type="pct"/>
            <w:tcBorders>
              <w:top w:val="single" w:color="auto" w:sz="4" w:space="0"/>
              <w:left w:val="single" w:color="auto" w:sz="4" w:space="0"/>
              <w:bottom w:val="single" w:color="auto" w:sz="4" w:space="0"/>
              <w:right w:val="single" w:color="auto" w:sz="4" w:space="0"/>
            </w:tcBorders>
            <w:vAlign w:val="center"/>
          </w:tcPr>
          <w:p w14:paraId="40EC70E6">
            <w:pPr>
              <w:jc w:val="right"/>
              <w:rPr>
                <w:color w:val="000000"/>
              </w:rPr>
            </w:pPr>
            <w:r>
              <w:rPr>
                <w:rFonts w:hint="eastAsia"/>
                <w:color w:val="000000"/>
              </w:rPr>
              <w:t>83,520,337.58</w:t>
            </w:r>
          </w:p>
        </w:tc>
        <w:tc>
          <w:tcPr>
            <w:tcW w:w="852" w:type="pct"/>
            <w:tcBorders>
              <w:top w:val="single" w:color="auto" w:sz="4" w:space="0"/>
              <w:left w:val="single" w:color="auto" w:sz="4" w:space="0"/>
              <w:bottom w:val="single" w:color="auto" w:sz="4" w:space="0"/>
              <w:right w:val="single" w:color="auto" w:sz="4" w:space="0"/>
            </w:tcBorders>
            <w:vAlign w:val="center"/>
          </w:tcPr>
          <w:p w14:paraId="6D5D0A18">
            <w:pPr>
              <w:jc w:val="right"/>
              <w:rPr>
                <w:rFonts w:eastAsia="等线" w:cs="Times New Roman"/>
                <w:color w:val="000000"/>
              </w:rPr>
            </w:pPr>
            <w:r>
              <w:rPr>
                <w:rFonts w:eastAsia="等线" w:cs="Times New Roman"/>
                <w:color w:val="000000"/>
              </w:rPr>
              <w:t xml:space="preserve">1,096,527.19 </w:t>
            </w:r>
          </w:p>
        </w:tc>
        <w:tc>
          <w:tcPr>
            <w:tcW w:w="326" w:type="pct"/>
            <w:tcBorders>
              <w:top w:val="single" w:color="auto" w:sz="4" w:space="0"/>
              <w:left w:val="single" w:color="auto" w:sz="4" w:space="0"/>
              <w:bottom w:val="single" w:color="auto" w:sz="4" w:space="0"/>
              <w:right w:val="single" w:color="auto" w:sz="4" w:space="0"/>
            </w:tcBorders>
            <w:vAlign w:val="center"/>
          </w:tcPr>
          <w:p w14:paraId="1B275686">
            <w:pPr>
              <w:jc w:val="right"/>
              <w:rPr>
                <w:rFonts w:eastAsia="等线" w:cs="Times New Roman"/>
                <w:color w:val="000000"/>
              </w:rPr>
            </w:pPr>
            <w:r>
              <w:rPr>
                <w:rFonts w:eastAsia="等线" w:cs="Times New Roman"/>
                <w:color w:val="000000"/>
              </w:rPr>
              <w:t>　</w:t>
            </w:r>
          </w:p>
        </w:tc>
        <w:tc>
          <w:tcPr>
            <w:tcW w:w="783" w:type="pct"/>
            <w:tcBorders>
              <w:top w:val="single" w:color="auto" w:sz="4" w:space="0"/>
              <w:left w:val="single" w:color="auto" w:sz="4" w:space="0"/>
              <w:bottom w:val="single" w:color="auto" w:sz="4" w:space="0"/>
              <w:right w:val="single" w:color="auto" w:sz="4" w:space="0"/>
            </w:tcBorders>
            <w:vAlign w:val="center"/>
          </w:tcPr>
          <w:p w14:paraId="1BC0FC02">
            <w:pPr>
              <w:jc w:val="right"/>
              <w:rPr>
                <w:rFonts w:eastAsia="等线" w:cs="Times New Roman"/>
                <w:color w:val="000000"/>
              </w:rPr>
            </w:pPr>
            <w:r>
              <w:rPr>
                <w:rFonts w:eastAsia="等线" w:cs="Times New Roman"/>
                <w:color w:val="000000"/>
              </w:rPr>
              <w:t xml:space="preserve">84,309,332.38 </w:t>
            </w:r>
          </w:p>
        </w:tc>
        <w:tc>
          <w:tcPr>
            <w:tcW w:w="676" w:type="pct"/>
            <w:tcBorders>
              <w:left w:val="single" w:color="auto" w:sz="4" w:space="0"/>
              <w:right w:val="single" w:color="auto" w:sz="4" w:space="0"/>
            </w:tcBorders>
            <w:vAlign w:val="center"/>
          </w:tcPr>
          <w:p w14:paraId="19F69157">
            <w:pPr>
              <w:jc w:val="right"/>
              <w:rPr>
                <w:rFonts w:eastAsia="等线" w:cs="Times New Roman"/>
                <w:color w:val="000000"/>
              </w:rPr>
            </w:pPr>
            <w:r>
              <w:rPr>
                <w:rFonts w:eastAsia="等线" w:cs="Times New Roman"/>
                <w:color w:val="000000"/>
              </w:rPr>
              <w:t xml:space="preserve">82,236.49 </w:t>
            </w:r>
          </w:p>
        </w:tc>
        <w:tc>
          <w:tcPr>
            <w:tcW w:w="783" w:type="pct"/>
            <w:tcBorders>
              <w:top w:val="single" w:color="auto" w:sz="4" w:space="0"/>
              <w:left w:val="single" w:color="auto" w:sz="4" w:space="0"/>
              <w:bottom w:val="single" w:color="auto" w:sz="4" w:space="0"/>
              <w:right w:val="single" w:color="auto" w:sz="4" w:space="0"/>
            </w:tcBorders>
            <w:vAlign w:val="center"/>
          </w:tcPr>
          <w:p w14:paraId="18974A90">
            <w:pPr>
              <w:jc w:val="right"/>
              <w:rPr>
                <w:rFonts w:eastAsia="等线" w:cs="Times New Roman"/>
                <w:color w:val="000000"/>
              </w:rPr>
            </w:pPr>
            <w:r>
              <w:rPr>
                <w:rFonts w:eastAsia="等线" w:cs="Times New Roman"/>
                <w:color w:val="000000"/>
              </w:rPr>
              <w:t xml:space="preserve">225,295.90 </w:t>
            </w:r>
          </w:p>
        </w:tc>
      </w:tr>
      <w:tr w14:paraId="71AD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9" w:type="pct"/>
            <w:tcBorders>
              <w:top w:val="single" w:color="auto" w:sz="4" w:space="0"/>
              <w:left w:val="single" w:color="auto" w:sz="4" w:space="0"/>
              <w:bottom w:val="single" w:color="auto" w:sz="4" w:space="0"/>
              <w:right w:val="single" w:color="auto" w:sz="4" w:space="0"/>
            </w:tcBorders>
            <w:vAlign w:val="center"/>
          </w:tcPr>
          <w:p w14:paraId="39572DC3">
            <w:pPr>
              <w:jc w:val="center"/>
              <w:rPr>
                <w:rFonts w:ascii="宋体" w:hAnsi="宋体"/>
                <w:color w:val="000000"/>
              </w:rPr>
            </w:pPr>
            <w:r>
              <w:rPr>
                <w:rFonts w:hint="eastAsia"/>
                <w:color w:val="000000"/>
              </w:rPr>
              <w:t>库存商品</w:t>
            </w:r>
          </w:p>
        </w:tc>
        <w:tc>
          <w:tcPr>
            <w:tcW w:w="783" w:type="pct"/>
            <w:tcBorders>
              <w:top w:val="single" w:color="auto" w:sz="4" w:space="0"/>
              <w:left w:val="single" w:color="auto" w:sz="4" w:space="0"/>
              <w:bottom w:val="single" w:color="auto" w:sz="4" w:space="0"/>
              <w:right w:val="single" w:color="auto" w:sz="4" w:space="0"/>
            </w:tcBorders>
            <w:vAlign w:val="center"/>
          </w:tcPr>
          <w:p w14:paraId="38A93821">
            <w:pPr>
              <w:jc w:val="right"/>
              <w:rPr>
                <w:color w:val="000000"/>
              </w:rPr>
            </w:pPr>
            <w:r>
              <w:rPr>
                <w:rFonts w:hint="eastAsia"/>
                <w:color w:val="000000"/>
              </w:rPr>
              <w:t>115,323,122.00</w:t>
            </w:r>
          </w:p>
        </w:tc>
        <w:tc>
          <w:tcPr>
            <w:tcW w:w="852" w:type="pct"/>
            <w:tcBorders>
              <w:top w:val="single" w:color="auto" w:sz="4" w:space="0"/>
              <w:left w:val="single" w:color="auto" w:sz="4" w:space="0"/>
              <w:bottom w:val="single" w:color="auto" w:sz="4" w:space="0"/>
              <w:right w:val="single" w:color="auto" w:sz="4" w:space="0"/>
            </w:tcBorders>
            <w:vAlign w:val="center"/>
          </w:tcPr>
          <w:p w14:paraId="465A0B65">
            <w:pPr>
              <w:jc w:val="right"/>
              <w:rPr>
                <w:rFonts w:eastAsia="等线" w:cs="Times New Roman"/>
                <w:color w:val="000000"/>
              </w:rPr>
            </w:pPr>
            <w:r>
              <w:rPr>
                <w:rFonts w:eastAsia="等线" w:cs="Times New Roman"/>
                <w:color w:val="000000"/>
              </w:rPr>
              <w:t xml:space="preserve">59,129,157.87 </w:t>
            </w:r>
          </w:p>
        </w:tc>
        <w:tc>
          <w:tcPr>
            <w:tcW w:w="326" w:type="pct"/>
            <w:tcBorders>
              <w:top w:val="single" w:color="auto" w:sz="4" w:space="0"/>
              <w:left w:val="single" w:color="auto" w:sz="4" w:space="0"/>
              <w:bottom w:val="single" w:color="auto" w:sz="4" w:space="0"/>
              <w:right w:val="single" w:color="auto" w:sz="4" w:space="0"/>
            </w:tcBorders>
            <w:vAlign w:val="center"/>
          </w:tcPr>
          <w:p w14:paraId="03DC5205">
            <w:pPr>
              <w:jc w:val="right"/>
              <w:rPr>
                <w:rFonts w:eastAsia="等线" w:cs="Times New Roman"/>
                <w:color w:val="000000"/>
              </w:rPr>
            </w:pPr>
            <w:r>
              <w:rPr>
                <w:rFonts w:eastAsia="等线" w:cs="Times New Roman"/>
                <w:color w:val="000000"/>
              </w:rPr>
              <w:t>　</w:t>
            </w:r>
          </w:p>
        </w:tc>
        <w:tc>
          <w:tcPr>
            <w:tcW w:w="783" w:type="pct"/>
            <w:tcBorders>
              <w:top w:val="single" w:color="auto" w:sz="4" w:space="0"/>
              <w:left w:val="single" w:color="auto" w:sz="4" w:space="0"/>
              <w:bottom w:val="single" w:color="auto" w:sz="4" w:space="0"/>
              <w:right w:val="single" w:color="auto" w:sz="4" w:space="0"/>
            </w:tcBorders>
            <w:vAlign w:val="center"/>
          </w:tcPr>
          <w:p w14:paraId="56BB8FDA">
            <w:pPr>
              <w:jc w:val="right"/>
              <w:rPr>
                <w:rFonts w:eastAsia="等线" w:cs="Times New Roman"/>
                <w:color w:val="000000"/>
              </w:rPr>
            </w:pPr>
            <w:r>
              <w:rPr>
                <w:rFonts w:eastAsia="等线" w:cs="Times New Roman"/>
                <w:color w:val="000000"/>
              </w:rPr>
              <w:t xml:space="preserve">68,913,134.75 </w:t>
            </w:r>
          </w:p>
        </w:tc>
        <w:tc>
          <w:tcPr>
            <w:tcW w:w="676" w:type="pct"/>
            <w:tcBorders>
              <w:left w:val="single" w:color="auto" w:sz="4" w:space="0"/>
              <w:right w:val="single" w:color="auto" w:sz="4" w:space="0"/>
            </w:tcBorders>
            <w:vAlign w:val="center"/>
          </w:tcPr>
          <w:p w14:paraId="1465AE77">
            <w:pPr>
              <w:jc w:val="right"/>
              <w:rPr>
                <w:rFonts w:eastAsia="等线" w:cs="Times New Roman"/>
                <w:color w:val="000000"/>
              </w:rPr>
            </w:pPr>
            <w:r>
              <w:rPr>
                <w:rFonts w:eastAsia="等线" w:cs="Times New Roman"/>
                <w:color w:val="000000"/>
              </w:rPr>
              <w:t xml:space="preserve">457,213.79 </w:t>
            </w:r>
          </w:p>
        </w:tc>
        <w:tc>
          <w:tcPr>
            <w:tcW w:w="783" w:type="pct"/>
            <w:tcBorders>
              <w:top w:val="single" w:color="auto" w:sz="4" w:space="0"/>
              <w:left w:val="single" w:color="auto" w:sz="4" w:space="0"/>
              <w:bottom w:val="single" w:color="auto" w:sz="4" w:space="0"/>
              <w:right w:val="single" w:color="auto" w:sz="4" w:space="0"/>
            </w:tcBorders>
            <w:vAlign w:val="center"/>
          </w:tcPr>
          <w:p w14:paraId="0EC93B68">
            <w:pPr>
              <w:jc w:val="right"/>
              <w:rPr>
                <w:rFonts w:eastAsia="等线" w:cs="Times New Roman"/>
                <w:color w:val="000000"/>
              </w:rPr>
            </w:pPr>
            <w:r>
              <w:rPr>
                <w:rFonts w:eastAsia="等线" w:cs="Times New Roman"/>
                <w:color w:val="000000"/>
              </w:rPr>
              <w:t xml:space="preserve">105,081,931.33 </w:t>
            </w:r>
          </w:p>
        </w:tc>
      </w:tr>
      <w:tr w14:paraId="2847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9" w:type="pct"/>
            <w:tcBorders>
              <w:top w:val="single" w:color="auto" w:sz="4" w:space="0"/>
              <w:left w:val="single" w:color="auto" w:sz="4" w:space="0"/>
              <w:bottom w:val="single" w:color="auto" w:sz="4" w:space="0"/>
              <w:right w:val="single" w:color="auto" w:sz="4" w:space="0"/>
            </w:tcBorders>
            <w:vAlign w:val="center"/>
          </w:tcPr>
          <w:p w14:paraId="0E7720A6">
            <w:pPr>
              <w:jc w:val="center"/>
              <w:rPr>
                <w:rFonts w:ascii="宋体" w:hAnsi="宋体"/>
                <w:color w:val="000000"/>
              </w:rPr>
            </w:pPr>
            <w:r>
              <w:rPr>
                <w:rFonts w:hint="eastAsia"/>
                <w:color w:val="000000"/>
              </w:rPr>
              <w:t>发出商品</w:t>
            </w:r>
          </w:p>
        </w:tc>
        <w:tc>
          <w:tcPr>
            <w:tcW w:w="783" w:type="pct"/>
            <w:tcBorders>
              <w:top w:val="single" w:color="auto" w:sz="4" w:space="0"/>
              <w:left w:val="single" w:color="auto" w:sz="4" w:space="0"/>
              <w:bottom w:val="single" w:color="auto" w:sz="4" w:space="0"/>
              <w:right w:val="single" w:color="auto" w:sz="4" w:space="0"/>
            </w:tcBorders>
            <w:vAlign w:val="center"/>
          </w:tcPr>
          <w:p w14:paraId="6698F5F1">
            <w:pPr>
              <w:jc w:val="right"/>
              <w:rPr>
                <w:color w:val="000000"/>
              </w:rPr>
            </w:pPr>
            <w:r>
              <w:rPr>
                <w:rFonts w:hint="eastAsia"/>
                <w:color w:val="000000"/>
              </w:rPr>
              <w:t>410,521.72</w:t>
            </w:r>
          </w:p>
        </w:tc>
        <w:tc>
          <w:tcPr>
            <w:tcW w:w="852" w:type="pct"/>
            <w:tcBorders>
              <w:top w:val="single" w:color="auto" w:sz="4" w:space="0"/>
              <w:left w:val="single" w:color="auto" w:sz="4" w:space="0"/>
              <w:bottom w:val="single" w:color="auto" w:sz="4" w:space="0"/>
              <w:right w:val="single" w:color="auto" w:sz="4" w:space="0"/>
            </w:tcBorders>
            <w:vAlign w:val="center"/>
          </w:tcPr>
          <w:p w14:paraId="6F98BFA2">
            <w:pPr>
              <w:jc w:val="right"/>
              <w:rPr>
                <w:rFonts w:eastAsia="等线" w:cs="Times New Roman"/>
                <w:color w:val="000000"/>
              </w:rPr>
            </w:pPr>
            <w:r>
              <w:rPr>
                <w:rFonts w:eastAsia="等线" w:cs="Times New Roman"/>
                <w:color w:val="000000"/>
              </w:rPr>
              <w:t xml:space="preserve">12,434.13 </w:t>
            </w:r>
          </w:p>
        </w:tc>
        <w:tc>
          <w:tcPr>
            <w:tcW w:w="326" w:type="pct"/>
            <w:tcBorders>
              <w:top w:val="single" w:color="auto" w:sz="4" w:space="0"/>
              <w:left w:val="single" w:color="auto" w:sz="4" w:space="0"/>
              <w:bottom w:val="single" w:color="auto" w:sz="4" w:space="0"/>
              <w:right w:val="single" w:color="auto" w:sz="4" w:space="0"/>
            </w:tcBorders>
            <w:vAlign w:val="center"/>
          </w:tcPr>
          <w:p w14:paraId="7EED51B1">
            <w:pPr>
              <w:ind w:right="210"/>
              <w:jc w:val="right"/>
              <w:rPr>
                <w:rFonts w:eastAsia="等线" w:cs="Times New Roman"/>
                <w:color w:val="000000"/>
              </w:rPr>
            </w:pPr>
            <w:r>
              <w:rPr>
                <w:rFonts w:eastAsia="等线" w:cs="Times New Roman"/>
                <w:color w:val="000000"/>
              </w:rPr>
              <w:t>　</w:t>
            </w:r>
          </w:p>
        </w:tc>
        <w:tc>
          <w:tcPr>
            <w:tcW w:w="783" w:type="pct"/>
            <w:tcBorders>
              <w:top w:val="single" w:color="auto" w:sz="4" w:space="0"/>
              <w:left w:val="single" w:color="auto" w:sz="4" w:space="0"/>
              <w:bottom w:val="single" w:color="auto" w:sz="4" w:space="0"/>
              <w:right w:val="single" w:color="auto" w:sz="4" w:space="0"/>
            </w:tcBorders>
            <w:vAlign w:val="center"/>
          </w:tcPr>
          <w:p w14:paraId="78C7A0F7">
            <w:pPr>
              <w:jc w:val="right"/>
              <w:rPr>
                <w:rFonts w:eastAsia="等线" w:cs="Times New Roman"/>
                <w:color w:val="000000"/>
              </w:rPr>
            </w:pPr>
            <w:r>
              <w:rPr>
                <w:rFonts w:eastAsia="等线" w:cs="Times New Roman"/>
                <w:color w:val="000000"/>
              </w:rPr>
              <w:t>　</w:t>
            </w:r>
          </w:p>
        </w:tc>
        <w:tc>
          <w:tcPr>
            <w:tcW w:w="676" w:type="pct"/>
            <w:tcBorders>
              <w:left w:val="single" w:color="auto" w:sz="4" w:space="0"/>
              <w:right w:val="single" w:color="auto" w:sz="4" w:space="0"/>
            </w:tcBorders>
            <w:vAlign w:val="center"/>
          </w:tcPr>
          <w:p w14:paraId="38C6A8C8">
            <w:pPr>
              <w:jc w:val="right"/>
              <w:rPr>
                <w:rFonts w:eastAsia="等线" w:cs="Times New Roman"/>
                <w:color w:val="000000"/>
              </w:rPr>
            </w:pPr>
            <w:r>
              <w:rPr>
                <w:rFonts w:eastAsia="等线" w:cs="Times New Roman"/>
                <w:color w:val="000000"/>
              </w:rPr>
              <w:t xml:space="preserve">410,521.72 </w:t>
            </w:r>
          </w:p>
        </w:tc>
        <w:tc>
          <w:tcPr>
            <w:tcW w:w="783" w:type="pct"/>
            <w:tcBorders>
              <w:top w:val="single" w:color="auto" w:sz="4" w:space="0"/>
              <w:left w:val="single" w:color="auto" w:sz="4" w:space="0"/>
              <w:bottom w:val="single" w:color="auto" w:sz="4" w:space="0"/>
              <w:right w:val="single" w:color="auto" w:sz="4" w:space="0"/>
            </w:tcBorders>
            <w:vAlign w:val="center"/>
          </w:tcPr>
          <w:p w14:paraId="462D181C">
            <w:pPr>
              <w:jc w:val="right"/>
              <w:rPr>
                <w:rFonts w:eastAsia="等线" w:cs="Times New Roman"/>
                <w:color w:val="000000"/>
              </w:rPr>
            </w:pPr>
            <w:r>
              <w:rPr>
                <w:rFonts w:eastAsia="等线" w:cs="Times New Roman"/>
                <w:color w:val="000000"/>
              </w:rPr>
              <w:t xml:space="preserve">12,434.13 </w:t>
            </w:r>
          </w:p>
        </w:tc>
      </w:tr>
      <w:tr w14:paraId="22AD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99" w:type="pct"/>
            <w:tcBorders>
              <w:top w:val="single" w:color="auto" w:sz="4" w:space="0"/>
              <w:left w:val="single" w:color="auto" w:sz="4" w:space="0"/>
              <w:bottom w:val="single" w:color="auto" w:sz="4" w:space="0"/>
              <w:right w:val="single" w:color="auto" w:sz="4" w:space="0"/>
            </w:tcBorders>
          </w:tcPr>
          <w:p w14:paraId="0CFB6FA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83" w:type="pct"/>
            <w:tcBorders>
              <w:top w:val="single" w:color="auto" w:sz="4" w:space="0"/>
              <w:left w:val="single" w:color="auto" w:sz="4" w:space="0"/>
              <w:bottom w:val="single" w:color="auto" w:sz="4" w:space="0"/>
              <w:right w:val="single" w:color="auto" w:sz="4" w:space="0"/>
            </w:tcBorders>
            <w:vAlign w:val="center"/>
          </w:tcPr>
          <w:p w14:paraId="55A70EFD">
            <w:pPr>
              <w:jc w:val="right"/>
            </w:pPr>
            <w:r>
              <w:rPr>
                <w:rFonts w:eastAsia="等线" w:cs="Times New Roman"/>
                <w:color w:val="000000"/>
              </w:rPr>
              <w:t>214,007,332.18</w:t>
            </w:r>
          </w:p>
        </w:tc>
        <w:tc>
          <w:tcPr>
            <w:tcW w:w="852" w:type="pct"/>
            <w:tcBorders>
              <w:top w:val="single" w:color="auto" w:sz="4" w:space="0"/>
              <w:left w:val="single" w:color="auto" w:sz="4" w:space="0"/>
              <w:bottom w:val="single" w:color="auto" w:sz="4" w:space="0"/>
              <w:right w:val="single" w:color="auto" w:sz="4" w:space="0"/>
            </w:tcBorders>
            <w:vAlign w:val="center"/>
          </w:tcPr>
          <w:p w14:paraId="33EC9502">
            <w:pPr>
              <w:jc w:val="right"/>
              <w:rPr>
                <w:rFonts w:eastAsia="等线" w:cs="Times New Roman"/>
                <w:color w:val="000000"/>
              </w:rPr>
            </w:pPr>
            <w:r>
              <w:rPr>
                <w:rFonts w:eastAsia="等线" w:cs="Times New Roman"/>
                <w:color w:val="000000"/>
              </w:rPr>
              <w:t xml:space="preserve">91,551,708.73 </w:t>
            </w:r>
          </w:p>
        </w:tc>
        <w:tc>
          <w:tcPr>
            <w:tcW w:w="326" w:type="pct"/>
            <w:tcBorders>
              <w:top w:val="single" w:color="auto" w:sz="4" w:space="0"/>
              <w:left w:val="single" w:color="auto" w:sz="4" w:space="0"/>
              <w:bottom w:val="single" w:color="auto" w:sz="4" w:space="0"/>
              <w:right w:val="single" w:color="auto" w:sz="4" w:space="0"/>
            </w:tcBorders>
            <w:vAlign w:val="center"/>
          </w:tcPr>
          <w:p w14:paraId="62AFF562">
            <w:pPr>
              <w:jc w:val="right"/>
              <w:rPr>
                <w:rFonts w:eastAsia="等线" w:cs="Times New Roman"/>
                <w:color w:val="000000"/>
              </w:rPr>
            </w:pPr>
            <w:r>
              <w:rPr>
                <w:rFonts w:eastAsia="等线" w:cs="Times New Roman"/>
                <w:color w:val="000000"/>
              </w:rPr>
              <w:t>　</w:t>
            </w:r>
          </w:p>
        </w:tc>
        <w:tc>
          <w:tcPr>
            <w:tcW w:w="783" w:type="pct"/>
            <w:tcBorders>
              <w:top w:val="single" w:color="auto" w:sz="4" w:space="0"/>
              <w:left w:val="single" w:color="auto" w:sz="4" w:space="0"/>
              <w:bottom w:val="single" w:color="auto" w:sz="4" w:space="0"/>
              <w:right w:val="single" w:color="auto" w:sz="4" w:space="0"/>
            </w:tcBorders>
            <w:vAlign w:val="center"/>
          </w:tcPr>
          <w:p w14:paraId="6ACFDE5A">
            <w:pPr>
              <w:jc w:val="right"/>
              <w:rPr>
                <w:rFonts w:eastAsia="等线" w:cs="Times New Roman"/>
                <w:color w:val="000000"/>
              </w:rPr>
            </w:pPr>
            <w:r>
              <w:rPr>
                <w:rFonts w:eastAsia="等线" w:cs="Times New Roman"/>
                <w:color w:val="000000"/>
              </w:rPr>
              <w:t xml:space="preserve">158,743,151.33 </w:t>
            </w:r>
          </w:p>
        </w:tc>
        <w:tc>
          <w:tcPr>
            <w:tcW w:w="676" w:type="pct"/>
            <w:tcBorders>
              <w:left w:val="single" w:color="auto" w:sz="4" w:space="0"/>
              <w:bottom w:val="single" w:color="auto" w:sz="4" w:space="0"/>
              <w:right w:val="single" w:color="auto" w:sz="4" w:space="0"/>
            </w:tcBorders>
            <w:vAlign w:val="center"/>
          </w:tcPr>
          <w:p w14:paraId="1BDA78C3">
            <w:pPr>
              <w:jc w:val="right"/>
              <w:rPr>
                <w:rFonts w:eastAsia="等线" w:cs="Times New Roman"/>
                <w:color w:val="000000"/>
              </w:rPr>
            </w:pPr>
            <w:r>
              <w:rPr>
                <w:rFonts w:eastAsia="等线" w:cs="Times New Roman"/>
                <w:color w:val="000000"/>
              </w:rPr>
              <w:t xml:space="preserve">2,904,597.33 </w:t>
            </w:r>
          </w:p>
        </w:tc>
        <w:tc>
          <w:tcPr>
            <w:tcW w:w="783" w:type="pct"/>
            <w:tcBorders>
              <w:top w:val="single" w:color="auto" w:sz="4" w:space="0"/>
              <w:left w:val="single" w:color="auto" w:sz="4" w:space="0"/>
              <w:bottom w:val="single" w:color="auto" w:sz="4" w:space="0"/>
              <w:right w:val="single" w:color="auto" w:sz="4" w:space="0"/>
            </w:tcBorders>
            <w:vAlign w:val="center"/>
          </w:tcPr>
          <w:p w14:paraId="76FF5861">
            <w:pPr>
              <w:jc w:val="right"/>
              <w:rPr>
                <w:rFonts w:eastAsia="等线" w:cs="Times New Roman"/>
                <w:color w:val="000000"/>
              </w:rPr>
            </w:pPr>
            <w:r>
              <w:rPr>
                <w:rFonts w:eastAsia="等线" w:cs="Times New Roman"/>
                <w:color w:val="000000"/>
              </w:rPr>
              <w:t xml:space="preserve">143,911,292.25 </w:t>
            </w:r>
          </w:p>
        </w:tc>
      </w:tr>
    </w:tbl>
    <w:p w14:paraId="49E36BF0">
      <w:pPr>
        <w:rPr>
          <w:color w:val="000000" w:themeColor="text1"/>
          <w14:textFill>
            <w14:solidFill>
              <w14:schemeClr w14:val="tx1"/>
            </w14:solidFill>
          </w14:textFill>
        </w:rPr>
      </w:pPr>
    </w:p>
    <w:bookmarkEnd w:id="217"/>
    <w:p w14:paraId="7DE35DFA">
      <w:pPr>
        <w:rPr>
          <w:color w:val="000000" w:themeColor="text1"/>
          <w14:textFill>
            <w14:solidFill>
              <w14:schemeClr w14:val="tx1"/>
            </w14:solidFill>
          </w14:textFill>
        </w:rPr>
      </w:pPr>
      <w:bookmarkStart w:id="218" w:name="_Hlk167891635"/>
      <w:r>
        <w:rPr>
          <w:color w:val="000000" w:themeColor="text1"/>
          <w14:textFill>
            <w14:solidFill>
              <w14:schemeClr w14:val="tx1"/>
            </w14:solidFill>
          </w14:textFill>
        </w:rPr>
        <w:t>本期转回或转销存货跌价准备的原因</w:t>
      </w:r>
    </w:p>
    <w:sdt>
      <w:sdtPr>
        <w:rPr>
          <w:color w:val="000000" w:themeColor="text1"/>
          <w14:textFill>
            <w14:solidFill>
              <w14:schemeClr w14:val="tx1"/>
            </w14:solidFill>
          </w14:textFill>
        </w:rPr>
        <w:alias w:val="是否适用：本期转回或转销存货跌价准备的原因[双击切换]"/>
        <w:tag w:val="_GBC_e27c6ef344f148c18ae56422278eafd6"/>
        <w:id w:val="-1802838263"/>
        <w:placeholder>
          <w:docPart w:val="GBC22222222222222222222222222222"/>
        </w:placeholder>
      </w:sdtPr>
      <w:sdtEndPr>
        <w:rPr>
          <w:color w:val="000000" w:themeColor="text1"/>
          <w14:textFill>
            <w14:solidFill>
              <w14:schemeClr w14:val="tx1"/>
            </w14:solidFill>
          </w14:textFill>
        </w:rPr>
      </w:sdtEndPr>
      <w:sdtContent>
        <w:p w14:paraId="5121D6E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本期转回或转销存货跌价准备的原因"/>
        <w:tag w:val="_GBC_b6115b54c210477298ccbc4d1a5a3bfc"/>
        <w:id w:val="1836261420"/>
        <w:placeholder>
          <w:docPart w:val="GBC22222222222222222222222222222"/>
        </w:placeholder>
      </w:sdtPr>
      <w:sdtEndPr>
        <w:rPr>
          <w:color w:val="000000" w:themeColor="text1"/>
          <w14:textFill>
            <w14:solidFill>
              <w14:schemeClr w14:val="tx1"/>
            </w14:solidFill>
          </w14:textFill>
        </w:rPr>
      </w:sdtEndPr>
      <w:sdtContent>
        <w:sdt>
          <w:sdtPr>
            <w:rPr>
              <w:rFonts w:hint="eastAsia"/>
              <w:color w:val="000000" w:themeColor="text1"/>
              <w14:textFill>
                <w14:solidFill>
                  <w14:schemeClr w14:val="tx1"/>
                </w14:solidFill>
              </w14:textFill>
            </w:rPr>
            <w:alias w:val="本期转回或转销存货跌价准备的原因"/>
            <w:tag w:val="_GBC_b6115b54c210477298ccbc4d1a5a3bfc"/>
            <w:id w:val="-763071922"/>
          </w:sdtPr>
          <w:sdtEndPr>
            <w:rPr>
              <w:rFonts w:hint="eastAsia"/>
              <w:color w:val="000000" w:themeColor="text1"/>
              <w14:textFill>
                <w14:solidFill>
                  <w14:schemeClr w14:val="tx1"/>
                </w14:solidFill>
              </w14:textFill>
            </w:rPr>
          </w:sdtEndPr>
          <w:sdtContent>
            <w:p w14:paraId="195C4130">
              <w:pPr>
                <w:spacing w:line="360" w:lineRule="auto"/>
                <w:ind w:firstLine="420" w:firstLineChars="200"/>
                <w:rPr>
                  <w:color w:val="000000" w:themeColor="text1"/>
                  <w14:textFill>
                    <w14:solidFill>
                      <w14:schemeClr w14:val="tx1"/>
                    </w14:solidFill>
                  </w14:textFill>
                </w:rPr>
              </w:pPr>
              <w:r>
                <w:t>已计提存货跌价准备的存货销售和处置相应转销存货跌价准备；以前减记存货价值的影响因素消失时转回存货跌价准备。</w:t>
              </w:r>
            </w:p>
          </w:sdtContent>
        </w:sdt>
      </w:sdtContent>
    </w:sdt>
    <w:p w14:paraId="7B961C41">
      <w:pPr>
        <w:rPr>
          <w:color w:val="000000" w:themeColor="text1"/>
          <w14:textFill>
            <w14:solidFill>
              <w14:schemeClr w14:val="tx1"/>
            </w14:solidFill>
          </w14:textFill>
        </w:rPr>
      </w:pPr>
    </w:p>
    <w:p w14:paraId="2FC2D3D3">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按组合计提存货跌价准备</w:t>
      </w:r>
    </w:p>
    <w:sdt>
      <w:sdtPr>
        <w:rPr>
          <w:color w:val="000000" w:themeColor="text1"/>
          <w14:textFill>
            <w14:solidFill>
              <w14:schemeClr w14:val="tx1"/>
            </w14:solidFill>
          </w14:textFill>
        </w:rPr>
        <w:alias w:val="是否适用：按组合计提存货跌价准备[双击切换]"/>
        <w:tag w:val="_GBC_f0fab92eec8647d68c06a12b3bc75549"/>
        <w:id w:val="-2093767071"/>
        <w:placeholder>
          <w:docPart w:val="GBC22222222222222222222222222222"/>
        </w:placeholder>
      </w:sdtPr>
      <w:sdtEndPr>
        <w:rPr>
          <w:color w:val="000000" w:themeColor="text1"/>
          <w14:textFill>
            <w14:solidFill>
              <w14:schemeClr w14:val="tx1"/>
            </w14:solidFill>
          </w14:textFill>
        </w:rPr>
      </w:sdtEndPr>
      <w:sdtContent>
        <w:p w14:paraId="4BBF13D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0F11E5E">
      <w:pPr>
        <w:rPr>
          <w:color w:val="000000" w:themeColor="text1"/>
          <w14:textFill>
            <w14:solidFill>
              <w14:schemeClr w14:val="tx1"/>
            </w14:solidFill>
          </w14:textFill>
        </w:rPr>
      </w:pPr>
    </w:p>
    <w:p w14:paraId="0CD40093">
      <w:pPr>
        <w:rPr>
          <w:color w:val="000000" w:themeColor="text1"/>
          <w14:textFill>
            <w14:solidFill>
              <w14:schemeClr w14:val="tx1"/>
            </w14:solidFill>
          </w14:textFill>
        </w:rPr>
      </w:pPr>
      <w:r>
        <w:rPr>
          <w:rFonts w:hint="eastAsia"/>
          <w:color w:val="000000" w:themeColor="text1"/>
          <w14:textFill>
            <w14:solidFill>
              <w14:schemeClr w14:val="tx1"/>
            </w14:solidFill>
          </w14:textFill>
        </w:rPr>
        <w:t>按组合计提存货跌价准备的计提标准</w:t>
      </w:r>
    </w:p>
    <w:sdt>
      <w:sdtPr>
        <w:rPr>
          <w:color w:val="000000" w:themeColor="text1"/>
          <w14:textFill>
            <w14:solidFill>
              <w14:schemeClr w14:val="tx1"/>
            </w14:solidFill>
          </w14:textFill>
        </w:rPr>
        <w:alias w:val="是否适用：按组合计提存货跌价准备的计提标准[双击切换]"/>
        <w:tag w:val="_GBC_d204ec862c304c1f8d4ec4644591e14e"/>
        <w:id w:val="1252010574"/>
        <w:placeholder>
          <w:docPart w:val="GBC22222222222222222222222222222"/>
        </w:placeholder>
      </w:sdtPr>
      <w:sdtEndPr>
        <w:rPr>
          <w:color w:val="000000" w:themeColor="text1"/>
          <w14:textFill>
            <w14:solidFill>
              <w14:schemeClr w14:val="tx1"/>
            </w14:solidFill>
          </w14:textFill>
        </w:rPr>
      </w:sdtEndPr>
      <w:sdtContent>
        <w:p w14:paraId="7BB30A6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96E9CCE">
      <w:pPr>
        <w:rPr>
          <w:color w:val="000000" w:themeColor="text1"/>
          <w14:textFill>
            <w14:solidFill>
              <w14:schemeClr w14:val="tx1"/>
            </w14:solidFill>
          </w14:textFill>
        </w:rPr>
      </w:pPr>
    </w:p>
    <w:bookmarkEnd w:id="218"/>
    <w:p w14:paraId="5B3F66FA">
      <w:pPr>
        <w:pStyle w:val="5"/>
        <w:numPr>
          <w:ilvl w:val="0"/>
          <w:numId w:val="51"/>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存货期末余额含有的借款费用资本化金额及其计算标准和依据</w:t>
      </w:r>
    </w:p>
    <w:sdt>
      <w:sdtPr>
        <w:rPr>
          <w:rFonts w:hint="eastAsia"/>
          <w:color w:val="000000" w:themeColor="text1"/>
          <w14:textFill>
            <w14:solidFill>
              <w14:schemeClr w14:val="tx1"/>
            </w14:solidFill>
          </w14:textFill>
        </w:rPr>
        <w:alias w:val="是否适用：存货期末余额含有借款费用资本化金额的说明[双击切换]"/>
        <w:tag w:val="_GBC_c4216db560c643b38b29d44401d464c9"/>
        <w:id w:val="840585052"/>
        <w:placeholder>
          <w:docPart w:val="GBC22222222222222222222222222222"/>
        </w:placeholder>
      </w:sdtPr>
      <w:sdtEndPr>
        <w:rPr>
          <w:rFonts w:hint="eastAsia"/>
          <w:color w:val="000000" w:themeColor="text1"/>
          <w14:textFill>
            <w14:solidFill>
              <w14:schemeClr w14:val="tx1"/>
            </w14:solidFill>
          </w14:textFill>
        </w:rPr>
      </w:sdtEndPr>
      <w:sdtContent>
        <w:p w14:paraId="06D5815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445078B">
      <w:pPr>
        <w:rPr>
          <w:color w:val="000000" w:themeColor="text1"/>
          <w14:textFill>
            <w14:solidFill>
              <w14:schemeClr w14:val="tx1"/>
            </w14:solidFill>
          </w14:textFill>
        </w:rPr>
      </w:pPr>
    </w:p>
    <w:p w14:paraId="0394423C">
      <w:pPr>
        <w:pStyle w:val="5"/>
        <w:numPr>
          <w:ilvl w:val="0"/>
          <w:numId w:val="51"/>
        </w:numPr>
        <w:tabs>
          <w:tab w:val="left" w:pos="630"/>
        </w:tabs>
        <w:rPr>
          <w:rFonts w:ascii="宋体" w:hAnsi="宋体"/>
          <w:color w:val="000000" w:themeColor="text1"/>
          <w14:textFill>
            <w14:solidFill>
              <w14:schemeClr w14:val="tx1"/>
            </w14:solidFill>
          </w14:textFill>
        </w:rPr>
      </w:pPr>
      <w:bookmarkStart w:id="219" w:name="_Hlk10470641"/>
      <w:r>
        <w:rPr>
          <w:rFonts w:hint="eastAsia" w:ascii="宋体" w:hAnsi="宋体"/>
          <w:color w:val="000000" w:themeColor="text1"/>
          <w14:textFill>
            <w14:solidFill>
              <w14:schemeClr w14:val="tx1"/>
            </w14:solidFill>
          </w14:textFill>
        </w:rPr>
        <w:t>合同履约成本本期摊销金额的说明</w:t>
      </w:r>
    </w:p>
    <w:sdt>
      <w:sdtPr>
        <w:rPr>
          <w:color w:val="000000" w:themeColor="text1"/>
          <w14:textFill>
            <w14:solidFill>
              <w14:schemeClr w14:val="tx1"/>
            </w14:solidFill>
          </w14:textFill>
        </w:rPr>
        <w:alias w:val="是否适用：合同履约成本本期摊销金额的说明[双击切换]"/>
        <w:tag w:val="_GBC_cd3513a7790e48d4a2a156e8ad6a629a"/>
        <w:id w:val="-1028339691"/>
        <w:placeholder>
          <w:docPart w:val="GBC22222222222222222222222222222"/>
        </w:placeholder>
      </w:sdtPr>
      <w:sdtEndPr>
        <w:rPr>
          <w:color w:val="000000" w:themeColor="text1"/>
          <w14:textFill>
            <w14:solidFill>
              <w14:schemeClr w14:val="tx1"/>
            </w14:solidFill>
          </w14:textFill>
        </w:rPr>
      </w:sdtEndPr>
      <w:sdtContent>
        <w:p w14:paraId="62B866D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19"/>
    <w:p w14:paraId="4AA3B72E">
      <w:pPr>
        <w:rPr>
          <w:color w:val="000000" w:themeColor="text1"/>
          <w14:textFill>
            <w14:solidFill>
              <w14:schemeClr w14:val="tx1"/>
            </w14:solidFill>
          </w14:textFill>
        </w:rPr>
      </w:pPr>
    </w:p>
    <w:p w14:paraId="32804D0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存货的其他说明[双击切换]"/>
        <w:tag w:val="_GBC_bd31680428a448ecb64fdd4cbab90a42"/>
        <w:id w:val="723414592"/>
        <w:placeholder>
          <w:docPart w:val="GBC22222222222222222222222222222"/>
        </w:placeholder>
      </w:sdtPr>
      <w:sdtEndPr>
        <w:rPr>
          <w:color w:val="000000" w:themeColor="text1"/>
          <w14:textFill>
            <w14:solidFill>
              <w14:schemeClr w14:val="tx1"/>
            </w14:solidFill>
          </w14:textFill>
        </w:rPr>
      </w:sdtEndPr>
      <w:sdtContent>
        <w:p w14:paraId="3265CA9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存货的说明"/>
        <w:tag w:val="_GBC_ad879cdee72f496fb83dd2f40a910e28"/>
        <w:id w:val="-641735384"/>
        <w:placeholder>
          <w:docPart w:val="GBC22222222222222222222222222222"/>
        </w:placeholder>
      </w:sdtPr>
      <w:sdtEndPr>
        <w:rPr>
          <w:color w:val="000000" w:themeColor="text1"/>
          <w14:textFill>
            <w14:solidFill>
              <w14:schemeClr w14:val="tx1"/>
            </w14:solidFill>
          </w14:textFill>
        </w:rPr>
      </w:sdtEndPr>
      <w:sdtContent>
        <w:p w14:paraId="51E14A03">
          <w:pPr>
            <w:ind w:right="42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单位：元</w:t>
          </w:r>
        </w:p>
        <w:tbl>
          <w:tblPr>
            <w:tblStyle w:val="64"/>
            <w:tblW w:w="8400" w:type="dxa"/>
            <w:tblInd w:w="0" w:type="dxa"/>
            <w:tblLayout w:type="autofit"/>
            <w:tblCellMar>
              <w:top w:w="0" w:type="dxa"/>
              <w:left w:w="0" w:type="dxa"/>
              <w:bottom w:w="0" w:type="dxa"/>
              <w:right w:w="0" w:type="dxa"/>
            </w:tblCellMar>
          </w:tblPr>
          <w:tblGrid>
            <w:gridCol w:w="1480"/>
            <w:gridCol w:w="1395"/>
            <w:gridCol w:w="1500"/>
            <w:gridCol w:w="1985"/>
            <w:gridCol w:w="2040"/>
          </w:tblGrid>
          <w:tr w14:paraId="636305CF">
            <w:trPr>
              <w:trHeight w:val="580" w:hRule="atLeast"/>
            </w:trPr>
            <w:tc>
              <w:tcPr>
                <w:tcW w:w="148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6A657B5">
                <w:pPr>
                  <w:jc w:val="center"/>
                  <w:textAlignment w:val="center"/>
                  <w:rPr>
                    <w:rFonts w:cs="Times New Roman"/>
                    <w:color w:val="000000"/>
                    <w:sz w:val="20"/>
                    <w:szCs w:val="20"/>
                  </w:rPr>
                </w:pPr>
                <w:r>
                  <w:rPr>
                    <w:rFonts w:hint="eastAsia" w:cs="Times New Roman"/>
                    <w:color w:val="000000"/>
                    <w:sz w:val="20"/>
                    <w:szCs w:val="20"/>
                    <w:lang w:bidi="ar"/>
                  </w:rPr>
                  <w:t>项目名称</w:t>
                </w:r>
              </w:p>
            </w:tc>
            <w:tc>
              <w:tcPr>
                <w:tcW w:w="139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E2684C8">
                <w:pPr>
                  <w:jc w:val="center"/>
                  <w:textAlignment w:val="center"/>
                  <w:rPr>
                    <w:rFonts w:cs="Times New Roman"/>
                    <w:color w:val="000000"/>
                    <w:sz w:val="20"/>
                    <w:szCs w:val="20"/>
                  </w:rPr>
                </w:pPr>
                <w:r>
                  <w:rPr>
                    <w:rFonts w:hint="eastAsia" w:cs="Times New Roman"/>
                    <w:color w:val="000000"/>
                    <w:sz w:val="20"/>
                    <w:szCs w:val="20"/>
                    <w:lang w:bidi="ar"/>
                  </w:rPr>
                  <w:t>开工时间</w:t>
                </w:r>
              </w:p>
            </w:tc>
            <w:tc>
              <w:tcPr>
                <w:tcW w:w="1500" w:type="dxa"/>
                <w:tcBorders>
                  <w:top w:val="single" w:color="000000" w:sz="4" w:space="0"/>
                  <w:left w:val="single" w:color="000000" w:sz="4" w:space="0"/>
                  <w:right w:val="single" w:color="000000" w:sz="4" w:space="0"/>
                </w:tcBorders>
                <w:tcMar>
                  <w:top w:w="10" w:type="dxa"/>
                  <w:left w:w="10" w:type="dxa"/>
                  <w:right w:w="10" w:type="dxa"/>
                </w:tcMar>
                <w:vAlign w:val="center"/>
              </w:tcPr>
              <w:p w14:paraId="2EFBEF6D">
                <w:pPr>
                  <w:jc w:val="center"/>
                  <w:textAlignment w:val="center"/>
                  <w:rPr>
                    <w:rFonts w:cs="Times New Roman"/>
                    <w:color w:val="000000"/>
                    <w:sz w:val="20"/>
                    <w:szCs w:val="20"/>
                  </w:rPr>
                </w:pPr>
                <w:r>
                  <w:rPr>
                    <w:rFonts w:hint="eastAsia" w:cs="Times New Roman"/>
                    <w:color w:val="000000"/>
                    <w:sz w:val="20"/>
                    <w:szCs w:val="20"/>
                    <w:lang w:bidi="ar"/>
                  </w:rPr>
                  <w:t>竣工时间</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4177C70">
                <w:pPr>
                  <w:jc w:val="center"/>
                  <w:textAlignment w:val="center"/>
                  <w:rPr>
                    <w:rFonts w:cs="Times New Roman"/>
                    <w:color w:val="000000"/>
                    <w:sz w:val="20"/>
                    <w:szCs w:val="20"/>
                  </w:rPr>
                </w:pPr>
                <w:r>
                  <w:rPr>
                    <w:rFonts w:hint="eastAsia" w:cs="Times New Roman"/>
                    <w:color w:val="000000"/>
                    <w:sz w:val="20"/>
                    <w:szCs w:val="20"/>
                    <w:lang w:bidi="ar"/>
                  </w:rPr>
                  <w:t>期末余额</w:t>
                </w:r>
              </w:p>
            </w:tc>
            <w:tc>
              <w:tcPr>
                <w:tcW w:w="204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4637EC9">
                <w:pPr>
                  <w:jc w:val="center"/>
                  <w:textAlignment w:val="center"/>
                  <w:rPr>
                    <w:rFonts w:cs="Times New Roman"/>
                    <w:color w:val="000000"/>
                    <w:sz w:val="20"/>
                    <w:szCs w:val="20"/>
                  </w:rPr>
                </w:pPr>
                <w:r>
                  <w:rPr>
                    <w:rFonts w:hint="eastAsia" w:cs="Times New Roman"/>
                    <w:color w:val="000000"/>
                    <w:sz w:val="20"/>
                    <w:szCs w:val="20"/>
                    <w:lang w:bidi="ar"/>
                  </w:rPr>
                  <w:t>期初余额</w:t>
                </w:r>
              </w:p>
            </w:tc>
          </w:tr>
          <w:tr w14:paraId="17695BA1">
            <w:tblPrEx>
              <w:tblCellMar>
                <w:top w:w="0" w:type="dxa"/>
                <w:left w:w="0" w:type="dxa"/>
                <w:bottom w:w="0" w:type="dxa"/>
                <w:right w:w="0" w:type="dxa"/>
              </w:tblCellMar>
            </w:tblPrEx>
            <w:trPr>
              <w:trHeight w:val="280" w:hRule="atLeast"/>
            </w:trPr>
            <w:tc>
              <w:tcPr>
                <w:tcW w:w="148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90A41B7">
                <w:pPr>
                  <w:jc w:val="center"/>
                  <w:textAlignment w:val="center"/>
                  <w:rPr>
                    <w:rFonts w:cs="Times New Roman"/>
                    <w:color w:val="000000"/>
                    <w:sz w:val="20"/>
                    <w:szCs w:val="20"/>
                  </w:rPr>
                </w:pPr>
                <w:r>
                  <w:rPr>
                    <w:rFonts w:hint="eastAsia" w:cs="Times New Roman"/>
                    <w:color w:val="000000"/>
                    <w:sz w:val="20"/>
                    <w:szCs w:val="20"/>
                    <w:lang w:bidi="ar"/>
                  </w:rPr>
                  <w:t>力帆红星广场</w:t>
                </w:r>
              </w:p>
            </w:tc>
            <w:tc>
              <w:tcPr>
                <w:tcW w:w="139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34DE4569">
                <w:pPr>
                  <w:jc w:val="center"/>
                  <w:textAlignment w:val="center"/>
                  <w:rPr>
                    <w:rFonts w:cs="Times New Roman"/>
                    <w:color w:val="000000"/>
                    <w:sz w:val="20"/>
                    <w:szCs w:val="20"/>
                  </w:rPr>
                </w:pPr>
                <w:r>
                  <w:rPr>
                    <w:rFonts w:hint="eastAsia" w:cs="Times New Roman"/>
                    <w:color w:val="000000"/>
                    <w:sz w:val="20"/>
                    <w:szCs w:val="20"/>
                    <w:lang w:bidi="ar"/>
                  </w:rPr>
                  <w:t>2013年10月</w:t>
                </w:r>
              </w:p>
            </w:tc>
            <w:tc>
              <w:tcPr>
                <w:tcW w:w="15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9F3CF43">
                <w:pPr>
                  <w:jc w:val="center"/>
                  <w:textAlignment w:val="center"/>
                  <w:rPr>
                    <w:rFonts w:cs="Times New Roman"/>
                    <w:color w:val="000000"/>
                    <w:sz w:val="20"/>
                    <w:szCs w:val="20"/>
                  </w:rPr>
                </w:pPr>
                <w:r>
                  <w:rPr>
                    <w:rFonts w:hint="eastAsia" w:cs="Times New Roman"/>
                    <w:color w:val="000000"/>
                    <w:sz w:val="20"/>
                    <w:szCs w:val="20"/>
                    <w:lang w:bidi="ar"/>
                  </w:rPr>
                  <w:t>2024年8月</w:t>
                </w: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39B6DC2">
                <w:pPr>
                  <w:jc w:val="right"/>
                  <w:textAlignment w:val="center"/>
                  <w:rPr>
                    <w:rFonts w:cs="Times New Roman"/>
                    <w:color w:val="000000"/>
                    <w:sz w:val="20"/>
                    <w:szCs w:val="20"/>
                  </w:rPr>
                </w:pPr>
                <w:r>
                  <w:rPr>
                    <w:rFonts w:cs="Times New Roman"/>
                    <w:color w:val="000000"/>
                    <w:sz w:val="20"/>
                    <w:szCs w:val="20"/>
                    <w:lang w:bidi="ar"/>
                  </w:rPr>
                  <w:t>1,254,728,134.97</w:t>
                </w:r>
              </w:p>
            </w:tc>
            <w:tc>
              <w:tcPr>
                <w:tcW w:w="204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008565E7">
                <w:pPr>
                  <w:jc w:val="right"/>
                  <w:textAlignment w:val="center"/>
                  <w:rPr>
                    <w:rFonts w:cs="Times New Roman"/>
                    <w:color w:val="000000"/>
                    <w:sz w:val="20"/>
                    <w:szCs w:val="20"/>
                  </w:rPr>
                </w:pPr>
                <w:r>
                  <w:rPr>
                    <w:rFonts w:cs="Times New Roman"/>
                    <w:color w:val="000000"/>
                    <w:sz w:val="20"/>
                    <w:szCs w:val="20"/>
                    <w:lang w:bidi="ar"/>
                  </w:rPr>
                  <w:t>1,250,867,456.97</w:t>
                </w:r>
              </w:p>
            </w:tc>
          </w:tr>
          <w:tr w14:paraId="13E0E786">
            <w:tblPrEx>
              <w:tblCellMar>
                <w:top w:w="0" w:type="dxa"/>
                <w:left w:w="0" w:type="dxa"/>
                <w:bottom w:w="0" w:type="dxa"/>
                <w:right w:w="0" w:type="dxa"/>
              </w:tblCellMar>
            </w:tblPrEx>
            <w:trPr>
              <w:trHeight w:val="280" w:hRule="atLeast"/>
            </w:trPr>
            <w:tc>
              <w:tcPr>
                <w:tcW w:w="148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6793C8F6">
                <w:pPr>
                  <w:jc w:val="center"/>
                  <w:textAlignment w:val="center"/>
                  <w:rPr>
                    <w:rFonts w:cs="Times New Roman"/>
                    <w:color w:val="000000"/>
                    <w:sz w:val="20"/>
                    <w:szCs w:val="20"/>
                  </w:rPr>
                </w:pPr>
                <w:r>
                  <w:rPr>
                    <w:rFonts w:hint="eastAsia" w:cs="Times New Roman"/>
                    <w:color w:val="000000"/>
                    <w:sz w:val="20"/>
                    <w:szCs w:val="20"/>
                    <w:lang w:bidi="ar"/>
                  </w:rPr>
                  <w:t>合计</w:t>
                </w:r>
              </w:p>
            </w:tc>
            <w:tc>
              <w:tcPr>
                <w:tcW w:w="139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D45A520">
                <w:pPr>
                  <w:jc w:val="center"/>
                  <w:rPr>
                    <w:rFonts w:cs="Times New Roman"/>
                    <w:color w:val="000000"/>
                    <w:sz w:val="20"/>
                    <w:szCs w:val="20"/>
                  </w:rPr>
                </w:pPr>
              </w:p>
            </w:tc>
            <w:tc>
              <w:tcPr>
                <w:tcW w:w="150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81F71DC">
                <w:pPr>
                  <w:jc w:val="center"/>
                  <w:rPr>
                    <w:rFonts w:cs="Times New Roman"/>
                    <w:color w:val="000000"/>
                    <w:sz w:val="20"/>
                    <w:szCs w:val="20"/>
                  </w:rPr>
                </w:pPr>
              </w:p>
            </w:tc>
            <w:tc>
              <w:tcPr>
                <w:tcW w:w="198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1C09016B">
                <w:pPr>
                  <w:jc w:val="right"/>
                  <w:textAlignment w:val="center"/>
                  <w:rPr>
                    <w:rFonts w:cs="Times New Roman"/>
                    <w:color w:val="000000"/>
                    <w:sz w:val="20"/>
                    <w:szCs w:val="20"/>
                  </w:rPr>
                </w:pPr>
                <w:r>
                  <w:rPr>
                    <w:rFonts w:cs="Times New Roman"/>
                    <w:color w:val="000000"/>
                    <w:sz w:val="20"/>
                    <w:szCs w:val="20"/>
                    <w:lang w:bidi="ar"/>
                  </w:rPr>
                  <w:t>1,254,728,134.97</w:t>
                </w:r>
              </w:p>
            </w:tc>
            <w:tc>
              <w:tcPr>
                <w:tcW w:w="204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14:paraId="4BEF835F">
                <w:pPr>
                  <w:jc w:val="right"/>
                  <w:textAlignment w:val="center"/>
                  <w:rPr>
                    <w:rFonts w:cs="Times New Roman"/>
                    <w:color w:val="000000"/>
                    <w:sz w:val="20"/>
                    <w:szCs w:val="20"/>
                  </w:rPr>
                </w:pPr>
                <w:r>
                  <w:rPr>
                    <w:rFonts w:cs="Times New Roman"/>
                    <w:color w:val="000000"/>
                    <w:sz w:val="20"/>
                    <w:szCs w:val="20"/>
                    <w:lang w:bidi="ar"/>
                  </w:rPr>
                  <w:t>1,250,867,456.97</w:t>
                </w:r>
              </w:p>
            </w:tc>
          </w:tr>
        </w:tbl>
        <w:p w14:paraId="0BFE6BA0">
          <w:pPr>
            <w:rPr>
              <w:color w:val="000000" w:themeColor="text1"/>
              <w14:textFill>
                <w14:solidFill>
                  <w14:schemeClr w14:val="tx1"/>
                </w14:solidFill>
              </w14:textFill>
            </w:rPr>
          </w:pPr>
        </w:p>
      </w:sdtContent>
    </w:sdt>
    <w:p w14:paraId="213C3662">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持有待售资产</w:t>
      </w:r>
    </w:p>
    <w:sdt>
      <w:sdtPr>
        <w:rPr>
          <w:color w:val="000000" w:themeColor="text1"/>
          <w14:textFill>
            <w14:solidFill>
              <w14:schemeClr w14:val="tx1"/>
            </w14:solidFill>
          </w14:textFill>
        </w:rPr>
        <w:alias w:val="是否适用：划分为持有待售的资产[双击切换]"/>
        <w:tag w:val="_GBC_a6517e0f93e04b1caa2e45201c8133b1"/>
        <w:id w:val="-1492632402"/>
        <w:placeholder>
          <w:docPart w:val="GBC22222222222222222222222222222"/>
        </w:placeholder>
      </w:sdtPr>
      <w:sdtEndPr>
        <w:rPr>
          <w:color w:val="000000" w:themeColor="text1"/>
          <w14:textFill>
            <w14:solidFill>
              <w14:schemeClr w14:val="tx1"/>
            </w14:solidFill>
          </w14:textFill>
        </w:rPr>
      </w:sdtEndPr>
      <w:sdtContent>
        <w:p w14:paraId="6F75552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2D810CD">
      <w:pPr>
        <w:ind w:right="210"/>
        <w:rPr>
          <w:color w:val="000000" w:themeColor="text1"/>
          <w14:textFill>
            <w14:solidFill>
              <w14:schemeClr w14:val="tx1"/>
            </w14:solidFill>
          </w14:textFill>
        </w:rPr>
      </w:pPr>
    </w:p>
    <w:p w14:paraId="62BDCF81">
      <w:pPr>
        <w:pStyle w:val="4"/>
        <w:numPr>
          <w:ilvl w:val="0"/>
          <w:numId w:val="41"/>
        </w:numPr>
        <w:rPr>
          <w:color w:val="000000" w:themeColor="text1"/>
          <w:szCs w:val="21"/>
          <w14:textFill>
            <w14:solidFill>
              <w14:schemeClr w14:val="tx1"/>
            </w14:solidFill>
          </w14:textFill>
        </w:rPr>
      </w:pPr>
      <w:bookmarkStart w:id="220" w:name="_Hlk167891796"/>
      <w:bookmarkStart w:id="221" w:name="_Hlk10471081"/>
      <w:r>
        <w:rPr>
          <w:color w:val="000000" w:themeColor="text1"/>
          <w:szCs w:val="21"/>
          <w14:textFill>
            <w14:solidFill>
              <w14:schemeClr w14:val="tx1"/>
            </w14:solidFill>
          </w14:textFill>
        </w:rPr>
        <w:t>一年内到期的非流动资产</w:t>
      </w:r>
    </w:p>
    <w:sdt>
      <w:sdtPr>
        <w:rPr>
          <w:color w:val="000000" w:themeColor="text1"/>
          <w14:textFill>
            <w14:solidFill>
              <w14:schemeClr w14:val="tx1"/>
            </w14:solidFill>
          </w14:textFill>
        </w:rPr>
        <w:alias w:val="是否适用：一年内到期的非流动资产[双击切换]"/>
        <w:tag w:val="_GBC_3c3df002388d4bbe8dd8d4df7fe26ebc"/>
        <w:id w:val="539633675"/>
        <w:placeholder>
          <w:docPart w:val="GBC22222222222222222222222222222"/>
        </w:placeholder>
      </w:sdtPr>
      <w:sdtEndPr>
        <w:rPr>
          <w:color w:val="000000" w:themeColor="text1"/>
          <w14:textFill>
            <w14:solidFill>
              <w14:schemeClr w14:val="tx1"/>
            </w14:solidFill>
          </w14:textFill>
        </w:rPr>
      </w:sdtEndPr>
      <w:sdtContent>
        <w:p w14:paraId="2BDA819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562A20">
      <w:pPr>
        <w:rPr>
          <w:color w:val="000000" w:themeColor="text1"/>
          <w14:textFill>
            <w14:solidFill>
              <w14:schemeClr w14:val="tx1"/>
            </w14:solidFill>
          </w14:textFill>
        </w:rPr>
      </w:pPr>
    </w:p>
    <w:bookmarkEnd w:id="220"/>
    <w:p w14:paraId="17C8E5CC">
      <w:pPr>
        <w:pStyle w:val="5"/>
        <w:rPr>
          <w:color w:val="000000" w:themeColor="text1"/>
          <w14:textFill>
            <w14:solidFill>
              <w14:schemeClr w14:val="tx1"/>
            </w14:solidFill>
          </w14:textFill>
        </w:rPr>
      </w:pPr>
      <w:bookmarkStart w:id="222" w:name="_Hlk167891921"/>
      <w:r>
        <w:rPr>
          <w:rFonts w:hint="eastAsia"/>
          <w:color w:val="000000" w:themeColor="text1"/>
          <w14:textFill>
            <w14:solidFill>
              <w14:schemeClr w14:val="tx1"/>
            </w14:solidFill>
          </w14:textFill>
        </w:rPr>
        <w:t>一年内到期的债权投资</w:t>
      </w:r>
    </w:p>
    <w:sdt>
      <w:sdtPr>
        <w:rPr>
          <w:color w:val="000000" w:themeColor="text1"/>
          <w14:textFill>
            <w14:solidFill>
              <w14:schemeClr w14:val="tx1"/>
            </w14:solidFill>
          </w14:textFill>
        </w:rPr>
        <w:alias w:val="是否适用：一年内到期的债权投资[双击切换]"/>
        <w:tag w:val="_GBC_ed748eccf06845059b7b75fbb321c08e"/>
        <w:id w:val="-2062096203"/>
        <w:placeholder>
          <w:docPart w:val="GBC22222222222222222222222222222"/>
        </w:placeholder>
      </w:sdtPr>
      <w:sdtEndPr>
        <w:rPr>
          <w:color w:val="000000" w:themeColor="text1"/>
          <w14:textFill>
            <w14:solidFill>
              <w14:schemeClr w14:val="tx1"/>
            </w14:solidFill>
          </w14:textFill>
        </w:rPr>
      </w:sdtEndPr>
      <w:sdtContent>
        <w:p w14:paraId="2053D5C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A4B26F7">
      <w:pPr>
        <w:ind w:right="210"/>
        <w:rPr>
          <w:color w:val="000000" w:themeColor="text1"/>
          <w14:textFill>
            <w14:solidFill>
              <w14:schemeClr w14:val="tx1"/>
            </w14:solidFill>
          </w14:textFill>
        </w:rPr>
      </w:pPr>
    </w:p>
    <w:p w14:paraId="3C245F70">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一年内到期的其他债权投资</w:t>
      </w:r>
    </w:p>
    <w:sdt>
      <w:sdtPr>
        <w:rPr>
          <w:color w:val="000000" w:themeColor="text1"/>
          <w14:textFill>
            <w14:solidFill>
              <w14:schemeClr w14:val="tx1"/>
            </w14:solidFill>
          </w14:textFill>
        </w:rPr>
        <w:alias w:val="是否适用：一年内到期的其他债权投资[双击切换]"/>
        <w:tag w:val="_GBC_4fffef07e644478cae129eff5661f608"/>
        <w:id w:val="-698779020"/>
        <w:placeholder>
          <w:docPart w:val="GBC22222222222222222222222222222"/>
        </w:placeholder>
      </w:sdtPr>
      <w:sdtEndPr>
        <w:rPr>
          <w:color w:val="000000" w:themeColor="text1"/>
          <w14:textFill>
            <w14:solidFill>
              <w14:schemeClr w14:val="tx1"/>
            </w14:solidFill>
          </w14:textFill>
        </w:rPr>
      </w:sdtEndPr>
      <w:sdtContent>
        <w:p w14:paraId="46FB16B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A843FB0">
      <w:pPr>
        <w:ind w:right="210"/>
        <w:rPr>
          <w:color w:val="000000" w:themeColor="text1"/>
          <w14:textFill>
            <w14:solidFill>
              <w14:schemeClr w14:val="tx1"/>
            </w14:solidFill>
          </w14:textFill>
        </w:rPr>
      </w:pPr>
    </w:p>
    <w:p w14:paraId="02F00E60">
      <w:p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一年内到期的非流动资产的其他说明</w:t>
      </w:r>
    </w:p>
    <w:sdt>
      <w:sdtPr>
        <w:rPr>
          <w:color w:val="000000" w:themeColor="text1"/>
          <w14:textFill>
            <w14:solidFill>
              <w14:schemeClr w14:val="tx1"/>
            </w14:solidFill>
          </w14:textFill>
        </w:rPr>
        <w:alias w:val="一年内到期的非流动资产其他说明"/>
        <w:tag w:val="_GBC_218c0d81bbcc4458a19aa7e5806bac06"/>
        <w:id w:val="581579076"/>
        <w:placeholder>
          <w:docPart w:val="GBC22222222222222222222222222222"/>
        </w:placeholder>
      </w:sdtPr>
      <w:sdtEndPr>
        <w:rPr>
          <w:color w:val="000000" w:themeColor="text1"/>
          <w14:textFill>
            <w14:solidFill>
              <w14:schemeClr w14:val="tx1"/>
            </w14:solidFill>
          </w14:textFill>
        </w:rPr>
      </w:sdtEndPr>
      <w:sdtContent>
        <w:p w14:paraId="5BBEDC7C">
          <w:p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222"/>
    <w:p w14:paraId="6827D11C">
      <w:pPr>
        <w:ind w:right="210"/>
        <w:rPr>
          <w:color w:val="000000" w:themeColor="text1"/>
          <w14:textFill>
            <w14:solidFill>
              <w14:schemeClr w14:val="tx1"/>
            </w14:solidFill>
          </w14:textFill>
        </w:rPr>
      </w:pPr>
    </w:p>
    <w:bookmarkEnd w:id="221"/>
    <w:p w14:paraId="4D136AB1">
      <w:pPr>
        <w:pStyle w:val="4"/>
        <w:numPr>
          <w:ilvl w:val="0"/>
          <w:numId w:val="41"/>
        </w:numPr>
        <w:rPr>
          <w:color w:val="000000" w:themeColor="text1"/>
          <w:szCs w:val="21"/>
          <w14:textFill>
            <w14:solidFill>
              <w14:schemeClr w14:val="tx1"/>
            </w14:solidFill>
          </w14:textFill>
        </w:rPr>
      </w:pPr>
      <w:bookmarkStart w:id="223" w:name="_Hlk10471163"/>
      <w:r>
        <w:rPr>
          <w:color w:val="000000" w:themeColor="text1"/>
          <w:szCs w:val="21"/>
          <w14:textFill>
            <w14:solidFill>
              <w14:schemeClr w14:val="tx1"/>
            </w14:solidFill>
          </w14:textFill>
        </w:rPr>
        <w:t>其他流动资产</w:t>
      </w:r>
    </w:p>
    <w:sdt>
      <w:sdtPr>
        <w:rPr>
          <w:color w:val="000000" w:themeColor="text1"/>
          <w14:textFill>
            <w14:solidFill>
              <w14:schemeClr w14:val="tx1"/>
            </w14:solidFill>
          </w14:textFill>
        </w:rPr>
        <w:alias w:val="是否适用：其他流动资产[双击切换]"/>
        <w:tag w:val="_GBC_7733d50365e24328b41020152f88028d"/>
        <w:id w:val="1626265538"/>
        <w:placeholder>
          <w:docPart w:val="GBC22222222222222222222222222222"/>
        </w:placeholder>
      </w:sdtPr>
      <w:sdtEndPr>
        <w:rPr>
          <w:color w:val="000000" w:themeColor="text1"/>
          <w14:textFill>
            <w14:solidFill>
              <w14:schemeClr w14:val="tx1"/>
            </w14:solidFill>
          </w14:textFill>
        </w:rPr>
      </w:sdtEndPr>
      <w:sdtContent>
        <w:p w14:paraId="46613E9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D81BBE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流动资产"/>
          <w:tag w:val="_GBC_d0c62fc75d164678ad203d9ddb106538"/>
          <w:id w:val="-19909334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流动资产"/>
          <w:tag w:val="_GBC_9196143d56d24a9ea7f7e31ce8a09024"/>
          <w:id w:val="-8612090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2917"/>
        <w:gridCol w:w="2845"/>
      </w:tblGrid>
      <w:tr w14:paraId="72D2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bbfc7d41df4300abcae2e424cc6572"/>
            <w:id w:val="-1138038183"/>
          </w:sdtPr>
          <w:sdtContent>
            <w:tc>
              <w:tcPr>
                <w:tcW w:w="1816" w:type="pct"/>
                <w:vAlign w:val="center"/>
              </w:tcPr>
              <w:p w14:paraId="5B767AF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2a222194eae4e958db2401139170ea2"/>
            <w:id w:val="-1004510282"/>
          </w:sdtPr>
          <w:sdtContent>
            <w:tc>
              <w:tcPr>
                <w:tcW w:w="1612" w:type="pct"/>
                <w:vAlign w:val="center"/>
              </w:tcPr>
              <w:p w14:paraId="0D54694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0f3815799e9d4216b9506517d8e9b90c"/>
            <w:id w:val="-1974213182"/>
          </w:sdtPr>
          <w:sdtContent>
            <w:tc>
              <w:tcPr>
                <w:tcW w:w="1572" w:type="pct"/>
                <w:vAlign w:val="center"/>
              </w:tcPr>
              <w:p w14:paraId="4556861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A71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tcPr>
          <w:p w14:paraId="05F4321C">
            <w:pPr>
              <w:snapToGrid w:val="0"/>
              <w:ind w:left="-107" w:leftChars="-51"/>
              <w:jc w:val="center"/>
            </w:pPr>
            <w:r>
              <w:t>待抵扣待认证增值税进项税</w:t>
            </w:r>
          </w:p>
        </w:tc>
        <w:tc>
          <w:tcPr>
            <w:tcW w:w="1612" w:type="pct"/>
            <w:vAlign w:val="center"/>
          </w:tcPr>
          <w:p w14:paraId="679A5044">
            <w:pPr>
              <w:snapToGrid w:val="0"/>
              <w:jc w:val="right"/>
            </w:pPr>
            <w:r>
              <w:rPr>
                <w:rFonts w:hint="eastAsia"/>
                <w:color w:val="000000"/>
              </w:rPr>
              <w:t>237,384,252.21</w:t>
            </w:r>
          </w:p>
        </w:tc>
        <w:tc>
          <w:tcPr>
            <w:tcW w:w="1572" w:type="pct"/>
          </w:tcPr>
          <w:p w14:paraId="24BAD98D">
            <w:pPr>
              <w:snapToGrid w:val="0"/>
              <w:jc w:val="right"/>
            </w:pPr>
            <w:r>
              <w:t>277,873,757.65</w:t>
            </w:r>
          </w:p>
        </w:tc>
      </w:tr>
      <w:tr w14:paraId="5572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tcPr>
          <w:p w14:paraId="566FB03C">
            <w:pPr>
              <w:snapToGrid w:val="0"/>
              <w:ind w:left="-107" w:leftChars="-51"/>
              <w:jc w:val="center"/>
            </w:pPr>
            <w:r>
              <w:rPr>
                <w:rFonts w:hint="eastAsia"/>
              </w:rPr>
              <w:t>一年内银行定期存款及利息</w:t>
            </w:r>
          </w:p>
        </w:tc>
        <w:tc>
          <w:tcPr>
            <w:tcW w:w="1612" w:type="pct"/>
            <w:vAlign w:val="center"/>
          </w:tcPr>
          <w:p w14:paraId="15C8C3D1">
            <w:pPr>
              <w:snapToGrid w:val="0"/>
              <w:jc w:val="right"/>
              <w:rPr>
                <w:color w:val="000000"/>
              </w:rPr>
            </w:pPr>
            <w:r>
              <w:rPr>
                <w:color w:val="000000"/>
              </w:rPr>
              <w:t>196,995,006.04</w:t>
            </w:r>
          </w:p>
        </w:tc>
        <w:tc>
          <w:tcPr>
            <w:tcW w:w="1572" w:type="pct"/>
          </w:tcPr>
          <w:p w14:paraId="520CF07B">
            <w:pPr>
              <w:snapToGrid w:val="0"/>
              <w:jc w:val="right"/>
            </w:pPr>
          </w:p>
        </w:tc>
      </w:tr>
      <w:tr w14:paraId="1FCD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tcPr>
          <w:p w14:paraId="4FC471BE">
            <w:pPr>
              <w:snapToGrid w:val="0"/>
              <w:ind w:left="-107" w:leftChars="-51"/>
              <w:jc w:val="center"/>
            </w:pPr>
            <w:r>
              <w:t>待摊利息支出</w:t>
            </w:r>
          </w:p>
        </w:tc>
        <w:tc>
          <w:tcPr>
            <w:tcW w:w="1612" w:type="pct"/>
            <w:vAlign w:val="center"/>
          </w:tcPr>
          <w:p w14:paraId="7CB7983A">
            <w:pPr>
              <w:snapToGrid w:val="0"/>
              <w:jc w:val="right"/>
            </w:pPr>
            <w:r>
              <w:rPr>
                <w:rFonts w:hint="eastAsia"/>
                <w:color w:val="000000"/>
              </w:rPr>
              <w:t>417,083.35</w:t>
            </w:r>
          </w:p>
        </w:tc>
        <w:tc>
          <w:tcPr>
            <w:tcW w:w="1572" w:type="pct"/>
          </w:tcPr>
          <w:p w14:paraId="49D3F974">
            <w:pPr>
              <w:snapToGrid w:val="0"/>
              <w:jc w:val="right"/>
            </w:pPr>
            <w:r>
              <w:t>1,246,666.67</w:t>
            </w:r>
          </w:p>
        </w:tc>
      </w:tr>
      <w:tr w14:paraId="5AA3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tcPr>
          <w:p w14:paraId="40580502">
            <w:pPr>
              <w:snapToGrid w:val="0"/>
              <w:ind w:left="-107" w:leftChars="-51"/>
              <w:jc w:val="center"/>
            </w:pPr>
            <w:r>
              <w:t>预缴企业所得税</w:t>
            </w:r>
          </w:p>
        </w:tc>
        <w:tc>
          <w:tcPr>
            <w:tcW w:w="1612" w:type="pct"/>
            <w:vAlign w:val="center"/>
          </w:tcPr>
          <w:p w14:paraId="4B5EB5AD">
            <w:pPr>
              <w:snapToGrid w:val="0"/>
              <w:jc w:val="right"/>
            </w:pPr>
            <w:r>
              <w:rPr>
                <w:rFonts w:hint="eastAsia"/>
                <w:color w:val="000000"/>
              </w:rPr>
              <w:t>256,190.35</w:t>
            </w:r>
          </w:p>
        </w:tc>
        <w:tc>
          <w:tcPr>
            <w:tcW w:w="1572" w:type="pct"/>
          </w:tcPr>
          <w:p w14:paraId="6CE4384B">
            <w:pPr>
              <w:snapToGrid w:val="0"/>
              <w:jc w:val="right"/>
            </w:pPr>
            <w:r>
              <w:t>669,050.88</w:t>
            </w:r>
          </w:p>
        </w:tc>
      </w:tr>
      <w:tr w14:paraId="7B26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tcPr>
          <w:p w14:paraId="31365771">
            <w:pPr>
              <w:snapToGrid w:val="0"/>
              <w:ind w:left="-107" w:leftChars="-51"/>
              <w:jc w:val="center"/>
            </w:pPr>
            <w:r>
              <w:t>其他</w:t>
            </w:r>
          </w:p>
        </w:tc>
        <w:tc>
          <w:tcPr>
            <w:tcW w:w="1612" w:type="pct"/>
            <w:vAlign w:val="center"/>
          </w:tcPr>
          <w:p w14:paraId="34C2CB94">
            <w:pPr>
              <w:snapToGrid w:val="0"/>
              <w:jc w:val="right"/>
            </w:pPr>
            <w:r>
              <w:rPr>
                <w:color w:val="000000"/>
              </w:rPr>
              <w:t>31,916,676.00</w:t>
            </w:r>
          </w:p>
        </w:tc>
        <w:tc>
          <w:tcPr>
            <w:tcW w:w="1572" w:type="pct"/>
          </w:tcPr>
          <w:p w14:paraId="1A04BEDB">
            <w:pPr>
              <w:snapToGrid w:val="0"/>
              <w:jc w:val="right"/>
            </w:pPr>
            <w:r>
              <w:t>32,432,042.60</w:t>
            </w:r>
          </w:p>
        </w:tc>
      </w:tr>
      <w:tr w14:paraId="75F8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vAlign w:val="center"/>
          </w:tcPr>
          <w:p w14:paraId="00C616BA">
            <w:pPr>
              <w:snapToGrid w:val="0"/>
              <w:ind w:left="-107" w:leftChars="-5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12" w:type="pct"/>
            <w:vAlign w:val="center"/>
          </w:tcPr>
          <w:p w14:paraId="6B9A57A7">
            <w:pPr>
              <w:jc w:val="right"/>
              <w:rPr>
                <w:rFonts w:eastAsia="等线" w:cs="Times New Roman"/>
                <w:color w:val="000000"/>
              </w:rPr>
            </w:pPr>
            <w:r>
              <w:rPr>
                <w:rFonts w:eastAsia="等线" w:cs="Times New Roman"/>
                <w:color w:val="000000"/>
              </w:rPr>
              <w:t>466,969,207.95</w:t>
            </w:r>
          </w:p>
        </w:tc>
        <w:tc>
          <w:tcPr>
            <w:tcW w:w="1572" w:type="pct"/>
            <w:vAlign w:val="center"/>
          </w:tcPr>
          <w:p w14:paraId="797D8388">
            <w:pPr>
              <w:jc w:val="right"/>
              <w:rPr>
                <w:rFonts w:eastAsia="等线" w:cs="Times New Roman"/>
                <w:color w:val="000000"/>
              </w:rPr>
            </w:pPr>
            <w:r>
              <w:rPr>
                <w:rFonts w:eastAsia="等线" w:cs="Times New Roman"/>
                <w:color w:val="000000"/>
              </w:rPr>
              <w:t xml:space="preserve">312,221,517.80 </w:t>
            </w:r>
          </w:p>
        </w:tc>
      </w:tr>
    </w:tbl>
    <w:p w14:paraId="129998C2"/>
    <w:p w14:paraId="7C1FC26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其他流动资产说明"/>
        <w:tag w:val="_GBC_7955e529151148f394eed0e26977270b"/>
        <w:id w:val="-1041518101"/>
        <w:placeholder>
          <w:docPart w:val="GBC22222222222222222222222222222"/>
        </w:placeholder>
      </w:sdtPr>
      <w:sdtEndPr>
        <w:rPr>
          <w:rFonts w:hint="eastAsia"/>
          <w:color w:val="000000" w:themeColor="text1"/>
          <w14:textFill>
            <w14:solidFill>
              <w14:schemeClr w14:val="tx1"/>
            </w14:solidFill>
          </w14:textFill>
        </w:rPr>
      </w:sdtEndPr>
      <w:sdtContent>
        <w:p w14:paraId="3149F3E4">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223"/>
    <w:p w14:paraId="2B8387E0">
      <w:pPr>
        <w:ind w:right="210"/>
        <w:rPr>
          <w:color w:val="000000" w:themeColor="text1"/>
          <w14:textFill>
            <w14:solidFill>
              <w14:schemeClr w14:val="tx1"/>
            </w14:solidFill>
          </w14:textFill>
        </w:rPr>
      </w:pPr>
    </w:p>
    <w:p w14:paraId="3D5D3D99">
      <w:pPr>
        <w:pStyle w:val="4"/>
        <w:numPr>
          <w:ilvl w:val="0"/>
          <w:numId w:val="41"/>
        </w:numPr>
        <w:rPr>
          <w:color w:val="000000" w:themeColor="text1"/>
          <w:szCs w:val="21"/>
          <w14:textFill>
            <w14:solidFill>
              <w14:schemeClr w14:val="tx1"/>
            </w14:solidFill>
          </w14:textFill>
        </w:rPr>
      </w:pPr>
      <w:bookmarkStart w:id="224" w:name="_Hlk10471390"/>
      <w:r>
        <w:rPr>
          <w:color w:val="000000" w:themeColor="text1"/>
          <w:szCs w:val="21"/>
          <w14:textFill>
            <w14:solidFill>
              <w14:schemeClr w14:val="tx1"/>
            </w14:solidFill>
          </w14:textFill>
        </w:rPr>
        <w:t>债权投资</w:t>
      </w:r>
    </w:p>
    <w:p w14:paraId="6842A6C7">
      <w:pPr>
        <w:pStyle w:val="5"/>
        <w:numPr>
          <w:ilvl w:val="3"/>
          <w:numId w:val="52"/>
        </w:numPr>
        <w:ind w:left="426" w:hanging="42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债权投资情况</w:t>
      </w:r>
    </w:p>
    <w:sdt>
      <w:sdtPr>
        <w:rPr>
          <w:color w:val="000000" w:themeColor="text1"/>
          <w14:textFill>
            <w14:solidFill>
              <w14:schemeClr w14:val="tx1"/>
            </w14:solidFill>
          </w14:textFill>
        </w:rPr>
        <w:alias w:val="是否适用：以摊余成本计量的长期债权投资[双击切换]"/>
        <w:tag w:val="_GBC_22cb0188d98c4d37a97e0c6a9e34e10d"/>
        <w:id w:val="-205252696"/>
        <w:placeholder>
          <w:docPart w:val="GBC22222222222222222222222222222"/>
        </w:placeholder>
      </w:sdtPr>
      <w:sdtEndPr>
        <w:rPr>
          <w:color w:val="000000" w:themeColor="text1"/>
          <w14:textFill>
            <w14:solidFill>
              <w14:schemeClr w14:val="tx1"/>
            </w14:solidFill>
          </w14:textFill>
        </w:rPr>
      </w:sdtEndPr>
      <w:sdtContent>
        <w:p w14:paraId="0C7B426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2E3FD7">
      <w:pPr>
        <w:rPr>
          <w:color w:val="000000" w:themeColor="text1"/>
          <w14:textFill>
            <w14:solidFill>
              <w14:schemeClr w14:val="tx1"/>
            </w14:solidFill>
          </w14:textFill>
        </w:rPr>
      </w:pPr>
    </w:p>
    <w:bookmarkEnd w:id="224"/>
    <w:p w14:paraId="18A3A296">
      <w:pPr>
        <w:rPr>
          <w:color w:val="000000" w:themeColor="text1"/>
          <w14:textFill>
            <w14:solidFill>
              <w14:schemeClr w14:val="tx1"/>
            </w14:solidFill>
          </w14:textFill>
        </w:rPr>
      </w:pPr>
      <w:bookmarkStart w:id="225" w:name="_Hlk153455457"/>
      <w:bookmarkStart w:id="226" w:name="_Hlk167892259"/>
      <w:r>
        <w:rPr>
          <w:rFonts w:hint="eastAsia"/>
          <w:color w:val="000000" w:themeColor="text1"/>
          <w14:textFill>
            <w14:solidFill>
              <w14:schemeClr w14:val="tx1"/>
            </w14:solidFill>
          </w14:textFill>
        </w:rPr>
        <w:t>债权投资减值准备本期变动情况</w:t>
      </w:r>
    </w:p>
    <w:sdt>
      <w:sdtPr>
        <w:rPr>
          <w:color w:val="000000" w:themeColor="text1"/>
          <w14:textFill>
            <w14:solidFill>
              <w14:schemeClr w14:val="tx1"/>
            </w14:solidFill>
          </w14:textFill>
        </w:rPr>
        <w:alias w:val="是否适用：减值准备本期变动情况[双击切换]"/>
        <w:tag w:val="_GBC_50b72791ac8a452f88456ab4da535bab"/>
        <w:id w:val="-698245523"/>
        <w:placeholder>
          <w:docPart w:val="GBC22222222222222222222222222222"/>
        </w:placeholder>
      </w:sdtPr>
      <w:sdtEndPr>
        <w:rPr>
          <w:color w:val="000000" w:themeColor="text1"/>
          <w14:textFill>
            <w14:solidFill>
              <w14:schemeClr w14:val="tx1"/>
            </w14:solidFill>
          </w14:textFill>
        </w:rPr>
      </w:sdtEndPr>
      <w:sdtContent>
        <w:p w14:paraId="2B62B3A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0EE9799">
      <w:pPr>
        <w:rPr>
          <w:color w:val="000000" w:themeColor="text1"/>
          <w14:textFill>
            <w14:solidFill>
              <w14:schemeClr w14:val="tx1"/>
            </w14:solidFill>
          </w14:textFill>
        </w:rPr>
      </w:pPr>
    </w:p>
    <w:bookmarkEnd w:id="225"/>
    <w:bookmarkEnd w:id="226"/>
    <w:p w14:paraId="164BD87A">
      <w:pPr>
        <w:pStyle w:val="5"/>
        <w:numPr>
          <w:ilvl w:val="3"/>
          <w:numId w:val="52"/>
        </w:numPr>
        <w:ind w:left="426" w:hanging="426"/>
        <w:rPr>
          <w:rFonts w:ascii="宋体" w:hAnsi="宋体"/>
          <w:color w:val="000000" w:themeColor="text1"/>
          <w14:textFill>
            <w14:solidFill>
              <w14:schemeClr w14:val="tx1"/>
            </w14:solidFill>
          </w14:textFill>
        </w:rPr>
      </w:pPr>
      <w:bookmarkStart w:id="227" w:name="_Hlk167892342"/>
      <w:bookmarkStart w:id="228" w:name="_Hlk532994191"/>
      <w:r>
        <w:rPr>
          <w:rFonts w:hint="eastAsia" w:ascii="宋体" w:hAnsi="宋体"/>
          <w:color w:val="000000" w:themeColor="text1"/>
          <w14:textFill>
            <w14:solidFill>
              <w14:schemeClr w14:val="tx1"/>
            </w14:solidFill>
          </w14:textFill>
        </w:rPr>
        <w:t>期末重要的债权投资</w:t>
      </w:r>
    </w:p>
    <w:sdt>
      <w:sdtPr>
        <w:rPr>
          <w:color w:val="000000" w:themeColor="text1"/>
          <w14:textFill>
            <w14:solidFill>
              <w14:schemeClr w14:val="tx1"/>
            </w14:solidFill>
          </w14:textFill>
        </w:rPr>
        <w:alias w:val="是否适用：重要的债权投资[双击切换]"/>
        <w:tag w:val="_GBC_dfd6ab7a86864614a29dc0fb3c650c26"/>
        <w:id w:val="393541364"/>
        <w:placeholder>
          <w:docPart w:val="GBC22222222222222222222222222222"/>
        </w:placeholder>
      </w:sdtPr>
      <w:sdtEndPr>
        <w:rPr>
          <w:color w:val="000000" w:themeColor="text1"/>
          <w14:textFill>
            <w14:solidFill>
              <w14:schemeClr w14:val="tx1"/>
            </w14:solidFill>
          </w14:textFill>
        </w:rPr>
      </w:sdtEndPr>
      <w:sdtContent>
        <w:p w14:paraId="67375FC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A187ED">
      <w:pPr>
        <w:rPr>
          <w:color w:val="000000" w:themeColor="text1"/>
          <w14:textFill>
            <w14:solidFill>
              <w14:schemeClr w14:val="tx1"/>
            </w14:solidFill>
          </w14:textFill>
        </w:rPr>
      </w:pPr>
    </w:p>
    <w:bookmarkEnd w:id="227"/>
    <w:bookmarkEnd w:id="228"/>
    <w:p w14:paraId="087E8C43">
      <w:pPr>
        <w:pStyle w:val="5"/>
        <w:numPr>
          <w:ilvl w:val="3"/>
          <w:numId w:val="52"/>
        </w:numPr>
        <w:ind w:left="426" w:hanging="426"/>
        <w:rPr>
          <w:rFonts w:ascii="宋体" w:hAnsi="宋体"/>
          <w:color w:val="000000" w:themeColor="text1"/>
          <w14:textFill>
            <w14:solidFill>
              <w14:schemeClr w14:val="tx1"/>
            </w14:solidFill>
          </w14:textFill>
        </w:rPr>
      </w:pPr>
      <w:bookmarkStart w:id="229" w:name="_Hlk10471472"/>
      <w:bookmarkStart w:id="230" w:name="_Hlk10471485"/>
      <w:r>
        <w:rPr>
          <w:rFonts w:hint="eastAsia" w:ascii="宋体" w:hAnsi="宋体"/>
          <w:color w:val="000000" w:themeColor="text1"/>
          <w14:textFill>
            <w14:solidFill>
              <w14:schemeClr w14:val="tx1"/>
            </w14:solidFill>
          </w14:textFill>
        </w:rPr>
        <w:t>减值准备计提情况</w:t>
      </w:r>
      <w:bookmarkEnd w:id="229"/>
    </w:p>
    <w:sdt>
      <w:sdtPr>
        <w:rPr>
          <w:color w:val="000000" w:themeColor="text1"/>
          <w14:textFill>
            <w14:solidFill>
              <w14:schemeClr w14:val="tx1"/>
            </w14:solidFill>
          </w14:textFill>
        </w:rPr>
        <w:alias w:val="是否适用：债权投资减值准备调节表[双击切换]"/>
        <w:tag w:val="_GBC_415a5cd43ad14136b13ac09b150da06f"/>
        <w:id w:val="1462071347"/>
        <w:placeholder>
          <w:docPart w:val="GBC22222222222222222222222222222"/>
        </w:placeholder>
      </w:sdtPr>
      <w:sdtEndPr>
        <w:rPr>
          <w:color w:val="000000" w:themeColor="text1"/>
          <w14:textFill>
            <w14:solidFill>
              <w14:schemeClr w14:val="tx1"/>
            </w14:solidFill>
          </w14:textFill>
        </w:rPr>
      </w:sdtEndPr>
      <w:sdtContent>
        <w:p w14:paraId="4F6D20E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B5DC82">
      <w:pPr>
        <w:rPr>
          <w:color w:val="000000" w:themeColor="text1"/>
          <w14:textFill>
            <w14:solidFill>
              <w14:schemeClr w14:val="tx1"/>
            </w14:solidFill>
          </w14:textFill>
        </w:rPr>
      </w:pPr>
    </w:p>
    <w:p w14:paraId="193386E2">
      <w:pPr>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各阶段划分依据和减值准备计提比例：</w:t>
      </w:r>
    </w:p>
    <w:sdt>
      <w:sdtPr>
        <w:rPr>
          <w:color w:val="000000" w:themeColor="text1"/>
          <w14:textFill>
            <w14:solidFill>
              <w14:schemeClr w14:val="tx1"/>
            </w14:solidFill>
          </w14:textFill>
        </w:rPr>
        <w:alias w:val="债权投资各阶段划分依据和减值准备计提比例"/>
        <w:tag w:val="_GBC_251143413a6c4bb19036ef59ee403126"/>
        <w:id w:val="-1116904461"/>
        <w:placeholder>
          <w:docPart w:val="GBC22222222222222222222222222222"/>
        </w:placeholder>
      </w:sdtPr>
      <w:sdtEndPr>
        <w:rPr>
          <w:color w:val="000000" w:themeColor="text1"/>
          <w14:textFill>
            <w14:solidFill>
              <w14:schemeClr w14:val="tx1"/>
            </w14:solidFill>
          </w14:textFill>
        </w:rPr>
      </w:sdtEndPr>
      <w:sdtContent>
        <w:p w14:paraId="7A278798">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79F88C3">
      <w:pPr>
        <w:rPr>
          <w:color w:val="000000" w:themeColor="text1"/>
          <w14:textFill>
            <w14:solidFill>
              <w14:schemeClr w14:val="tx1"/>
            </w14:solidFill>
          </w14:textFill>
        </w:rPr>
      </w:pPr>
    </w:p>
    <w:p w14:paraId="0C7DA079">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对本期发生损失准备变动的债权投资账面余额显著变动的情况说明：</w:t>
      </w:r>
    </w:p>
    <w:sdt>
      <w:sdtPr>
        <w:rPr>
          <w:color w:val="000000" w:themeColor="text1"/>
          <w14:textFill>
            <w14:solidFill>
              <w14:schemeClr w14:val="tx1"/>
            </w14:solidFill>
          </w14:textFill>
        </w:rPr>
        <w:alias w:val="是否适用：债权投资本期发生损失准备变动且账面余额显著变动的情况说明[双击切换]"/>
        <w:tag w:val="_GBC_c6e31a7a389c493bad1d2f0f97023edf"/>
        <w:id w:val="-1107347891"/>
        <w:placeholder>
          <w:docPart w:val="GBC22222222222222222222222222222"/>
        </w:placeholder>
      </w:sdtPr>
      <w:sdtEndPr>
        <w:rPr>
          <w:color w:val="000000" w:themeColor="text1"/>
          <w14:textFill>
            <w14:solidFill>
              <w14:schemeClr w14:val="tx1"/>
            </w14:solidFill>
          </w14:textFill>
        </w:rPr>
      </w:sdtEndPr>
      <w:sdtContent>
        <w:p w14:paraId="310D7329">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55ACAC">
      <w:pPr>
        <w:ind w:right="210"/>
        <w:rPr>
          <w:color w:val="000000" w:themeColor="text1"/>
          <w14:textFill>
            <w14:solidFill>
              <w14:schemeClr w14:val="tx1"/>
            </w14:solidFill>
          </w14:textFill>
        </w:rPr>
      </w:pPr>
    </w:p>
    <w:p w14:paraId="5AB6BA25">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本</w:t>
      </w:r>
      <w:r>
        <w:rPr>
          <w:color w:val="000000" w:themeColor="text1"/>
          <w14:textFill>
            <w14:solidFill>
              <w14:schemeClr w14:val="tx1"/>
            </w14:solidFill>
          </w14:textFill>
        </w:rPr>
        <w:t>期减</w:t>
      </w:r>
      <w:r>
        <w:rPr>
          <w:rFonts w:hint="eastAsia"/>
          <w:color w:val="000000" w:themeColor="text1"/>
          <w14:textFill>
            <w14:solidFill>
              <w14:schemeClr w14:val="tx1"/>
            </w14:solidFill>
          </w14:textFill>
        </w:rPr>
        <w:t>值</w:t>
      </w:r>
      <w:r>
        <w:rPr>
          <w:color w:val="000000" w:themeColor="text1"/>
          <w14:textFill>
            <w14:solidFill>
              <w14:schemeClr w14:val="tx1"/>
            </w14:solidFill>
          </w14:textFill>
        </w:rPr>
        <w:t>准备计提金额以及评估金融工具的</w:t>
      </w:r>
      <w:r>
        <w:rPr>
          <w:rFonts w:hint="eastAsia"/>
          <w:color w:val="000000" w:themeColor="text1"/>
          <w14:textFill>
            <w14:solidFill>
              <w14:schemeClr w14:val="tx1"/>
            </w14:solidFill>
          </w14:textFill>
        </w:rPr>
        <w:t>信用风险是否显著增加的采用依据：</w:t>
      </w:r>
    </w:p>
    <w:sdt>
      <w:sdtPr>
        <w:rPr>
          <w:color w:val="000000" w:themeColor="text1"/>
          <w14:textFill>
            <w14:solidFill>
              <w14:schemeClr w14:val="tx1"/>
            </w14:solidFill>
          </w14:textFill>
        </w:rPr>
        <w:alias w:val="是否适用：债权投资减值准备计提金额以及评估金融工具的信用风险显著增加的采用依据[双击切换]"/>
        <w:tag w:val="_GBC_9f2bcc7ec6104c84a1b0f948b57b7e7a"/>
        <w:id w:val="2106616211"/>
        <w:placeholder>
          <w:docPart w:val="GBC22222222222222222222222222222"/>
        </w:placeholder>
      </w:sdtPr>
      <w:sdtEndPr>
        <w:rPr>
          <w:color w:val="000000" w:themeColor="text1"/>
          <w14:textFill>
            <w14:solidFill>
              <w14:schemeClr w14:val="tx1"/>
            </w14:solidFill>
          </w14:textFill>
        </w:rPr>
      </w:sdtEndPr>
      <w:sdtContent>
        <w:p w14:paraId="4DB8D4D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7A4722">
      <w:pPr>
        <w:ind w:right="210"/>
        <w:rPr>
          <w:color w:val="000000" w:themeColor="text1"/>
          <w14:textFill>
            <w14:solidFill>
              <w14:schemeClr w14:val="tx1"/>
            </w14:solidFill>
          </w14:textFill>
        </w:rPr>
      </w:pPr>
    </w:p>
    <w:bookmarkEnd w:id="230"/>
    <w:p w14:paraId="324B4D6D">
      <w:pPr>
        <w:pStyle w:val="5"/>
        <w:numPr>
          <w:ilvl w:val="3"/>
          <w:numId w:val="52"/>
        </w:numPr>
        <w:ind w:left="426" w:hanging="426"/>
        <w:rPr>
          <w:rFonts w:ascii="宋体" w:hAnsi="宋体"/>
          <w:color w:val="000000" w:themeColor="text1"/>
          <w14:textFill>
            <w14:solidFill>
              <w14:schemeClr w14:val="tx1"/>
            </w14:solidFill>
          </w14:textFill>
        </w:rPr>
      </w:pPr>
      <w:bookmarkStart w:id="231" w:name="_Hlk153455555"/>
      <w:bookmarkStart w:id="232" w:name="_Hlk167892558"/>
      <w:r>
        <w:rPr>
          <w:rFonts w:hint="eastAsia" w:ascii="宋体" w:hAnsi="宋体"/>
          <w:color w:val="000000" w:themeColor="text1"/>
          <w14:textFill>
            <w14:solidFill>
              <w14:schemeClr w14:val="tx1"/>
            </w14:solidFill>
          </w14:textFill>
        </w:rPr>
        <w:t>本期实际的核销债权投资情况</w:t>
      </w:r>
    </w:p>
    <w:sdt>
      <w:sdtPr>
        <w:rPr>
          <w:color w:val="000000" w:themeColor="text1"/>
          <w14:textFill>
            <w14:solidFill>
              <w14:schemeClr w14:val="tx1"/>
            </w14:solidFill>
          </w14:textFill>
        </w:rPr>
        <w:alias w:val="是否适用：实际核销的情况[双击切换]"/>
        <w:tag w:val="_GBC_3afef6300d7c49d48b6294a7214810bd"/>
        <w:id w:val="-1811704229"/>
        <w:placeholder>
          <w:docPart w:val="GBC22222222222222222222222222222"/>
        </w:placeholder>
      </w:sdtPr>
      <w:sdtEndPr>
        <w:rPr>
          <w:color w:val="000000" w:themeColor="text1"/>
          <w14:textFill>
            <w14:solidFill>
              <w14:schemeClr w14:val="tx1"/>
            </w14:solidFill>
          </w14:textFill>
        </w:rPr>
      </w:sdtEndPr>
      <w:sdtContent>
        <w:p w14:paraId="7AC6D8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5906671">
      <w:pPr>
        <w:rPr>
          <w:color w:val="000000" w:themeColor="text1"/>
          <w14:textFill>
            <w14:solidFill>
              <w14:schemeClr w14:val="tx1"/>
            </w14:solidFill>
          </w14:textFill>
        </w:rPr>
      </w:pPr>
    </w:p>
    <w:p w14:paraId="4870546F">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其中重要的债权投资</w:t>
      </w:r>
      <w:r>
        <w:rPr>
          <w:color w:val="000000" w:themeColor="text1"/>
          <w14:textFill>
            <w14:solidFill>
              <w14:schemeClr w14:val="tx1"/>
            </w14:solidFill>
          </w14:textFill>
        </w:rPr>
        <w:t>情况</w:t>
      </w:r>
      <w:r>
        <w:rPr>
          <w:rFonts w:hint="eastAsia"/>
          <w:color w:val="000000" w:themeColor="text1"/>
          <w14:textFill>
            <w14:solidFill>
              <w14:schemeClr w14:val="tx1"/>
            </w14:solidFill>
          </w14:textFill>
        </w:rPr>
        <w:t>核销情况</w:t>
      </w:r>
    </w:p>
    <w:sdt>
      <w:sdtPr>
        <w:rPr>
          <w:rFonts w:hint="eastAsia"/>
          <w:color w:val="000000" w:themeColor="text1"/>
          <w14:textFill>
            <w14:solidFill>
              <w14:schemeClr w14:val="tx1"/>
            </w14:solidFill>
          </w14:textFill>
        </w:rPr>
        <w:alias w:val="是否适用：重要的核销情况[双击切换]"/>
        <w:tag w:val="_GBC_dc0725e00c1d479dba02255be6332ac6"/>
        <w:id w:val="-1958024123"/>
        <w:placeholder>
          <w:docPart w:val="GBC22222222222222222222222222222"/>
        </w:placeholder>
      </w:sdtPr>
      <w:sdtEndPr>
        <w:rPr>
          <w:rFonts w:hint="eastAsia"/>
          <w:color w:val="000000" w:themeColor="text1"/>
          <w14:textFill>
            <w14:solidFill>
              <w14:schemeClr w14:val="tx1"/>
            </w14:solidFill>
          </w14:textFill>
        </w:rPr>
      </w:sdtEndPr>
      <w:sdtContent>
        <w:p w14:paraId="6CF685D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89B147D">
      <w:pPr>
        <w:rPr>
          <w:color w:val="000000" w:themeColor="text1"/>
          <w14:textFill>
            <w14:solidFill>
              <w14:schemeClr w14:val="tx1"/>
            </w14:solidFill>
          </w14:textFill>
        </w:rPr>
      </w:pPr>
    </w:p>
    <w:p w14:paraId="6E9765A7">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债权投资的核销说明：</w:t>
      </w:r>
    </w:p>
    <w:sdt>
      <w:sdtPr>
        <w:rPr>
          <w:color w:val="000000" w:themeColor="text1"/>
          <w14:textFill>
            <w14:solidFill>
              <w14:schemeClr w14:val="tx1"/>
            </w14:solidFill>
          </w14:textFill>
        </w:rPr>
        <w:alias w:val="是否适用：核销说明[双击切换]"/>
        <w:tag w:val="_GBC_de5ab370e646496a8820f55eaf66a319"/>
        <w:id w:val="1945566943"/>
        <w:placeholder>
          <w:docPart w:val="GBC22222222222222222222222222222"/>
        </w:placeholder>
      </w:sdtPr>
      <w:sdtEndPr>
        <w:rPr>
          <w:color w:val="000000" w:themeColor="text1"/>
          <w14:textFill>
            <w14:solidFill>
              <w14:schemeClr w14:val="tx1"/>
            </w14:solidFill>
          </w14:textFill>
        </w:rPr>
      </w:sdtEndPr>
      <w:sdtContent>
        <w:p w14:paraId="3652133C">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562F32A">
      <w:pPr>
        <w:rPr>
          <w:color w:val="000000" w:themeColor="text1"/>
          <w14:textFill>
            <w14:solidFill>
              <w14:schemeClr w14:val="tx1"/>
            </w14:solidFill>
          </w14:textFill>
        </w:rPr>
      </w:pPr>
    </w:p>
    <w:bookmarkEnd w:id="231"/>
    <w:bookmarkEnd w:id="232"/>
    <w:p w14:paraId="7858A2A3">
      <w:pPr>
        <w:ind w:right="210"/>
        <w:rPr>
          <w:color w:val="000000" w:themeColor="text1"/>
          <w14:textFill>
            <w14:solidFill>
              <w14:schemeClr w14:val="tx1"/>
            </w14:solidFill>
          </w14:textFill>
        </w:rPr>
      </w:pPr>
      <w:bookmarkStart w:id="233" w:name="_Hlk167892487"/>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债权投资其他说明"/>
        <w:tag w:val="_GBC_28b21821551847bca67b7c6c2e134e89"/>
        <w:id w:val="586660229"/>
        <w:placeholder>
          <w:docPart w:val="GBC22222222222222222222222222222"/>
        </w:placeholder>
      </w:sdtPr>
      <w:sdtEndPr>
        <w:rPr>
          <w:color w:val="000000" w:themeColor="text1"/>
          <w14:textFill>
            <w14:solidFill>
              <w14:schemeClr w14:val="tx1"/>
            </w14:solidFill>
          </w14:textFill>
        </w:rPr>
      </w:sdtEndPr>
      <w:sdtContent>
        <w:p w14:paraId="5F96123A">
          <w:pPr>
            <w:ind w:right="21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7C0AC21">
      <w:pPr>
        <w:ind w:right="210"/>
        <w:rPr>
          <w:color w:val="000000" w:themeColor="text1"/>
          <w14:textFill>
            <w14:solidFill>
              <w14:schemeClr w14:val="tx1"/>
            </w14:solidFill>
          </w14:textFill>
        </w:rPr>
      </w:pPr>
    </w:p>
    <w:bookmarkEnd w:id="233"/>
    <w:p w14:paraId="1ABE73A1">
      <w:pPr>
        <w:pStyle w:val="4"/>
        <w:numPr>
          <w:ilvl w:val="0"/>
          <w:numId w:val="41"/>
        </w:numPr>
        <w:rPr>
          <w:color w:val="000000" w:themeColor="text1"/>
          <w:szCs w:val="21"/>
          <w14:textFill>
            <w14:solidFill>
              <w14:schemeClr w14:val="tx1"/>
            </w14:solidFill>
          </w14:textFill>
        </w:rPr>
      </w:pPr>
      <w:bookmarkStart w:id="234" w:name="_Hlk167892682"/>
      <w:r>
        <w:rPr>
          <w:color w:val="000000" w:themeColor="text1"/>
          <w:szCs w:val="21"/>
          <w14:textFill>
            <w14:solidFill>
              <w14:schemeClr w14:val="tx1"/>
            </w14:solidFill>
          </w14:textFill>
        </w:rPr>
        <w:t>其他债权投资</w:t>
      </w:r>
    </w:p>
    <w:p w14:paraId="744A9770">
      <w:pPr>
        <w:pStyle w:val="5"/>
        <w:numPr>
          <w:ilvl w:val="3"/>
          <w:numId w:val="53"/>
        </w:numPr>
        <w:ind w:left="426" w:hanging="426"/>
        <w:rPr>
          <w:color w:val="000000" w:themeColor="text1"/>
          <w14:textFill>
            <w14:solidFill>
              <w14:schemeClr w14:val="tx1"/>
            </w14:solidFill>
          </w14:textFill>
        </w:rPr>
      </w:pPr>
      <w:r>
        <w:rPr>
          <w:rFonts w:hint="eastAsia"/>
          <w:color w:val="000000" w:themeColor="text1"/>
          <w14:textFill>
            <w14:solidFill>
              <w14:schemeClr w14:val="tx1"/>
            </w14:solidFill>
          </w14:textFill>
        </w:rPr>
        <w:t>其他债权投资情况</w:t>
      </w:r>
    </w:p>
    <w:sdt>
      <w:sdtPr>
        <w:rPr>
          <w:color w:val="000000" w:themeColor="text1"/>
          <w14:textFill>
            <w14:solidFill>
              <w14:schemeClr w14:val="tx1"/>
            </w14:solidFill>
          </w14:textFill>
        </w:rPr>
        <w:alias w:val="是否适用：其他债权投资情况[双击切换]"/>
        <w:tag w:val="_GBC_92529f98ed0049e0b197213d2c9b7d0a"/>
        <w:id w:val="-2099088660"/>
        <w:placeholder>
          <w:docPart w:val="GBC22222222222222222222222222222"/>
        </w:placeholder>
      </w:sdtPr>
      <w:sdtEndPr>
        <w:rPr>
          <w:color w:val="000000" w:themeColor="text1"/>
          <w14:textFill>
            <w14:solidFill>
              <w14:schemeClr w14:val="tx1"/>
            </w14:solidFill>
          </w14:textFill>
        </w:rPr>
      </w:sdtEndPr>
      <w:sdtContent>
        <w:p w14:paraId="74EF0FD2">
          <w:pPr>
            <w:ind w:right="21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922F99">
      <w:pPr>
        <w:ind w:right="210"/>
        <w:rPr>
          <w:color w:val="000000" w:themeColor="text1"/>
          <w14:textFill>
            <w14:solidFill>
              <w14:schemeClr w14:val="tx1"/>
            </w14:solidFill>
          </w14:textFill>
        </w:rPr>
      </w:pPr>
    </w:p>
    <w:p w14:paraId="48B38787">
      <w:pPr>
        <w:rPr>
          <w:color w:val="000000" w:themeColor="text1"/>
          <w14:textFill>
            <w14:solidFill>
              <w14:schemeClr w14:val="tx1"/>
            </w14:solidFill>
          </w14:textFill>
        </w:rPr>
      </w:pPr>
      <w:bookmarkStart w:id="235" w:name="_Hlk153455695"/>
      <w:r>
        <w:rPr>
          <w:rFonts w:hint="eastAsia"/>
          <w:color w:val="000000" w:themeColor="text1"/>
          <w14:textFill>
            <w14:solidFill>
              <w14:schemeClr w14:val="tx1"/>
            </w14:solidFill>
          </w14:textFill>
        </w:rPr>
        <w:t>其他债权投资减值准备本期变动情况</w:t>
      </w:r>
    </w:p>
    <w:sdt>
      <w:sdtPr>
        <w:rPr>
          <w:color w:val="000000" w:themeColor="text1"/>
          <w14:textFill>
            <w14:solidFill>
              <w14:schemeClr w14:val="tx1"/>
            </w14:solidFill>
          </w14:textFill>
        </w:rPr>
        <w:alias w:val="是否适用：减值准备本期变动情况[双击切换]"/>
        <w:tag w:val="_GBC_b9701012584a4eb3946302a1880256f3"/>
        <w:id w:val="853998934"/>
        <w:placeholder>
          <w:docPart w:val="GBC22222222222222222222222222222"/>
        </w:placeholder>
      </w:sdtPr>
      <w:sdtEndPr>
        <w:rPr>
          <w:color w:val="000000" w:themeColor="text1"/>
          <w14:textFill>
            <w14:solidFill>
              <w14:schemeClr w14:val="tx1"/>
            </w14:solidFill>
          </w14:textFill>
        </w:rPr>
      </w:sdtEndPr>
      <w:sdtContent>
        <w:p w14:paraId="642CFB0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34"/>
    <w:bookmarkEnd w:id="235"/>
    <w:p w14:paraId="4F69F639">
      <w:pPr>
        <w:rPr>
          <w:color w:val="000000" w:themeColor="text1"/>
          <w14:textFill>
            <w14:solidFill>
              <w14:schemeClr w14:val="tx1"/>
            </w14:solidFill>
          </w14:textFill>
        </w:rPr>
      </w:pPr>
    </w:p>
    <w:p w14:paraId="2C8BAAE7">
      <w:pPr>
        <w:pStyle w:val="5"/>
        <w:numPr>
          <w:ilvl w:val="3"/>
          <w:numId w:val="53"/>
        </w:numPr>
        <w:ind w:left="426" w:hanging="426"/>
        <w:rPr>
          <w:color w:val="000000" w:themeColor="text1"/>
          <w14:textFill>
            <w14:solidFill>
              <w14:schemeClr w14:val="tx1"/>
            </w14:solidFill>
          </w14:textFill>
        </w:rPr>
      </w:pPr>
      <w:bookmarkStart w:id="236" w:name="_Hlk533848078"/>
      <w:bookmarkStart w:id="237" w:name="_Hlk167892795"/>
      <w:r>
        <w:rPr>
          <w:rFonts w:hint="eastAsia"/>
          <w:color w:val="000000" w:themeColor="text1"/>
          <w14:textFill>
            <w14:solidFill>
              <w14:schemeClr w14:val="tx1"/>
            </w14:solidFill>
          </w14:textFill>
        </w:rPr>
        <w:t>期末重要的其他债权投资</w:t>
      </w:r>
    </w:p>
    <w:sdt>
      <w:sdtPr>
        <w:rPr>
          <w:color w:val="000000" w:themeColor="text1"/>
          <w14:textFill>
            <w14:solidFill>
              <w14:schemeClr w14:val="tx1"/>
            </w14:solidFill>
          </w14:textFill>
        </w:rPr>
        <w:alias w:val="是否适用：重要的其他债权投资[双击切换]"/>
        <w:tag w:val="_GBC_00805fa375c74d288e1bd8def75cea7f"/>
        <w:id w:val="914594119"/>
        <w:placeholder>
          <w:docPart w:val="GBC22222222222222222222222222222"/>
        </w:placeholder>
      </w:sdtPr>
      <w:sdtEndPr>
        <w:rPr>
          <w:color w:val="000000" w:themeColor="text1"/>
          <w14:textFill>
            <w14:solidFill>
              <w14:schemeClr w14:val="tx1"/>
            </w14:solidFill>
          </w14:textFill>
        </w:rPr>
      </w:sdtEndPr>
      <w:sdtContent>
        <w:p w14:paraId="5DCDC8ED">
          <w:pPr>
            <w:ind w:right="21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5293249">
      <w:pPr>
        <w:ind w:right="210"/>
        <w:rPr>
          <w:color w:val="000000" w:themeColor="text1"/>
          <w14:textFill>
            <w14:solidFill>
              <w14:schemeClr w14:val="tx1"/>
            </w14:solidFill>
          </w14:textFill>
        </w:rPr>
      </w:pPr>
    </w:p>
    <w:bookmarkEnd w:id="236"/>
    <w:bookmarkEnd w:id="237"/>
    <w:p w14:paraId="1B9C0253">
      <w:pPr>
        <w:pStyle w:val="5"/>
        <w:numPr>
          <w:ilvl w:val="3"/>
          <w:numId w:val="53"/>
        </w:numPr>
        <w:ind w:left="426" w:hanging="426"/>
        <w:rPr>
          <w:color w:val="000000" w:themeColor="text1"/>
          <w14:textFill>
            <w14:solidFill>
              <w14:schemeClr w14:val="tx1"/>
            </w14:solidFill>
          </w14:textFill>
        </w:rPr>
      </w:pPr>
      <w:bookmarkStart w:id="238" w:name="_Hlk10471703"/>
      <w:bookmarkStart w:id="239" w:name="_Hlk10471716"/>
      <w:r>
        <w:rPr>
          <w:rFonts w:hint="eastAsia"/>
          <w:color w:val="000000" w:themeColor="text1"/>
          <w14:textFill>
            <w14:solidFill>
              <w14:schemeClr w14:val="tx1"/>
            </w14:solidFill>
          </w14:textFill>
        </w:rPr>
        <w:t>减值准备计提情况</w:t>
      </w:r>
      <w:bookmarkEnd w:id="238"/>
    </w:p>
    <w:sdt>
      <w:sdtPr>
        <w:rPr>
          <w:color w:val="000000" w:themeColor="text1"/>
          <w14:textFill>
            <w14:solidFill>
              <w14:schemeClr w14:val="tx1"/>
            </w14:solidFill>
          </w14:textFill>
        </w:rPr>
        <w:alias w:val="是否适用：其他债权投资减值准备调节表[双击切换]"/>
        <w:tag w:val="_GBC_038e4a0a4815442e91a9309c128001c1"/>
        <w:id w:val="-1656832928"/>
        <w:placeholder>
          <w:docPart w:val="GBC22222222222222222222222222222"/>
        </w:placeholder>
      </w:sdtPr>
      <w:sdtEndPr>
        <w:rPr>
          <w:color w:val="000000" w:themeColor="text1"/>
          <w14:textFill>
            <w14:solidFill>
              <w14:schemeClr w14:val="tx1"/>
            </w14:solidFill>
          </w14:textFill>
        </w:rPr>
      </w:sdtEndPr>
      <w:sdtContent>
        <w:p w14:paraId="3431243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5E4D97">
      <w:pPr>
        <w:ind w:right="210"/>
        <w:rPr>
          <w:color w:val="000000" w:themeColor="text1"/>
          <w14:textFill>
            <w14:solidFill>
              <w14:schemeClr w14:val="tx1"/>
            </w14:solidFill>
          </w14:textFill>
        </w:rPr>
      </w:pPr>
      <w:bookmarkStart w:id="240" w:name="_Hlk533848073"/>
    </w:p>
    <w:p w14:paraId="77392AE2">
      <w:pPr>
        <w:rPr>
          <w:color w:val="000000" w:themeColor="text1"/>
          <w14:textFill>
            <w14:solidFill>
              <w14:schemeClr w14:val="tx1"/>
            </w14:solidFill>
          </w14:textFill>
        </w:rPr>
      </w:pPr>
    </w:p>
    <w:bookmarkEnd w:id="239"/>
    <w:bookmarkEnd w:id="240"/>
    <w:p w14:paraId="70DE8E4D">
      <w:pPr>
        <w:pStyle w:val="5"/>
        <w:numPr>
          <w:ilvl w:val="3"/>
          <w:numId w:val="53"/>
        </w:numPr>
        <w:ind w:left="426" w:hanging="426"/>
        <w:rPr>
          <w:color w:val="000000" w:themeColor="text1"/>
          <w14:textFill>
            <w14:solidFill>
              <w14:schemeClr w14:val="tx1"/>
            </w14:solidFill>
          </w14:textFill>
        </w:rPr>
      </w:pPr>
      <w:bookmarkStart w:id="241" w:name="_Hlk167892961"/>
      <w:bookmarkStart w:id="242" w:name="_Hlk153456989"/>
      <w:r>
        <w:rPr>
          <w:rFonts w:hint="eastAsia"/>
          <w:color w:val="000000" w:themeColor="text1"/>
          <w14:textFill>
            <w14:solidFill>
              <w14:schemeClr w14:val="tx1"/>
            </w14:solidFill>
          </w14:textFill>
        </w:rPr>
        <w:t>本期实际核销的其他债权投资情况</w:t>
      </w:r>
    </w:p>
    <w:sdt>
      <w:sdtPr>
        <w:rPr>
          <w:color w:val="000000" w:themeColor="text1"/>
          <w14:textFill>
            <w14:solidFill>
              <w14:schemeClr w14:val="tx1"/>
            </w14:solidFill>
          </w14:textFill>
        </w:rPr>
        <w:alias w:val="是否适用：实际核销的情况[双击切换]"/>
        <w:tag w:val="_GBC_3f64bf41b4334743becf2e82476d4bae"/>
        <w:id w:val="356237000"/>
        <w:placeholder>
          <w:docPart w:val="GBC22222222222222222222222222222"/>
        </w:placeholder>
      </w:sdtPr>
      <w:sdtEndPr>
        <w:rPr>
          <w:color w:val="000000" w:themeColor="text1"/>
          <w14:textFill>
            <w14:solidFill>
              <w14:schemeClr w14:val="tx1"/>
            </w14:solidFill>
          </w14:textFill>
        </w:rPr>
      </w:sdtEndPr>
      <w:sdtContent>
        <w:p w14:paraId="548D387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3993B3D">
      <w:pPr>
        <w:rPr>
          <w:color w:val="000000" w:themeColor="text1"/>
          <w14:textFill>
            <w14:solidFill>
              <w14:schemeClr w14:val="tx1"/>
            </w14:solidFill>
          </w14:textFill>
        </w:rPr>
      </w:pPr>
    </w:p>
    <w:p w14:paraId="1D2279C0">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其中重要的其他债权投资</w:t>
      </w:r>
      <w:r>
        <w:rPr>
          <w:color w:val="000000" w:themeColor="text1"/>
          <w14:textFill>
            <w14:solidFill>
              <w14:schemeClr w14:val="tx1"/>
            </w14:solidFill>
          </w14:textFill>
        </w:rPr>
        <w:t>情况</w:t>
      </w:r>
      <w:r>
        <w:rPr>
          <w:rFonts w:hint="eastAsia"/>
          <w:color w:val="000000" w:themeColor="text1"/>
          <w14:textFill>
            <w14:solidFill>
              <w14:schemeClr w14:val="tx1"/>
            </w14:solidFill>
          </w14:textFill>
        </w:rPr>
        <w:t>核销情况</w:t>
      </w:r>
    </w:p>
    <w:sdt>
      <w:sdtPr>
        <w:rPr>
          <w:rFonts w:hint="eastAsia"/>
          <w:color w:val="000000" w:themeColor="text1"/>
          <w14:textFill>
            <w14:solidFill>
              <w14:schemeClr w14:val="tx1"/>
            </w14:solidFill>
          </w14:textFill>
        </w:rPr>
        <w:alias w:val="是否适用：重要的核销情况[双击切换]"/>
        <w:tag w:val="_GBC_c6a24c878fc2452199cbce9e12babe90"/>
        <w:id w:val="1544489359"/>
        <w:placeholder>
          <w:docPart w:val="GBC22222222222222222222222222222"/>
        </w:placeholder>
      </w:sdtPr>
      <w:sdtEndPr>
        <w:rPr>
          <w:rFonts w:hint="eastAsia"/>
          <w:color w:val="000000" w:themeColor="text1"/>
          <w14:textFill>
            <w14:solidFill>
              <w14:schemeClr w14:val="tx1"/>
            </w14:solidFill>
          </w14:textFill>
        </w:rPr>
      </w:sdtEndPr>
      <w:sdtContent>
        <w:p w14:paraId="6AFF700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FFAFBEB">
      <w:pPr>
        <w:rPr>
          <w:color w:val="000000" w:themeColor="text1"/>
          <w14:textFill>
            <w14:solidFill>
              <w14:schemeClr w14:val="tx1"/>
            </w14:solidFill>
          </w14:textFill>
        </w:rPr>
      </w:pPr>
    </w:p>
    <w:p w14:paraId="7349B0E9">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其他债权投资的核销说明：</w:t>
      </w:r>
    </w:p>
    <w:sdt>
      <w:sdtPr>
        <w:rPr>
          <w:color w:val="000000" w:themeColor="text1"/>
          <w14:textFill>
            <w14:solidFill>
              <w14:schemeClr w14:val="tx1"/>
            </w14:solidFill>
          </w14:textFill>
        </w:rPr>
        <w:alias w:val="是否适用：核销说明[双击切换]"/>
        <w:tag w:val="_GBC_53efb454d66a4a18836780c1e0d7b273"/>
        <w:id w:val="-103891745"/>
        <w:placeholder>
          <w:docPart w:val="GBC22222222222222222222222222222"/>
        </w:placeholder>
      </w:sdtPr>
      <w:sdtEndPr>
        <w:rPr>
          <w:color w:val="000000" w:themeColor="text1"/>
          <w14:textFill>
            <w14:solidFill>
              <w14:schemeClr w14:val="tx1"/>
            </w14:solidFill>
          </w14:textFill>
        </w:rPr>
      </w:sdtEndPr>
      <w:sdtContent>
        <w:p w14:paraId="7D3DBCEE">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C802A9D">
      <w:pPr>
        <w:rPr>
          <w:color w:val="000000" w:themeColor="text1"/>
          <w14:textFill>
            <w14:solidFill>
              <w14:schemeClr w14:val="tx1"/>
            </w14:solidFill>
          </w14:textFill>
        </w:rPr>
      </w:pPr>
    </w:p>
    <w:bookmarkEnd w:id="241"/>
    <w:bookmarkEnd w:id="242"/>
    <w:p w14:paraId="31AF5D98">
      <w:pPr>
        <w:rPr>
          <w:color w:val="000000" w:themeColor="text1"/>
          <w14:textFill>
            <w14:solidFill>
              <w14:schemeClr w14:val="tx1"/>
            </w14:solidFill>
          </w14:textFill>
        </w:rPr>
      </w:pPr>
      <w:bookmarkStart w:id="243" w:name="_Hlk533848097"/>
      <w:bookmarkStart w:id="244" w:name="_Hlk10471761"/>
      <w:r>
        <w:rPr>
          <w:rFonts w:hint="eastAsia"/>
          <w:color w:val="000000" w:themeColor="text1"/>
          <w14:textFill>
            <w14:solidFill>
              <w14:schemeClr w14:val="tx1"/>
            </w14:solidFill>
          </w14:textFill>
        </w:rPr>
        <w:t>其他说明：</w:t>
      </w:r>
      <w:bookmarkEnd w:id="243"/>
    </w:p>
    <w:sdt>
      <w:sdtPr>
        <w:rPr>
          <w:color w:val="000000" w:themeColor="text1"/>
          <w14:textFill>
            <w14:solidFill>
              <w14:schemeClr w14:val="tx1"/>
            </w14:solidFill>
          </w14:textFill>
        </w:rPr>
        <w:alias w:val="是否适用：其他债权投资其他说明[双击切换]"/>
        <w:tag w:val="_GBC_e37f3e78626b4cd0ad52d68ae2fcdecb"/>
        <w:id w:val="256099380"/>
        <w:placeholder>
          <w:docPart w:val="GBC22222222222222222222222222222"/>
        </w:placeholder>
      </w:sdtPr>
      <w:sdtEndPr>
        <w:rPr>
          <w:color w:val="000000" w:themeColor="text1"/>
          <w14:textFill>
            <w14:solidFill>
              <w14:schemeClr w14:val="tx1"/>
            </w14:solidFill>
          </w14:textFill>
        </w:rPr>
      </w:sdtEndPr>
      <w:sdtContent>
        <w:p w14:paraId="59D2246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44"/>
    <w:p w14:paraId="48396020">
      <w:pPr>
        <w:rPr>
          <w:color w:val="000000" w:themeColor="text1"/>
          <w14:textFill>
            <w14:solidFill>
              <w14:schemeClr w14:val="tx1"/>
            </w14:solidFill>
          </w14:textFill>
        </w:rPr>
      </w:pPr>
    </w:p>
    <w:p w14:paraId="0990277B">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长期应收款</w:t>
      </w:r>
    </w:p>
    <w:p w14:paraId="45C7FF59">
      <w:pPr>
        <w:pStyle w:val="5"/>
        <w:numPr>
          <w:ilvl w:val="0"/>
          <w:numId w:val="5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长期应收款情况</w:t>
      </w:r>
    </w:p>
    <w:sdt>
      <w:sdtPr>
        <w:rPr>
          <w:color w:val="000000" w:themeColor="text1"/>
          <w14:textFill>
            <w14:solidFill>
              <w14:schemeClr w14:val="tx1"/>
            </w14:solidFill>
          </w14:textFill>
        </w:rPr>
        <w:alias w:val="是否适用：长期应收款情况[双击切换]"/>
        <w:tag w:val="_GBC_03ba5a75d6d541f4a60fba2b18c9d548"/>
        <w:id w:val="1417129612"/>
        <w:placeholder>
          <w:docPart w:val="GBC22222222222222222222222222222"/>
        </w:placeholder>
      </w:sdtPr>
      <w:sdtEndPr>
        <w:rPr>
          <w:color w:val="000000" w:themeColor="text1"/>
          <w14:textFill>
            <w14:solidFill>
              <w14:schemeClr w14:val="tx1"/>
            </w14:solidFill>
          </w14:textFill>
        </w:rPr>
      </w:sdtEndPr>
      <w:sdtContent>
        <w:p w14:paraId="7CA1BFB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9EF3F5C">
      <w:pPr>
        <w:rPr>
          <w:color w:val="000000" w:themeColor="text1"/>
          <w14:textFill>
            <w14:solidFill>
              <w14:schemeClr w14:val="tx1"/>
            </w14:solidFill>
          </w14:textFill>
        </w:rPr>
      </w:pPr>
    </w:p>
    <w:p w14:paraId="0CA99FFD">
      <w:pPr>
        <w:pStyle w:val="5"/>
        <w:numPr>
          <w:ilvl w:val="0"/>
          <w:numId w:val="54"/>
        </w:numPr>
        <w:rPr>
          <w:rFonts w:ascii="宋体" w:hAnsi="宋体"/>
          <w:color w:val="000000" w:themeColor="text1"/>
          <w14:textFill>
            <w14:solidFill>
              <w14:schemeClr w14:val="tx1"/>
            </w14:solidFill>
          </w14:textFill>
        </w:rPr>
      </w:pPr>
      <w:bookmarkStart w:id="245" w:name="_Hlk153457348"/>
      <w:bookmarkStart w:id="246" w:name="_Hlk167893085"/>
      <w:r>
        <w:rPr>
          <w:rFonts w:hint="eastAsia" w:ascii="宋体" w:hAnsi="宋体"/>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按坏账计提方法分类披露[双击切换]"/>
        <w:tag w:val="_GBC_2d08b03d640f42d686453149be03e5d9"/>
        <w:id w:val="-664482293"/>
        <w:placeholder>
          <w:docPart w:val="GBC22222222222222222222222222222"/>
        </w:placeholder>
      </w:sdtPr>
      <w:sdtEndPr>
        <w:rPr>
          <w:color w:val="000000" w:themeColor="text1"/>
          <w14:textFill>
            <w14:solidFill>
              <w14:schemeClr w14:val="tx1"/>
            </w14:solidFill>
          </w14:textFill>
        </w:rPr>
      </w:sdtEndPr>
      <w:sdtContent>
        <w:p w14:paraId="7C9463F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ED6B5E">
      <w:pPr>
        <w:rPr>
          <w:color w:val="000000" w:themeColor="text1"/>
          <w14:textFill>
            <w14:solidFill>
              <w14:schemeClr w14:val="tx1"/>
            </w14:solidFill>
          </w14:textFill>
        </w:rPr>
      </w:pPr>
    </w:p>
    <w:p w14:paraId="646EA275">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按单项计提坏账准备的详细情况[双击切换]"/>
        <w:tag w:val="_GBC_3a181716dae64a57965330ae4ccab91e"/>
        <w:id w:val="-783728469"/>
        <w:placeholder>
          <w:docPart w:val="GBC22222222222222222222222222222"/>
        </w:placeholder>
      </w:sdtPr>
      <w:sdtEndPr>
        <w:rPr>
          <w:color w:val="000000" w:themeColor="text1"/>
          <w14:textFill>
            <w14:solidFill>
              <w14:schemeClr w14:val="tx1"/>
            </w14:solidFill>
          </w14:textFill>
        </w:rPr>
      </w:sdtEndPr>
      <w:sdtContent>
        <w:p w14:paraId="2FBF66C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15F1512">
      <w:pPr>
        <w:rPr>
          <w:color w:val="000000" w:themeColor="text1"/>
          <w14:textFill>
            <w14:solidFill>
              <w14:schemeClr w14:val="tx1"/>
            </w14:solidFill>
          </w14:textFill>
        </w:rPr>
      </w:pPr>
    </w:p>
    <w:p w14:paraId="3A4B6E9E">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按单项计提坏账准备的说明[双击切换]"/>
        <w:tag w:val="_GBC_532014e1f5ab4f9da72dafc4dafe0723"/>
        <w:id w:val="921381679"/>
        <w:placeholder>
          <w:docPart w:val="GBC22222222222222222222222222222"/>
        </w:placeholder>
      </w:sdtPr>
      <w:sdtEndPr>
        <w:rPr>
          <w:color w:val="000000" w:themeColor="text1"/>
          <w14:textFill>
            <w14:solidFill>
              <w14:schemeClr w14:val="tx1"/>
            </w14:solidFill>
          </w14:textFill>
        </w:rPr>
      </w:sdtEndPr>
      <w:sdtContent>
        <w:p w14:paraId="36A4415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D889AF">
      <w:pPr>
        <w:rPr>
          <w:color w:val="000000" w:themeColor="text1"/>
          <w14:textFill>
            <w14:solidFill>
              <w14:schemeClr w14:val="tx1"/>
            </w14:solidFill>
          </w14:textFill>
        </w:rPr>
      </w:pPr>
    </w:p>
    <w:p w14:paraId="54254AAA">
      <w:pPr>
        <w:rPr>
          <w:rFonts w:ascii="Calibri" w:hAnsi="Calibri" w:cs="Times New Roman"/>
          <w:bCs/>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color w:val="000000" w:themeColor="text1"/>
          <w:szCs w:val="22"/>
          <w14:textFill>
            <w14:solidFill>
              <w14:schemeClr w14:val="tx1"/>
            </w14:solidFill>
          </w14:textFill>
        </w:rPr>
        <w:alias w:val="是否适用：按组合计提坏账准备的详细情况[双击切换]"/>
        <w:tag w:val="_GBC_555a40ceb7d348a0a16b652ac8e1178a"/>
        <w:id w:val="-71743297"/>
        <w:placeholder>
          <w:docPart w:val="GBC22222222222222222222222222222"/>
        </w:placeholder>
      </w:sdtPr>
      <w:sdtEndPr>
        <w:rPr>
          <w:rFonts w:ascii="Calibri" w:hAnsi="Calibri" w:cs="Times New Roman"/>
          <w:bCs/>
          <w:color w:val="000000" w:themeColor="text1"/>
          <w:szCs w:val="22"/>
          <w14:textFill>
            <w14:solidFill>
              <w14:schemeClr w14:val="tx1"/>
            </w14:solidFill>
          </w14:textFill>
        </w:rPr>
      </w:sdtEndPr>
      <w:sdtContent>
        <w:p w14:paraId="7E0B8BA8">
          <w:pPr>
            <w:rPr>
              <w:color w:val="000000" w:themeColor="text1"/>
              <w14:textFill>
                <w14:solidFill>
                  <w14:schemeClr w14:val="tx1"/>
                </w14:solidFill>
              </w14:textFill>
            </w:rPr>
          </w:pP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color w:val="000000" w:themeColor="text1"/>
              <w:szCs w:val="22"/>
              <w14:textFill>
                <w14:solidFill>
                  <w14:schemeClr w14:val="tx1"/>
                </w14:solidFill>
              </w14:textFill>
            </w:rPr>
            <w:fldChar w:fldCharType="end"/>
          </w: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color w:val="000000" w:themeColor="text1"/>
              <w:szCs w:val="22"/>
              <w14:textFill>
                <w14:solidFill>
                  <w14:schemeClr w14:val="tx1"/>
                </w14:solidFill>
              </w14:textFill>
            </w:rPr>
            <w:fldChar w:fldCharType="end"/>
          </w:r>
        </w:p>
      </w:sdtContent>
    </w:sdt>
    <w:p w14:paraId="72946504">
      <w:pPr>
        <w:rPr>
          <w:rFonts w:ascii="Calibri" w:hAnsi="Calibri" w:cs="Times New Roman"/>
          <w:b/>
          <w:bCs/>
          <w:color w:val="000000" w:themeColor="text1"/>
          <w:szCs w:val="22"/>
          <w14:textFill>
            <w14:solidFill>
              <w14:schemeClr w14:val="tx1"/>
            </w14:solidFill>
          </w14:textFill>
        </w:rPr>
      </w:pPr>
    </w:p>
    <w:bookmarkEnd w:id="245"/>
    <w:bookmarkEnd w:id="246"/>
    <w:p w14:paraId="69307039">
      <w:pPr>
        <w:rPr>
          <w:color w:val="000000" w:themeColor="text1"/>
          <w14:textFill>
            <w14:solidFill>
              <w14:schemeClr w14:val="tx1"/>
            </w14:solidFill>
          </w14:textFill>
        </w:rPr>
      </w:pPr>
      <w:bookmarkStart w:id="247" w:name="_Hlk10471933"/>
      <w:r>
        <w:rPr>
          <w:rFonts w:hint="eastAsia"/>
          <w:color w:val="000000" w:themeColor="text1"/>
          <w14:textFill>
            <w14:solidFill>
              <w14:schemeClr w14:val="tx1"/>
            </w14:solidFill>
          </w14:textFill>
        </w:rPr>
        <w:t>按预期信用损失一般模型计提坏账准备</w:t>
      </w:r>
      <w:r>
        <w:rPr>
          <w:color w:val="000000" w:themeColor="text1"/>
          <w14:textFill>
            <w14:solidFill>
              <w14:schemeClr w14:val="tx1"/>
            </w14:solidFill>
          </w14:textFill>
        </w:rPr>
        <w:t xml:space="preserve"> </w:t>
      </w:r>
    </w:p>
    <w:sdt>
      <w:sdtPr>
        <w:rPr>
          <w:color w:val="000000" w:themeColor="text1"/>
          <w14:textFill>
            <w14:solidFill>
              <w14:schemeClr w14:val="tx1"/>
            </w14:solidFill>
          </w14:textFill>
        </w:rPr>
        <w:alias w:val="是否适用：长期应收款坏账准备调节表[双击切换]"/>
        <w:tag w:val="_GBC_f7e4bed7dbb84fbcb52f2226cf465bb3"/>
        <w:id w:val="342366415"/>
        <w:placeholder>
          <w:docPart w:val="GBC22222222222222222222222222222"/>
        </w:placeholder>
      </w:sdtPr>
      <w:sdtEndPr>
        <w:rPr>
          <w:color w:val="000000" w:themeColor="text1"/>
          <w14:textFill>
            <w14:solidFill>
              <w14:schemeClr w14:val="tx1"/>
            </w14:solidFill>
          </w14:textFill>
        </w:rPr>
      </w:sdtEndPr>
      <w:sdtContent>
        <w:p w14:paraId="65D97CD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8B584B4">
      <w:pPr>
        <w:rPr>
          <w:color w:val="000000" w:themeColor="text1"/>
          <w14:textFill>
            <w14:solidFill>
              <w14:schemeClr w14:val="tx1"/>
            </w14:solidFill>
          </w14:textFill>
        </w:rPr>
      </w:pPr>
    </w:p>
    <w:bookmarkEnd w:id="247"/>
    <w:p w14:paraId="2FAB3669">
      <w:pPr>
        <w:pStyle w:val="5"/>
        <w:numPr>
          <w:ilvl w:val="0"/>
          <w:numId w:val="54"/>
        </w:numPr>
        <w:rPr>
          <w:rFonts w:ascii="宋体" w:hAnsi="宋体"/>
          <w:color w:val="000000" w:themeColor="text1"/>
          <w14:textFill>
            <w14:solidFill>
              <w14:schemeClr w14:val="tx1"/>
            </w14:solidFill>
          </w14:textFill>
        </w:rPr>
      </w:pPr>
      <w:bookmarkStart w:id="248" w:name="_Hlk154131356"/>
      <w:bookmarkStart w:id="249" w:name="_Hlk153457634"/>
      <w:bookmarkStart w:id="250" w:name="_Hlk167893254"/>
      <w:r>
        <w:rPr>
          <w:rFonts w:hint="eastAsia" w:ascii="宋体" w:hAnsi="宋体"/>
          <w:color w:val="000000" w:themeColor="text1"/>
          <w14:textFill>
            <w14:solidFill>
              <w14:schemeClr w14:val="tx1"/>
            </w14:solidFill>
          </w14:textFill>
        </w:rPr>
        <w:t>坏账准备的情况</w:t>
      </w:r>
    </w:p>
    <w:sdt>
      <w:sdtPr>
        <w:rPr>
          <w:color w:val="000000" w:themeColor="text1"/>
          <w14:textFill>
            <w14:solidFill>
              <w14:schemeClr w14:val="tx1"/>
            </w14:solidFill>
          </w14:textFill>
        </w:rPr>
        <w:alias w:val="是否适用：坏账准备情况[双击切换]"/>
        <w:tag w:val="_GBC_2514c3c2e0d44fce9a234c85b89eb697"/>
        <w:id w:val="50585995"/>
        <w:placeholder>
          <w:docPart w:val="GBC22222222222222222222222222222"/>
        </w:placeholder>
      </w:sdtPr>
      <w:sdtEndPr>
        <w:rPr>
          <w:color w:val="000000" w:themeColor="text1"/>
          <w14:textFill>
            <w14:solidFill>
              <w14:schemeClr w14:val="tx1"/>
            </w14:solidFill>
          </w14:textFill>
        </w:rPr>
      </w:sdtEndPr>
      <w:sdtContent>
        <w:p w14:paraId="365022E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0E1DC9">
      <w:pPr>
        <w:rPr>
          <w:color w:val="000000" w:themeColor="text1"/>
          <w14:textFill>
            <w14:solidFill>
              <w14:schemeClr w14:val="tx1"/>
            </w14:solidFill>
          </w14:textFill>
        </w:rPr>
      </w:pPr>
    </w:p>
    <w:bookmarkEnd w:id="248"/>
    <w:p w14:paraId="6D9E39A7">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a29d07e52de24827baca64b0af5687bb"/>
        <w:id w:val="-127708327"/>
        <w:placeholder>
          <w:docPart w:val="GBC22222222222222222222222222222"/>
        </w:placeholder>
      </w:sdtPr>
      <w:sdtEndPr>
        <w:rPr>
          <w:color w:val="000000" w:themeColor="text1"/>
          <w14:textFill>
            <w14:solidFill>
              <w14:schemeClr w14:val="tx1"/>
            </w14:solidFill>
          </w14:textFill>
        </w:rPr>
      </w:sdtEndPr>
      <w:sdtContent>
        <w:p w14:paraId="3973167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185D14">
      <w:pPr>
        <w:rPr>
          <w:color w:val="000000" w:themeColor="text1"/>
          <w14:textFill>
            <w14:solidFill>
              <w14:schemeClr w14:val="tx1"/>
            </w14:solidFill>
          </w14:textFill>
        </w:rPr>
      </w:pPr>
    </w:p>
    <w:p w14:paraId="268A7A61">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坏账准备情况的说明"/>
        <w:tag w:val="_GBC_15f3ea2819374a1d81b14a1eed39f1ec"/>
        <w:id w:val="-957866446"/>
        <w:placeholder>
          <w:docPart w:val="GBC22222222222222222222222222222"/>
        </w:placeholder>
      </w:sdtPr>
      <w:sdtEndPr>
        <w:rPr>
          <w:color w:val="000000" w:themeColor="text1"/>
          <w14:textFill>
            <w14:solidFill>
              <w14:schemeClr w14:val="tx1"/>
            </w14:solidFill>
          </w14:textFill>
        </w:rPr>
      </w:sdtEndPr>
      <w:sdtContent>
        <w:p w14:paraId="7B686E2C">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AE6CD41">
      <w:pPr>
        <w:ind w:right="-1594" w:rightChars="-759"/>
        <w:rPr>
          <w:color w:val="000000" w:themeColor="text1"/>
          <w14:textFill>
            <w14:solidFill>
              <w14:schemeClr w14:val="tx1"/>
            </w14:solidFill>
          </w14:textFill>
        </w:rPr>
      </w:pPr>
    </w:p>
    <w:p w14:paraId="524D96D0">
      <w:pPr>
        <w:pStyle w:val="5"/>
        <w:numPr>
          <w:ilvl w:val="0"/>
          <w:numId w:val="5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本期实际核销的长期应收款情况</w:t>
      </w:r>
    </w:p>
    <w:sdt>
      <w:sdtPr>
        <w:rPr>
          <w:color w:val="000000" w:themeColor="text1"/>
          <w14:textFill>
            <w14:solidFill>
              <w14:schemeClr w14:val="tx1"/>
            </w14:solidFill>
          </w14:textFill>
        </w:rPr>
        <w:alias w:val="是否适用：实际核销的情况[双击切换]"/>
        <w:tag w:val="_GBC_447ec231ca8744e2a8f9b570dfecfd28"/>
        <w:id w:val="-1566557277"/>
        <w:placeholder>
          <w:docPart w:val="GBC22222222222222222222222222222"/>
        </w:placeholder>
      </w:sdtPr>
      <w:sdtEndPr>
        <w:rPr>
          <w:color w:val="000000" w:themeColor="text1"/>
          <w14:textFill>
            <w14:solidFill>
              <w14:schemeClr w14:val="tx1"/>
            </w14:solidFill>
          </w14:textFill>
        </w:rPr>
      </w:sdtEndPr>
      <w:sdtContent>
        <w:p w14:paraId="1D0A15F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AD4D328">
      <w:pPr>
        <w:rPr>
          <w:color w:val="000000" w:themeColor="text1"/>
          <w14:textFill>
            <w14:solidFill>
              <w14:schemeClr w14:val="tx1"/>
            </w14:solidFill>
          </w14:textFill>
        </w:rPr>
      </w:pPr>
    </w:p>
    <w:p w14:paraId="7642159D">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其中重要的长期应收款核销情况</w:t>
      </w:r>
    </w:p>
    <w:sdt>
      <w:sdtPr>
        <w:rPr>
          <w:rFonts w:hint="eastAsia"/>
          <w:color w:val="000000" w:themeColor="text1"/>
          <w14:textFill>
            <w14:solidFill>
              <w14:schemeClr w14:val="tx1"/>
            </w14:solidFill>
          </w14:textFill>
        </w:rPr>
        <w:alias w:val="是否适用：重要的核销情况[双击切换]"/>
        <w:tag w:val="_GBC_7e501e63ade7457987f62bf3d0dd5df5"/>
        <w:id w:val="547190954"/>
        <w:placeholder>
          <w:docPart w:val="GBC22222222222222222222222222222"/>
        </w:placeholder>
      </w:sdtPr>
      <w:sdtEndPr>
        <w:rPr>
          <w:rFonts w:hint="eastAsia"/>
          <w:color w:val="000000" w:themeColor="text1"/>
          <w14:textFill>
            <w14:solidFill>
              <w14:schemeClr w14:val="tx1"/>
            </w14:solidFill>
          </w14:textFill>
        </w:rPr>
      </w:sdtEndPr>
      <w:sdtContent>
        <w:p w14:paraId="36B021F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1812D2">
      <w:pPr>
        <w:rPr>
          <w:color w:val="000000" w:themeColor="text1"/>
          <w14:textFill>
            <w14:solidFill>
              <w14:schemeClr w14:val="tx1"/>
            </w14:solidFill>
          </w14:textFill>
        </w:rPr>
      </w:pPr>
    </w:p>
    <w:p w14:paraId="71A5751F">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核销说明[双击切换]"/>
        <w:tag w:val="_GBC_81ff204464594f45b7ea7b4c6b25a65c"/>
        <w:id w:val="2070761584"/>
        <w:placeholder>
          <w:docPart w:val="GBC22222222222222222222222222222"/>
        </w:placeholder>
      </w:sdtPr>
      <w:sdtEndPr>
        <w:rPr>
          <w:color w:val="000000" w:themeColor="text1"/>
          <w14:textFill>
            <w14:solidFill>
              <w14:schemeClr w14:val="tx1"/>
            </w14:solidFill>
          </w14:textFill>
        </w:rPr>
      </w:sdtEndPr>
      <w:sdtContent>
        <w:p w14:paraId="316EEAB5">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78CB283">
      <w:pPr>
        <w:rPr>
          <w:color w:val="000000" w:themeColor="text1"/>
          <w14:textFill>
            <w14:solidFill>
              <w14:schemeClr w14:val="tx1"/>
            </w14:solidFill>
          </w14:textFill>
        </w:rPr>
      </w:pPr>
    </w:p>
    <w:bookmarkEnd w:id="249"/>
    <w:bookmarkEnd w:id="250"/>
    <w:p w14:paraId="199DBFF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是否适用：长期应收款的其他说明[双击切换]"/>
        <w:tag w:val="_GBC_a368edfbd60c44cdaed5299529b44fa0"/>
        <w:id w:val="494929544"/>
        <w:placeholder>
          <w:docPart w:val="GBC22222222222222222222222222222"/>
        </w:placeholder>
      </w:sdtPr>
      <w:sdtEndPr>
        <w:rPr>
          <w:rFonts w:hint="eastAsia"/>
          <w:color w:val="000000" w:themeColor="text1"/>
          <w14:textFill>
            <w14:solidFill>
              <w14:schemeClr w14:val="tx1"/>
            </w14:solidFill>
          </w14:textFill>
        </w:rPr>
      </w:sdtEndPr>
      <w:sdtContent>
        <w:p w14:paraId="6817E3A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7EB8F2C">
      <w:pPr>
        <w:rPr>
          <w:color w:val="000000" w:themeColor="text1"/>
          <w14:textFill>
            <w14:solidFill>
              <w14:schemeClr w14:val="tx1"/>
            </w14:solidFill>
          </w14:textFill>
        </w:rPr>
      </w:pPr>
    </w:p>
    <w:p w14:paraId="646A5E0D">
      <w:pPr>
        <w:rPr>
          <w:color w:val="000000" w:themeColor="text1"/>
          <w14:textFill>
            <w14:solidFill>
              <w14:schemeClr w14:val="tx1"/>
            </w14:solidFill>
          </w14:textFill>
        </w:rPr>
      </w:pPr>
    </w:p>
    <w:p w14:paraId="0423D590">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76E211BB">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长期股权投资</w:t>
      </w:r>
    </w:p>
    <w:p w14:paraId="1A80B854">
      <w:pPr>
        <w:pStyle w:val="5"/>
        <w:numPr>
          <w:ilvl w:val="0"/>
          <w:numId w:val="55"/>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长期股权投资情况</w:t>
      </w:r>
    </w:p>
    <w:p w14:paraId="6EE38570">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长期股权投资[双击切换]"/>
          <w:tag w:val="_GBC_bafa2cb2262c4c4ebc4eed8f4e4a81c6"/>
          <w:id w:val="-655912679"/>
          <w:lock w:val="contentLocked"/>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229A84A6">
      <w:pPr>
        <w:jc w:val="right"/>
        <w:rPr>
          <w:color w:val="000000" w:themeColor="text1"/>
          <w14:textFill>
            <w14:solidFill>
              <w14:schemeClr w14:val="tx1"/>
            </w14:solidFill>
          </w14:textFill>
        </w:rPr>
      </w:pPr>
      <w:bookmarkStart w:id="251" w:name="_Hlk200370069"/>
      <w:bookmarkStart w:id="252" w:name="_Hlk199854611"/>
      <w:bookmarkStart w:id="253" w:name="_Hlk106375234"/>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长期股权投资"/>
          <w:tag w:val="_GBC_63e30834d38e49658bec9056bc38e4e2"/>
          <w:id w:val="-5758226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长期股权投资"/>
          <w:tag w:val="_GBC_f72bca6b250e484887289a819bc62e7d"/>
          <w:id w:val="-6212343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251"/>
    <w:bookmarkEnd w:id="252"/>
    <w:bookmarkEnd w:id="253"/>
    <w:tbl>
      <w:tblPr>
        <w:tblStyle w:val="37"/>
        <w:tblW w:w="5137"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618"/>
        <w:gridCol w:w="1615"/>
        <w:gridCol w:w="420"/>
        <w:gridCol w:w="420"/>
        <w:gridCol w:w="1468"/>
        <w:gridCol w:w="1366"/>
        <w:gridCol w:w="1016"/>
        <w:gridCol w:w="1468"/>
        <w:gridCol w:w="420"/>
        <w:gridCol w:w="426"/>
        <w:gridCol w:w="1615"/>
        <w:gridCol w:w="1618"/>
      </w:tblGrid>
      <w:tr w14:paraId="4D32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9e3ff129c80540828097585bec2a274a"/>
            <w:id w:val="2042635841"/>
          </w:sdtPr>
          <w:sdtEndPr>
            <w:rPr>
              <w:sz w:val="18"/>
              <w:szCs w:val="18"/>
            </w:rPr>
          </w:sdtEndPr>
          <w:sdtContent>
            <w:tc>
              <w:tcPr>
                <w:tcW w:w="347" w:type="pct"/>
                <w:vMerge w:val="restart"/>
                <w:tcBorders>
                  <w:top w:val="single" w:color="auto" w:sz="4" w:space="0"/>
                  <w:left w:val="single" w:color="auto" w:sz="4" w:space="0"/>
                  <w:right w:val="single" w:color="auto" w:sz="4" w:space="0"/>
                </w:tcBorders>
                <w:vAlign w:val="center"/>
              </w:tcPr>
              <w:p w14:paraId="34FF8732">
                <w:pPr>
                  <w:jc w:val="center"/>
                  <w:rPr>
                    <w:color w:val="000000" w:themeColor="text1"/>
                    <w:sz w:val="18"/>
                    <w:szCs w:val="18"/>
                    <w14:textFill>
                      <w14:solidFill>
                        <w14:schemeClr w14:val="tx1"/>
                      </w14:solidFill>
                    </w14:textFill>
                  </w:rPr>
                </w:pPr>
                <w:bookmarkStart w:id="254" w:name="_Hlk167893542"/>
                <w:bookmarkStart w:id="255" w:name="_Hlk169008665"/>
                <w:r>
                  <w:rPr>
                    <w:rFonts w:hint="eastAsia"/>
                    <w:color w:val="000000" w:themeColor="text1"/>
                    <w:sz w:val="18"/>
                    <w:szCs w:val="18"/>
                    <w14:textFill>
                      <w14:solidFill>
                        <w14:schemeClr w14:val="tx1"/>
                      </w14:solidFill>
                    </w14:textFill>
                  </w:rPr>
                  <w:t>被投资单位</w:t>
                </w:r>
              </w:p>
            </w:tc>
          </w:sdtContent>
        </w:sdt>
        <w:sdt>
          <w:sdtPr>
            <w:rPr>
              <w:sz w:val="18"/>
              <w:szCs w:val="18"/>
            </w:rPr>
            <w:tag w:val="_PLD_1d8637e24bf6498db71869cd552b60a2"/>
            <w:id w:val="-678044849"/>
          </w:sdtPr>
          <w:sdtEndPr>
            <w:rPr>
              <w:sz w:val="18"/>
              <w:szCs w:val="18"/>
            </w:rPr>
          </w:sdtEndPr>
          <w:sdtContent>
            <w:tc>
              <w:tcPr>
                <w:tcW w:w="559" w:type="pct"/>
                <w:vMerge w:val="restart"/>
                <w:tcBorders>
                  <w:top w:val="single" w:color="auto" w:sz="4" w:space="0"/>
                  <w:left w:val="single" w:color="auto" w:sz="4" w:space="0"/>
                  <w:right w:val="single" w:color="auto" w:sz="4" w:space="0"/>
                </w:tcBorders>
                <w:vAlign w:val="center"/>
              </w:tcPr>
              <w:p w14:paraId="5ABEDDD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期初</w:t>
                </w:r>
              </w:p>
              <w:p w14:paraId="014FB95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余额（账面价值）</w:t>
                </w:r>
              </w:p>
            </w:tc>
          </w:sdtContent>
        </w:sdt>
        <w:tc>
          <w:tcPr>
            <w:tcW w:w="558" w:type="pct"/>
            <w:vMerge w:val="restart"/>
            <w:tcBorders>
              <w:top w:val="single" w:color="auto" w:sz="4" w:space="0"/>
              <w:left w:val="single" w:color="auto" w:sz="4" w:space="0"/>
              <w:right w:val="single" w:color="auto" w:sz="4" w:space="0"/>
            </w:tcBorders>
            <w:vAlign w:val="center"/>
          </w:tcPr>
          <w:sdt>
            <w:sdtPr>
              <w:rPr>
                <w:sz w:val="18"/>
                <w:szCs w:val="18"/>
              </w:rPr>
              <w:tag w:val="_PLD_f6327daa2fd7418ca2acf4b4ac38a832"/>
              <w:id w:val="-927574743"/>
            </w:sdtPr>
            <w:sdtEndPr>
              <w:rPr>
                <w:sz w:val="18"/>
                <w:szCs w:val="18"/>
              </w:rPr>
            </w:sdtEndPr>
            <w:sdtContent>
              <w:p w14:paraId="657348D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减值准备期初余额</w:t>
                </w:r>
              </w:p>
            </w:sdtContent>
          </w:sdt>
        </w:tc>
        <w:sdt>
          <w:sdtPr>
            <w:rPr>
              <w:sz w:val="18"/>
              <w:szCs w:val="18"/>
            </w:rPr>
            <w:tag w:val="_PLD_edc952101e7b4fa483f7289f9b74dfdf"/>
            <w:id w:val="1814986641"/>
          </w:sdtPr>
          <w:sdtEndPr>
            <w:rPr>
              <w:sz w:val="18"/>
              <w:szCs w:val="18"/>
            </w:rPr>
          </w:sdtEndPr>
          <w:sdtContent>
            <w:tc>
              <w:tcPr>
                <w:tcW w:w="2419" w:type="pct"/>
                <w:gridSpan w:val="8"/>
                <w:tcBorders>
                  <w:top w:val="single" w:color="auto" w:sz="4" w:space="0"/>
                  <w:left w:val="single" w:color="auto" w:sz="4" w:space="0"/>
                  <w:bottom w:val="single" w:color="auto" w:sz="4" w:space="0"/>
                  <w:right w:val="single" w:color="auto" w:sz="4" w:space="0"/>
                </w:tcBorders>
                <w:vAlign w:val="center"/>
              </w:tcPr>
              <w:p w14:paraId="6291651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本期增减变动</w:t>
                </w:r>
              </w:p>
            </w:tc>
          </w:sdtContent>
        </w:sdt>
        <w:sdt>
          <w:sdtPr>
            <w:rPr>
              <w:sz w:val="18"/>
              <w:szCs w:val="18"/>
            </w:rPr>
            <w:tag w:val="_PLD_44cfcec128d9419fba83c50966e49235"/>
            <w:id w:val="1290630816"/>
          </w:sdtPr>
          <w:sdtEndPr>
            <w:rPr>
              <w:sz w:val="18"/>
              <w:szCs w:val="18"/>
            </w:rPr>
          </w:sdtEndPr>
          <w:sdtContent>
            <w:tc>
              <w:tcPr>
                <w:tcW w:w="558" w:type="pct"/>
                <w:vMerge w:val="restart"/>
                <w:tcBorders>
                  <w:top w:val="single" w:color="auto" w:sz="4" w:space="0"/>
                  <w:left w:val="single" w:color="auto" w:sz="4" w:space="0"/>
                  <w:right w:val="single" w:color="auto" w:sz="4" w:space="0"/>
                </w:tcBorders>
                <w:vAlign w:val="center"/>
              </w:tcPr>
              <w:p w14:paraId="274E8E0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期末</w:t>
                </w:r>
              </w:p>
              <w:p w14:paraId="4D557A0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余额（账面价值）</w:t>
                </w:r>
              </w:p>
            </w:tc>
          </w:sdtContent>
        </w:sdt>
        <w:sdt>
          <w:sdtPr>
            <w:rPr>
              <w:sz w:val="18"/>
              <w:szCs w:val="18"/>
            </w:rPr>
            <w:tag w:val="_PLD_34a3cc0844264226a50c84165c09bb9a"/>
            <w:id w:val="1014417977"/>
          </w:sdtPr>
          <w:sdtEndPr>
            <w:rPr>
              <w:sz w:val="18"/>
              <w:szCs w:val="18"/>
            </w:rPr>
          </w:sdtEndPr>
          <w:sdtContent>
            <w:tc>
              <w:tcPr>
                <w:tcW w:w="559" w:type="pct"/>
                <w:vMerge w:val="restart"/>
                <w:tcBorders>
                  <w:top w:val="single" w:color="auto" w:sz="4" w:space="0"/>
                  <w:left w:val="single" w:color="auto" w:sz="4" w:space="0"/>
                  <w:right w:val="single" w:color="auto" w:sz="4" w:space="0"/>
                </w:tcBorders>
                <w:vAlign w:val="center"/>
              </w:tcPr>
              <w:p w14:paraId="54DBA7F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减值准备期末余额</w:t>
                </w:r>
              </w:p>
            </w:tc>
          </w:sdtContent>
        </w:sdt>
      </w:tr>
      <w:tr w14:paraId="27C5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vMerge w:val="continue"/>
            <w:tcBorders>
              <w:left w:val="single" w:color="auto" w:sz="4" w:space="0"/>
              <w:bottom w:val="single" w:color="auto" w:sz="4" w:space="0"/>
              <w:right w:val="single" w:color="auto" w:sz="4" w:space="0"/>
            </w:tcBorders>
          </w:tcPr>
          <w:p w14:paraId="48900D52">
            <w:pPr>
              <w:jc w:val="center"/>
              <w:rPr>
                <w:color w:val="000000" w:themeColor="text1"/>
                <w:sz w:val="18"/>
                <w:szCs w:val="18"/>
                <w14:textFill>
                  <w14:solidFill>
                    <w14:schemeClr w14:val="tx1"/>
                  </w14:solidFill>
                </w14:textFill>
              </w:rPr>
            </w:pPr>
          </w:p>
        </w:tc>
        <w:tc>
          <w:tcPr>
            <w:tcW w:w="559" w:type="pct"/>
            <w:vMerge w:val="continue"/>
            <w:tcBorders>
              <w:left w:val="single" w:color="auto" w:sz="4" w:space="0"/>
              <w:bottom w:val="single" w:color="auto" w:sz="4" w:space="0"/>
              <w:right w:val="single" w:color="auto" w:sz="4" w:space="0"/>
            </w:tcBorders>
          </w:tcPr>
          <w:p w14:paraId="582BF604">
            <w:pPr>
              <w:jc w:val="center"/>
              <w:rPr>
                <w:color w:val="000000" w:themeColor="text1"/>
                <w:sz w:val="18"/>
                <w:szCs w:val="18"/>
                <w14:textFill>
                  <w14:solidFill>
                    <w14:schemeClr w14:val="tx1"/>
                  </w14:solidFill>
                </w14:textFill>
              </w:rPr>
            </w:pPr>
          </w:p>
        </w:tc>
        <w:tc>
          <w:tcPr>
            <w:tcW w:w="558" w:type="pct"/>
            <w:vMerge w:val="continue"/>
            <w:tcBorders>
              <w:left w:val="single" w:color="auto" w:sz="4" w:space="0"/>
              <w:bottom w:val="single" w:color="auto" w:sz="4" w:space="0"/>
              <w:right w:val="single" w:color="auto" w:sz="4" w:space="0"/>
            </w:tcBorders>
          </w:tcPr>
          <w:p w14:paraId="33261CF4">
            <w:pPr>
              <w:jc w:val="center"/>
              <w:rPr>
                <w:color w:val="000000" w:themeColor="text1"/>
                <w:sz w:val="18"/>
                <w:szCs w:val="18"/>
                <w14:textFill>
                  <w14:solidFill>
                    <w14:schemeClr w14:val="tx1"/>
                  </w14:solidFill>
                </w14:textFill>
              </w:rPr>
            </w:pPr>
          </w:p>
        </w:tc>
        <w:sdt>
          <w:sdtPr>
            <w:rPr>
              <w:sz w:val="18"/>
              <w:szCs w:val="18"/>
            </w:rPr>
            <w:tag w:val="_PLD_f88446e104b7482db6830a46769bd8f6"/>
            <w:id w:val="1522894472"/>
          </w:sdtPr>
          <w:sdtEndPr>
            <w:rPr>
              <w:sz w:val="18"/>
              <w:szCs w:val="18"/>
            </w:rPr>
          </w:sdtEndPr>
          <w:sdtContent>
            <w:tc>
              <w:tcPr>
                <w:tcW w:w="145" w:type="pct"/>
                <w:tcBorders>
                  <w:top w:val="single" w:color="auto" w:sz="4" w:space="0"/>
                  <w:left w:val="single" w:color="auto" w:sz="4" w:space="0"/>
                  <w:bottom w:val="single" w:color="auto" w:sz="4" w:space="0"/>
                  <w:right w:val="single" w:color="auto" w:sz="4" w:space="0"/>
                </w:tcBorders>
                <w:vAlign w:val="center"/>
              </w:tcPr>
              <w:p w14:paraId="017461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追加投资</w:t>
                </w:r>
              </w:p>
            </w:tc>
          </w:sdtContent>
        </w:sdt>
        <w:sdt>
          <w:sdtPr>
            <w:rPr>
              <w:sz w:val="18"/>
              <w:szCs w:val="18"/>
            </w:rPr>
            <w:tag w:val="_PLD_dc0d6646fb2e45ba8e5e07f2c6954c9f"/>
            <w:id w:val="1969394007"/>
          </w:sdtPr>
          <w:sdtEndPr>
            <w:rPr>
              <w:sz w:val="18"/>
              <w:szCs w:val="18"/>
            </w:rPr>
          </w:sdtEndPr>
          <w:sdtContent>
            <w:tc>
              <w:tcPr>
                <w:tcW w:w="145" w:type="pct"/>
                <w:tcBorders>
                  <w:top w:val="single" w:color="auto" w:sz="4" w:space="0"/>
                  <w:left w:val="single" w:color="auto" w:sz="4" w:space="0"/>
                  <w:bottom w:val="single" w:color="auto" w:sz="4" w:space="0"/>
                  <w:right w:val="single" w:color="auto" w:sz="4" w:space="0"/>
                </w:tcBorders>
                <w:vAlign w:val="center"/>
              </w:tcPr>
              <w:p w14:paraId="72DDB8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减少投资</w:t>
                </w:r>
              </w:p>
            </w:tc>
          </w:sdtContent>
        </w:sdt>
        <w:sdt>
          <w:sdtPr>
            <w:rPr>
              <w:sz w:val="18"/>
              <w:szCs w:val="18"/>
            </w:rPr>
            <w:tag w:val="_PLD_098d9fcf9d5341879d534aa385508f23"/>
            <w:id w:val="164746194"/>
          </w:sdtPr>
          <w:sdtEndPr>
            <w:rPr>
              <w:sz w:val="18"/>
              <w:szCs w:val="18"/>
            </w:rPr>
          </w:sdtEndPr>
          <w:sdtContent>
            <w:tc>
              <w:tcPr>
                <w:tcW w:w="507" w:type="pct"/>
                <w:tcBorders>
                  <w:top w:val="single" w:color="auto" w:sz="4" w:space="0"/>
                  <w:left w:val="single" w:color="auto" w:sz="4" w:space="0"/>
                  <w:bottom w:val="single" w:color="auto" w:sz="4" w:space="0"/>
                  <w:right w:val="single" w:color="auto" w:sz="4" w:space="0"/>
                </w:tcBorders>
                <w:vAlign w:val="center"/>
              </w:tcPr>
              <w:p w14:paraId="722A507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权益法下确认的投资损益</w:t>
                </w:r>
              </w:p>
            </w:tc>
          </w:sdtContent>
        </w:sdt>
        <w:sdt>
          <w:sdtPr>
            <w:rPr>
              <w:sz w:val="18"/>
              <w:szCs w:val="18"/>
            </w:rPr>
            <w:tag w:val="_PLD_b66787b3a51d435899d94dbab1edade7"/>
            <w:id w:val="-1862966018"/>
          </w:sdtPr>
          <w:sdtEndPr>
            <w:rPr>
              <w:sz w:val="18"/>
              <w:szCs w:val="18"/>
            </w:rPr>
          </w:sdtEndPr>
          <w:sdtContent>
            <w:tc>
              <w:tcPr>
                <w:tcW w:w="472" w:type="pct"/>
                <w:tcBorders>
                  <w:top w:val="single" w:color="auto" w:sz="4" w:space="0"/>
                  <w:left w:val="single" w:color="auto" w:sz="4" w:space="0"/>
                  <w:bottom w:val="single" w:color="auto" w:sz="4" w:space="0"/>
                  <w:right w:val="single" w:color="auto" w:sz="4" w:space="0"/>
                </w:tcBorders>
                <w:vAlign w:val="center"/>
              </w:tcPr>
              <w:p w14:paraId="4AB6BF5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其他综合收益调整</w:t>
                </w:r>
              </w:p>
            </w:tc>
          </w:sdtContent>
        </w:sdt>
        <w:sdt>
          <w:sdtPr>
            <w:rPr>
              <w:sz w:val="18"/>
              <w:szCs w:val="18"/>
            </w:rPr>
            <w:tag w:val="_PLD_59166394bf7143a6a5ce0d447326b1ac"/>
            <w:id w:val="-1075206600"/>
          </w:sdtPr>
          <w:sdtEndPr>
            <w:rPr>
              <w:sz w:val="18"/>
              <w:szCs w:val="18"/>
            </w:rPr>
          </w:sdtEndPr>
          <w:sdtContent>
            <w:tc>
              <w:tcPr>
                <w:tcW w:w="351" w:type="pct"/>
                <w:tcBorders>
                  <w:top w:val="single" w:color="auto" w:sz="4" w:space="0"/>
                  <w:left w:val="single" w:color="auto" w:sz="4" w:space="0"/>
                  <w:bottom w:val="single" w:color="auto" w:sz="4" w:space="0"/>
                  <w:right w:val="single" w:color="auto" w:sz="4" w:space="0"/>
                </w:tcBorders>
                <w:vAlign w:val="center"/>
              </w:tcPr>
              <w:p w14:paraId="534A2F6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其他权益变动</w:t>
                </w:r>
              </w:p>
            </w:tc>
          </w:sdtContent>
        </w:sdt>
        <w:sdt>
          <w:sdtPr>
            <w:rPr>
              <w:sz w:val="18"/>
              <w:szCs w:val="18"/>
            </w:rPr>
            <w:tag w:val="_PLD_cbd4cf48730a4934a58b86d2c27b6b08"/>
            <w:id w:val="464404257"/>
          </w:sdtPr>
          <w:sdtEndPr>
            <w:rPr>
              <w:sz w:val="18"/>
              <w:szCs w:val="18"/>
            </w:rPr>
          </w:sdtEndPr>
          <w:sdtContent>
            <w:tc>
              <w:tcPr>
                <w:tcW w:w="507" w:type="pct"/>
                <w:tcBorders>
                  <w:top w:val="single" w:color="auto" w:sz="4" w:space="0"/>
                  <w:left w:val="single" w:color="auto" w:sz="4" w:space="0"/>
                  <w:bottom w:val="single" w:color="auto" w:sz="4" w:space="0"/>
                  <w:right w:val="single" w:color="auto" w:sz="4" w:space="0"/>
                </w:tcBorders>
                <w:vAlign w:val="center"/>
              </w:tcPr>
              <w:p w14:paraId="0A651A4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宣告发放现金股利或利润</w:t>
                </w:r>
              </w:p>
            </w:tc>
          </w:sdtContent>
        </w:sdt>
        <w:sdt>
          <w:sdtPr>
            <w:rPr>
              <w:sz w:val="18"/>
              <w:szCs w:val="18"/>
            </w:rPr>
            <w:tag w:val="_PLD_4c0a72e8e14d4b319998bc5bde635ef0"/>
            <w:id w:val="555976115"/>
          </w:sdtPr>
          <w:sdtEndPr>
            <w:rPr>
              <w:sz w:val="18"/>
              <w:szCs w:val="18"/>
            </w:rPr>
          </w:sdtEndPr>
          <w:sdtContent>
            <w:tc>
              <w:tcPr>
                <w:tcW w:w="145" w:type="pct"/>
                <w:tcBorders>
                  <w:top w:val="single" w:color="auto" w:sz="4" w:space="0"/>
                  <w:left w:val="single" w:color="auto" w:sz="4" w:space="0"/>
                  <w:bottom w:val="single" w:color="auto" w:sz="4" w:space="0"/>
                  <w:right w:val="single" w:color="auto" w:sz="4" w:space="0"/>
                </w:tcBorders>
                <w:vAlign w:val="center"/>
              </w:tcPr>
              <w:p w14:paraId="7A9C6F9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计提减值准备</w:t>
                </w:r>
              </w:p>
            </w:tc>
          </w:sdtContent>
        </w:sdt>
        <w:sdt>
          <w:sdtPr>
            <w:rPr>
              <w:sz w:val="18"/>
              <w:szCs w:val="18"/>
            </w:rPr>
            <w:tag w:val="_PLD_ea8213b5ee1442f98996b6dfc1f9a9a4"/>
            <w:id w:val="1874807917"/>
          </w:sdtPr>
          <w:sdtEndPr>
            <w:rPr>
              <w:sz w:val="18"/>
              <w:szCs w:val="18"/>
            </w:rPr>
          </w:sdtEndPr>
          <w:sdtContent>
            <w:tc>
              <w:tcPr>
                <w:tcW w:w="147" w:type="pct"/>
                <w:tcBorders>
                  <w:top w:val="single" w:color="auto" w:sz="4" w:space="0"/>
                  <w:left w:val="single" w:color="auto" w:sz="4" w:space="0"/>
                  <w:bottom w:val="single" w:color="auto" w:sz="4" w:space="0"/>
                  <w:right w:val="single" w:color="auto" w:sz="4" w:space="0"/>
                </w:tcBorders>
                <w:vAlign w:val="center"/>
              </w:tcPr>
              <w:p w14:paraId="3CABD2F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其他</w:t>
                </w:r>
              </w:p>
            </w:tc>
          </w:sdtContent>
        </w:sdt>
        <w:tc>
          <w:tcPr>
            <w:tcW w:w="558" w:type="pct"/>
            <w:vMerge w:val="continue"/>
            <w:tcBorders>
              <w:left w:val="single" w:color="auto" w:sz="4" w:space="0"/>
              <w:bottom w:val="single" w:color="auto" w:sz="4" w:space="0"/>
              <w:right w:val="single" w:color="auto" w:sz="4" w:space="0"/>
            </w:tcBorders>
            <w:vAlign w:val="center"/>
          </w:tcPr>
          <w:p w14:paraId="3C1CCB75">
            <w:pPr>
              <w:jc w:val="center"/>
              <w:rPr>
                <w:color w:val="000000" w:themeColor="text1"/>
                <w:sz w:val="18"/>
                <w:szCs w:val="18"/>
                <w14:textFill>
                  <w14:solidFill>
                    <w14:schemeClr w14:val="tx1"/>
                  </w14:solidFill>
                </w14:textFill>
              </w:rPr>
            </w:pPr>
          </w:p>
        </w:tc>
        <w:tc>
          <w:tcPr>
            <w:tcW w:w="559" w:type="pct"/>
            <w:vMerge w:val="continue"/>
            <w:tcBorders>
              <w:left w:val="single" w:color="auto" w:sz="4" w:space="0"/>
              <w:bottom w:val="single" w:color="auto" w:sz="4" w:space="0"/>
              <w:right w:val="single" w:color="auto" w:sz="4" w:space="0"/>
            </w:tcBorders>
            <w:vAlign w:val="center"/>
          </w:tcPr>
          <w:p w14:paraId="63B4B93D">
            <w:pPr>
              <w:jc w:val="center"/>
              <w:rPr>
                <w:color w:val="000000" w:themeColor="text1"/>
                <w:sz w:val="18"/>
                <w:szCs w:val="18"/>
                <w14:textFill>
                  <w14:solidFill>
                    <w14:schemeClr w14:val="tx1"/>
                  </w14:solidFill>
                </w14:textFill>
              </w:rPr>
            </w:pPr>
          </w:p>
        </w:tc>
      </w:tr>
      <w:tr w14:paraId="580B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8204b6b48bf546e3af5babc667d4c84c"/>
            <w:id w:val="1438792864"/>
          </w:sdtPr>
          <w:sdtEndPr>
            <w:rPr>
              <w:sz w:val="18"/>
              <w:szCs w:val="18"/>
            </w:rPr>
          </w:sdtEndPr>
          <w:sdtContent>
            <w:tc>
              <w:tcPr>
                <w:tcW w:w="5000" w:type="pct"/>
                <w:gridSpan w:val="13"/>
                <w:tcBorders>
                  <w:top w:val="single" w:color="auto" w:sz="4" w:space="0"/>
                  <w:left w:val="single" w:color="auto" w:sz="4" w:space="0"/>
                  <w:bottom w:val="single" w:color="auto" w:sz="4" w:space="0"/>
                  <w:right w:val="single" w:color="auto" w:sz="4" w:space="0"/>
                </w:tcBorders>
              </w:tcPr>
              <w:p w14:paraId="5887BB41">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一、合营企业</w:t>
                </w:r>
              </w:p>
            </w:tc>
          </w:sdtContent>
        </w:sdt>
      </w:tr>
      <w:tr w14:paraId="6C6E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34A25003">
            <w:pPr>
              <w:rPr>
                <w:sz w:val="18"/>
                <w:szCs w:val="18"/>
              </w:rPr>
            </w:pPr>
          </w:p>
        </w:tc>
        <w:tc>
          <w:tcPr>
            <w:tcW w:w="559" w:type="pct"/>
            <w:tcBorders>
              <w:top w:val="single" w:color="auto" w:sz="4" w:space="0"/>
              <w:left w:val="single" w:color="auto" w:sz="4" w:space="0"/>
              <w:bottom w:val="single" w:color="auto" w:sz="4" w:space="0"/>
              <w:right w:val="single" w:color="auto" w:sz="4" w:space="0"/>
            </w:tcBorders>
          </w:tcPr>
          <w:p w14:paraId="135423DE">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tcPr>
          <w:p w14:paraId="0B5A6FA3">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45154D9A">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2181957B">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tcPr>
          <w:p w14:paraId="7B5F4AB4">
            <w:pPr>
              <w:jc w:val="right"/>
              <w:rPr>
                <w:sz w:val="18"/>
                <w:szCs w:val="18"/>
              </w:rPr>
            </w:pPr>
          </w:p>
        </w:tc>
        <w:tc>
          <w:tcPr>
            <w:tcW w:w="472" w:type="pct"/>
            <w:tcBorders>
              <w:top w:val="single" w:color="auto" w:sz="4" w:space="0"/>
              <w:left w:val="single" w:color="auto" w:sz="4" w:space="0"/>
              <w:bottom w:val="single" w:color="auto" w:sz="4" w:space="0"/>
              <w:right w:val="single" w:color="auto" w:sz="4" w:space="0"/>
            </w:tcBorders>
          </w:tcPr>
          <w:p w14:paraId="67F61B28">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25DD958C">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tcPr>
          <w:p w14:paraId="146561A9">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11F2734B">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4A5C4651">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tcPr>
          <w:p w14:paraId="748A715A">
            <w:pPr>
              <w:jc w:val="right"/>
              <w:rPr>
                <w:sz w:val="18"/>
                <w:szCs w:val="18"/>
              </w:rPr>
            </w:pPr>
          </w:p>
        </w:tc>
        <w:tc>
          <w:tcPr>
            <w:tcW w:w="559" w:type="pct"/>
            <w:tcBorders>
              <w:top w:val="single" w:color="auto" w:sz="4" w:space="0"/>
              <w:left w:val="single" w:color="auto" w:sz="4" w:space="0"/>
              <w:bottom w:val="single" w:color="auto" w:sz="4" w:space="0"/>
              <w:right w:val="single" w:color="auto" w:sz="4" w:space="0"/>
            </w:tcBorders>
          </w:tcPr>
          <w:p w14:paraId="02B3331A">
            <w:pPr>
              <w:jc w:val="right"/>
              <w:rPr>
                <w:sz w:val="18"/>
                <w:szCs w:val="18"/>
              </w:rPr>
            </w:pPr>
          </w:p>
        </w:tc>
      </w:tr>
      <w:tr w14:paraId="1310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tcBorders>
              <w:top w:val="single" w:color="auto" w:sz="4" w:space="0"/>
              <w:left w:val="single" w:color="auto" w:sz="4" w:space="0"/>
              <w:bottom w:val="single" w:color="auto" w:sz="4" w:space="0"/>
              <w:right w:val="single" w:color="auto" w:sz="4" w:space="0"/>
            </w:tcBorders>
          </w:tcPr>
          <w:p w14:paraId="6B0246EA">
            <w:pPr>
              <w:rPr>
                <w:sz w:val="18"/>
                <w:szCs w:val="18"/>
              </w:rPr>
            </w:pPr>
          </w:p>
        </w:tc>
        <w:tc>
          <w:tcPr>
            <w:tcW w:w="559" w:type="pct"/>
            <w:tcBorders>
              <w:top w:val="single" w:color="auto" w:sz="4" w:space="0"/>
              <w:left w:val="single" w:color="auto" w:sz="4" w:space="0"/>
              <w:bottom w:val="single" w:color="auto" w:sz="4" w:space="0"/>
              <w:right w:val="single" w:color="auto" w:sz="4" w:space="0"/>
            </w:tcBorders>
          </w:tcPr>
          <w:p w14:paraId="38CAE828">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tcPr>
          <w:p w14:paraId="040ABFB0">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349CCDE2">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634835AB">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tcPr>
          <w:p w14:paraId="2C5097BA">
            <w:pPr>
              <w:jc w:val="right"/>
              <w:rPr>
                <w:sz w:val="18"/>
                <w:szCs w:val="18"/>
              </w:rPr>
            </w:pPr>
          </w:p>
        </w:tc>
        <w:tc>
          <w:tcPr>
            <w:tcW w:w="472" w:type="pct"/>
            <w:tcBorders>
              <w:top w:val="single" w:color="auto" w:sz="4" w:space="0"/>
              <w:left w:val="single" w:color="auto" w:sz="4" w:space="0"/>
              <w:bottom w:val="single" w:color="auto" w:sz="4" w:space="0"/>
              <w:right w:val="single" w:color="auto" w:sz="4" w:space="0"/>
            </w:tcBorders>
          </w:tcPr>
          <w:p w14:paraId="517FCA24">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124D5ECF">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tcPr>
          <w:p w14:paraId="42F85183">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7CE49FBD">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1839A72A">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tcPr>
          <w:p w14:paraId="50901BD6">
            <w:pPr>
              <w:jc w:val="right"/>
              <w:rPr>
                <w:sz w:val="18"/>
                <w:szCs w:val="18"/>
              </w:rPr>
            </w:pPr>
          </w:p>
        </w:tc>
        <w:tc>
          <w:tcPr>
            <w:tcW w:w="559" w:type="pct"/>
            <w:tcBorders>
              <w:top w:val="single" w:color="auto" w:sz="4" w:space="0"/>
              <w:left w:val="single" w:color="auto" w:sz="4" w:space="0"/>
              <w:bottom w:val="single" w:color="auto" w:sz="4" w:space="0"/>
              <w:right w:val="single" w:color="auto" w:sz="4" w:space="0"/>
            </w:tcBorders>
          </w:tcPr>
          <w:p w14:paraId="04B0D4DB">
            <w:pPr>
              <w:jc w:val="right"/>
              <w:rPr>
                <w:sz w:val="18"/>
                <w:szCs w:val="18"/>
              </w:rPr>
            </w:pPr>
          </w:p>
        </w:tc>
      </w:tr>
      <w:tr w14:paraId="66F9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6915A811">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小计</w:t>
            </w:r>
          </w:p>
        </w:tc>
        <w:tc>
          <w:tcPr>
            <w:tcW w:w="559" w:type="pct"/>
            <w:tcBorders>
              <w:top w:val="single" w:color="auto" w:sz="4" w:space="0"/>
              <w:left w:val="single" w:color="auto" w:sz="4" w:space="0"/>
              <w:bottom w:val="single" w:color="auto" w:sz="4" w:space="0"/>
              <w:right w:val="single" w:color="auto" w:sz="4" w:space="0"/>
            </w:tcBorders>
          </w:tcPr>
          <w:p w14:paraId="30727B7C">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tcPr>
          <w:p w14:paraId="74516A6E">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43D58472">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6674FCFA">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tcPr>
          <w:p w14:paraId="567EB637">
            <w:pPr>
              <w:jc w:val="right"/>
              <w:rPr>
                <w:sz w:val="18"/>
                <w:szCs w:val="18"/>
              </w:rPr>
            </w:pPr>
          </w:p>
        </w:tc>
        <w:tc>
          <w:tcPr>
            <w:tcW w:w="472" w:type="pct"/>
            <w:tcBorders>
              <w:top w:val="single" w:color="auto" w:sz="4" w:space="0"/>
              <w:left w:val="single" w:color="auto" w:sz="4" w:space="0"/>
              <w:bottom w:val="single" w:color="auto" w:sz="4" w:space="0"/>
              <w:right w:val="single" w:color="auto" w:sz="4" w:space="0"/>
            </w:tcBorders>
          </w:tcPr>
          <w:p w14:paraId="1A93BB59">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7CE28E35">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tcPr>
          <w:p w14:paraId="6F43C483">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2C4D71EE">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6FB9CFE8">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tcPr>
          <w:p w14:paraId="0E8AECC8">
            <w:pPr>
              <w:jc w:val="right"/>
              <w:rPr>
                <w:sz w:val="18"/>
                <w:szCs w:val="18"/>
              </w:rPr>
            </w:pPr>
          </w:p>
        </w:tc>
        <w:tc>
          <w:tcPr>
            <w:tcW w:w="559" w:type="pct"/>
            <w:tcBorders>
              <w:top w:val="single" w:color="auto" w:sz="4" w:space="0"/>
              <w:left w:val="single" w:color="auto" w:sz="4" w:space="0"/>
              <w:bottom w:val="single" w:color="auto" w:sz="4" w:space="0"/>
              <w:right w:val="single" w:color="auto" w:sz="4" w:space="0"/>
            </w:tcBorders>
          </w:tcPr>
          <w:p w14:paraId="67BB5ABF">
            <w:pPr>
              <w:jc w:val="right"/>
              <w:rPr>
                <w:sz w:val="18"/>
                <w:szCs w:val="18"/>
              </w:rPr>
            </w:pPr>
          </w:p>
        </w:tc>
      </w:tr>
      <w:tr w14:paraId="761C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0b6a8ff5b8594d3fa9d53755249b815f"/>
            <w:id w:val="521055552"/>
          </w:sdtPr>
          <w:sdtEndPr>
            <w:rPr>
              <w:sz w:val="18"/>
              <w:szCs w:val="18"/>
            </w:rPr>
          </w:sdtEndPr>
          <w:sdtContent>
            <w:tc>
              <w:tcPr>
                <w:tcW w:w="906" w:type="pct"/>
                <w:gridSpan w:val="2"/>
                <w:tcBorders>
                  <w:top w:val="single" w:color="auto" w:sz="4" w:space="0"/>
                  <w:left w:val="single" w:color="auto" w:sz="4" w:space="0"/>
                  <w:bottom w:val="single" w:color="auto" w:sz="4" w:space="0"/>
                  <w:right w:val="single" w:color="auto" w:sz="4" w:space="0"/>
                </w:tcBorders>
              </w:tcPr>
              <w:p w14:paraId="1A184786">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二、联营企业</w:t>
                </w:r>
              </w:p>
            </w:tc>
          </w:sdtContent>
        </w:sdt>
        <w:tc>
          <w:tcPr>
            <w:tcW w:w="4094" w:type="pct"/>
            <w:gridSpan w:val="11"/>
            <w:tcBorders>
              <w:top w:val="single" w:color="auto" w:sz="4" w:space="0"/>
              <w:left w:val="single" w:color="auto" w:sz="4" w:space="0"/>
              <w:bottom w:val="single" w:color="auto" w:sz="4" w:space="0"/>
              <w:right w:val="single" w:color="auto" w:sz="4" w:space="0"/>
            </w:tcBorders>
          </w:tcPr>
          <w:p w14:paraId="0F103473">
            <w:pPr>
              <w:rPr>
                <w:color w:val="000000" w:themeColor="text1"/>
                <w:sz w:val="18"/>
                <w:szCs w:val="18"/>
                <w14:textFill>
                  <w14:solidFill>
                    <w14:schemeClr w14:val="tx1"/>
                  </w14:solidFill>
                </w14:textFill>
              </w:rPr>
            </w:pPr>
          </w:p>
        </w:tc>
      </w:tr>
      <w:tr w14:paraId="07DF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2A97B471">
            <w:pPr>
              <w:rPr>
                <w:sz w:val="18"/>
                <w:szCs w:val="18"/>
              </w:rPr>
            </w:pPr>
            <w:r>
              <w:rPr>
                <w:sz w:val="18"/>
                <w:szCs w:val="18"/>
              </w:rPr>
              <w:t>重庆银行股份有限公司</w:t>
            </w:r>
          </w:p>
        </w:tc>
        <w:tc>
          <w:tcPr>
            <w:tcW w:w="559" w:type="pct"/>
            <w:tcBorders>
              <w:top w:val="single" w:color="auto" w:sz="4" w:space="0"/>
              <w:left w:val="single" w:color="auto" w:sz="4" w:space="0"/>
              <w:bottom w:val="single" w:color="auto" w:sz="4" w:space="0"/>
              <w:right w:val="single" w:color="auto" w:sz="4" w:space="0"/>
            </w:tcBorders>
            <w:vAlign w:val="center"/>
          </w:tcPr>
          <w:p w14:paraId="38F9FCC2">
            <w:pPr>
              <w:jc w:val="right"/>
              <w:rPr>
                <w:sz w:val="18"/>
                <w:szCs w:val="18"/>
              </w:rPr>
            </w:pPr>
            <w:r>
              <w:rPr>
                <w:sz w:val="18"/>
                <w:szCs w:val="18"/>
              </w:rPr>
              <w:t>4,855,525,578.62</w:t>
            </w:r>
          </w:p>
        </w:tc>
        <w:tc>
          <w:tcPr>
            <w:tcW w:w="558" w:type="pct"/>
            <w:tcBorders>
              <w:top w:val="single" w:color="auto" w:sz="4" w:space="0"/>
              <w:left w:val="single" w:color="auto" w:sz="4" w:space="0"/>
              <w:bottom w:val="single" w:color="auto" w:sz="4" w:space="0"/>
              <w:right w:val="single" w:color="auto" w:sz="4" w:space="0"/>
            </w:tcBorders>
            <w:vAlign w:val="center"/>
          </w:tcPr>
          <w:p w14:paraId="592E17D8">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6550105F">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3F94F382">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427FB2D5">
            <w:pPr>
              <w:jc w:val="right"/>
              <w:rPr>
                <w:sz w:val="18"/>
                <w:szCs w:val="18"/>
              </w:rPr>
            </w:pPr>
            <w:r>
              <w:rPr>
                <w:sz w:val="18"/>
                <w:szCs w:val="18"/>
              </w:rPr>
              <w:t>256,884,104.59</w:t>
            </w:r>
          </w:p>
        </w:tc>
        <w:tc>
          <w:tcPr>
            <w:tcW w:w="472" w:type="pct"/>
            <w:tcBorders>
              <w:top w:val="single" w:color="auto" w:sz="4" w:space="0"/>
              <w:left w:val="single" w:color="auto" w:sz="4" w:space="0"/>
              <w:bottom w:val="single" w:color="auto" w:sz="4" w:space="0"/>
              <w:right w:val="single" w:color="auto" w:sz="4" w:space="0"/>
            </w:tcBorders>
            <w:vAlign w:val="center"/>
          </w:tcPr>
          <w:p w14:paraId="0B907709">
            <w:pPr>
              <w:jc w:val="right"/>
              <w:rPr>
                <w:sz w:val="18"/>
                <w:szCs w:val="18"/>
              </w:rPr>
            </w:pPr>
            <w:r>
              <w:rPr>
                <w:sz w:val="18"/>
                <w:szCs w:val="18"/>
              </w:rPr>
              <w:t>-57,966,318.05</w:t>
            </w:r>
          </w:p>
        </w:tc>
        <w:tc>
          <w:tcPr>
            <w:tcW w:w="351" w:type="pct"/>
            <w:tcBorders>
              <w:top w:val="single" w:color="auto" w:sz="4" w:space="0"/>
              <w:left w:val="single" w:color="auto" w:sz="4" w:space="0"/>
              <w:bottom w:val="single" w:color="auto" w:sz="4" w:space="0"/>
              <w:right w:val="single" w:color="auto" w:sz="4" w:space="0"/>
            </w:tcBorders>
            <w:vAlign w:val="center"/>
          </w:tcPr>
          <w:p w14:paraId="57F32BFF">
            <w:pPr>
              <w:jc w:val="right"/>
              <w:rPr>
                <w:sz w:val="18"/>
                <w:szCs w:val="18"/>
              </w:rPr>
            </w:pPr>
            <w:r>
              <w:rPr>
                <w:sz w:val="18"/>
                <w:szCs w:val="18"/>
              </w:rPr>
              <w:t>22,061.04</w:t>
            </w:r>
          </w:p>
        </w:tc>
        <w:tc>
          <w:tcPr>
            <w:tcW w:w="507" w:type="pct"/>
            <w:tcBorders>
              <w:top w:val="single" w:color="auto" w:sz="4" w:space="0"/>
              <w:left w:val="single" w:color="auto" w:sz="4" w:space="0"/>
              <w:bottom w:val="single" w:color="auto" w:sz="4" w:space="0"/>
              <w:right w:val="single" w:color="auto" w:sz="4" w:space="0"/>
            </w:tcBorders>
            <w:vAlign w:val="center"/>
          </w:tcPr>
          <w:p w14:paraId="226686FF">
            <w:pPr>
              <w:jc w:val="right"/>
              <w:rPr>
                <w:sz w:val="18"/>
                <w:szCs w:val="18"/>
              </w:rPr>
            </w:pPr>
            <w:r>
              <w:rPr>
                <w:sz w:val="18"/>
                <w:szCs w:val="18"/>
              </w:rPr>
              <w:t>122,055,038.43</w:t>
            </w:r>
          </w:p>
        </w:tc>
        <w:tc>
          <w:tcPr>
            <w:tcW w:w="145" w:type="pct"/>
            <w:tcBorders>
              <w:top w:val="single" w:color="auto" w:sz="4" w:space="0"/>
              <w:left w:val="single" w:color="auto" w:sz="4" w:space="0"/>
              <w:bottom w:val="single" w:color="auto" w:sz="4" w:space="0"/>
              <w:right w:val="single" w:color="auto" w:sz="4" w:space="0"/>
            </w:tcBorders>
          </w:tcPr>
          <w:p w14:paraId="45F41105">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717D184B">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635ABA79">
            <w:pPr>
              <w:jc w:val="right"/>
              <w:rPr>
                <w:sz w:val="18"/>
                <w:szCs w:val="18"/>
              </w:rPr>
            </w:pPr>
            <w:r>
              <w:rPr>
                <w:sz w:val="18"/>
                <w:szCs w:val="18"/>
              </w:rPr>
              <w:t>4,932,410,387.77</w:t>
            </w:r>
          </w:p>
        </w:tc>
        <w:tc>
          <w:tcPr>
            <w:tcW w:w="559" w:type="pct"/>
            <w:tcBorders>
              <w:top w:val="single" w:color="auto" w:sz="4" w:space="0"/>
              <w:left w:val="single" w:color="auto" w:sz="4" w:space="0"/>
              <w:bottom w:val="single" w:color="auto" w:sz="4" w:space="0"/>
              <w:right w:val="single" w:color="auto" w:sz="4" w:space="0"/>
            </w:tcBorders>
            <w:vAlign w:val="center"/>
          </w:tcPr>
          <w:p w14:paraId="50964D59">
            <w:pPr>
              <w:jc w:val="right"/>
              <w:rPr>
                <w:sz w:val="18"/>
                <w:szCs w:val="18"/>
              </w:rPr>
            </w:pPr>
          </w:p>
        </w:tc>
      </w:tr>
      <w:tr w14:paraId="3951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5773475F">
            <w:pPr>
              <w:rPr>
                <w:sz w:val="18"/>
                <w:szCs w:val="18"/>
              </w:rPr>
            </w:pPr>
            <w:r>
              <w:rPr>
                <w:sz w:val="18"/>
                <w:szCs w:val="18"/>
              </w:rPr>
              <w:t>重庆力帆财务有限公司</w:t>
            </w:r>
          </w:p>
        </w:tc>
        <w:tc>
          <w:tcPr>
            <w:tcW w:w="559" w:type="pct"/>
            <w:tcBorders>
              <w:top w:val="single" w:color="auto" w:sz="4" w:space="0"/>
              <w:left w:val="single" w:color="auto" w:sz="4" w:space="0"/>
              <w:bottom w:val="single" w:color="auto" w:sz="4" w:space="0"/>
              <w:right w:val="single" w:color="auto" w:sz="4" w:space="0"/>
            </w:tcBorders>
            <w:vAlign w:val="center"/>
          </w:tcPr>
          <w:p w14:paraId="153E262F">
            <w:pPr>
              <w:jc w:val="right"/>
              <w:rPr>
                <w:sz w:val="18"/>
                <w:szCs w:val="18"/>
              </w:rPr>
            </w:pPr>
            <w:r>
              <w:rPr>
                <w:sz w:val="18"/>
                <w:szCs w:val="18"/>
              </w:rPr>
              <w:t>14,758,901.95</w:t>
            </w:r>
          </w:p>
        </w:tc>
        <w:tc>
          <w:tcPr>
            <w:tcW w:w="558" w:type="pct"/>
            <w:tcBorders>
              <w:top w:val="single" w:color="auto" w:sz="4" w:space="0"/>
              <w:left w:val="single" w:color="auto" w:sz="4" w:space="0"/>
              <w:bottom w:val="single" w:color="auto" w:sz="4" w:space="0"/>
              <w:right w:val="single" w:color="auto" w:sz="4" w:space="0"/>
            </w:tcBorders>
            <w:vAlign w:val="center"/>
          </w:tcPr>
          <w:p w14:paraId="2D1175FA">
            <w:pPr>
              <w:jc w:val="right"/>
              <w:rPr>
                <w:rFonts w:ascii="宋体" w:hAnsi="宋体"/>
                <w:sz w:val="18"/>
                <w:szCs w:val="18"/>
              </w:rPr>
            </w:pPr>
            <w:r>
              <w:rPr>
                <w:sz w:val="18"/>
                <w:szCs w:val="18"/>
              </w:rPr>
              <w:t>1,404,263,267.23</w:t>
            </w:r>
          </w:p>
        </w:tc>
        <w:tc>
          <w:tcPr>
            <w:tcW w:w="145" w:type="pct"/>
            <w:tcBorders>
              <w:top w:val="single" w:color="auto" w:sz="4" w:space="0"/>
              <w:left w:val="single" w:color="auto" w:sz="4" w:space="0"/>
              <w:bottom w:val="single" w:color="auto" w:sz="4" w:space="0"/>
              <w:right w:val="single" w:color="auto" w:sz="4" w:space="0"/>
            </w:tcBorders>
          </w:tcPr>
          <w:p w14:paraId="580CC137">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65733FFC">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6748C233">
            <w:pPr>
              <w:jc w:val="right"/>
              <w:rPr>
                <w:sz w:val="18"/>
                <w:szCs w:val="18"/>
              </w:rPr>
            </w:pPr>
            <w:r>
              <w:rPr>
                <w:sz w:val="18"/>
                <w:szCs w:val="18"/>
              </w:rPr>
              <w:t>57,224.58</w:t>
            </w:r>
          </w:p>
        </w:tc>
        <w:tc>
          <w:tcPr>
            <w:tcW w:w="472" w:type="pct"/>
            <w:tcBorders>
              <w:top w:val="single" w:color="auto" w:sz="4" w:space="0"/>
              <w:left w:val="single" w:color="auto" w:sz="4" w:space="0"/>
              <w:bottom w:val="single" w:color="auto" w:sz="4" w:space="0"/>
              <w:right w:val="single" w:color="auto" w:sz="4" w:space="0"/>
            </w:tcBorders>
          </w:tcPr>
          <w:p w14:paraId="0D824A01">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6A511B6C">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396B736E">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7D08D21C">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22F90EBF">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111F23E3">
            <w:pPr>
              <w:jc w:val="right"/>
              <w:rPr>
                <w:sz w:val="18"/>
                <w:szCs w:val="18"/>
              </w:rPr>
            </w:pPr>
            <w:r>
              <w:rPr>
                <w:sz w:val="18"/>
                <w:szCs w:val="18"/>
              </w:rPr>
              <w:t>14,816,126.53</w:t>
            </w:r>
          </w:p>
        </w:tc>
        <w:tc>
          <w:tcPr>
            <w:tcW w:w="559" w:type="pct"/>
            <w:tcBorders>
              <w:top w:val="single" w:color="auto" w:sz="4" w:space="0"/>
              <w:left w:val="single" w:color="auto" w:sz="4" w:space="0"/>
              <w:bottom w:val="single" w:color="auto" w:sz="4" w:space="0"/>
              <w:right w:val="single" w:color="auto" w:sz="4" w:space="0"/>
            </w:tcBorders>
            <w:vAlign w:val="center"/>
          </w:tcPr>
          <w:p w14:paraId="6E497FEB">
            <w:pPr>
              <w:jc w:val="right"/>
              <w:rPr>
                <w:rFonts w:ascii="宋体" w:hAnsi="宋体"/>
                <w:sz w:val="18"/>
                <w:szCs w:val="18"/>
              </w:rPr>
            </w:pPr>
            <w:r>
              <w:rPr>
                <w:sz w:val="18"/>
                <w:szCs w:val="18"/>
              </w:rPr>
              <w:t>1,404,263,267.23</w:t>
            </w:r>
          </w:p>
        </w:tc>
      </w:tr>
      <w:tr w14:paraId="6591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6AF6FA64">
            <w:pPr>
              <w:rPr>
                <w:sz w:val="18"/>
                <w:szCs w:val="18"/>
              </w:rPr>
            </w:pPr>
            <w:r>
              <w:rPr>
                <w:sz w:val="18"/>
                <w:szCs w:val="18"/>
              </w:rPr>
              <w:t>力帆融资租赁（上海）有限公司</w:t>
            </w:r>
          </w:p>
        </w:tc>
        <w:tc>
          <w:tcPr>
            <w:tcW w:w="559" w:type="pct"/>
            <w:tcBorders>
              <w:top w:val="single" w:color="auto" w:sz="4" w:space="0"/>
              <w:left w:val="single" w:color="auto" w:sz="4" w:space="0"/>
              <w:bottom w:val="single" w:color="auto" w:sz="4" w:space="0"/>
              <w:right w:val="single" w:color="auto" w:sz="4" w:space="0"/>
            </w:tcBorders>
            <w:vAlign w:val="center"/>
          </w:tcPr>
          <w:p w14:paraId="0204EFDB">
            <w:pPr>
              <w:jc w:val="right"/>
              <w:rPr>
                <w:sz w:val="18"/>
                <w:szCs w:val="18"/>
              </w:rPr>
            </w:pPr>
            <w:r>
              <w:rPr>
                <w:sz w:val="18"/>
                <w:szCs w:val="18"/>
              </w:rPr>
              <w:t>108,234,569.79</w:t>
            </w:r>
          </w:p>
        </w:tc>
        <w:tc>
          <w:tcPr>
            <w:tcW w:w="558" w:type="pct"/>
            <w:tcBorders>
              <w:top w:val="single" w:color="auto" w:sz="4" w:space="0"/>
              <w:left w:val="single" w:color="auto" w:sz="4" w:space="0"/>
              <w:bottom w:val="single" w:color="auto" w:sz="4" w:space="0"/>
              <w:right w:val="single" w:color="auto" w:sz="4" w:space="0"/>
            </w:tcBorders>
            <w:vAlign w:val="center"/>
          </w:tcPr>
          <w:p w14:paraId="359B8191">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22533D44">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3EA8BC9D">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5F16403B">
            <w:pPr>
              <w:jc w:val="right"/>
              <w:rPr>
                <w:sz w:val="18"/>
                <w:szCs w:val="18"/>
              </w:rPr>
            </w:pPr>
            <w:r>
              <w:rPr>
                <w:sz w:val="18"/>
                <w:szCs w:val="18"/>
              </w:rPr>
              <w:t>-9,050,632.79</w:t>
            </w:r>
          </w:p>
        </w:tc>
        <w:tc>
          <w:tcPr>
            <w:tcW w:w="472" w:type="pct"/>
            <w:tcBorders>
              <w:top w:val="single" w:color="auto" w:sz="4" w:space="0"/>
              <w:left w:val="single" w:color="auto" w:sz="4" w:space="0"/>
              <w:bottom w:val="single" w:color="auto" w:sz="4" w:space="0"/>
              <w:right w:val="single" w:color="auto" w:sz="4" w:space="0"/>
            </w:tcBorders>
          </w:tcPr>
          <w:p w14:paraId="097CEFC8">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3F1F4EEC">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268E5D8C">
            <w:pPr>
              <w:jc w:val="right"/>
              <w:rPr>
                <w:rFonts w:eastAsia="Times New Roman" w:cs="Times New Roman"/>
                <w:sz w:val="18"/>
                <w:szCs w:val="18"/>
              </w:rPr>
            </w:pPr>
          </w:p>
        </w:tc>
        <w:tc>
          <w:tcPr>
            <w:tcW w:w="145" w:type="pct"/>
            <w:tcBorders>
              <w:top w:val="single" w:color="auto" w:sz="4" w:space="0"/>
              <w:left w:val="single" w:color="auto" w:sz="4" w:space="0"/>
              <w:bottom w:val="single" w:color="auto" w:sz="4" w:space="0"/>
              <w:right w:val="single" w:color="auto" w:sz="4" w:space="0"/>
            </w:tcBorders>
          </w:tcPr>
          <w:p w14:paraId="22231C81">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1EBC2ADB">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4F0CDE87">
            <w:pPr>
              <w:jc w:val="right"/>
              <w:rPr>
                <w:sz w:val="18"/>
                <w:szCs w:val="18"/>
              </w:rPr>
            </w:pPr>
            <w:r>
              <w:rPr>
                <w:sz w:val="18"/>
                <w:szCs w:val="18"/>
              </w:rPr>
              <w:t>99,183,937.00</w:t>
            </w:r>
          </w:p>
        </w:tc>
        <w:tc>
          <w:tcPr>
            <w:tcW w:w="559" w:type="pct"/>
            <w:tcBorders>
              <w:top w:val="single" w:color="auto" w:sz="4" w:space="0"/>
              <w:left w:val="single" w:color="auto" w:sz="4" w:space="0"/>
              <w:bottom w:val="single" w:color="auto" w:sz="4" w:space="0"/>
              <w:right w:val="single" w:color="auto" w:sz="4" w:space="0"/>
            </w:tcBorders>
            <w:vAlign w:val="center"/>
          </w:tcPr>
          <w:p w14:paraId="354FE17F">
            <w:pPr>
              <w:jc w:val="right"/>
              <w:rPr>
                <w:sz w:val="18"/>
                <w:szCs w:val="18"/>
              </w:rPr>
            </w:pPr>
          </w:p>
        </w:tc>
      </w:tr>
      <w:tr w14:paraId="5C34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504150B8">
            <w:pPr>
              <w:rPr>
                <w:sz w:val="18"/>
                <w:szCs w:val="18"/>
              </w:rPr>
            </w:pPr>
            <w:r>
              <w:rPr>
                <w:sz w:val="18"/>
                <w:szCs w:val="18"/>
              </w:rPr>
              <w:t>新能源汽车产业发展（重庆）有限公司</w:t>
            </w:r>
          </w:p>
        </w:tc>
        <w:tc>
          <w:tcPr>
            <w:tcW w:w="559" w:type="pct"/>
            <w:tcBorders>
              <w:top w:val="single" w:color="auto" w:sz="4" w:space="0"/>
              <w:left w:val="single" w:color="auto" w:sz="4" w:space="0"/>
              <w:bottom w:val="single" w:color="auto" w:sz="4" w:space="0"/>
              <w:right w:val="single" w:color="auto" w:sz="4" w:space="0"/>
            </w:tcBorders>
            <w:vAlign w:val="center"/>
          </w:tcPr>
          <w:p w14:paraId="1CE61D0C">
            <w:pPr>
              <w:jc w:val="right"/>
              <w:rPr>
                <w:sz w:val="18"/>
                <w:szCs w:val="18"/>
              </w:rPr>
            </w:pPr>
            <w:r>
              <w:rPr>
                <w:sz w:val="18"/>
                <w:szCs w:val="18"/>
              </w:rPr>
              <w:t>38,094,751.15</w:t>
            </w:r>
          </w:p>
        </w:tc>
        <w:tc>
          <w:tcPr>
            <w:tcW w:w="558" w:type="pct"/>
            <w:tcBorders>
              <w:top w:val="single" w:color="auto" w:sz="4" w:space="0"/>
              <w:left w:val="single" w:color="auto" w:sz="4" w:space="0"/>
              <w:bottom w:val="single" w:color="auto" w:sz="4" w:space="0"/>
              <w:right w:val="single" w:color="auto" w:sz="4" w:space="0"/>
            </w:tcBorders>
            <w:vAlign w:val="center"/>
          </w:tcPr>
          <w:p w14:paraId="0307DC0B">
            <w:pPr>
              <w:jc w:val="right"/>
              <w:rPr>
                <w:rFonts w:eastAsia="Times New Roman" w:cs="Times New Roman"/>
                <w:sz w:val="18"/>
                <w:szCs w:val="18"/>
              </w:rPr>
            </w:pPr>
          </w:p>
        </w:tc>
        <w:tc>
          <w:tcPr>
            <w:tcW w:w="145" w:type="pct"/>
            <w:tcBorders>
              <w:top w:val="single" w:color="auto" w:sz="4" w:space="0"/>
              <w:left w:val="single" w:color="auto" w:sz="4" w:space="0"/>
              <w:bottom w:val="single" w:color="auto" w:sz="4" w:space="0"/>
              <w:right w:val="single" w:color="auto" w:sz="4" w:space="0"/>
            </w:tcBorders>
          </w:tcPr>
          <w:p w14:paraId="59FA2A00">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63AF6C33">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2BC1ADBA">
            <w:pPr>
              <w:jc w:val="right"/>
              <w:rPr>
                <w:sz w:val="18"/>
                <w:szCs w:val="18"/>
              </w:rPr>
            </w:pPr>
            <w:r>
              <w:rPr>
                <w:sz w:val="18"/>
                <w:szCs w:val="18"/>
              </w:rPr>
              <w:t>-352,166.80</w:t>
            </w:r>
          </w:p>
        </w:tc>
        <w:tc>
          <w:tcPr>
            <w:tcW w:w="472" w:type="pct"/>
            <w:tcBorders>
              <w:top w:val="single" w:color="auto" w:sz="4" w:space="0"/>
              <w:left w:val="single" w:color="auto" w:sz="4" w:space="0"/>
              <w:bottom w:val="single" w:color="auto" w:sz="4" w:space="0"/>
              <w:right w:val="single" w:color="auto" w:sz="4" w:space="0"/>
            </w:tcBorders>
          </w:tcPr>
          <w:p w14:paraId="2656D276">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3BCAC9AF">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60F1991A">
            <w:pPr>
              <w:jc w:val="right"/>
              <w:rPr>
                <w:rFonts w:eastAsia="Times New Roman" w:cs="Times New Roman"/>
                <w:sz w:val="18"/>
                <w:szCs w:val="18"/>
              </w:rPr>
            </w:pPr>
          </w:p>
        </w:tc>
        <w:tc>
          <w:tcPr>
            <w:tcW w:w="145" w:type="pct"/>
            <w:tcBorders>
              <w:top w:val="single" w:color="auto" w:sz="4" w:space="0"/>
              <w:left w:val="single" w:color="auto" w:sz="4" w:space="0"/>
              <w:bottom w:val="single" w:color="auto" w:sz="4" w:space="0"/>
              <w:right w:val="single" w:color="auto" w:sz="4" w:space="0"/>
            </w:tcBorders>
          </w:tcPr>
          <w:p w14:paraId="12A584BE">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64DAB1E6">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7F84A195">
            <w:pPr>
              <w:jc w:val="right"/>
              <w:rPr>
                <w:sz w:val="18"/>
                <w:szCs w:val="18"/>
              </w:rPr>
            </w:pPr>
            <w:r>
              <w:rPr>
                <w:sz w:val="18"/>
                <w:szCs w:val="18"/>
              </w:rPr>
              <w:t>37,742,584.35</w:t>
            </w:r>
          </w:p>
        </w:tc>
        <w:tc>
          <w:tcPr>
            <w:tcW w:w="559" w:type="pct"/>
            <w:tcBorders>
              <w:top w:val="single" w:color="auto" w:sz="4" w:space="0"/>
              <w:left w:val="single" w:color="auto" w:sz="4" w:space="0"/>
              <w:bottom w:val="single" w:color="auto" w:sz="4" w:space="0"/>
              <w:right w:val="single" w:color="auto" w:sz="4" w:space="0"/>
            </w:tcBorders>
            <w:vAlign w:val="center"/>
          </w:tcPr>
          <w:p w14:paraId="4A32CA8F">
            <w:pPr>
              <w:jc w:val="right"/>
              <w:rPr>
                <w:rFonts w:eastAsia="Times New Roman" w:cs="Times New Roman"/>
                <w:sz w:val="18"/>
                <w:szCs w:val="18"/>
              </w:rPr>
            </w:pPr>
          </w:p>
        </w:tc>
      </w:tr>
      <w:tr w14:paraId="65FE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39EB38A6">
            <w:pPr>
              <w:rPr>
                <w:sz w:val="18"/>
                <w:szCs w:val="18"/>
              </w:rPr>
            </w:pPr>
            <w:r>
              <w:rPr>
                <w:sz w:val="18"/>
                <w:szCs w:val="18"/>
              </w:rPr>
              <w:t>长嘉（深圳）管理咨询有限公司</w:t>
            </w:r>
          </w:p>
        </w:tc>
        <w:tc>
          <w:tcPr>
            <w:tcW w:w="559" w:type="pct"/>
            <w:tcBorders>
              <w:top w:val="single" w:color="auto" w:sz="4" w:space="0"/>
              <w:left w:val="single" w:color="auto" w:sz="4" w:space="0"/>
              <w:bottom w:val="single" w:color="auto" w:sz="4" w:space="0"/>
              <w:right w:val="single" w:color="auto" w:sz="4" w:space="0"/>
            </w:tcBorders>
            <w:vAlign w:val="center"/>
          </w:tcPr>
          <w:p w14:paraId="51E4772F">
            <w:pPr>
              <w:jc w:val="right"/>
              <w:rPr>
                <w:sz w:val="18"/>
                <w:szCs w:val="18"/>
              </w:rPr>
            </w:pPr>
            <w:r>
              <w:rPr>
                <w:sz w:val="18"/>
                <w:szCs w:val="18"/>
              </w:rPr>
              <w:t>167,798,460.85</w:t>
            </w:r>
          </w:p>
        </w:tc>
        <w:tc>
          <w:tcPr>
            <w:tcW w:w="558" w:type="pct"/>
            <w:tcBorders>
              <w:top w:val="single" w:color="auto" w:sz="4" w:space="0"/>
              <w:left w:val="single" w:color="auto" w:sz="4" w:space="0"/>
              <w:bottom w:val="single" w:color="auto" w:sz="4" w:space="0"/>
              <w:right w:val="single" w:color="auto" w:sz="4" w:space="0"/>
            </w:tcBorders>
            <w:vAlign w:val="center"/>
          </w:tcPr>
          <w:p w14:paraId="20599A12">
            <w:pPr>
              <w:jc w:val="right"/>
              <w:rPr>
                <w:rFonts w:ascii="宋体" w:hAnsi="宋体"/>
                <w:sz w:val="18"/>
                <w:szCs w:val="18"/>
              </w:rPr>
            </w:pPr>
            <w:r>
              <w:rPr>
                <w:sz w:val="18"/>
                <w:szCs w:val="18"/>
              </w:rPr>
              <w:t>12,607,438.71</w:t>
            </w:r>
          </w:p>
        </w:tc>
        <w:tc>
          <w:tcPr>
            <w:tcW w:w="145" w:type="pct"/>
            <w:tcBorders>
              <w:top w:val="single" w:color="auto" w:sz="4" w:space="0"/>
              <w:left w:val="single" w:color="auto" w:sz="4" w:space="0"/>
              <w:bottom w:val="single" w:color="auto" w:sz="4" w:space="0"/>
              <w:right w:val="single" w:color="auto" w:sz="4" w:space="0"/>
            </w:tcBorders>
          </w:tcPr>
          <w:p w14:paraId="0B7CEC83">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1D1BCA56">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0B4D45E2">
            <w:pPr>
              <w:jc w:val="right"/>
              <w:rPr>
                <w:sz w:val="18"/>
                <w:szCs w:val="18"/>
              </w:rPr>
            </w:pPr>
            <w:r>
              <w:rPr>
                <w:sz w:val="18"/>
                <w:szCs w:val="18"/>
              </w:rPr>
              <w:t>-236,653.47</w:t>
            </w:r>
          </w:p>
        </w:tc>
        <w:tc>
          <w:tcPr>
            <w:tcW w:w="472" w:type="pct"/>
            <w:tcBorders>
              <w:top w:val="single" w:color="auto" w:sz="4" w:space="0"/>
              <w:left w:val="single" w:color="auto" w:sz="4" w:space="0"/>
              <w:bottom w:val="single" w:color="auto" w:sz="4" w:space="0"/>
              <w:right w:val="single" w:color="auto" w:sz="4" w:space="0"/>
            </w:tcBorders>
          </w:tcPr>
          <w:p w14:paraId="009F47B7">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1E6F3A9F">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73E0A366">
            <w:pPr>
              <w:jc w:val="right"/>
              <w:rPr>
                <w:rFonts w:eastAsia="Times New Roman" w:cs="Times New Roman"/>
                <w:sz w:val="18"/>
                <w:szCs w:val="18"/>
              </w:rPr>
            </w:pPr>
          </w:p>
        </w:tc>
        <w:tc>
          <w:tcPr>
            <w:tcW w:w="145" w:type="pct"/>
            <w:tcBorders>
              <w:top w:val="single" w:color="auto" w:sz="4" w:space="0"/>
              <w:left w:val="single" w:color="auto" w:sz="4" w:space="0"/>
              <w:bottom w:val="single" w:color="auto" w:sz="4" w:space="0"/>
              <w:right w:val="single" w:color="auto" w:sz="4" w:space="0"/>
            </w:tcBorders>
          </w:tcPr>
          <w:p w14:paraId="5A5886EB">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08A76952">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5C2372CF">
            <w:pPr>
              <w:jc w:val="right"/>
              <w:rPr>
                <w:sz w:val="18"/>
                <w:szCs w:val="18"/>
              </w:rPr>
            </w:pPr>
            <w:r>
              <w:rPr>
                <w:sz w:val="18"/>
                <w:szCs w:val="18"/>
              </w:rPr>
              <w:t>167,561,807.38</w:t>
            </w:r>
          </w:p>
        </w:tc>
        <w:tc>
          <w:tcPr>
            <w:tcW w:w="559" w:type="pct"/>
            <w:tcBorders>
              <w:top w:val="single" w:color="auto" w:sz="4" w:space="0"/>
              <w:left w:val="single" w:color="auto" w:sz="4" w:space="0"/>
              <w:bottom w:val="single" w:color="auto" w:sz="4" w:space="0"/>
              <w:right w:val="single" w:color="auto" w:sz="4" w:space="0"/>
            </w:tcBorders>
            <w:vAlign w:val="center"/>
          </w:tcPr>
          <w:p w14:paraId="37555390">
            <w:pPr>
              <w:jc w:val="right"/>
              <w:rPr>
                <w:rFonts w:ascii="宋体" w:hAnsi="宋体"/>
                <w:sz w:val="18"/>
                <w:szCs w:val="18"/>
              </w:rPr>
            </w:pPr>
            <w:r>
              <w:rPr>
                <w:sz w:val="18"/>
                <w:szCs w:val="18"/>
              </w:rPr>
              <w:t>12,607,438.71</w:t>
            </w:r>
          </w:p>
        </w:tc>
      </w:tr>
      <w:tr w14:paraId="62F6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583FC299">
            <w:pPr>
              <w:rPr>
                <w:sz w:val="18"/>
                <w:szCs w:val="18"/>
              </w:rPr>
            </w:pPr>
            <w:r>
              <w:rPr>
                <w:sz w:val="18"/>
                <w:szCs w:val="18"/>
              </w:rPr>
              <w:t>重庆新能源汽车融资租赁有限公司</w:t>
            </w:r>
          </w:p>
        </w:tc>
        <w:tc>
          <w:tcPr>
            <w:tcW w:w="559" w:type="pct"/>
            <w:tcBorders>
              <w:top w:val="single" w:color="auto" w:sz="4" w:space="0"/>
              <w:left w:val="single" w:color="auto" w:sz="4" w:space="0"/>
              <w:bottom w:val="single" w:color="auto" w:sz="4" w:space="0"/>
              <w:right w:val="single" w:color="auto" w:sz="4" w:space="0"/>
            </w:tcBorders>
            <w:vAlign w:val="center"/>
          </w:tcPr>
          <w:p w14:paraId="6F81F180">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741CF26B">
            <w:pPr>
              <w:jc w:val="right"/>
              <w:rPr>
                <w:sz w:val="18"/>
                <w:szCs w:val="18"/>
              </w:rPr>
            </w:pPr>
            <w:r>
              <w:rPr>
                <w:sz w:val="18"/>
                <w:szCs w:val="18"/>
              </w:rPr>
              <w:t>66,388,229.20</w:t>
            </w:r>
          </w:p>
        </w:tc>
        <w:tc>
          <w:tcPr>
            <w:tcW w:w="145" w:type="pct"/>
            <w:tcBorders>
              <w:top w:val="single" w:color="auto" w:sz="4" w:space="0"/>
              <w:left w:val="single" w:color="auto" w:sz="4" w:space="0"/>
              <w:bottom w:val="single" w:color="auto" w:sz="4" w:space="0"/>
              <w:right w:val="single" w:color="auto" w:sz="4" w:space="0"/>
            </w:tcBorders>
          </w:tcPr>
          <w:p w14:paraId="6FDBFA8D">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2126A17E">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1F8B7A3B">
            <w:pPr>
              <w:jc w:val="right"/>
              <w:rPr>
                <w:sz w:val="18"/>
                <w:szCs w:val="18"/>
              </w:rPr>
            </w:pPr>
          </w:p>
        </w:tc>
        <w:tc>
          <w:tcPr>
            <w:tcW w:w="472" w:type="pct"/>
            <w:tcBorders>
              <w:top w:val="single" w:color="auto" w:sz="4" w:space="0"/>
              <w:left w:val="single" w:color="auto" w:sz="4" w:space="0"/>
              <w:bottom w:val="single" w:color="auto" w:sz="4" w:space="0"/>
              <w:right w:val="single" w:color="auto" w:sz="4" w:space="0"/>
            </w:tcBorders>
          </w:tcPr>
          <w:p w14:paraId="571D37A3">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7272C56E">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4F488982">
            <w:pPr>
              <w:jc w:val="right"/>
              <w:rPr>
                <w:rFonts w:eastAsia="Times New Roman" w:cs="Times New Roman"/>
                <w:sz w:val="18"/>
                <w:szCs w:val="18"/>
              </w:rPr>
            </w:pPr>
          </w:p>
        </w:tc>
        <w:tc>
          <w:tcPr>
            <w:tcW w:w="145" w:type="pct"/>
            <w:tcBorders>
              <w:top w:val="single" w:color="auto" w:sz="4" w:space="0"/>
              <w:left w:val="single" w:color="auto" w:sz="4" w:space="0"/>
              <w:bottom w:val="single" w:color="auto" w:sz="4" w:space="0"/>
              <w:right w:val="single" w:color="auto" w:sz="4" w:space="0"/>
            </w:tcBorders>
          </w:tcPr>
          <w:p w14:paraId="5C89F9DB">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1126D8A3">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25EF3278">
            <w:pPr>
              <w:jc w:val="right"/>
              <w:rPr>
                <w:sz w:val="18"/>
                <w:szCs w:val="18"/>
              </w:rPr>
            </w:pPr>
          </w:p>
        </w:tc>
        <w:tc>
          <w:tcPr>
            <w:tcW w:w="559" w:type="pct"/>
            <w:tcBorders>
              <w:top w:val="single" w:color="auto" w:sz="4" w:space="0"/>
              <w:left w:val="single" w:color="auto" w:sz="4" w:space="0"/>
              <w:bottom w:val="single" w:color="auto" w:sz="4" w:space="0"/>
              <w:right w:val="single" w:color="auto" w:sz="4" w:space="0"/>
            </w:tcBorders>
            <w:vAlign w:val="center"/>
          </w:tcPr>
          <w:p w14:paraId="50979C1D">
            <w:pPr>
              <w:jc w:val="right"/>
              <w:rPr>
                <w:sz w:val="18"/>
                <w:szCs w:val="18"/>
              </w:rPr>
            </w:pPr>
            <w:r>
              <w:rPr>
                <w:sz w:val="18"/>
                <w:szCs w:val="18"/>
              </w:rPr>
              <w:t>66,388,229.20</w:t>
            </w:r>
          </w:p>
        </w:tc>
      </w:tr>
      <w:tr w14:paraId="68CB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0A0F9AFD">
            <w:pPr>
              <w:rPr>
                <w:sz w:val="18"/>
                <w:szCs w:val="18"/>
              </w:rPr>
            </w:pPr>
            <w:r>
              <w:rPr>
                <w:sz w:val="18"/>
                <w:szCs w:val="18"/>
              </w:rPr>
              <w:t>重庆新润商业管理有限公司</w:t>
            </w:r>
          </w:p>
        </w:tc>
        <w:tc>
          <w:tcPr>
            <w:tcW w:w="559" w:type="pct"/>
            <w:tcBorders>
              <w:top w:val="single" w:color="auto" w:sz="4" w:space="0"/>
              <w:left w:val="single" w:color="auto" w:sz="4" w:space="0"/>
              <w:bottom w:val="single" w:color="auto" w:sz="4" w:space="0"/>
              <w:right w:val="single" w:color="auto" w:sz="4" w:space="0"/>
            </w:tcBorders>
            <w:vAlign w:val="center"/>
          </w:tcPr>
          <w:p w14:paraId="73596531">
            <w:pPr>
              <w:jc w:val="right"/>
              <w:rPr>
                <w:sz w:val="18"/>
                <w:szCs w:val="18"/>
              </w:rPr>
            </w:pPr>
            <w:r>
              <w:rPr>
                <w:sz w:val="18"/>
                <w:szCs w:val="18"/>
              </w:rPr>
              <w:t>3,359,756.86</w:t>
            </w:r>
          </w:p>
        </w:tc>
        <w:tc>
          <w:tcPr>
            <w:tcW w:w="558" w:type="pct"/>
            <w:tcBorders>
              <w:top w:val="single" w:color="auto" w:sz="4" w:space="0"/>
              <w:left w:val="single" w:color="auto" w:sz="4" w:space="0"/>
              <w:bottom w:val="single" w:color="auto" w:sz="4" w:space="0"/>
              <w:right w:val="single" w:color="auto" w:sz="4" w:space="0"/>
            </w:tcBorders>
            <w:vAlign w:val="center"/>
          </w:tcPr>
          <w:p w14:paraId="048F919A">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11F70CEE">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7571AF58">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117387CD">
            <w:pPr>
              <w:jc w:val="right"/>
              <w:rPr>
                <w:rFonts w:ascii="宋体" w:hAnsi="宋体"/>
                <w:sz w:val="18"/>
                <w:szCs w:val="18"/>
              </w:rPr>
            </w:pPr>
            <w:r>
              <w:rPr>
                <w:sz w:val="18"/>
                <w:szCs w:val="18"/>
              </w:rPr>
              <w:t>4,635,287.59</w:t>
            </w:r>
          </w:p>
        </w:tc>
        <w:tc>
          <w:tcPr>
            <w:tcW w:w="472" w:type="pct"/>
            <w:tcBorders>
              <w:top w:val="single" w:color="auto" w:sz="4" w:space="0"/>
              <w:left w:val="single" w:color="auto" w:sz="4" w:space="0"/>
              <w:bottom w:val="single" w:color="auto" w:sz="4" w:space="0"/>
              <w:right w:val="single" w:color="auto" w:sz="4" w:space="0"/>
            </w:tcBorders>
          </w:tcPr>
          <w:p w14:paraId="2D97956E">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79330ACF">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3B91EF59">
            <w:pPr>
              <w:jc w:val="right"/>
              <w:rPr>
                <w:rFonts w:eastAsia="Times New Roman" w:cs="Times New Roman"/>
                <w:sz w:val="18"/>
                <w:szCs w:val="18"/>
              </w:rPr>
            </w:pPr>
          </w:p>
        </w:tc>
        <w:tc>
          <w:tcPr>
            <w:tcW w:w="145" w:type="pct"/>
            <w:tcBorders>
              <w:top w:val="single" w:color="auto" w:sz="4" w:space="0"/>
              <w:left w:val="single" w:color="auto" w:sz="4" w:space="0"/>
              <w:bottom w:val="single" w:color="auto" w:sz="4" w:space="0"/>
              <w:right w:val="single" w:color="auto" w:sz="4" w:space="0"/>
            </w:tcBorders>
          </w:tcPr>
          <w:p w14:paraId="5E3003E3">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69D6CA08">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549B88B1">
            <w:pPr>
              <w:jc w:val="right"/>
              <w:rPr>
                <w:sz w:val="18"/>
                <w:szCs w:val="18"/>
              </w:rPr>
            </w:pPr>
            <w:r>
              <w:rPr>
                <w:sz w:val="18"/>
                <w:szCs w:val="18"/>
              </w:rPr>
              <w:t>7,995,044.45</w:t>
            </w:r>
          </w:p>
        </w:tc>
        <w:tc>
          <w:tcPr>
            <w:tcW w:w="559" w:type="pct"/>
            <w:tcBorders>
              <w:top w:val="single" w:color="auto" w:sz="4" w:space="0"/>
              <w:left w:val="single" w:color="auto" w:sz="4" w:space="0"/>
              <w:bottom w:val="single" w:color="auto" w:sz="4" w:space="0"/>
              <w:right w:val="single" w:color="auto" w:sz="4" w:space="0"/>
            </w:tcBorders>
            <w:vAlign w:val="center"/>
          </w:tcPr>
          <w:p w14:paraId="0009170F">
            <w:pPr>
              <w:jc w:val="right"/>
              <w:rPr>
                <w:sz w:val="18"/>
                <w:szCs w:val="18"/>
              </w:rPr>
            </w:pPr>
          </w:p>
        </w:tc>
      </w:tr>
      <w:tr w14:paraId="03D2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tcPr>
          <w:p w14:paraId="389A68A3">
            <w:pPr>
              <w:rPr>
                <w:sz w:val="18"/>
                <w:szCs w:val="18"/>
              </w:rPr>
            </w:pPr>
            <w:r>
              <w:rPr>
                <w:sz w:val="18"/>
                <w:szCs w:val="18"/>
              </w:rPr>
              <w:t>苏州曹智汽车有限公司</w:t>
            </w:r>
          </w:p>
        </w:tc>
        <w:tc>
          <w:tcPr>
            <w:tcW w:w="559" w:type="pct"/>
            <w:tcBorders>
              <w:top w:val="single" w:color="auto" w:sz="4" w:space="0"/>
              <w:left w:val="single" w:color="auto" w:sz="4" w:space="0"/>
              <w:bottom w:val="single" w:color="auto" w:sz="4" w:space="0"/>
              <w:right w:val="single" w:color="auto" w:sz="4" w:space="0"/>
            </w:tcBorders>
            <w:vAlign w:val="center"/>
          </w:tcPr>
          <w:p w14:paraId="3E05BF61">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1E050A78">
            <w:pPr>
              <w:jc w:val="right"/>
              <w:rPr>
                <w:rFonts w:eastAsia="Times New Roman" w:cs="Times New Roman"/>
                <w:sz w:val="18"/>
                <w:szCs w:val="18"/>
              </w:rPr>
            </w:pPr>
          </w:p>
        </w:tc>
        <w:tc>
          <w:tcPr>
            <w:tcW w:w="145" w:type="pct"/>
            <w:tcBorders>
              <w:top w:val="single" w:color="auto" w:sz="4" w:space="0"/>
              <w:left w:val="single" w:color="auto" w:sz="4" w:space="0"/>
              <w:bottom w:val="single" w:color="auto" w:sz="4" w:space="0"/>
              <w:right w:val="single" w:color="auto" w:sz="4" w:space="0"/>
            </w:tcBorders>
          </w:tcPr>
          <w:p w14:paraId="17614278">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791FE618">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43BF36E4">
            <w:pPr>
              <w:jc w:val="right"/>
              <w:rPr>
                <w:sz w:val="18"/>
                <w:szCs w:val="18"/>
              </w:rPr>
            </w:pPr>
          </w:p>
        </w:tc>
        <w:tc>
          <w:tcPr>
            <w:tcW w:w="472" w:type="pct"/>
            <w:tcBorders>
              <w:top w:val="single" w:color="auto" w:sz="4" w:space="0"/>
              <w:left w:val="single" w:color="auto" w:sz="4" w:space="0"/>
              <w:bottom w:val="single" w:color="auto" w:sz="4" w:space="0"/>
              <w:right w:val="single" w:color="auto" w:sz="4" w:space="0"/>
            </w:tcBorders>
          </w:tcPr>
          <w:p w14:paraId="141FAB6B">
            <w:pPr>
              <w:jc w:val="right"/>
              <w:rPr>
                <w:sz w:val="18"/>
                <w:szCs w:val="18"/>
              </w:rPr>
            </w:pPr>
          </w:p>
        </w:tc>
        <w:tc>
          <w:tcPr>
            <w:tcW w:w="351" w:type="pct"/>
            <w:tcBorders>
              <w:top w:val="single" w:color="auto" w:sz="4" w:space="0"/>
              <w:left w:val="single" w:color="auto" w:sz="4" w:space="0"/>
              <w:bottom w:val="single" w:color="auto" w:sz="4" w:space="0"/>
              <w:right w:val="single" w:color="auto" w:sz="4" w:space="0"/>
            </w:tcBorders>
          </w:tcPr>
          <w:p w14:paraId="1EC69191">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7A0FB8CD">
            <w:pPr>
              <w:jc w:val="right"/>
              <w:rPr>
                <w:rFonts w:eastAsia="Times New Roman" w:cs="Times New Roman"/>
                <w:sz w:val="18"/>
                <w:szCs w:val="18"/>
              </w:rPr>
            </w:pPr>
          </w:p>
        </w:tc>
        <w:tc>
          <w:tcPr>
            <w:tcW w:w="145" w:type="pct"/>
            <w:tcBorders>
              <w:top w:val="single" w:color="auto" w:sz="4" w:space="0"/>
              <w:left w:val="single" w:color="auto" w:sz="4" w:space="0"/>
              <w:bottom w:val="single" w:color="auto" w:sz="4" w:space="0"/>
              <w:right w:val="single" w:color="auto" w:sz="4" w:space="0"/>
            </w:tcBorders>
          </w:tcPr>
          <w:p w14:paraId="5F9C25A5">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18A91F57">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5D1F7987">
            <w:pPr>
              <w:jc w:val="right"/>
              <w:rPr>
                <w:sz w:val="18"/>
                <w:szCs w:val="18"/>
              </w:rPr>
            </w:pPr>
          </w:p>
        </w:tc>
        <w:tc>
          <w:tcPr>
            <w:tcW w:w="559" w:type="pct"/>
            <w:tcBorders>
              <w:top w:val="single" w:color="auto" w:sz="4" w:space="0"/>
              <w:left w:val="single" w:color="auto" w:sz="4" w:space="0"/>
              <w:bottom w:val="single" w:color="auto" w:sz="4" w:space="0"/>
              <w:right w:val="single" w:color="auto" w:sz="4" w:space="0"/>
            </w:tcBorders>
            <w:vAlign w:val="center"/>
          </w:tcPr>
          <w:p w14:paraId="74180279">
            <w:pPr>
              <w:jc w:val="right"/>
              <w:rPr>
                <w:rFonts w:eastAsia="Times New Roman" w:cs="Times New Roman"/>
                <w:sz w:val="18"/>
                <w:szCs w:val="18"/>
              </w:rPr>
            </w:pPr>
          </w:p>
        </w:tc>
      </w:tr>
      <w:tr w14:paraId="3CA1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 w:type="pct"/>
            <w:tcBorders>
              <w:top w:val="single" w:color="auto" w:sz="4" w:space="0"/>
              <w:left w:val="single" w:color="auto" w:sz="4" w:space="0"/>
              <w:bottom w:val="single" w:color="auto" w:sz="4" w:space="0"/>
              <w:right w:val="single" w:color="auto" w:sz="4" w:space="0"/>
            </w:tcBorders>
          </w:tcPr>
          <w:p w14:paraId="58A1F309">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小计</w:t>
            </w:r>
          </w:p>
        </w:tc>
        <w:tc>
          <w:tcPr>
            <w:tcW w:w="559" w:type="pct"/>
            <w:tcBorders>
              <w:top w:val="single" w:color="auto" w:sz="4" w:space="0"/>
              <w:left w:val="single" w:color="auto" w:sz="4" w:space="0"/>
              <w:bottom w:val="single" w:color="auto" w:sz="4" w:space="0"/>
              <w:right w:val="single" w:color="auto" w:sz="4" w:space="0"/>
            </w:tcBorders>
            <w:vAlign w:val="center"/>
          </w:tcPr>
          <w:p w14:paraId="62416EAA">
            <w:pPr>
              <w:jc w:val="right"/>
              <w:rPr>
                <w:sz w:val="18"/>
                <w:szCs w:val="18"/>
              </w:rPr>
            </w:pPr>
            <w:r>
              <w:rPr>
                <w:sz w:val="18"/>
                <w:szCs w:val="18"/>
              </w:rPr>
              <w:t>5,187,772,019.22</w:t>
            </w:r>
          </w:p>
        </w:tc>
        <w:tc>
          <w:tcPr>
            <w:tcW w:w="558" w:type="pct"/>
            <w:tcBorders>
              <w:top w:val="single" w:color="auto" w:sz="4" w:space="0"/>
              <w:left w:val="single" w:color="auto" w:sz="4" w:space="0"/>
              <w:bottom w:val="single" w:color="auto" w:sz="4" w:space="0"/>
              <w:right w:val="single" w:color="auto" w:sz="4" w:space="0"/>
            </w:tcBorders>
            <w:vAlign w:val="center"/>
          </w:tcPr>
          <w:p w14:paraId="52BE02D6">
            <w:pPr>
              <w:jc w:val="right"/>
              <w:rPr>
                <w:sz w:val="18"/>
                <w:szCs w:val="18"/>
              </w:rPr>
            </w:pPr>
            <w:r>
              <w:rPr>
                <w:sz w:val="18"/>
                <w:szCs w:val="18"/>
              </w:rPr>
              <w:t>1,483,258,935.14</w:t>
            </w:r>
          </w:p>
        </w:tc>
        <w:tc>
          <w:tcPr>
            <w:tcW w:w="145" w:type="pct"/>
            <w:tcBorders>
              <w:top w:val="single" w:color="auto" w:sz="4" w:space="0"/>
              <w:left w:val="single" w:color="auto" w:sz="4" w:space="0"/>
              <w:bottom w:val="single" w:color="auto" w:sz="4" w:space="0"/>
              <w:right w:val="single" w:color="auto" w:sz="4" w:space="0"/>
            </w:tcBorders>
          </w:tcPr>
          <w:p w14:paraId="25A34275">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34B1E9AA">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4559411D">
            <w:pPr>
              <w:jc w:val="right"/>
              <w:rPr>
                <w:rFonts w:ascii="宋体" w:hAnsi="宋体"/>
                <w:sz w:val="18"/>
                <w:szCs w:val="18"/>
              </w:rPr>
            </w:pPr>
            <w:r>
              <w:rPr>
                <w:sz w:val="18"/>
                <w:szCs w:val="18"/>
              </w:rPr>
              <w:t>251,937,163.70</w:t>
            </w:r>
          </w:p>
        </w:tc>
        <w:tc>
          <w:tcPr>
            <w:tcW w:w="472" w:type="pct"/>
            <w:tcBorders>
              <w:top w:val="single" w:color="auto" w:sz="4" w:space="0"/>
              <w:left w:val="single" w:color="auto" w:sz="4" w:space="0"/>
              <w:bottom w:val="single" w:color="auto" w:sz="4" w:space="0"/>
              <w:right w:val="single" w:color="auto" w:sz="4" w:space="0"/>
            </w:tcBorders>
            <w:vAlign w:val="center"/>
          </w:tcPr>
          <w:p w14:paraId="7338C4F4">
            <w:pPr>
              <w:jc w:val="right"/>
              <w:rPr>
                <w:sz w:val="18"/>
                <w:szCs w:val="18"/>
              </w:rPr>
            </w:pPr>
            <w:r>
              <w:rPr>
                <w:sz w:val="18"/>
                <w:szCs w:val="18"/>
              </w:rPr>
              <w:t>-57,966,318.05</w:t>
            </w:r>
          </w:p>
        </w:tc>
        <w:tc>
          <w:tcPr>
            <w:tcW w:w="351" w:type="pct"/>
            <w:tcBorders>
              <w:top w:val="single" w:color="auto" w:sz="4" w:space="0"/>
              <w:left w:val="single" w:color="auto" w:sz="4" w:space="0"/>
              <w:bottom w:val="single" w:color="auto" w:sz="4" w:space="0"/>
              <w:right w:val="single" w:color="auto" w:sz="4" w:space="0"/>
            </w:tcBorders>
            <w:vAlign w:val="center"/>
          </w:tcPr>
          <w:p w14:paraId="6E6A9368">
            <w:pPr>
              <w:jc w:val="right"/>
              <w:rPr>
                <w:sz w:val="18"/>
                <w:szCs w:val="18"/>
              </w:rPr>
            </w:pPr>
            <w:r>
              <w:rPr>
                <w:sz w:val="18"/>
                <w:szCs w:val="18"/>
              </w:rPr>
              <w:t>22,061.04</w:t>
            </w:r>
          </w:p>
        </w:tc>
        <w:tc>
          <w:tcPr>
            <w:tcW w:w="507" w:type="pct"/>
            <w:tcBorders>
              <w:top w:val="single" w:color="auto" w:sz="4" w:space="0"/>
              <w:left w:val="single" w:color="auto" w:sz="4" w:space="0"/>
              <w:bottom w:val="single" w:color="auto" w:sz="4" w:space="0"/>
              <w:right w:val="single" w:color="auto" w:sz="4" w:space="0"/>
            </w:tcBorders>
            <w:vAlign w:val="center"/>
          </w:tcPr>
          <w:p w14:paraId="01AE2C36">
            <w:pPr>
              <w:jc w:val="right"/>
              <w:rPr>
                <w:rFonts w:ascii="宋体" w:hAnsi="宋体"/>
                <w:sz w:val="18"/>
                <w:szCs w:val="18"/>
              </w:rPr>
            </w:pPr>
            <w:r>
              <w:rPr>
                <w:sz w:val="18"/>
                <w:szCs w:val="18"/>
              </w:rPr>
              <w:t>122,055,038.43</w:t>
            </w:r>
          </w:p>
        </w:tc>
        <w:tc>
          <w:tcPr>
            <w:tcW w:w="145" w:type="pct"/>
            <w:tcBorders>
              <w:top w:val="single" w:color="auto" w:sz="4" w:space="0"/>
              <w:left w:val="single" w:color="auto" w:sz="4" w:space="0"/>
              <w:bottom w:val="single" w:color="auto" w:sz="4" w:space="0"/>
              <w:right w:val="single" w:color="auto" w:sz="4" w:space="0"/>
            </w:tcBorders>
          </w:tcPr>
          <w:p w14:paraId="0CC9927B">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012BC11B">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23FEDCCD">
            <w:pPr>
              <w:jc w:val="right"/>
              <w:rPr>
                <w:sz w:val="18"/>
                <w:szCs w:val="18"/>
              </w:rPr>
            </w:pPr>
            <w:r>
              <w:rPr>
                <w:sz w:val="18"/>
                <w:szCs w:val="18"/>
              </w:rPr>
              <w:t>5,259,709,887.48</w:t>
            </w:r>
          </w:p>
        </w:tc>
        <w:tc>
          <w:tcPr>
            <w:tcW w:w="559" w:type="pct"/>
            <w:tcBorders>
              <w:top w:val="single" w:color="auto" w:sz="4" w:space="0"/>
              <w:left w:val="single" w:color="auto" w:sz="4" w:space="0"/>
              <w:bottom w:val="single" w:color="auto" w:sz="4" w:space="0"/>
              <w:right w:val="single" w:color="auto" w:sz="4" w:space="0"/>
            </w:tcBorders>
            <w:vAlign w:val="center"/>
          </w:tcPr>
          <w:p w14:paraId="76C82AFB">
            <w:pPr>
              <w:jc w:val="right"/>
              <w:rPr>
                <w:rFonts w:ascii="宋体" w:hAnsi="宋体"/>
                <w:sz w:val="18"/>
                <w:szCs w:val="18"/>
              </w:rPr>
            </w:pPr>
            <w:r>
              <w:rPr>
                <w:sz w:val="18"/>
                <w:szCs w:val="18"/>
              </w:rPr>
              <w:t>1,483,258,935.14</w:t>
            </w:r>
          </w:p>
        </w:tc>
      </w:tr>
      <w:tr w14:paraId="5701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 w:type="pct"/>
            <w:tcBorders>
              <w:top w:val="single" w:color="auto" w:sz="4" w:space="0"/>
              <w:left w:val="single" w:color="auto" w:sz="4" w:space="0"/>
              <w:bottom w:val="single" w:color="auto" w:sz="4" w:space="0"/>
              <w:right w:val="single" w:color="auto" w:sz="4" w:space="0"/>
            </w:tcBorders>
            <w:vAlign w:val="center"/>
          </w:tcPr>
          <w:p w14:paraId="6C4A223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合计</w:t>
            </w:r>
          </w:p>
        </w:tc>
        <w:tc>
          <w:tcPr>
            <w:tcW w:w="559" w:type="pct"/>
            <w:tcBorders>
              <w:top w:val="single" w:color="auto" w:sz="4" w:space="0"/>
              <w:left w:val="single" w:color="auto" w:sz="4" w:space="0"/>
              <w:bottom w:val="single" w:color="auto" w:sz="4" w:space="0"/>
              <w:right w:val="single" w:color="auto" w:sz="4" w:space="0"/>
            </w:tcBorders>
            <w:vAlign w:val="center"/>
          </w:tcPr>
          <w:p w14:paraId="5D652318">
            <w:pPr>
              <w:jc w:val="right"/>
              <w:rPr>
                <w:sz w:val="18"/>
                <w:szCs w:val="18"/>
              </w:rPr>
            </w:pPr>
            <w:r>
              <w:rPr>
                <w:sz w:val="18"/>
                <w:szCs w:val="18"/>
              </w:rPr>
              <w:t>5,187,772,019.22</w:t>
            </w:r>
          </w:p>
        </w:tc>
        <w:tc>
          <w:tcPr>
            <w:tcW w:w="558" w:type="pct"/>
            <w:tcBorders>
              <w:top w:val="single" w:color="auto" w:sz="4" w:space="0"/>
              <w:left w:val="single" w:color="auto" w:sz="4" w:space="0"/>
              <w:bottom w:val="single" w:color="auto" w:sz="4" w:space="0"/>
              <w:right w:val="single" w:color="auto" w:sz="4" w:space="0"/>
            </w:tcBorders>
            <w:vAlign w:val="center"/>
          </w:tcPr>
          <w:p w14:paraId="07B239FA">
            <w:pPr>
              <w:jc w:val="right"/>
              <w:rPr>
                <w:sz w:val="18"/>
                <w:szCs w:val="18"/>
              </w:rPr>
            </w:pPr>
            <w:r>
              <w:rPr>
                <w:sz w:val="18"/>
                <w:szCs w:val="18"/>
              </w:rPr>
              <w:t>1,483,258,935.14</w:t>
            </w:r>
          </w:p>
        </w:tc>
        <w:tc>
          <w:tcPr>
            <w:tcW w:w="145" w:type="pct"/>
            <w:tcBorders>
              <w:top w:val="single" w:color="auto" w:sz="4" w:space="0"/>
              <w:left w:val="single" w:color="auto" w:sz="4" w:space="0"/>
              <w:bottom w:val="single" w:color="auto" w:sz="4" w:space="0"/>
              <w:right w:val="single" w:color="auto" w:sz="4" w:space="0"/>
            </w:tcBorders>
          </w:tcPr>
          <w:p w14:paraId="13C7CCC0">
            <w:pPr>
              <w:jc w:val="right"/>
              <w:rPr>
                <w:sz w:val="18"/>
                <w:szCs w:val="18"/>
              </w:rPr>
            </w:pPr>
          </w:p>
        </w:tc>
        <w:tc>
          <w:tcPr>
            <w:tcW w:w="145" w:type="pct"/>
            <w:tcBorders>
              <w:top w:val="single" w:color="auto" w:sz="4" w:space="0"/>
              <w:left w:val="single" w:color="auto" w:sz="4" w:space="0"/>
              <w:bottom w:val="single" w:color="auto" w:sz="4" w:space="0"/>
              <w:right w:val="single" w:color="auto" w:sz="4" w:space="0"/>
            </w:tcBorders>
          </w:tcPr>
          <w:p w14:paraId="6C71507C">
            <w:pPr>
              <w:jc w:val="right"/>
              <w:rPr>
                <w:sz w:val="18"/>
                <w:szCs w:val="18"/>
              </w:rPr>
            </w:pPr>
          </w:p>
        </w:tc>
        <w:tc>
          <w:tcPr>
            <w:tcW w:w="507" w:type="pct"/>
            <w:tcBorders>
              <w:top w:val="single" w:color="auto" w:sz="4" w:space="0"/>
              <w:left w:val="single" w:color="auto" w:sz="4" w:space="0"/>
              <w:bottom w:val="single" w:color="auto" w:sz="4" w:space="0"/>
              <w:right w:val="single" w:color="auto" w:sz="4" w:space="0"/>
            </w:tcBorders>
            <w:vAlign w:val="center"/>
          </w:tcPr>
          <w:p w14:paraId="4A538F01">
            <w:pPr>
              <w:jc w:val="right"/>
              <w:rPr>
                <w:sz w:val="18"/>
                <w:szCs w:val="18"/>
              </w:rPr>
            </w:pPr>
            <w:r>
              <w:rPr>
                <w:sz w:val="18"/>
                <w:szCs w:val="18"/>
              </w:rPr>
              <w:t>251,937,163.70</w:t>
            </w:r>
          </w:p>
        </w:tc>
        <w:tc>
          <w:tcPr>
            <w:tcW w:w="472" w:type="pct"/>
            <w:tcBorders>
              <w:top w:val="single" w:color="auto" w:sz="4" w:space="0"/>
              <w:left w:val="single" w:color="auto" w:sz="4" w:space="0"/>
              <w:bottom w:val="single" w:color="auto" w:sz="4" w:space="0"/>
              <w:right w:val="single" w:color="auto" w:sz="4" w:space="0"/>
            </w:tcBorders>
            <w:vAlign w:val="center"/>
          </w:tcPr>
          <w:p w14:paraId="133101BE">
            <w:pPr>
              <w:jc w:val="right"/>
              <w:rPr>
                <w:sz w:val="18"/>
                <w:szCs w:val="18"/>
              </w:rPr>
            </w:pPr>
            <w:r>
              <w:rPr>
                <w:sz w:val="18"/>
                <w:szCs w:val="18"/>
              </w:rPr>
              <w:t>-57,966,318.05</w:t>
            </w:r>
          </w:p>
        </w:tc>
        <w:tc>
          <w:tcPr>
            <w:tcW w:w="351" w:type="pct"/>
            <w:tcBorders>
              <w:top w:val="single" w:color="auto" w:sz="4" w:space="0"/>
              <w:left w:val="single" w:color="auto" w:sz="4" w:space="0"/>
              <w:bottom w:val="single" w:color="auto" w:sz="4" w:space="0"/>
              <w:right w:val="single" w:color="auto" w:sz="4" w:space="0"/>
            </w:tcBorders>
            <w:vAlign w:val="center"/>
          </w:tcPr>
          <w:p w14:paraId="2C282CA2">
            <w:pPr>
              <w:jc w:val="right"/>
              <w:rPr>
                <w:sz w:val="18"/>
                <w:szCs w:val="18"/>
              </w:rPr>
            </w:pPr>
            <w:r>
              <w:rPr>
                <w:sz w:val="18"/>
                <w:szCs w:val="18"/>
              </w:rPr>
              <w:t>22,061.04</w:t>
            </w:r>
          </w:p>
        </w:tc>
        <w:tc>
          <w:tcPr>
            <w:tcW w:w="507" w:type="pct"/>
            <w:tcBorders>
              <w:top w:val="single" w:color="auto" w:sz="4" w:space="0"/>
              <w:left w:val="single" w:color="auto" w:sz="4" w:space="0"/>
              <w:bottom w:val="single" w:color="auto" w:sz="4" w:space="0"/>
              <w:right w:val="single" w:color="auto" w:sz="4" w:space="0"/>
            </w:tcBorders>
            <w:vAlign w:val="center"/>
          </w:tcPr>
          <w:p w14:paraId="4AF29BF7">
            <w:pPr>
              <w:jc w:val="right"/>
              <w:rPr>
                <w:sz w:val="18"/>
                <w:szCs w:val="18"/>
              </w:rPr>
            </w:pPr>
            <w:r>
              <w:rPr>
                <w:sz w:val="18"/>
                <w:szCs w:val="18"/>
              </w:rPr>
              <w:t>122,055,038.43</w:t>
            </w:r>
          </w:p>
        </w:tc>
        <w:tc>
          <w:tcPr>
            <w:tcW w:w="145" w:type="pct"/>
            <w:tcBorders>
              <w:top w:val="single" w:color="auto" w:sz="4" w:space="0"/>
              <w:left w:val="single" w:color="auto" w:sz="4" w:space="0"/>
              <w:bottom w:val="single" w:color="auto" w:sz="4" w:space="0"/>
              <w:right w:val="single" w:color="auto" w:sz="4" w:space="0"/>
            </w:tcBorders>
          </w:tcPr>
          <w:p w14:paraId="7A0D68F7">
            <w:pPr>
              <w:jc w:val="right"/>
              <w:rPr>
                <w:sz w:val="18"/>
                <w:szCs w:val="18"/>
              </w:rPr>
            </w:pPr>
          </w:p>
        </w:tc>
        <w:tc>
          <w:tcPr>
            <w:tcW w:w="147" w:type="pct"/>
            <w:tcBorders>
              <w:top w:val="single" w:color="auto" w:sz="4" w:space="0"/>
              <w:left w:val="single" w:color="auto" w:sz="4" w:space="0"/>
              <w:bottom w:val="single" w:color="auto" w:sz="4" w:space="0"/>
              <w:right w:val="single" w:color="auto" w:sz="4" w:space="0"/>
            </w:tcBorders>
          </w:tcPr>
          <w:p w14:paraId="40B1F69A">
            <w:pPr>
              <w:jc w:val="right"/>
              <w:rPr>
                <w:sz w:val="18"/>
                <w:szCs w:val="18"/>
              </w:rPr>
            </w:pPr>
          </w:p>
        </w:tc>
        <w:tc>
          <w:tcPr>
            <w:tcW w:w="558" w:type="pct"/>
            <w:tcBorders>
              <w:top w:val="single" w:color="auto" w:sz="4" w:space="0"/>
              <w:left w:val="single" w:color="auto" w:sz="4" w:space="0"/>
              <w:bottom w:val="single" w:color="auto" w:sz="4" w:space="0"/>
              <w:right w:val="single" w:color="auto" w:sz="4" w:space="0"/>
            </w:tcBorders>
            <w:vAlign w:val="center"/>
          </w:tcPr>
          <w:p w14:paraId="68F6A0BE">
            <w:pPr>
              <w:jc w:val="right"/>
              <w:rPr>
                <w:sz w:val="18"/>
                <w:szCs w:val="18"/>
              </w:rPr>
            </w:pPr>
            <w:r>
              <w:rPr>
                <w:sz w:val="18"/>
                <w:szCs w:val="18"/>
              </w:rPr>
              <w:t>5,259,709,887.48</w:t>
            </w:r>
          </w:p>
        </w:tc>
        <w:tc>
          <w:tcPr>
            <w:tcW w:w="559" w:type="pct"/>
            <w:tcBorders>
              <w:top w:val="single" w:color="auto" w:sz="4" w:space="0"/>
              <w:left w:val="single" w:color="auto" w:sz="4" w:space="0"/>
              <w:bottom w:val="single" w:color="auto" w:sz="4" w:space="0"/>
              <w:right w:val="single" w:color="auto" w:sz="4" w:space="0"/>
            </w:tcBorders>
            <w:vAlign w:val="center"/>
          </w:tcPr>
          <w:p w14:paraId="321BEFFF">
            <w:pPr>
              <w:jc w:val="right"/>
              <w:rPr>
                <w:sz w:val="18"/>
                <w:szCs w:val="18"/>
              </w:rPr>
            </w:pPr>
            <w:r>
              <w:rPr>
                <w:sz w:val="18"/>
                <w:szCs w:val="18"/>
              </w:rPr>
              <w:t>1,483,258,935.14</w:t>
            </w:r>
          </w:p>
        </w:tc>
      </w:tr>
    </w:tbl>
    <w:p w14:paraId="6426F634"/>
    <w:p w14:paraId="62B28B8F">
      <w:pPr>
        <w:pStyle w:val="5"/>
        <w:numPr>
          <w:ilvl w:val="0"/>
          <w:numId w:val="55"/>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长期股权投资的减值测试情况</w:t>
      </w:r>
    </w:p>
    <w:sdt>
      <w:sdtPr>
        <w:rPr>
          <w:color w:val="000000" w:themeColor="text1"/>
          <w14:textFill>
            <w14:solidFill>
              <w14:schemeClr w14:val="tx1"/>
            </w14:solidFill>
          </w14:textFill>
        </w:rPr>
        <w:alias w:val="是否适用：减值测试情况[双击切换]"/>
        <w:tag w:val="_GBC_c736c8a0ce06478bb4d52ef30b7043c8"/>
        <w:id w:val="-677880339"/>
        <w:placeholder>
          <w:docPart w:val="GBC22222222222222222222222222222"/>
        </w:placeholder>
      </w:sdtPr>
      <w:sdtEndPr>
        <w:rPr>
          <w:color w:val="000000" w:themeColor="text1"/>
          <w14:textFill>
            <w14:solidFill>
              <w14:schemeClr w14:val="tx1"/>
            </w14:solidFill>
          </w14:textFill>
        </w:rPr>
      </w:sdtEndPr>
      <w:sdtContent>
        <w:p w14:paraId="1F91E65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A229E7">
      <w:pPr>
        <w:snapToGrid w:val="0"/>
        <w:spacing w:line="240" w:lineRule="atLeast"/>
        <w:rPr>
          <w:color w:val="000000" w:themeColor="text1"/>
          <w14:textFill>
            <w14:solidFill>
              <w14:schemeClr w14:val="tx1"/>
            </w14:solidFill>
          </w14:textFill>
        </w:rPr>
      </w:pPr>
    </w:p>
    <w:bookmarkEnd w:id="254"/>
    <w:p w14:paraId="2D8452A2">
      <w:pPr>
        <w:snapToGrid w:val="0"/>
        <w:spacing w:line="240" w:lineRule="atLeast"/>
        <w:rPr>
          <w:color w:val="000000" w:themeColor="text1"/>
          <w14:textFill>
            <w14:solidFill>
              <w14:schemeClr w14:val="tx1"/>
            </w14:solidFill>
          </w14:textFill>
        </w:rPr>
      </w:pPr>
      <w:bookmarkStart w:id="256" w:name="_Hlk167893618"/>
      <w:r>
        <w:rPr>
          <w:rFonts w:hint="eastAsia"/>
          <w:color w:val="000000" w:themeColor="text1"/>
          <w14:textFill>
            <w14:solidFill>
              <w14:schemeClr w14:val="tx1"/>
            </w14:solidFill>
          </w14:textFill>
        </w:rPr>
        <w:t>其他说明</w:t>
      </w:r>
    </w:p>
    <w:p w14:paraId="0A81C90F">
      <w:pPr>
        <w:snapToGrid w:val="0"/>
        <w:spacing w:line="240" w:lineRule="atLeast"/>
        <w:rPr>
          <w:color w:val="000000" w:themeColor="text1"/>
          <w14:textFill>
            <w14:solidFill>
              <w14:schemeClr w14:val="tx1"/>
            </w14:solidFill>
          </w14:textFill>
        </w:rPr>
      </w:pPr>
      <w:sdt>
        <w:sdtPr>
          <w:rPr>
            <w:color w:val="000000" w:themeColor="text1"/>
            <w14:textFill>
              <w14:solidFill>
                <w14:schemeClr w14:val="tx1"/>
              </w14:solidFill>
            </w14:textFill>
          </w:rPr>
          <w:alias w:val="长期股票投资的说明"/>
          <w:tag w:val="_GBC_de8cfc4ca45d42b88f7513c93a853186"/>
          <w:id w:val="-1484307041"/>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388B66F5">
      <w:pPr>
        <w:snapToGrid w:val="0"/>
        <w:spacing w:line="240" w:lineRule="atLeast"/>
        <w:rPr>
          <w:color w:val="000000" w:themeColor="text1"/>
          <w14:textFill>
            <w14:solidFill>
              <w14:schemeClr w14:val="tx1"/>
            </w14:solidFill>
          </w14:textFill>
        </w:rPr>
      </w:pPr>
    </w:p>
    <w:bookmarkEnd w:id="255"/>
    <w:bookmarkEnd w:id="256"/>
    <w:p w14:paraId="6C923804">
      <w:pPr>
        <w:pStyle w:val="4"/>
        <w:numPr>
          <w:ilvl w:val="0"/>
          <w:numId w:val="41"/>
        </w:numPr>
        <w:rPr>
          <w:color w:val="000000" w:themeColor="text1"/>
          <w:szCs w:val="21"/>
          <w14:textFill>
            <w14:solidFill>
              <w14:schemeClr w14:val="tx1"/>
            </w14:solidFill>
          </w14:textFill>
        </w:rPr>
      </w:pPr>
      <w:bookmarkStart w:id="257" w:name="_Hlk533409702"/>
      <w:bookmarkStart w:id="258" w:name="_Hlk152858292"/>
      <w:bookmarkStart w:id="259" w:name="_Hlk167895169"/>
      <w:r>
        <w:rPr>
          <w:color w:val="000000" w:themeColor="text1"/>
          <w:szCs w:val="21"/>
          <w14:textFill>
            <w14:solidFill>
              <w14:schemeClr w14:val="tx1"/>
            </w14:solidFill>
          </w14:textFill>
        </w:rPr>
        <w:t>其他权益工具投资</w:t>
      </w:r>
    </w:p>
    <w:p w14:paraId="36CD3367">
      <w:pPr>
        <w:pStyle w:val="5"/>
        <w:numPr>
          <w:ilvl w:val="3"/>
          <w:numId w:val="56"/>
        </w:numPr>
        <w:ind w:left="426" w:hanging="426"/>
        <w:rPr>
          <w:color w:val="000000" w:themeColor="text1"/>
          <w14:textFill>
            <w14:solidFill>
              <w14:schemeClr w14:val="tx1"/>
            </w14:solidFill>
          </w14:textFill>
        </w:rPr>
      </w:pPr>
      <w:bookmarkStart w:id="260" w:name="_Hlk532994936"/>
      <w:r>
        <w:rPr>
          <w:rFonts w:hint="eastAsia"/>
          <w:color w:val="000000" w:themeColor="text1"/>
          <w14:textFill>
            <w14:solidFill>
              <w14:schemeClr w14:val="tx1"/>
            </w14:solidFill>
          </w14:textFill>
        </w:rPr>
        <w:t>其他权益工具投资情况</w:t>
      </w:r>
    </w:p>
    <w:sdt>
      <w:sdtPr>
        <w:rPr>
          <w:color w:val="000000" w:themeColor="text1"/>
          <w14:textFill>
            <w14:solidFill>
              <w14:schemeClr w14:val="tx1"/>
            </w14:solidFill>
          </w14:textFill>
        </w:rPr>
        <w:alias w:val="是否适用：其他权益工具投资情况[双击切换]"/>
        <w:tag w:val="_GBC_ac87b47cf70d4820a1189b53bf53af73"/>
        <w:id w:val="838893419"/>
        <w:placeholder>
          <w:docPart w:val="GBC22222222222222222222222222222"/>
        </w:placeholder>
      </w:sdtPr>
      <w:sdtEndPr>
        <w:rPr>
          <w:color w:val="000000" w:themeColor="text1"/>
          <w14:textFill>
            <w14:solidFill>
              <w14:schemeClr w14:val="tx1"/>
            </w14:solidFill>
          </w14:textFill>
        </w:rPr>
      </w:sdtEndPr>
      <w:sdtContent>
        <w:p w14:paraId="0E27D11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B2108C7">
      <w:pPr>
        <w:autoSpaceDE w:val="0"/>
        <w:autoSpaceDN w:val="0"/>
        <w:adjustRightInd w:val="0"/>
        <w:ind w:left="5880" w:right="105"/>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权益工具投资情况"/>
          <w:tag w:val="_GBC_9bbc2bc262694a308c04bf4f25e3f1bb"/>
          <w:id w:val="-18491581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权益工具投资情况"/>
          <w:tag w:val="_GBC_c944479021b54a639f17a7b9d298ba98"/>
          <w:id w:val="3116928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257"/>
    <w:bookmarkEnd w:id="258"/>
    <w:bookmarkEnd w:id="260"/>
    <w:tbl>
      <w:tblPr>
        <w:tblStyle w:val="37"/>
        <w:tblW w:w="51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340"/>
        <w:gridCol w:w="1023"/>
        <w:gridCol w:w="614"/>
        <w:gridCol w:w="1296"/>
        <w:gridCol w:w="1008"/>
        <w:gridCol w:w="1008"/>
        <w:gridCol w:w="1340"/>
        <w:gridCol w:w="974"/>
        <w:gridCol w:w="1296"/>
        <w:gridCol w:w="1763"/>
        <w:gridCol w:w="1406"/>
      </w:tblGrid>
      <w:tr w14:paraId="21EB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af209c1b064e4980c71e7ae45806a6"/>
            <w:id w:val="-65880202"/>
          </w:sdtPr>
          <w:sdtContent>
            <w:tc>
              <w:tcPr>
                <w:tcW w:w="463" w:type="pct"/>
                <w:vMerge w:val="restart"/>
                <w:tcBorders>
                  <w:top w:val="single" w:color="auto" w:sz="4" w:space="0"/>
                  <w:left w:val="single" w:color="auto" w:sz="4" w:space="0"/>
                  <w:right w:val="single" w:color="auto" w:sz="4" w:space="0"/>
                </w:tcBorders>
                <w:vAlign w:val="center"/>
              </w:tcPr>
              <w:p w14:paraId="2D7EC91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d20fa0d77b4406390305b87a75671b0"/>
            <w:id w:val="1790700546"/>
          </w:sdtPr>
          <w:sdtContent>
            <w:tc>
              <w:tcPr>
                <w:tcW w:w="465" w:type="pct"/>
                <w:vMerge w:val="restart"/>
                <w:tcBorders>
                  <w:top w:val="single" w:color="auto" w:sz="4" w:space="0"/>
                  <w:left w:val="single" w:color="auto" w:sz="4" w:space="0"/>
                  <w:right w:val="single" w:color="auto" w:sz="4" w:space="0"/>
                </w:tcBorders>
                <w:vAlign w:val="center"/>
              </w:tcPr>
              <w:p w14:paraId="6929FED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w:t>
                </w:r>
              </w:p>
              <w:p w14:paraId="49E9F11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w:t>
                </w:r>
              </w:p>
            </w:tc>
          </w:sdtContent>
        </w:sdt>
        <w:sdt>
          <w:sdtPr>
            <w:tag w:val="_PLD_6a633ba000d144cb8770931370381fa1"/>
            <w:id w:val="2035528310"/>
          </w:sdtPr>
          <w:sdtContent>
            <w:tc>
              <w:tcPr>
                <w:tcW w:w="1718" w:type="pct"/>
                <w:gridSpan w:val="5"/>
                <w:tcBorders>
                  <w:top w:val="single" w:color="auto" w:sz="4" w:space="0"/>
                  <w:left w:val="single" w:color="auto" w:sz="4" w:space="0"/>
                  <w:bottom w:val="single" w:color="auto" w:sz="4" w:space="0"/>
                  <w:right w:val="single" w:color="auto" w:sz="4" w:space="0"/>
                </w:tcBorders>
                <w:vAlign w:val="center"/>
              </w:tcPr>
              <w:p w14:paraId="49D7FC7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本期增减变动</w:t>
                </w:r>
              </w:p>
            </w:tc>
          </w:sdtContent>
        </w:sdt>
        <w:sdt>
          <w:sdtPr>
            <w:tag w:val="_PLD_d9fc41afb57d40a5826584d39a74e53d"/>
            <w:id w:val="-1315645340"/>
          </w:sdtPr>
          <w:sdtContent>
            <w:tc>
              <w:tcPr>
                <w:tcW w:w="465" w:type="pct"/>
                <w:vMerge w:val="restart"/>
                <w:tcBorders>
                  <w:top w:val="single" w:color="auto" w:sz="4" w:space="0"/>
                  <w:left w:val="single" w:color="auto" w:sz="4" w:space="0"/>
                  <w:right w:val="single" w:color="auto" w:sz="4" w:space="0"/>
                </w:tcBorders>
                <w:vAlign w:val="center"/>
              </w:tcPr>
              <w:p w14:paraId="07DC061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w:t>
                </w:r>
              </w:p>
              <w:p w14:paraId="1561826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w:t>
                </w:r>
              </w:p>
            </w:tc>
          </w:sdtContent>
        </w:sdt>
        <w:sdt>
          <w:sdtPr>
            <w:tag w:val="_PLD_b3500e3451724262a7eb38ac2709c54a"/>
            <w:id w:val="-869988535"/>
          </w:sdtPr>
          <w:sdtContent>
            <w:tc>
              <w:tcPr>
                <w:tcW w:w="338" w:type="pct"/>
                <w:vMerge w:val="restart"/>
                <w:tcBorders>
                  <w:top w:val="single" w:color="auto" w:sz="4" w:space="0"/>
                  <w:left w:val="single" w:color="auto" w:sz="4" w:space="0"/>
                  <w:right w:val="single" w:color="auto" w:sz="4" w:space="0"/>
                </w:tcBorders>
                <w:vAlign w:val="center"/>
              </w:tcPr>
              <w:p w14:paraId="11A2716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本期确认的股利收入</w:t>
                </w:r>
              </w:p>
            </w:tc>
          </w:sdtContent>
        </w:sdt>
        <w:sdt>
          <w:sdtPr>
            <w:tag w:val="_PLD_d94045f5a1cb4092aa594c265a146180"/>
            <w:id w:val="-971821154"/>
          </w:sdtPr>
          <w:sdtContent>
            <w:tc>
              <w:tcPr>
                <w:tcW w:w="450" w:type="pct"/>
                <w:vMerge w:val="restart"/>
                <w:tcBorders>
                  <w:top w:val="single" w:color="auto" w:sz="4" w:space="0"/>
                  <w:left w:val="single" w:color="auto" w:sz="4" w:space="0"/>
                  <w:right w:val="single" w:color="auto" w:sz="4" w:space="0"/>
                </w:tcBorders>
                <w:vAlign w:val="center"/>
              </w:tcPr>
              <w:p w14:paraId="0F997C3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累计计入其他综合收益的利得</w:t>
                </w:r>
              </w:p>
            </w:tc>
          </w:sdtContent>
        </w:sdt>
        <w:sdt>
          <w:sdtPr>
            <w:tag w:val="_PLD_5f0ce8d1a2e4468abbf27c5755f10b41"/>
            <w:id w:val="411515726"/>
          </w:sdtPr>
          <w:sdtContent>
            <w:tc>
              <w:tcPr>
                <w:tcW w:w="612" w:type="pct"/>
                <w:vMerge w:val="restart"/>
                <w:tcBorders>
                  <w:top w:val="single" w:color="auto" w:sz="4" w:space="0"/>
                  <w:left w:val="single" w:color="auto" w:sz="4" w:space="0"/>
                  <w:right w:val="single" w:color="auto" w:sz="4" w:space="0"/>
                </w:tcBorders>
                <w:vAlign w:val="center"/>
              </w:tcPr>
              <w:p w14:paraId="3499EF6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累计计入其他综合收益的损失</w:t>
                </w:r>
              </w:p>
            </w:tc>
          </w:sdtContent>
        </w:sdt>
        <w:sdt>
          <w:sdtPr>
            <w:tag w:val="_PLD_30dbafaa8a8b420cb3406f22958c59c0"/>
            <w:id w:val="2085571484"/>
          </w:sdtPr>
          <w:sdtContent>
            <w:tc>
              <w:tcPr>
                <w:tcW w:w="488" w:type="pct"/>
                <w:vMerge w:val="restart"/>
                <w:tcBorders>
                  <w:top w:val="single" w:color="auto" w:sz="4" w:space="0"/>
                  <w:left w:val="single" w:color="auto" w:sz="4" w:space="0"/>
                  <w:right w:val="single" w:color="auto" w:sz="4" w:space="0"/>
                </w:tcBorders>
                <w:vAlign w:val="center"/>
              </w:tcPr>
              <w:p w14:paraId="6E21A72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指定为以公允价值计量且其变动计入其他综合收益的原因</w:t>
                </w:r>
              </w:p>
            </w:tc>
          </w:sdtContent>
        </w:sdt>
      </w:tr>
      <w:tr w14:paraId="4729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vMerge w:val="continue"/>
            <w:tcBorders>
              <w:left w:val="single" w:color="auto" w:sz="4" w:space="0"/>
              <w:bottom w:val="single" w:color="auto" w:sz="4" w:space="0"/>
              <w:right w:val="single" w:color="auto" w:sz="4" w:space="0"/>
            </w:tcBorders>
          </w:tcPr>
          <w:p w14:paraId="5DE1D9AA">
            <w:pPr>
              <w:jc w:val="center"/>
              <w:rPr>
                <w:color w:val="000000" w:themeColor="text1"/>
                <w14:textFill>
                  <w14:solidFill>
                    <w14:schemeClr w14:val="tx1"/>
                  </w14:solidFill>
                </w14:textFill>
              </w:rPr>
            </w:pPr>
          </w:p>
        </w:tc>
        <w:tc>
          <w:tcPr>
            <w:tcW w:w="465" w:type="pct"/>
            <w:vMerge w:val="continue"/>
            <w:tcBorders>
              <w:left w:val="single" w:color="auto" w:sz="4" w:space="0"/>
              <w:bottom w:val="single" w:color="auto" w:sz="4" w:space="0"/>
              <w:right w:val="single" w:color="auto" w:sz="4" w:space="0"/>
            </w:tcBorders>
          </w:tcPr>
          <w:p w14:paraId="3B62DFB4">
            <w:pPr>
              <w:jc w:val="center"/>
              <w:rPr>
                <w:color w:val="000000" w:themeColor="text1"/>
                <w14:textFill>
                  <w14:solidFill>
                    <w14:schemeClr w14:val="tx1"/>
                  </w14:solidFill>
                </w14:textFill>
              </w:rPr>
            </w:pPr>
          </w:p>
        </w:tc>
        <w:sdt>
          <w:sdtPr>
            <w:tag w:val="_PLD_7fb134b102ea4ac69df08b1a4af24780"/>
            <w:id w:val="-186917437"/>
          </w:sdtPr>
          <w:sdtContent>
            <w:tc>
              <w:tcPr>
                <w:tcW w:w="355" w:type="pct"/>
                <w:tcBorders>
                  <w:top w:val="single" w:color="auto" w:sz="4" w:space="0"/>
                  <w:left w:val="single" w:color="auto" w:sz="4" w:space="0"/>
                  <w:bottom w:val="single" w:color="auto" w:sz="4" w:space="0"/>
                  <w:right w:val="single" w:color="auto" w:sz="4" w:space="0"/>
                </w:tcBorders>
                <w:vAlign w:val="center"/>
              </w:tcPr>
              <w:p w14:paraId="0664B4D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追加投资</w:t>
                </w:r>
              </w:p>
            </w:tc>
          </w:sdtContent>
        </w:sdt>
        <w:sdt>
          <w:sdtPr>
            <w:tag w:val="_PLD_a5097fcdb0644572a784e139d5bc86f5"/>
            <w:id w:val="-580297034"/>
          </w:sdtPr>
          <w:sdtContent>
            <w:tc>
              <w:tcPr>
                <w:tcW w:w="213" w:type="pct"/>
                <w:tcBorders>
                  <w:top w:val="single" w:color="auto" w:sz="4" w:space="0"/>
                  <w:left w:val="single" w:color="auto" w:sz="4" w:space="0"/>
                  <w:bottom w:val="single" w:color="auto" w:sz="4" w:space="0"/>
                  <w:right w:val="single" w:color="auto" w:sz="4" w:space="0"/>
                </w:tcBorders>
                <w:vAlign w:val="center"/>
              </w:tcPr>
              <w:p w14:paraId="12E59E7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减少投资</w:t>
                </w:r>
              </w:p>
            </w:tc>
          </w:sdtContent>
        </w:sdt>
        <w:sdt>
          <w:sdtPr>
            <w:tag w:val="_PLD_500aaf3ba85d422e91cb8bed768593ce"/>
            <w:id w:val="-1004744297"/>
          </w:sdtPr>
          <w:sdtContent>
            <w:tc>
              <w:tcPr>
                <w:tcW w:w="450" w:type="pct"/>
                <w:tcBorders>
                  <w:top w:val="single" w:color="auto" w:sz="4" w:space="0"/>
                  <w:left w:val="single" w:color="auto" w:sz="4" w:space="0"/>
                  <w:bottom w:val="single" w:color="auto" w:sz="4" w:space="0"/>
                  <w:right w:val="single" w:color="auto" w:sz="4" w:space="0"/>
                </w:tcBorders>
                <w:vAlign w:val="center"/>
              </w:tcPr>
              <w:p w14:paraId="079BC37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本期计入其他综合收益的利得</w:t>
                </w:r>
              </w:p>
            </w:tc>
          </w:sdtContent>
        </w:sdt>
        <w:sdt>
          <w:sdtPr>
            <w:tag w:val="_PLD_9451af532fa54486a8ab06976fcedd26"/>
            <w:id w:val="-304929127"/>
          </w:sdtPr>
          <w:sdtContent>
            <w:tc>
              <w:tcPr>
                <w:tcW w:w="350" w:type="pct"/>
                <w:tcBorders>
                  <w:top w:val="single" w:color="auto" w:sz="4" w:space="0"/>
                  <w:left w:val="single" w:color="auto" w:sz="4" w:space="0"/>
                  <w:bottom w:val="single" w:color="auto" w:sz="4" w:space="0"/>
                  <w:right w:val="single" w:color="auto" w:sz="4" w:space="0"/>
                </w:tcBorders>
                <w:vAlign w:val="center"/>
              </w:tcPr>
              <w:p w14:paraId="6B0E780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本期计入其他综合收益的损失</w:t>
                </w:r>
              </w:p>
            </w:tc>
          </w:sdtContent>
        </w:sdt>
        <w:sdt>
          <w:sdtPr>
            <w:tag w:val="_PLD_99beff4095cd487eb9318f7cff078d10"/>
            <w:id w:val="371503660"/>
          </w:sdtPr>
          <w:sdtContent>
            <w:tc>
              <w:tcPr>
                <w:tcW w:w="350" w:type="pct"/>
                <w:tcBorders>
                  <w:left w:val="single" w:color="auto" w:sz="4" w:space="0"/>
                  <w:bottom w:val="single" w:color="auto" w:sz="4" w:space="0"/>
                  <w:right w:val="single" w:color="auto" w:sz="4" w:space="0"/>
                </w:tcBorders>
                <w:vAlign w:val="center"/>
              </w:tcPr>
              <w:p w14:paraId="4765198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sdtContent>
        </w:sdt>
        <w:tc>
          <w:tcPr>
            <w:tcW w:w="465" w:type="pct"/>
            <w:vMerge w:val="continue"/>
            <w:tcBorders>
              <w:left w:val="single" w:color="auto" w:sz="4" w:space="0"/>
              <w:bottom w:val="single" w:color="auto" w:sz="4" w:space="0"/>
              <w:right w:val="single" w:color="auto" w:sz="4" w:space="0"/>
            </w:tcBorders>
            <w:vAlign w:val="center"/>
          </w:tcPr>
          <w:p w14:paraId="502AF7CB">
            <w:pPr>
              <w:jc w:val="center"/>
              <w:rPr>
                <w:color w:val="000000" w:themeColor="text1"/>
                <w14:textFill>
                  <w14:solidFill>
                    <w14:schemeClr w14:val="tx1"/>
                  </w14:solidFill>
                </w14:textFill>
              </w:rPr>
            </w:pPr>
          </w:p>
        </w:tc>
        <w:tc>
          <w:tcPr>
            <w:tcW w:w="338" w:type="pct"/>
            <w:vMerge w:val="continue"/>
            <w:tcBorders>
              <w:left w:val="single" w:color="auto" w:sz="4" w:space="0"/>
              <w:bottom w:val="single" w:color="auto" w:sz="4" w:space="0"/>
              <w:right w:val="single" w:color="auto" w:sz="4" w:space="0"/>
            </w:tcBorders>
          </w:tcPr>
          <w:p w14:paraId="1E2CE0A3">
            <w:pPr>
              <w:jc w:val="center"/>
              <w:rPr>
                <w:color w:val="000000" w:themeColor="text1"/>
                <w14:textFill>
                  <w14:solidFill>
                    <w14:schemeClr w14:val="tx1"/>
                  </w14:solidFill>
                </w14:textFill>
              </w:rPr>
            </w:pPr>
          </w:p>
        </w:tc>
        <w:tc>
          <w:tcPr>
            <w:tcW w:w="450" w:type="pct"/>
            <w:vMerge w:val="continue"/>
            <w:tcBorders>
              <w:left w:val="single" w:color="auto" w:sz="4" w:space="0"/>
              <w:bottom w:val="single" w:color="auto" w:sz="4" w:space="0"/>
              <w:right w:val="single" w:color="auto" w:sz="4" w:space="0"/>
            </w:tcBorders>
          </w:tcPr>
          <w:p w14:paraId="506BEDD4">
            <w:pPr>
              <w:jc w:val="center"/>
              <w:rPr>
                <w:color w:val="000000" w:themeColor="text1"/>
                <w14:textFill>
                  <w14:solidFill>
                    <w14:schemeClr w14:val="tx1"/>
                  </w14:solidFill>
                </w14:textFill>
              </w:rPr>
            </w:pPr>
          </w:p>
        </w:tc>
        <w:tc>
          <w:tcPr>
            <w:tcW w:w="612" w:type="pct"/>
            <w:vMerge w:val="continue"/>
            <w:tcBorders>
              <w:left w:val="single" w:color="auto" w:sz="4" w:space="0"/>
              <w:bottom w:val="single" w:color="auto" w:sz="4" w:space="0"/>
              <w:right w:val="single" w:color="auto" w:sz="4" w:space="0"/>
            </w:tcBorders>
          </w:tcPr>
          <w:p w14:paraId="147C51D5">
            <w:pPr>
              <w:jc w:val="center"/>
              <w:rPr>
                <w:color w:val="000000" w:themeColor="text1"/>
                <w14:textFill>
                  <w14:solidFill>
                    <w14:schemeClr w14:val="tx1"/>
                  </w14:solidFill>
                </w14:textFill>
              </w:rPr>
            </w:pPr>
          </w:p>
        </w:tc>
        <w:tc>
          <w:tcPr>
            <w:tcW w:w="488" w:type="pct"/>
            <w:vMerge w:val="continue"/>
            <w:tcBorders>
              <w:left w:val="single" w:color="auto" w:sz="4" w:space="0"/>
              <w:bottom w:val="single" w:color="auto" w:sz="4" w:space="0"/>
              <w:right w:val="single" w:color="auto" w:sz="4" w:space="0"/>
            </w:tcBorders>
            <w:vAlign w:val="center"/>
          </w:tcPr>
          <w:p w14:paraId="5C5ECF33">
            <w:pPr>
              <w:jc w:val="center"/>
              <w:rPr>
                <w:color w:val="000000" w:themeColor="text1"/>
                <w14:textFill>
                  <w14:solidFill>
                    <w14:schemeClr w14:val="tx1"/>
                  </w14:solidFill>
                </w14:textFill>
              </w:rPr>
            </w:pPr>
          </w:p>
        </w:tc>
      </w:tr>
      <w:tr w14:paraId="558F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top w:val="single" w:color="auto" w:sz="4" w:space="0"/>
              <w:left w:val="single" w:color="auto" w:sz="4" w:space="0"/>
              <w:bottom w:val="single" w:color="auto" w:sz="4" w:space="0"/>
              <w:right w:val="single" w:color="auto" w:sz="4" w:space="0"/>
            </w:tcBorders>
          </w:tcPr>
          <w:p w14:paraId="0EDEBC24">
            <w:r>
              <w:t>Creat   Fund Management Ltd</w:t>
            </w:r>
          </w:p>
        </w:tc>
        <w:tc>
          <w:tcPr>
            <w:tcW w:w="465" w:type="pct"/>
            <w:tcBorders>
              <w:top w:val="single" w:color="auto" w:sz="4" w:space="0"/>
              <w:left w:val="single" w:color="auto" w:sz="4" w:space="0"/>
              <w:bottom w:val="single" w:color="auto" w:sz="4" w:space="0"/>
              <w:right w:val="single" w:color="auto" w:sz="4" w:space="0"/>
            </w:tcBorders>
            <w:vAlign w:val="center"/>
          </w:tcPr>
          <w:p w14:paraId="5B8098B2">
            <w:pPr>
              <w:jc w:val="right"/>
            </w:pPr>
            <w:r>
              <w:t>5,651,251.45</w:t>
            </w:r>
          </w:p>
        </w:tc>
        <w:tc>
          <w:tcPr>
            <w:tcW w:w="355" w:type="pct"/>
            <w:tcBorders>
              <w:top w:val="single" w:color="auto" w:sz="4" w:space="0"/>
              <w:left w:val="single" w:color="auto" w:sz="4" w:space="0"/>
              <w:bottom w:val="single" w:color="auto" w:sz="4" w:space="0"/>
              <w:right w:val="single" w:color="auto" w:sz="4" w:space="0"/>
            </w:tcBorders>
          </w:tcPr>
          <w:p w14:paraId="33EF32EA">
            <w:pPr>
              <w:jc w:val="right"/>
            </w:pPr>
          </w:p>
        </w:tc>
        <w:tc>
          <w:tcPr>
            <w:tcW w:w="213" w:type="pct"/>
            <w:tcBorders>
              <w:top w:val="single" w:color="auto" w:sz="4" w:space="0"/>
              <w:left w:val="single" w:color="auto" w:sz="4" w:space="0"/>
              <w:bottom w:val="single" w:color="auto" w:sz="4" w:space="0"/>
              <w:right w:val="single" w:color="auto" w:sz="4" w:space="0"/>
            </w:tcBorders>
          </w:tcPr>
          <w:p w14:paraId="0B10990A">
            <w:pPr>
              <w:jc w:val="right"/>
            </w:pPr>
          </w:p>
        </w:tc>
        <w:tc>
          <w:tcPr>
            <w:tcW w:w="450" w:type="pct"/>
            <w:tcBorders>
              <w:top w:val="single" w:color="auto" w:sz="4" w:space="0"/>
              <w:left w:val="single" w:color="auto" w:sz="4" w:space="0"/>
              <w:bottom w:val="single" w:color="auto" w:sz="4" w:space="0"/>
              <w:right w:val="single" w:color="auto" w:sz="4" w:space="0"/>
            </w:tcBorders>
            <w:vAlign w:val="center"/>
          </w:tcPr>
          <w:p w14:paraId="764872A8">
            <w:pPr>
              <w:jc w:val="right"/>
            </w:pPr>
            <w:r>
              <w:t>23,427.65</w:t>
            </w:r>
          </w:p>
        </w:tc>
        <w:tc>
          <w:tcPr>
            <w:tcW w:w="350" w:type="pct"/>
            <w:tcBorders>
              <w:top w:val="single" w:color="auto" w:sz="4" w:space="0"/>
              <w:left w:val="single" w:color="auto" w:sz="4" w:space="0"/>
              <w:bottom w:val="single" w:color="auto" w:sz="4" w:space="0"/>
              <w:right w:val="single" w:color="auto" w:sz="4" w:space="0"/>
            </w:tcBorders>
          </w:tcPr>
          <w:p w14:paraId="133A5D08">
            <w:pPr>
              <w:jc w:val="right"/>
            </w:pPr>
          </w:p>
        </w:tc>
        <w:tc>
          <w:tcPr>
            <w:tcW w:w="350" w:type="pct"/>
            <w:tcBorders>
              <w:top w:val="single" w:color="auto" w:sz="4" w:space="0"/>
              <w:left w:val="single" w:color="auto" w:sz="4" w:space="0"/>
              <w:bottom w:val="single" w:color="auto" w:sz="4" w:space="0"/>
              <w:right w:val="single" w:color="auto" w:sz="4" w:space="0"/>
            </w:tcBorders>
          </w:tcPr>
          <w:p w14:paraId="71FB78ED">
            <w:pPr>
              <w:jc w:val="right"/>
            </w:pPr>
          </w:p>
        </w:tc>
        <w:tc>
          <w:tcPr>
            <w:tcW w:w="465" w:type="pct"/>
            <w:tcBorders>
              <w:top w:val="single" w:color="auto" w:sz="4" w:space="0"/>
              <w:left w:val="single" w:color="auto" w:sz="4" w:space="0"/>
              <w:bottom w:val="single" w:color="auto" w:sz="4" w:space="0"/>
              <w:right w:val="single" w:color="auto" w:sz="4" w:space="0"/>
            </w:tcBorders>
            <w:vAlign w:val="center"/>
          </w:tcPr>
          <w:p w14:paraId="53E2168F">
            <w:pPr>
              <w:jc w:val="right"/>
            </w:pPr>
            <w:r>
              <w:t>5,674,679.10</w:t>
            </w:r>
          </w:p>
        </w:tc>
        <w:tc>
          <w:tcPr>
            <w:tcW w:w="338" w:type="pct"/>
            <w:tcBorders>
              <w:top w:val="single" w:color="auto" w:sz="4" w:space="0"/>
              <w:left w:val="single" w:color="auto" w:sz="4" w:space="0"/>
              <w:bottom w:val="single" w:color="auto" w:sz="4" w:space="0"/>
              <w:right w:val="single" w:color="auto" w:sz="4" w:space="0"/>
            </w:tcBorders>
          </w:tcPr>
          <w:p w14:paraId="79ED99C2">
            <w:pPr>
              <w:jc w:val="right"/>
            </w:pPr>
          </w:p>
        </w:tc>
        <w:tc>
          <w:tcPr>
            <w:tcW w:w="450" w:type="pct"/>
            <w:tcBorders>
              <w:top w:val="single" w:color="auto" w:sz="4" w:space="0"/>
              <w:left w:val="single" w:color="auto" w:sz="4" w:space="0"/>
              <w:bottom w:val="single" w:color="auto" w:sz="4" w:space="0"/>
              <w:right w:val="single" w:color="auto" w:sz="4" w:space="0"/>
            </w:tcBorders>
            <w:vAlign w:val="center"/>
          </w:tcPr>
          <w:p w14:paraId="385AB9E5">
            <w:pPr>
              <w:jc w:val="right"/>
            </w:pPr>
          </w:p>
        </w:tc>
        <w:tc>
          <w:tcPr>
            <w:tcW w:w="612" w:type="pct"/>
            <w:tcBorders>
              <w:top w:val="single" w:color="auto" w:sz="4" w:space="0"/>
              <w:left w:val="single" w:color="auto" w:sz="4" w:space="0"/>
              <w:bottom w:val="single" w:color="auto" w:sz="4" w:space="0"/>
              <w:right w:val="single" w:color="auto" w:sz="4" w:space="0"/>
            </w:tcBorders>
            <w:vAlign w:val="center"/>
          </w:tcPr>
          <w:p w14:paraId="6FDCF072">
            <w:pPr>
              <w:jc w:val="right"/>
              <w:rPr>
                <w:rFonts w:ascii="宋体" w:hAnsi="宋体"/>
                <w:sz w:val="24"/>
                <w:szCs w:val="24"/>
              </w:rPr>
            </w:pPr>
            <w:r>
              <w:t>-3,487,723.47</w:t>
            </w:r>
          </w:p>
        </w:tc>
        <w:tc>
          <w:tcPr>
            <w:tcW w:w="488" w:type="pct"/>
            <w:tcBorders>
              <w:top w:val="single" w:color="auto" w:sz="4" w:space="0"/>
              <w:left w:val="single" w:color="auto" w:sz="4" w:space="0"/>
              <w:bottom w:val="single" w:color="auto" w:sz="4" w:space="0"/>
              <w:right w:val="single" w:color="auto" w:sz="4" w:space="0"/>
            </w:tcBorders>
            <w:vAlign w:val="center"/>
          </w:tcPr>
          <w:p w14:paraId="452D1372">
            <w:r>
              <w:t>持有目的为非交易性</w:t>
            </w:r>
          </w:p>
        </w:tc>
      </w:tr>
      <w:tr w14:paraId="0E3C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top w:val="single" w:color="auto" w:sz="4" w:space="0"/>
              <w:left w:val="single" w:color="auto" w:sz="4" w:space="0"/>
              <w:bottom w:val="single" w:color="auto" w:sz="4" w:space="0"/>
              <w:right w:val="single" w:color="auto" w:sz="4" w:space="0"/>
            </w:tcBorders>
          </w:tcPr>
          <w:p w14:paraId="62856A19">
            <w:r>
              <w:t>Creat Fund Management Co., Ltd</w:t>
            </w:r>
          </w:p>
        </w:tc>
        <w:tc>
          <w:tcPr>
            <w:tcW w:w="465" w:type="pct"/>
            <w:tcBorders>
              <w:top w:val="single" w:color="auto" w:sz="4" w:space="0"/>
              <w:left w:val="single" w:color="auto" w:sz="4" w:space="0"/>
              <w:bottom w:val="single" w:color="auto" w:sz="4" w:space="0"/>
              <w:right w:val="single" w:color="auto" w:sz="4" w:space="0"/>
            </w:tcBorders>
            <w:vAlign w:val="center"/>
          </w:tcPr>
          <w:p w14:paraId="2068F96E">
            <w:pPr>
              <w:jc w:val="right"/>
            </w:pPr>
            <w:r>
              <w:t>1,076,463.62</w:t>
            </w:r>
          </w:p>
        </w:tc>
        <w:tc>
          <w:tcPr>
            <w:tcW w:w="355" w:type="pct"/>
            <w:tcBorders>
              <w:top w:val="single" w:color="auto" w:sz="4" w:space="0"/>
              <w:left w:val="single" w:color="auto" w:sz="4" w:space="0"/>
              <w:bottom w:val="single" w:color="auto" w:sz="4" w:space="0"/>
              <w:right w:val="single" w:color="auto" w:sz="4" w:space="0"/>
            </w:tcBorders>
          </w:tcPr>
          <w:p w14:paraId="07CA1B2E">
            <w:pPr>
              <w:jc w:val="right"/>
            </w:pPr>
          </w:p>
        </w:tc>
        <w:tc>
          <w:tcPr>
            <w:tcW w:w="213" w:type="pct"/>
            <w:tcBorders>
              <w:top w:val="single" w:color="auto" w:sz="4" w:space="0"/>
              <w:left w:val="single" w:color="auto" w:sz="4" w:space="0"/>
              <w:bottom w:val="single" w:color="auto" w:sz="4" w:space="0"/>
              <w:right w:val="single" w:color="auto" w:sz="4" w:space="0"/>
            </w:tcBorders>
          </w:tcPr>
          <w:p w14:paraId="2774A752">
            <w:pPr>
              <w:jc w:val="right"/>
            </w:pPr>
          </w:p>
        </w:tc>
        <w:tc>
          <w:tcPr>
            <w:tcW w:w="450" w:type="pct"/>
            <w:tcBorders>
              <w:top w:val="single" w:color="auto" w:sz="4" w:space="0"/>
              <w:left w:val="single" w:color="auto" w:sz="4" w:space="0"/>
              <w:bottom w:val="single" w:color="auto" w:sz="4" w:space="0"/>
              <w:right w:val="single" w:color="auto" w:sz="4" w:space="0"/>
            </w:tcBorders>
            <w:vAlign w:val="center"/>
          </w:tcPr>
          <w:p w14:paraId="1924BAC5">
            <w:pPr>
              <w:jc w:val="right"/>
            </w:pPr>
            <w:r>
              <w:t>4,462.55</w:t>
            </w:r>
          </w:p>
        </w:tc>
        <w:tc>
          <w:tcPr>
            <w:tcW w:w="350" w:type="pct"/>
            <w:tcBorders>
              <w:top w:val="single" w:color="auto" w:sz="4" w:space="0"/>
              <w:left w:val="single" w:color="auto" w:sz="4" w:space="0"/>
              <w:bottom w:val="single" w:color="auto" w:sz="4" w:space="0"/>
              <w:right w:val="single" w:color="auto" w:sz="4" w:space="0"/>
            </w:tcBorders>
          </w:tcPr>
          <w:p w14:paraId="1212238B">
            <w:pPr>
              <w:jc w:val="right"/>
            </w:pPr>
          </w:p>
        </w:tc>
        <w:tc>
          <w:tcPr>
            <w:tcW w:w="350" w:type="pct"/>
            <w:tcBorders>
              <w:top w:val="single" w:color="auto" w:sz="4" w:space="0"/>
              <w:left w:val="single" w:color="auto" w:sz="4" w:space="0"/>
              <w:bottom w:val="single" w:color="auto" w:sz="4" w:space="0"/>
              <w:right w:val="single" w:color="auto" w:sz="4" w:space="0"/>
            </w:tcBorders>
          </w:tcPr>
          <w:p w14:paraId="36EC967F">
            <w:pPr>
              <w:jc w:val="right"/>
            </w:pPr>
          </w:p>
        </w:tc>
        <w:tc>
          <w:tcPr>
            <w:tcW w:w="465" w:type="pct"/>
            <w:tcBorders>
              <w:top w:val="single" w:color="auto" w:sz="4" w:space="0"/>
              <w:left w:val="single" w:color="auto" w:sz="4" w:space="0"/>
              <w:bottom w:val="single" w:color="auto" w:sz="4" w:space="0"/>
              <w:right w:val="single" w:color="auto" w:sz="4" w:space="0"/>
            </w:tcBorders>
            <w:vAlign w:val="center"/>
          </w:tcPr>
          <w:p w14:paraId="5DA6740F">
            <w:pPr>
              <w:jc w:val="right"/>
            </w:pPr>
            <w:r>
              <w:t>1,080,926.17</w:t>
            </w:r>
          </w:p>
        </w:tc>
        <w:tc>
          <w:tcPr>
            <w:tcW w:w="338" w:type="pct"/>
            <w:tcBorders>
              <w:top w:val="single" w:color="auto" w:sz="4" w:space="0"/>
              <w:left w:val="single" w:color="auto" w:sz="4" w:space="0"/>
              <w:bottom w:val="single" w:color="auto" w:sz="4" w:space="0"/>
              <w:right w:val="single" w:color="auto" w:sz="4" w:space="0"/>
            </w:tcBorders>
          </w:tcPr>
          <w:p w14:paraId="677D9323">
            <w:pPr>
              <w:jc w:val="right"/>
            </w:pPr>
          </w:p>
        </w:tc>
        <w:tc>
          <w:tcPr>
            <w:tcW w:w="450" w:type="pct"/>
            <w:tcBorders>
              <w:top w:val="single" w:color="auto" w:sz="4" w:space="0"/>
              <w:left w:val="single" w:color="auto" w:sz="4" w:space="0"/>
              <w:bottom w:val="single" w:color="auto" w:sz="4" w:space="0"/>
              <w:right w:val="single" w:color="auto" w:sz="4" w:space="0"/>
            </w:tcBorders>
            <w:vAlign w:val="center"/>
          </w:tcPr>
          <w:p w14:paraId="366BC17F">
            <w:pPr>
              <w:jc w:val="right"/>
            </w:pPr>
            <w:r>
              <w:t>53,202.38</w:t>
            </w:r>
          </w:p>
        </w:tc>
        <w:tc>
          <w:tcPr>
            <w:tcW w:w="612" w:type="pct"/>
            <w:tcBorders>
              <w:top w:val="single" w:color="auto" w:sz="4" w:space="0"/>
              <w:left w:val="single" w:color="auto" w:sz="4" w:space="0"/>
              <w:bottom w:val="single" w:color="auto" w:sz="4" w:space="0"/>
              <w:right w:val="single" w:color="auto" w:sz="4" w:space="0"/>
            </w:tcBorders>
            <w:vAlign w:val="center"/>
          </w:tcPr>
          <w:p w14:paraId="41183A55">
            <w:pPr>
              <w:jc w:val="right"/>
            </w:pPr>
          </w:p>
        </w:tc>
        <w:tc>
          <w:tcPr>
            <w:tcW w:w="488" w:type="pct"/>
            <w:tcBorders>
              <w:top w:val="single" w:color="auto" w:sz="4" w:space="0"/>
              <w:left w:val="single" w:color="auto" w:sz="4" w:space="0"/>
              <w:bottom w:val="single" w:color="auto" w:sz="4" w:space="0"/>
              <w:right w:val="single" w:color="auto" w:sz="4" w:space="0"/>
            </w:tcBorders>
            <w:vAlign w:val="center"/>
          </w:tcPr>
          <w:p w14:paraId="501236A7">
            <w:r>
              <w:t>持有目的为非交易性</w:t>
            </w:r>
          </w:p>
        </w:tc>
      </w:tr>
      <w:tr w14:paraId="1082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top w:val="single" w:color="auto" w:sz="4" w:space="0"/>
              <w:left w:val="single" w:color="auto" w:sz="4" w:space="0"/>
              <w:bottom w:val="single" w:color="auto" w:sz="4" w:space="0"/>
              <w:right w:val="single" w:color="auto" w:sz="4" w:space="0"/>
            </w:tcBorders>
          </w:tcPr>
          <w:p w14:paraId="0D4EFDED">
            <w:r>
              <w:t>越南力帆-兴勇联营公司</w:t>
            </w:r>
          </w:p>
        </w:tc>
        <w:tc>
          <w:tcPr>
            <w:tcW w:w="465" w:type="pct"/>
            <w:tcBorders>
              <w:top w:val="single" w:color="auto" w:sz="4" w:space="0"/>
              <w:left w:val="single" w:color="auto" w:sz="4" w:space="0"/>
              <w:bottom w:val="single" w:color="auto" w:sz="4" w:space="0"/>
              <w:right w:val="single" w:color="auto" w:sz="4" w:space="0"/>
            </w:tcBorders>
          </w:tcPr>
          <w:p w14:paraId="067DA9EA">
            <w:pPr>
              <w:jc w:val="right"/>
            </w:pPr>
          </w:p>
        </w:tc>
        <w:tc>
          <w:tcPr>
            <w:tcW w:w="355" w:type="pct"/>
            <w:tcBorders>
              <w:top w:val="single" w:color="auto" w:sz="4" w:space="0"/>
              <w:left w:val="single" w:color="auto" w:sz="4" w:space="0"/>
              <w:bottom w:val="single" w:color="auto" w:sz="4" w:space="0"/>
              <w:right w:val="single" w:color="auto" w:sz="4" w:space="0"/>
            </w:tcBorders>
          </w:tcPr>
          <w:p w14:paraId="4B7E710F">
            <w:pPr>
              <w:jc w:val="right"/>
            </w:pPr>
          </w:p>
        </w:tc>
        <w:tc>
          <w:tcPr>
            <w:tcW w:w="213" w:type="pct"/>
            <w:tcBorders>
              <w:top w:val="single" w:color="auto" w:sz="4" w:space="0"/>
              <w:left w:val="single" w:color="auto" w:sz="4" w:space="0"/>
              <w:bottom w:val="single" w:color="auto" w:sz="4" w:space="0"/>
              <w:right w:val="single" w:color="auto" w:sz="4" w:space="0"/>
            </w:tcBorders>
          </w:tcPr>
          <w:p w14:paraId="6DC7F50A">
            <w:pPr>
              <w:jc w:val="right"/>
            </w:pPr>
          </w:p>
        </w:tc>
        <w:tc>
          <w:tcPr>
            <w:tcW w:w="450" w:type="pct"/>
            <w:tcBorders>
              <w:top w:val="single" w:color="auto" w:sz="4" w:space="0"/>
              <w:left w:val="single" w:color="auto" w:sz="4" w:space="0"/>
              <w:bottom w:val="single" w:color="auto" w:sz="4" w:space="0"/>
              <w:right w:val="single" w:color="auto" w:sz="4" w:space="0"/>
            </w:tcBorders>
          </w:tcPr>
          <w:p w14:paraId="4260A318">
            <w:pPr>
              <w:jc w:val="right"/>
            </w:pPr>
          </w:p>
        </w:tc>
        <w:tc>
          <w:tcPr>
            <w:tcW w:w="350" w:type="pct"/>
            <w:tcBorders>
              <w:top w:val="single" w:color="auto" w:sz="4" w:space="0"/>
              <w:left w:val="single" w:color="auto" w:sz="4" w:space="0"/>
              <w:bottom w:val="single" w:color="auto" w:sz="4" w:space="0"/>
              <w:right w:val="single" w:color="auto" w:sz="4" w:space="0"/>
            </w:tcBorders>
          </w:tcPr>
          <w:p w14:paraId="0E14B7AE">
            <w:pPr>
              <w:jc w:val="right"/>
            </w:pPr>
          </w:p>
        </w:tc>
        <w:tc>
          <w:tcPr>
            <w:tcW w:w="350" w:type="pct"/>
            <w:tcBorders>
              <w:top w:val="single" w:color="auto" w:sz="4" w:space="0"/>
              <w:left w:val="single" w:color="auto" w:sz="4" w:space="0"/>
              <w:bottom w:val="single" w:color="auto" w:sz="4" w:space="0"/>
              <w:right w:val="single" w:color="auto" w:sz="4" w:space="0"/>
            </w:tcBorders>
          </w:tcPr>
          <w:p w14:paraId="3DCFB0B1">
            <w:pPr>
              <w:jc w:val="right"/>
            </w:pPr>
          </w:p>
        </w:tc>
        <w:tc>
          <w:tcPr>
            <w:tcW w:w="465" w:type="pct"/>
            <w:tcBorders>
              <w:top w:val="single" w:color="auto" w:sz="4" w:space="0"/>
              <w:left w:val="single" w:color="auto" w:sz="4" w:space="0"/>
              <w:bottom w:val="single" w:color="auto" w:sz="4" w:space="0"/>
              <w:right w:val="single" w:color="auto" w:sz="4" w:space="0"/>
            </w:tcBorders>
          </w:tcPr>
          <w:p w14:paraId="3CF47743">
            <w:pPr>
              <w:jc w:val="right"/>
            </w:pPr>
          </w:p>
        </w:tc>
        <w:tc>
          <w:tcPr>
            <w:tcW w:w="338" w:type="pct"/>
            <w:tcBorders>
              <w:top w:val="single" w:color="auto" w:sz="4" w:space="0"/>
              <w:left w:val="single" w:color="auto" w:sz="4" w:space="0"/>
              <w:bottom w:val="single" w:color="auto" w:sz="4" w:space="0"/>
              <w:right w:val="single" w:color="auto" w:sz="4" w:space="0"/>
            </w:tcBorders>
          </w:tcPr>
          <w:p w14:paraId="22300B45">
            <w:pPr>
              <w:jc w:val="right"/>
            </w:pPr>
          </w:p>
        </w:tc>
        <w:tc>
          <w:tcPr>
            <w:tcW w:w="450" w:type="pct"/>
            <w:tcBorders>
              <w:top w:val="single" w:color="auto" w:sz="4" w:space="0"/>
              <w:left w:val="single" w:color="auto" w:sz="4" w:space="0"/>
              <w:bottom w:val="single" w:color="auto" w:sz="4" w:space="0"/>
              <w:right w:val="single" w:color="auto" w:sz="4" w:space="0"/>
            </w:tcBorders>
            <w:vAlign w:val="center"/>
          </w:tcPr>
          <w:p w14:paraId="16F60B3B">
            <w:pPr>
              <w:jc w:val="right"/>
              <w:rPr>
                <w:rFonts w:eastAsia="Times New Roman" w:cs="Times New Roman"/>
                <w:sz w:val="20"/>
                <w:szCs w:val="20"/>
              </w:rPr>
            </w:pPr>
          </w:p>
        </w:tc>
        <w:tc>
          <w:tcPr>
            <w:tcW w:w="612" w:type="pct"/>
            <w:tcBorders>
              <w:top w:val="single" w:color="auto" w:sz="4" w:space="0"/>
              <w:left w:val="single" w:color="auto" w:sz="4" w:space="0"/>
              <w:bottom w:val="single" w:color="auto" w:sz="4" w:space="0"/>
              <w:right w:val="single" w:color="auto" w:sz="4" w:space="0"/>
            </w:tcBorders>
            <w:vAlign w:val="center"/>
          </w:tcPr>
          <w:p w14:paraId="1DB1665E">
            <w:pPr>
              <w:jc w:val="right"/>
              <w:rPr>
                <w:rFonts w:ascii="宋体" w:hAnsi="宋体"/>
                <w:sz w:val="24"/>
                <w:szCs w:val="24"/>
              </w:rPr>
            </w:pPr>
            <w:r>
              <w:t>-1,674,636.25</w:t>
            </w:r>
          </w:p>
        </w:tc>
        <w:tc>
          <w:tcPr>
            <w:tcW w:w="488" w:type="pct"/>
            <w:tcBorders>
              <w:top w:val="single" w:color="auto" w:sz="4" w:space="0"/>
              <w:left w:val="single" w:color="auto" w:sz="4" w:space="0"/>
              <w:bottom w:val="single" w:color="auto" w:sz="4" w:space="0"/>
              <w:right w:val="single" w:color="auto" w:sz="4" w:space="0"/>
            </w:tcBorders>
            <w:vAlign w:val="center"/>
          </w:tcPr>
          <w:p w14:paraId="76023216">
            <w:r>
              <w:t>持有目的为非交易性</w:t>
            </w:r>
          </w:p>
        </w:tc>
      </w:tr>
      <w:tr w14:paraId="1403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top w:val="single" w:color="auto" w:sz="4" w:space="0"/>
              <w:left w:val="single" w:color="auto" w:sz="4" w:space="0"/>
              <w:bottom w:val="single" w:color="auto" w:sz="4" w:space="0"/>
              <w:right w:val="single" w:color="auto" w:sz="4" w:space="0"/>
            </w:tcBorders>
          </w:tcPr>
          <w:p w14:paraId="6AFD5BF0">
            <w:r>
              <w:t>越南力帆-吉力联营公司</w:t>
            </w:r>
          </w:p>
        </w:tc>
        <w:tc>
          <w:tcPr>
            <w:tcW w:w="465" w:type="pct"/>
            <w:tcBorders>
              <w:top w:val="single" w:color="auto" w:sz="4" w:space="0"/>
              <w:left w:val="single" w:color="auto" w:sz="4" w:space="0"/>
              <w:bottom w:val="single" w:color="auto" w:sz="4" w:space="0"/>
              <w:right w:val="single" w:color="auto" w:sz="4" w:space="0"/>
            </w:tcBorders>
          </w:tcPr>
          <w:p w14:paraId="6C2154C8">
            <w:pPr>
              <w:jc w:val="right"/>
            </w:pPr>
          </w:p>
        </w:tc>
        <w:tc>
          <w:tcPr>
            <w:tcW w:w="355" w:type="pct"/>
            <w:tcBorders>
              <w:top w:val="single" w:color="auto" w:sz="4" w:space="0"/>
              <w:left w:val="single" w:color="auto" w:sz="4" w:space="0"/>
              <w:bottom w:val="single" w:color="auto" w:sz="4" w:space="0"/>
              <w:right w:val="single" w:color="auto" w:sz="4" w:space="0"/>
            </w:tcBorders>
          </w:tcPr>
          <w:p w14:paraId="484AE867">
            <w:pPr>
              <w:jc w:val="right"/>
            </w:pPr>
          </w:p>
        </w:tc>
        <w:tc>
          <w:tcPr>
            <w:tcW w:w="213" w:type="pct"/>
            <w:tcBorders>
              <w:top w:val="single" w:color="auto" w:sz="4" w:space="0"/>
              <w:left w:val="single" w:color="auto" w:sz="4" w:space="0"/>
              <w:bottom w:val="single" w:color="auto" w:sz="4" w:space="0"/>
              <w:right w:val="single" w:color="auto" w:sz="4" w:space="0"/>
            </w:tcBorders>
          </w:tcPr>
          <w:p w14:paraId="0DFD95D6">
            <w:pPr>
              <w:jc w:val="right"/>
            </w:pPr>
          </w:p>
        </w:tc>
        <w:tc>
          <w:tcPr>
            <w:tcW w:w="450" w:type="pct"/>
            <w:tcBorders>
              <w:top w:val="single" w:color="auto" w:sz="4" w:space="0"/>
              <w:left w:val="single" w:color="auto" w:sz="4" w:space="0"/>
              <w:bottom w:val="single" w:color="auto" w:sz="4" w:space="0"/>
              <w:right w:val="single" w:color="auto" w:sz="4" w:space="0"/>
            </w:tcBorders>
          </w:tcPr>
          <w:p w14:paraId="7CDA2F55">
            <w:pPr>
              <w:jc w:val="right"/>
            </w:pPr>
          </w:p>
        </w:tc>
        <w:tc>
          <w:tcPr>
            <w:tcW w:w="350" w:type="pct"/>
            <w:tcBorders>
              <w:top w:val="single" w:color="auto" w:sz="4" w:space="0"/>
              <w:left w:val="single" w:color="auto" w:sz="4" w:space="0"/>
              <w:bottom w:val="single" w:color="auto" w:sz="4" w:space="0"/>
              <w:right w:val="single" w:color="auto" w:sz="4" w:space="0"/>
            </w:tcBorders>
          </w:tcPr>
          <w:p w14:paraId="3F751F61">
            <w:pPr>
              <w:jc w:val="right"/>
            </w:pPr>
          </w:p>
        </w:tc>
        <w:tc>
          <w:tcPr>
            <w:tcW w:w="350" w:type="pct"/>
            <w:tcBorders>
              <w:top w:val="single" w:color="auto" w:sz="4" w:space="0"/>
              <w:left w:val="single" w:color="auto" w:sz="4" w:space="0"/>
              <w:bottom w:val="single" w:color="auto" w:sz="4" w:space="0"/>
              <w:right w:val="single" w:color="auto" w:sz="4" w:space="0"/>
            </w:tcBorders>
          </w:tcPr>
          <w:p w14:paraId="3FC39A4E">
            <w:pPr>
              <w:jc w:val="right"/>
            </w:pPr>
          </w:p>
        </w:tc>
        <w:tc>
          <w:tcPr>
            <w:tcW w:w="465" w:type="pct"/>
            <w:tcBorders>
              <w:top w:val="single" w:color="auto" w:sz="4" w:space="0"/>
              <w:left w:val="single" w:color="auto" w:sz="4" w:space="0"/>
              <w:bottom w:val="single" w:color="auto" w:sz="4" w:space="0"/>
              <w:right w:val="single" w:color="auto" w:sz="4" w:space="0"/>
            </w:tcBorders>
          </w:tcPr>
          <w:p w14:paraId="432CCCD3">
            <w:pPr>
              <w:jc w:val="right"/>
            </w:pPr>
          </w:p>
        </w:tc>
        <w:tc>
          <w:tcPr>
            <w:tcW w:w="338" w:type="pct"/>
            <w:tcBorders>
              <w:top w:val="single" w:color="auto" w:sz="4" w:space="0"/>
              <w:left w:val="single" w:color="auto" w:sz="4" w:space="0"/>
              <w:bottom w:val="single" w:color="auto" w:sz="4" w:space="0"/>
              <w:right w:val="single" w:color="auto" w:sz="4" w:space="0"/>
            </w:tcBorders>
          </w:tcPr>
          <w:p w14:paraId="346280C2">
            <w:pPr>
              <w:jc w:val="right"/>
            </w:pPr>
          </w:p>
        </w:tc>
        <w:tc>
          <w:tcPr>
            <w:tcW w:w="450" w:type="pct"/>
            <w:tcBorders>
              <w:top w:val="single" w:color="auto" w:sz="4" w:space="0"/>
              <w:left w:val="single" w:color="auto" w:sz="4" w:space="0"/>
              <w:bottom w:val="single" w:color="auto" w:sz="4" w:space="0"/>
              <w:right w:val="single" w:color="auto" w:sz="4" w:space="0"/>
            </w:tcBorders>
            <w:vAlign w:val="center"/>
          </w:tcPr>
          <w:p w14:paraId="6C8BA9FB">
            <w:pPr>
              <w:jc w:val="right"/>
            </w:pPr>
          </w:p>
        </w:tc>
        <w:tc>
          <w:tcPr>
            <w:tcW w:w="612" w:type="pct"/>
            <w:tcBorders>
              <w:top w:val="single" w:color="auto" w:sz="4" w:space="0"/>
              <w:left w:val="single" w:color="auto" w:sz="4" w:space="0"/>
              <w:bottom w:val="single" w:color="auto" w:sz="4" w:space="0"/>
              <w:right w:val="single" w:color="auto" w:sz="4" w:space="0"/>
            </w:tcBorders>
            <w:vAlign w:val="center"/>
          </w:tcPr>
          <w:p w14:paraId="0DCB6B23">
            <w:pPr>
              <w:jc w:val="right"/>
              <w:rPr>
                <w:rFonts w:ascii="宋体" w:hAnsi="宋体"/>
                <w:sz w:val="24"/>
                <w:szCs w:val="24"/>
              </w:rPr>
            </w:pPr>
            <w:r>
              <w:t>-383,682.50</w:t>
            </w:r>
          </w:p>
        </w:tc>
        <w:tc>
          <w:tcPr>
            <w:tcW w:w="488" w:type="pct"/>
            <w:tcBorders>
              <w:top w:val="single" w:color="auto" w:sz="4" w:space="0"/>
              <w:left w:val="single" w:color="auto" w:sz="4" w:space="0"/>
              <w:bottom w:val="single" w:color="auto" w:sz="4" w:space="0"/>
              <w:right w:val="single" w:color="auto" w:sz="4" w:space="0"/>
            </w:tcBorders>
            <w:vAlign w:val="center"/>
          </w:tcPr>
          <w:p w14:paraId="3FE7E885">
            <w:r>
              <w:t>持有目的为非交易性</w:t>
            </w:r>
          </w:p>
        </w:tc>
      </w:tr>
      <w:tr w14:paraId="4E28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top w:val="single" w:color="auto" w:sz="4" w:space="0"/>
              <w:left w:val="single" w:color="auto" w:sz="4" w:space="0"/>
              <w:bottom w:val="single" w:color="auto" w:sz="4" w:space="0"/>
              <w:right w:val="single" w:color="auto" w:sz="4" w:space="0"/>
            </w:tcBorders>
          </w:tcPr>
          <w:p w14:paraId="2D7544AB">
            <w:r>
              <w:t>越南兴安机械有限公司</w:t>
            </w:r>
          </w:p>
        </w:tc>
        <w:tc>
          <w:tcPr>
            <w:tcW w:w="465" w:type="pct"/>
            <w:tcBorders>
              <w:top w:val="single" w:color="auto" w:sz="4" w:space="0"/>
              <w:left w:val="single" w:color="auto" w:sz="4" w:space="0"/>
              <w:bottom w:val="single" w:color="auto" w:sz="4" w:space="0"/>
              <w:right w:val="single" w:color="auto" w:sz="4" w:space="0"/>
            </w:tcBorders>
          </w:tcPr>
          <w:p w14:paraId="3BD9C6E4">
            <w:pPr>
              <w:jc w:val="right"/>
            </w:pPr>
          </w:p>
        </w:tc>
        <w:tc>
          <w:tcPr>
            <w:tcW w:w="355" w:type="pct"/>
            <w:tcBorders>
              <w:top w:val="single" w:color="auto" w:sz="4" w:space="0"/>
              <w:left w:val="single" w:color="auto" w:sz="4" w:space="0"/>
              <w:bottom w:val="single" w:color="auto" w:sz="4" w:space="0"/>
              <w:right w:val="single" w:color="auto" w:sz="4" w:space="0"/>
            </w:tcBorders>
          </w:tcPr>
          <w:p w14:paraId="4E3001AF">
            <w:pPr>
              <w:jc w:val="right"/>
            </w:pPr>
          </w:p>
        </w:tc>
        <w:tc>
          <w:tcPr>
            <w:tcW w:w="213" w:type="pct"/>
            <w:tcBorders>
              <w:top w:val="single" w:color="auto" w:sz="4" w:space="0"/>
              <w:left w:val="single" w:color="auto" w:sz="4" w:space="0"/>
              <w:bottom w:val="single" w:color="auto" w:sz="4" w:space="0"/>
              <w:right w:val="single" w:color="auto" w:sz="4" w:space="0"/>
            </w:tcBorders>
          </w:tcPr>
          <w:p w14:paraId="4533C3E6">
            <w:pPr>
              <w:jc w:val="right"/>
            </w:pPr>
          </w:p>
        </w:tc>
        <w:tc>
          <w:tcPr>
            <w:tcW w:w="450" w:type="pct"/>
            <w:tcBorders>
              <w:top w:val="single" w:color="auto" w:sz="4" w:space="0"/>
              <w:left w:val="single" w:color="auto" w:sz="4" w:space="0"/>
              <w:bottom w:val="single" w:color="auto" w:sz="4" w:space="0"/>
              <w:right w:val="single" w:color="auto" w:sz="4" w:space="0"/>
            </w:tcBorders>
          </w:tcPr>
          <w:p w14:paraId="3A9FEB75">
            <w:pPr>
              <w:jc w:val="right"/>
            </w:pPr>
          </w:p>
        </w:tc>
        <w:tc>
          <w:tcPr>
            <w:tcW w:w="350" w:type="pct"/>
            <w:tcBorders>
              <w:top w:val="single" w:color="auto" w:sz="4" w:space="0"/>
              <w:left w:val="single" w:color="auto" w:sz="4" w:space="0"/>
              <w:bottom w:val="single" w:color="auto" w:sz="4" w:space="0"/>
              <w:right w:val="single" w:color="auto" w:sz="4" w:space="0"/>
            </w:tcBorders>
          </w:tcPr>
          <w:p w14:paraId="31DD4EFD">
            <w:pPr>
              <w:jc w:val="right"/>
            </w:pPr>
          </w:p>
        </w:tc>
        <w:tc>
          <w:tcPr>
            <w:tcW w:w="350" w:type="pct"/>
            <w:tcBorders>
              <w:top w:val="single" w:color="auto" w:sz="4" w:space="0"/>
              <w:left w:val="single" w:color="auto" w:sz="4" w:space="0"/>
              <w:bottom w:val="single" w:color="auto" w:sz="4" w:space="0"/>
              <w:right w:val="single" w:color="auto" w:sz="4" w:space="0"/>
            </w:tcBorders>
          </w:tcPr>
          <w:p w14:paraId="62A2B34F">
            <w:pPr>
              <w:jc w:val="right"/>
            </w:pPr>
          </w:p>
        </w:tc>
        <w:tc>
          <w:tcPr>
            <w:tcW w:w="465" w:type="pct"/>
            <w:tcBorders>
              <w:top w:val="single" w:color="auto" w:sz="4" w:space="0"/>
              <w:left w:val="single" w:color="auto" w:sz="4" w:space="0"/>
              <w:bottom w:val="single" w:color="auto" w:sz="4" w:space="0"/>
              <w:right w:val="single" w:color="auto" w:sz="4" w:space="0"/>
            </w:tcBorders>
          </w:tcPr>
          <w:p w14:paraId="4EE7FEEE">
            <w:pPr>
              <w:jc w:val="right"/>
            </w:pPr>
          </w:p>
        </w:tc>
        <w:tc>
          <w:tcPr>
            <w:tcW w:w="338" w:type="pct"/>
            <w:tcBorders>
              <w:top w:val="single" w:color="auto" w:sz="4" w:space="0"/>
              <w:left w:val="single" w:color="auto" w:sz="4" w:space="0"/>
              <w:bottom w:val="single" w:color="auto" w:sz="4" w:space="0"/>
              <w:right w:val="single" w:color="auto" w:sz="4" w:space="0"/>
            </w:tcBorders>
          </w:tcPr>
          <w:p w14:paraId="6DA38D1E">
            <w:pPr>
              <w:jc w:val="right"/>
            </w:pPr>
          </w:p>
        </w:tc>
        <w:tc>
          <w:tcPr>
            <w:tcW w:w="450" w:type="pct"/>
            <w:tcBorders>
              <w:top w:val="single" w:color="auto" w:sz="4" w:space="0"/>
              <w:left w:val="single" w:color="auto" w:sz="4" w:space="0"/>
              <w:bottom w:val="single" w:color="auto" w:sz="4" w:space="0"/>
              <w:right w:val="single" w:color="auto" w:sz="4" w:space="0"/>
            </w:tcBorders>
            <w:vAlign w:val="center"/>
          </w:tcPr>
          <w:p w14:paraId="30F39546">
            <w:pPr>
              <w:jc w:val="right"/>
            </w:pPr>
          </w:p>
        </w:tc>
        <w:tc>
          <w:tcPr>
            <w:tcW w:w="612" w:type="pct"/>
            <w:tcBorders>
              <w:top w:val="single" w:color="auto" w:sz="4" w:space="0"/>
              <w:left w:val="single" w:color="auto" w:sz="4" w:space="0"/>
              <w:bottom w:val="single" w:color="auto" w:sz="4" w:space="0"/>
              <w:right w:val="single" w:color="auto" w:sz="4" w:space="0"/>
            </w:tcBorders>
            <w:vAlign w:val="center"/>
          </w:tcPr>
          <w:p w14:paraId="149B2E08">
            <w:pPr>
              <w:jc w:val="right"/>
              <w:rPr>
                <w:rFonts w:ascii="宋体" w:hAnsi="宋体"/>
                <w:sz w:val="24"/>
                <w:szCs w:val="24"/>
              </w:rPr>
            </w:pPr>
            <w:r>
              <w:t>-837,216.77</w:t>
            </w:r>
          </w:p>
        </w:tc>
        <w:tc>
          <w:tcPr>
            <w:tcW w:w="488" w:type="pct"/>
            <w:tcBorders>
              <w:top w:val="single" w:color="auto" w:sz="4" w:space="0"/>
              <w:left w:val="single" w:color="auto" w:sz="4" w:space="0"/>
              <w:bottom w:val="single" w:color="auto" w:sz="4" w:space="0"/>
              <w:right w:val="single" w:color="auto" w:sz="4" w:space="0"/>
            </w:tcBorders>
            <w:vAlign w:val="center"/>
          </w:tcPr>
          <w:p w14:paraId="18DF47EB">
            <w:r>
              <w:t>持有目的为非交易性</w:t>
            </w:r>
          </w:p>
        </w:tc>
      </w:tr>
      <w:tr w14:paraId="635E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top w:val="single" w:color="auto" w:sz="4" w:space="0"/>
              <w:left w:val="single" w:color="auto" w:sz="4" w:space="0"/>
              <w:bottom w:val="single" w:color="auto" w:sz="4" w:space="0"/>
              <w:right w:val="single" w:color="auto" w:sz="4" w:space="0"/>
            </w:tcBorders>
          </w:tcPr>
          <w:p w14:paraId="7F2CBF58">
            <w:r>
              <w:t>飞天迅达（北京）航空信息技术有限责任公司</w:t>
            </w:r>
          </w:p>
        </w:tc>
        <w:tc>
          <w:tcPr>
            <w:tcW w:w="465" w:type="pct"/>
            <w:tcBorders>
              <w:top w:val="single" w:color="auto" w:sz="4" w:space="0"/>
              <w:left w:val="single" w:color="auto" w:sz="4" w:space="0"/>
              <w:bottom w:val="single" w:color="auto" w:sz="4" w:space="0"/>
              <w:right w:val="single" w:color="auto" w:sz="4" w:space="0"/>
            </w:tcBorders>
          </w:tcPr>
          <w:p w14:paraId="5D3C5374">
            <w:pPr>
              <w:jc w:val="right"/>
            </w:pPr>
          </w:p>
        </w:tc>
        <w:tc>
          <w:tcPr>
            <w:tcW w:w="355" w:type="pct"/>
            <w:tcBorders>
              <w:top w:val="single" w:color="auto" w:sz="4" w:space="0"/>
              <w:left w:val="single" w:color="auto" w:sz="4" w:space="0"/>
              <w:bottom w:val="single" w:color="auto" w:sz="4" w:space="0"/>
              <w:right w:val="single" w:color="auto" w:sz="4" w:space="0"/>
            </w:tcBorders>
          </w:tcPr>
          <w:p w14:paraId="04E19015">
            <w:pPr>
              <w:jc w:val="right"/>
            </w:pPr>
          </w:p>
        </w:tc>
        <w:tc>
          <w:tcPr>
            <w:tcW w:w="213" w:type="pct"/>
            <w:tcBorders>
              <w:top w:val="single" w:color="auto" w:sz="4" w:space="0"/>
              <w:left w:val="single" w:color="auto" w:sz="4" w:space="0"/>
              <w:bottom w:val="single" w:color="auto" w:sz="4" w:space="0"/>
              <w:right w:val="single" w:color="auto" w:sz="4" w:space="0"/>
            </w:tcBorders>
          </w:tcPr>
          <w:p w14:paraId="27368F5F">
            <w:pPr>
              <w:jc w:val="right"/>
            </w:pPr>
          </w:p>
        </w:tc>
        <w:tc>
          <w:tcPr>
            <w:tcW w:w="450" w:type="pct"/>
            <w:tcBorders>
              <w:top w:val="single" w:color="auto" w:sz="4" w:space="0"/>
              <w:left w:val="single" w:color="auto" w:sz="4" w:space="0"/>
              <w:bottom w:val="single" w:color="auto" w:sz="4" w:space="0"/>
              <w:right w:val="single" w:color="auto" w:sz="4" w:space="0"/>
            </w:tcBorders>
          </w:tcPr>
          <w:p w14:paraId="5F5FD6FE">
            <w:pPr>
              <w:jc w:val="right"/>
            </w:pPr>
          </w:p>
        </w:tc>
        <w:tc>
          <w:tcPr>
            <w:tcW w:w="350" w:type="pct"/>
            <w:tcBorders>
              <w:top w:val="single" w:color="auto" w:sz="4" w:space="0"/>
              <w:left w:val="single" w:color="auto" w:sz="4" w:space="0"/>
              <w:bottom w:val="single" w:color="auto" w:sz="4" w:space="0"/>
              <w:right w:val="single" w:color="auto" w:sz="4" w:space="0"/>
            </w:tcBorders>
          </w:tcPr>
          <w:p w14:paraId="358E99E0">
            <w:pPr>
              <w:jc w:val="right"/>
            </w:pPr>
          </w:p>
        </w:tc>
        <w:tc>
          <w:tcPr>
            <w:tcW w:w="350" w:type="pct"/>
            <w:tcBorders>
              <w:top w:val="single" w:color="auto" w:sz="4" w:space="0"/>
              <w:left w:val="single" w:color="auto" w:sz="4" w:space="0"/>
              <w:bottom w:val="single" w:color="auto" w:sz="4" w:space="0"/>
              <w:right w:val="single" w:color="auto" w:sz="4" w:space="0"/>
            </w:tcBorders>
          </w:tcPr>
          <w:p w14:paraId="7D5CDD73">
            <w:pPr>
              <w:jc w:val="right"/>
            </w:pPr>
          </w:p>
        </w:tc>
        <w:tc>
          <w:tcPr>
            <w:tcW w:w="465" w:type="pct"/>
            <w:tcBorders>
              <w:top w:val="single" w:color="auto" w:sz="4" w:space="0"/>
              <w:left w:val="single" w:color="auto" w:sz="4" w:space="0"/>
              <w:bottom w:val="single" w:color="auto" w:sz="4" w:space="0"/>
              <w:right w:val="single" w:color="auto" w:sz="4" w:space="0"/>
            </w:tcBorders>
          </w:tcPr>
          <w:p w14:paraId="39A21F34">
            <w:pPr>
              <w:jc w:val="right"/>
            </w:pPr>
          </w:p>
        </w:tc>
        <w:tc>
          <w:tcPr>
            <w:tcW w:w="338" w:type="pct"/>
            <w:tcBorders>
              <w:top w:val="single" w:color="auto" w:sz="4" w:space="0"/>
              <w:left w:val="single" w:color="auto" w:sz="4" w:space="0"/>
              <w:bottom w:val="single" w:color="auto" w:sz="4" w:space="0"/>
              <w:right w:val="single" w:color="auto" w:sz="4" w:space="0"/>
            </w:tcBorders>
          </w:tcPr>
          <w:p w14:paraId="2581DCBB">
            <w:pPr>
              <w:jc w:val="right"/>
            </w:pPr>
          </w:p>
        </w:tc>
        <w:tc>
          <w:tcPr>
            <w:tcW w:w="450" w:type="pct"/>
            <w:tcBorders>
              <w:top w:val="single" w:color="auto" w:sz="4" w:space="0"/>
              <w:left w:val="single" w:color="auto" w:sz="4" w:space="0"/>
              <w:bottom w:val="single" w:color="auto" w:sz="4" w:space="0"/>
              <w:right w:val="single" w:color="auto" w:sz="4" w:space="0"/>
            </w:tcBorders>
            <w:vAlign w:val="center"/>
          </w:tcPr>
          <w:p w14:paraId="0812FDF9">
            <w:pPr>
              <w:jc w:val="right"/>
            </w:pPr>
          </w:p>
        </w:tc>
        <w:tc>
          <w:tcPr>
            <w:tcW w:w="612" w:type="pct"/>
            <w:tcBorders>
              <w:top w:val="single" w:color="auto" w:sz="4" w:space="0"/>
              <w:left w:val="single" w:color="auto" w:sz="4" w:space="0"/>
              <w:bottom w:val="single" w:color="auto" w:sz="4" w:space="0"/>
              <w:right w:val="single" w:color="auto" w:sz="4" w:space="0"/>
            </w:tcBorders>
            <w:vAlign w:val="center"/>
          </w:tcPr>
          <w:p w14:paraId="66617958">
            <w:pPr>
              <w:jc w:val="right"/>
              <w:rPr>
                <w:rFonts w:ascii="宋体" w:hAnsi="宋体"/>
                <w:sz w:val="24"/>
                <w:szCs w:val="24"/>
              </w:rPr>
            </w:pPr>
            <w:r>
              <w:t>-180,500.00</w:t>
            </w:r>
          </w:p>
        </w:tc>
        <w:tc>
          <w:tcPr>
            <w:tcW w:w="488" w:type="pct"/>
            <w:tcBorders>
              <w:top w:val="single" w:color="auto" w:sz="4" w:space="0"/>
              <w:left w:val="single" w:color="auto" w:sz="4" w:space="0"/>
              <w:bottom w:val="single" w:color="auto" w:sz="4" w:space="0"/>
              <w:right w:val="single" w:color="auto" w:sz="4" w:space="0"/>
            </w:tcBorders>
            <w:vAlign w:val="center"/>
          </w:tcPr>
          <w:p w14:paraId="123598D9">
            <w:r>
              <w:t>持有目的为非交易性</w:t>
            </w:r>
          </w:p>
        </w:tc>
      </w:tr>
      <w:tr w14:paraId="45F2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 w:type="pct"/>
            <w:tcBorders>
              <w:top w:val="single" w:color="auto" w:sz="4" w:space="0"/>
              <w:left w:val="single" w:color="auto" w:sz="4" w:space="0"/>
              <w:bottom w:val="single" w:color="auto" w:sz="4" w:space="0"/>
              <w:right w:val="single" w:color="auto" w:sz="4" w:space="0"/>
            </w:tcBorders>
            <w:vAlign w:val="center"/>
          </w:tcPr>
          <w:p w14:paraId="7E225D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465" w:type="pct"/>
            <w:tcBorders>
              <w:top w:val="single" w:color="auto" w:sz="4" w:space="0"/>
              <w:left w:val="single" w:color="auto" w:sz="4" w:space="0"/>
              <w:bottom w:val="single" w:color="auto" w:sz="4" w:space="0"/>
              <w:right w:val="single" w:color="auto" w:sz="4" w:space="0"/>
            </w:tcBorders>
          </w:tcPr>
          <w:p w14:paraId="090E871D">
            <w:pPr>
              <w:jc w:val="right"/>
            </w:pPr>
            <w:r>
              <w:t>6,727,715.07</w:t>
            </w:r>
          </w:p>
        </w:tc>
        <w:tc>
          <w:tcPr>
            <w:tcW w:w="355" w:type="pct"/>
            <w:tcBorders>
              <w:top w:val="single" w:color="auto" w:sz="4" w:space="0"/>
              <w:left w:val="single" w:color="auto" w:sz="4" w:space="0"/>
              <w:bottom w:val="single" w:color="auto" w:sz="4" w:space="0"/>
              <w:right w:val="single" w:color="auto" w:sz="4" w:space="0"/>
            </w:tcBorders>
          </w:tcPr>
          <w:p w14:paraId="1607AC28">
            <w:pPr>
              <w:jc w:val="right"/>
            </w:pPr>
          </w:p>
        </w:tc>
        <w:tc>
          <w:tcPr>
            <w:tcW w:w="213" w:type="pct"/>
            <w:tcBorders>
              <w:top w:val="single" w:color="auto" w:sz="4" w:space="0"/>
              <w:left w:val="single" w:color="auto" w:sz="4" w:space="0"/>
              <w:bottom w:val="single" w:color="auto" w:sz="4" w:space="0"/>
              <w:right w:val="single" w:color="auto" w:sz="4" w:space="0"/>
            </w:tcBorders>
          </w:tcPr>
          <w:p w14:paraId="4B9716DE">
            <w:pPr>
              <w:jc w:val="right"/>
            </w:pPr>
          </w:p>
        </w:tc>
        <w:tc>
          <w:tcPr>
            <w:tcW w:w="450" w:type="pct"/>
            <w:tcBorders>
              <w:top w:val="single" w:color="auto" w:sz="4" w:space="0"/>
              <w:left w:val="single" w:color="auto" w:sz="4" w:space="0"/>
              <w:bottom w:val="single" w:color="auto" w:sz="4" w:space="0"/>
              <w:right w:val="single" w:color="auto" w:sz="4" w:space="0"/>
            </w:tcBorders>
          </w:tcPr>
          <w:p w14:paraId="11704B73">
            <w:pPr>
              <w:jc w:val="right"/>
            </w:pPr>
            <w:r>
              <w:t>27,890.20</w:t>
            </w:r>
          </w:p>
        </w:tc>
        <w:tc>
          <w:tcPr>
            <w:tcW w:w="350" w:type="pct"/>
            <w:tcBorders>
              <w:top w:val="single" w:color="auto" w:sz="4" w:space="0"/>
              <w:left w:val="single" w:color="auto" w:sz="4" w:space="0"/>
              <w:bottom w:val="single" w:color="auto" w:sz="4" w:space="0"/>
              <w:right w:val="single" w:color="auto" w:sz="4" w:space="0"/>
            </w:tcBorders>
          </w:tcPr>
          <w:p w14:paraId="438EAC95">
            <w:pPr>
              <w:jc w:val="right"/>
            </w:pPr>
          </w:p>
        </w:tc>
        <w:tc>
          <w:tcPr>
            <w:tcW w:w="350" w:type="pct"/>
            <w:tcBorders>
              <w:top w:val="single" w:color="auto" w:sz="4" w:space="0"/>
              <w:left w:val="single" w:color="auto" w:sz="4" w:space="0"/>
              <w:bottom w:val="single" w:color="auto" w:sz="4" w:space="0"/>
              <w:right w:val="single" w:color="auto" w:sz="4" w:space="0"/>
            </w:tcBorders>
          </w:tcPr>
          <w:p w14:paraId="21E968E5">
            <w:pPr>
              <w:jc w:val="right"/>
            </w:pPr>
          </w:p>
        </w:tc>
        <w:tc>
          <w:tcPr>
            <w:tcW w:w="465" w:type="pct"/>
            <w:tcBorders>
              <w:top w:val="single" w:color="auto" w:sz="4" w:space="0"/>
              <w:left w:val="single" w:color="auto" w:sz="4" w:space="0"/>
              <w:bottom w:val="single" w:color="auto" w:sz="4" w:space="0"/>
              <w:right w:val="single" w:color="auto" w:sz="4" w:space="0"/>
            </w:tcBorders>
          </w:tcPr>
          <w:p w14:paraId="30EFC29E">
            <w:pPr>
              <w:jc w:val="right"/>
            </w:pPr>
            <w:r>
              <w:t>6,755,605.27</w:t>
            </w:r>
          </w:p>
        </w:tc>
        <w:tc>
          <w:tcPr>
            <w:tcW w:w="338" w:type="pct"/>
            <w:tcBorders>
              <w:top w:val="single" w:color="auto" w:sz="4" w:space="0"/>
              <w:left w:val="single" w:color="auto" w:sz="4" w:space="0"/>
              <w:bottom w:val="single" w:color="auto" w:sz="4" w:space="0"/>
              <w:right w:val="single" w:color="auto" w:sz="4" w:space="0"/>
            </w:tcBorders>
          </w:tcPr>
          <w:p w14:paraId="2D535BCA">
            <w:pPr>
              <w:jc w:val="right"/>
            </w:pPr>
          </w:p>
        </w:tc>
        <w:tc>
          <w:tcPr>
            <w:tcW w:w="450" w:type="pct"/>
            <w:tcBorders>
              <w:top w:val="single" w:color="auto" w:sz="4" w:space="0"/>
              <w:left w:val="single" w:color="auto" w:sz="4" w:space="0"/>
              <w:bottom w:val="single" w:color="auto" w:sz="4" w:space="0"/>
              <w:right w:val="single" w:color="auto" w:sz="4" w:space="0"/>
            </w:tcBorders>
            <w:vAlign w:val="center"/>
          </w:tcPr>
          <w:p w14:paraId="25481996">
            <w:pPr>
              <w:jc w:val="right"/>
            </w:pPr>
            <w:r>
              <w:t>53,202.38</w:t>
            </w:r>
          </w:p>
        </w:tc>
        <w:tc>
          <w:tcPr>
            <w:tcW w:w="612" w:type="pct"/>
            <w:tcBorders>
              <w:top w:val="single" w:color="auto" w:sz="4" w:space="0"/>
              <w:left w:val="single" w:color="auto" w:sz="4" w:space="0"/>
              <w:bottom w:val="single" w:color="auto" w:sz="4" w:space="0"/>
              <w:right w:val="single" w:color="auto" w:sz="4" w:space="0"/>
            </w:tcBorders>
            <w:vAlign w:val="center"/>
          </w:tcPr>
          <w:p w14:paraId="3AB60F87">
            <w:pPr>
              <w:jc w:val="right"/>
            </w:pPr>
            <w:r>
              <w:t>-6,563,758.99</w:t>
            </w:r>
          </w:p>
        </w:tc>
        <w:tc>
          <w:tcPr>
            <w:tcW w:w="488" w:type="pct"/>
            <w:tcBorders>
              <w:top w:val="single" w:color="auto" w:sz="4" w:space="0"/>
              <w:left w:val="single" w:color="auto" w:sz="4" w:space="0"/>
              <w:bottom w:val="single" w:color="auto" w:sz="4" w:space="0"/>
              <w:right w:val="single" w:color="auto" w:sz="4" w:space="0"/>
            </w:tcBorders>
          </w:tcPr>
          <w:p w14:paraId="6B4F0D07">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59142DDA"/>
    <w:p w14:paraId="66F66857">
      <w:pPr>
        <w:pStyle w:val="5"/>
        <w:numPr>
          <w:ilvl w:val="3"/>
          <w:numId w:val="56"/>
        </w:numPr>
        <w:ind w:left="426" w:hanging="426"/>
        <w:rPr>
          <w:color w:val="000000" w:themeColor="text1"/>
          <w14:textFill>
            <w14:solidFill>
              <w14:schemeClr w14:val="tx1"/>
            </w14:solidFill>
          </w14:textFill>
        </w:rPr>
      </w:pPr>
      <w:r>
        <w:rPr>
          <w:rFonts w:hint="eastAsia"/>
          <w:color w:val="000000" w:themeColor="text1"/>
          <w14:textFill>
            <w14:solidFill>
              <w14:schemeClr w14:val="tx1"/>
            </w14:solidFill>
          </w14:textFill>
        </w:rPr>
        <w:t>本期存在终止确认的情况说明</w:t>
      </w:r>
    </w:p>
    <w:sdt>
      <w:sdtPr>
        <w:rPr>
          <w:color w:val="000000" w:themeColor="text1"/>
          <w14:textFill>
            <w14:solidFill>
              <w14:schemeClr w14:val="tx1"/>
            </w14:solidFill>
          </w14:textFill>
        </w:rPr>
        <w:alias w:val="是否适用：本期存在终止确认的情况说明[双击切换]"/>
        <w:tag w:val="_GBC_db77b2aaae65441d940bf2dc3b0e8b9b"/>
        <w:id w:val="-1387713465"/>
        <w:placeholder>
          <w:docPart w:val="GBC22222222222222222222222222222"/>
        </w:placeholder>
      </w:sdtPr>
      <w:sdtEndPr>
        <w:rPr>
          <w:color w:val="000000" w:themeColor="text1"/>
          <w14:textFill>
            <w14:solidFill>
              <w14:schemeClr w14:val="tx1"/>
            </w14:solidFill>
          </w14:textFill>
        </w:rPr>
      </w:sdtEndPr>
      <w:sdtContent>
        <w:p w14:paraId="2FB051D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33515C">
      <w:pPr>
        <w:rPr>
          <w:color w:val="000000" w:themeColor="text1"/>
          <w14:textFill>
            <w14:solidFill>
              <w14:schemeClr w14:val="tx1"/>
            </w14:solidFill>
          </w14:textFill>
        </w:rPr>
      </w:pPr>
    </w:p>
    <w:bookmarkEnd w:id="259"/>
    <w:p w14:paraId="07545FBD">
      <w:pPr>
        <w:rPr>
          <w:color w:val="000000" w:themeColor="text1"/>
          <w14:textFill>
            <w14:solidFill>
              <w14:schemeClr w14:val="tx1"/>
            </w14:solidFill>
          </w14:textFill>
        </w:rPr>
      </w:pPr>
      <w:bookmarkStart w:id="261" w:name="_Hlk10472110"/>
      <w:bookmarkStart w:id="262" w:name="_Hlk10472118"/>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r>
        <w:rPr>
          <w:rFonts w:hint="eastAsia"/>
          <w:color w:val="000000" w:themeColor="text1"/>
          <w14:textFill>
            <w14:solidFill>
              <w14:schemeClr w14:val="tx1"/>
            </w14:solidFill>
          </w14:textFill>
        </w:rPr>
        <w:t>：</w:t>
      </w:r>
      <w:bookmarkEnd w:id="261"/>
    </w:p>
    <w:sdt>
      <w:sdtPr>
        <w:rPr>
          <w:color w:val="000000" w:themeColor="text1"/>
          <w14:textFill>
            <w14:solidFill>
              <w14:schemeClr w14:val="tx1"/>
            </w14:solidFill>
          </w14:textFill>
        </w:rPr>
        <w:alias w:val="是否适用：其他权益工具投资其他说明[双击切换]"/>
        <w:tag w:val="_GBC_9bd79d8d324a4f4c984344781e18ee35"/>
        <w:id w:val="-457796967"/>
        <w:placeholder>
          <w:docPart w:val="GBC22222222222222222222222222222"/>
        </w:placeholder>
      </w:sdtPr>
      <w:sdtEndPr>
        <w:rPr>
          <w:color w:val="000000" w:themeColor="text1"/>
          <w14:textFill>
            <w14:solidFill>
              <w14:schemeClr w14:val="tx1"/>
            </w14:solidFill>
          </w14:textFill>
        </w:rPr>
      </w:sdtEndPr>
      <w:sdtContent>
        <w:p w14:paraId="22C9E65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827F5DF">
      <w:pPr>
        <w:snapToGrid w:val="0"/>
        <w:spacing w:line="240" w:lineRule="atLeast"/>
        <w:rPr>
          <w:color w:val="000000" w:themeColor="text1"/>
          <w14:textFill>
            <w14:solidFill>
              <w14:schemeClr w14:val="tx1"/>
            </w14:solidFill>
          </w14:textFill>
        </w:rPr>
      </w:pPr>
    </w:p>
    <w:bookmarkEnd w:id="262"/>
    <w:p w14:paraId="7FAB99C2">
      <w:pPr>
        <w:snapToGrid w:val="0"/>
        <w:spacing w:line="240" w:lineRule="atLeast"/>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7FC7B528">
      <w:pPr>
        <w:pStyle w:val="4"/>
        <w:numPr>
          <w:ilvl w:val="0"/>
          <w:numId w:val="41"/>
        </w:numPr>
        <w:rPr>
          <w:color w:val="000000" w:themeColor="text1"/>
          <w:szCs w:val="21"/>
          <w14:textFill>
            <w14:solidFill>
              <w14:schemeClr w14:val="tx1"/>
            </w14:solidFill>
          </w14:textFill>
        </w:rPr>
      </w:pPr>
      <w:bookmarkStart w:id="263" w:name="_Hlk10472259"/>
      <w:r>
        <w:rPr>
          <w:color w:val="000000" w:themeColor="text1"/>
          <w:szCs w:val="21"/>
          <w14:textFill>
            <w14:solidFill>
              <w14:schemeClr w14:val="tx1"/>
            </w14:solidFill>
          </w14:textFill>
        </w:rPr>
        <w:t>其他非流动金融资产</w:t>
      </w:r>
    </w:p>
    <w:sdt>
      <w:sdtPr>
        <w:rPr>
          <w:color w:val="000000" w:themeColor="text1"/>
          <w14:textFill>
            <w14:solidFill>
              <w14:schemeClr w14:val="tx1"/>
            </w14:solidFill>
          </w14:textFill>
        </w:rPr>
        <w:alias w:val="是否适用：其他非流动金融资产[双击切换]"/>
        <w:tag w:val="_GBC_39a16d6030db4b008bd8e70705c49dd5"/>
        <w:id w:val="1756860485"/>
        <w:placeholder>
          <w:docPart w:val="GBC22222222222222222222222222222"/>
        </w:placeholder>
      </w:sdtPr>
      <w:sdtEndPr>
        <w:rPr>
          <w:color w:val="000000" w:themeColor="text1"/>
          <w14:textFill>
            <w14:solidFill>
              <w14:schemeClr w14:val="tx1"/>
            </w14:solidFill>
          </w14:textFill>
        </w:rPr>
      </w:sdtEndPr>
      <w:sdtContent>
        <w:p w14:paraId="491ED12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3516B4">
      <w:pPr>
        <w:rPr>
          <w:color w:val="000000" w:themeColor="text1"/>
          <w14:textFill>
            <w14:solidFill>
              <w14:schemeClr w14:val="tx1"/>
            </w14:solidFill>
          </w14:textFill>
        </w:rPr>
      </w:pPr>
    </w:p>
    <w:bookmarkEnd w:id="263"/>
    <w:p w14:paraId="72D4552D">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投资性房地产</w:t>
      </w:r>
    </w:p>
    <w:p w14:paraId="18D1C647">
      <w:pPr>
        <w:rPr>
          <w:color w:val="000000" w:themeColor="text1"/>
          <w14:textFill>
            <w14:solidFill>
              <w14:schemeClr w14:val="tx1"/>
            </w14:solidFill>
          </w14:textFill>
        </w:rPr>
      </w:pPr>
      <w:r>
        <w:rPr>
          <w:color w:val="000000" w:themeColor="text1"/>
          <w14:textFill>
            <w14:solidFill>
              <w14:schemeClr w14:val="tx1"/>
            </w14:solidFill>
          </w14:textFill>
        </w:rPr>
        <w:t>投资性房地产</w:t>
      </w:r>
      <w:r>
        <w:rPr>
          <w:rFonts w:hint="eastAsia"/>
          <w:color w:val="000000" w:themeColor="text1"/>
          <w14:textFill>
            <w14:solidFill>
              <w14:schemeClr w14:val="tx1"/>
            </w14:solidFill>
          </w14:textFill>
        </w:rPr>
        <w:t>计量模式</w:t>
      </w:r>
    </w:p>
    <w:p w14:paraId="6896695B">
      <w:pPr>
        <w:pStyle w:val="5"/>
        <w:numPr>
          <w:ilvl w:val="0"/>
          <w:numId w:val="57"/>
        </w:numPr>
        <w:tabs>
          <w:tab w:val="left" w:pos="616"/>
        </w:tabs>
        <w:rPr>
          <w:rFonts w:ascii="宋体" w:hAnsi="宋体"/>
          <w:color w:val="000000" w:themeColor="text1"/>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采用</w:t>
      </w:r>
      <w:r>
        <w:rPr>
          <w:rFonts w:ascii="宋体" w:hAnsi="宋体"/>
          <w:color w:val="000000" w:themeColor="text1"/>
          <w:kern w:val="0"/>
          <w:szCs w:val="21"/>
          <w14:textFill>
            <w14:solidFill>
              <w14:schemeClr w14:val="tx1"/>
            </w14:solidFill>
          </w14:textFill>
        </w:rPr>
        <w:t>公允价值计量</w:t>
      </w:r>
      <w:r>
        <w:rPr>
          <w:rFonts w:hint="eastAsia" w:ascii="宋体" w:hAnsi="宋体"/>
          <w:color w:val="000000" w:themeColor="text1"/>
          <w:kern w:val="0"/>
          <w:szCs w:val="21"/>
          <w14:textFill>
            <w14:solidFill>
              <w14:schemeClr w14:val="tx1"/>
            </w14:solidFill>
          </w14:textFill>
        </w:rPr>
        <w:t>模式</w:t>
      </w:r>
      <w:r>
        <w:rPr>
          <w:rFonts w:ascii="宋体" w:hAnsi="宋体"/>
          <w:color w:val="000000" w:themeColor="text1"/>
          <w:kern w:val="0"/>
          <w:szCs w:val="21"/>
          <w14:textFill>
            <w14:solidFill>
              <w14:schemeClr w14:val="tx1"/>
            </w14:solidFill>
          </w14:textFill>
        </w:rPr>
        <w:t>的投资性房地产</w:t>
      </w:r>
    </w:p>
    <w:p w14:paraId="0A59CBF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按公允价值计量的投资性房地产"/>
          <w:tag w:val="_GBC_63b8278d283447408b8acb8a673afc1e"/>
          <w:id w:val="2450818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按公允价值计量的投资性房地产"/>
          <w:tag w:val="_GBC_ab727728b2474f9faacae67c00bf0afe"/>
          <w:id w:val="-19746687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6"/>
        <w:gridCol w:w="1729"/>
        <w:gridCol w:w="1479"/>
        <w:gridCol w:w="1396"/>
        <w:gridCol w:w="1729"/>
      </w:tblGrid>
      <w:tr w14:paraId="714E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5c8971a7643e473e8da0cb49b691de17"/>
            <w:id w:val="-773788268"/>
          </w:sdtPr>
          <w:sdtContent>
            <w:tc>
              <w:tcPr>
                <w:tcW w:w="1501" w:type="pct"/>
                <w:tcBorders>
                  <w:top w:val="single" w:color="auto" w:sz="4" w:space="0"/>
                  <w:left w:val="single" w:color="auto" w:sz="4" w:space="0"/>
                  <w:bottom w:val="single" w:color="auto" w:sz="4" w:space="0"/>
                  <w:right w:val="single" w:color="auto" w:sz="4" w:space="0"/>
                </w:tcBorders>
                <w:vAlign w:val="center"/>
              </w:tcPr>
              <w:p w14:paraId="2535360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b7361d51ce54edfa90bd144c75a07e6"/>
            <w:id w:val="-1468891079"/>
          </w:sdtPr>
          <w:sdtContent>
            <w:tc>
              <w:tcPr>
                <w:tcW w:w="955" w:type="pct"/>
                <w:tcBorders>
                  <w:top w:val="single" w:color="auto" w:sz="4" w:space="0"/>
                  <w:left w:val="single" w:color="auto" w:sz="4" w:space="0"/>
                  <w:bottom w:val="single" w:color="auto" w:sz="4" w:space="0"/>
                  <w:right w:val="single" w:color="auto" w:sz="4" w:space="0"/>
                </w:tcBorders>
                <w:vAlign w:val="center"/>
              </w:tcPr>
              <w:p w14:paraId="506C5EF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房屋、建筑物</w:t>
                </w:r>
              </w:p>
            </w:tc>
          </w:sdtContent>
        </w:sdt>
        <w:sdt>
          <w:sdtPr>
            <w:tag w:val="_PLD_90a7ada9a96f4865a914c04b29f5e7a6"/>
            <w:id w:val="1576779439"/>
          </w:sdtPr>
          <w:sdtContent>
            <w:tc>
              <w:tcPr>
                <w:tcW w:w="817" w:type="pct"/>
                <w:tcBorders>
                  <w:top w:val="single" w:color="auto" w:sz="4" w:space="0"/>
                  <w:left w:val="single" w:color="auto" w:sz="4" w:space="0"/>
                  <w:bottom w:val="single" w:color="auto" w:sz="4" w:space="0"/>
                  <w:right w:val="single" w:color="auto" w:sz="4" w:space="0"/>
                </w:tcBorders>
                <w:vAlign w:val="center"/>
              </w:tcPr>
              <w:p w14:paraId="042F91A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土地使用权</w:t>
                </w:r>
              </w:p>
            </w:tc>
          </w:sdtContent>
        </w:sdt>
        <w:sdt>
          <w:sdtPr>
            <w:tag w:val="_PLD_951d77d28c044e859f4e1f5fdcc625fa"/>
            <w:id w:val="-1551676903"/>
          </w:sdtPr>
          <w:sdtContent>
            <w:tc>
              <w:tcPr>
                <w:tcW w:w="771" w:type="pct"/>
                <w:tcBorders>
                  <w:top w:val="single" w:color="auto" w:sz="4" w:space="0"/>
                  <w:left w:val="single" w:color="auto" w:sz="4" w:space="0"/>
                  <w:bottom w:val="single" w:color="auto" w:sz="4" w:space="0"/>
                  <w:right w:val="single" w:color="auto" w:sz="4" w:space="0"/>
                </w:tcBorders>
                <w:vAlign w:val="center"/>
              </w:tcPr>
              <w:p w14:paraId="14EB35E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在建工程</w:t>
                </w:r>
              </w:p>
            </w:tc>
          </w:sdtContent>
        </w:sdt>
        <w:sdt>
          <w:sdtPr>
            <w:tag w:val="_PLD_089c0234bd304e26899493c36cb6a6e7"/>
            <w:id w:val="-379790092"/>
          </w:sdtPr>
          <w:sdtContent>
            <w:tc>
              <w:tcPr>
                <w:tcW w:w="955" w:type="pct"/>
                <w:tcBorders>
                  <w:top w:val="single" w:color="auto" w:sz="4" w:space="0"/>
                  <w:left w:val="single" w:color="auto" w:sz="4" w:space="0"/>
                  <w:bottom w:val="single" w:color="auto" w:sz="4" w:space="0"/>
                  <w:right w:val="single" w:color="auto" w:sz="4" w:space="0"/>
                </w:tcBorders>
                <w:vAlign w:val="center"/>
              </w:tcPr>
              <w:p w14:paraId="3A0F1A7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r>
      <w:tr w14:paraId="7AC7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01" w:type="pct"/>
            <w:tcBorders>
              <w:top w:val="single" w:color="auto" w:sz="4" w:space="0"/>
              <w:left w:val="single" w:color="auto" w:sz="4" w:space="0"/>
              <w:bottom w:val="single" w:color="auto" w:sz="4" w:space="0"/>
              <w:right w:val="single" w:color="auto" w:sz="4" w:space="0"/>
            </w:tcBorders>
          </w:tcPr>
          <w:p w14:paraId="625CE99F">
            <w:pPr>
              <w:rPr>
                <w:color w:val="000000" w:themeColor="text1"/>
                <w14:textFill>
                  <w14:solidFill>
                    <w14:schemeClr w14:val="tx1"/>
                  </w14:solidFill>
                </w14:textFill>
              </w:rPr>
            </w:pPr>
            <w:r>
              <w:rPr>
                <w:rFonts w:hint="eastAsia"/>
                <w:color w:val="000000" w:themeColor="text1"/>
                <w14:textFill>
                  <w14:solidFill>
                    <w14:schemeClr w14:val="tx1"/>
                  </w14:solidFill>
                </w14:textFill>
              </w:rPr>
              <w:t>一、期初余额</w:t>
            </w:r>
          </w:p>
        </w:tc>
        <w:tc>
          <w:tcPr>
            <w:tcW w:w="955" w:type="pct"/>
            <w:tcBorders>
              <w:top w:val="single" w:color="auto" w:sz="4" w:space="0"/>
              <w:left w:val="single" w:color="auto" w:sz="4" w:space="0"/>
              <w:bottom w:val="single" w:color="auto" w:sz="4" w:space="0"/>
              <w:right w:val="single" w:color="auto" w:sz="4" w:space="0"/>
            </w:tcBorders>
            <w:vAlign w:val="center"/>
          </w:tcPr>
          <w:p w14:paraId="3C1B6014">
            <w:pPr>
              <w:jc w:val="right"/>
            </w:pPr>
            <w:r>
              <w:t>3,160,669,700.00</w:t>
            </w:r>
          </w:p>
        </w:tc>
        <w:tc>
          <w:tcPr>
            <w:tcW w:w="817" w:type="pct"/>
            <w:tcBorders>
              <w:top w:val="single" w:color="auto" w:sz="4" w:space="0"/>
              <w:left w:val="single" w:color="auto" w:sz="4" w:space="0"/>
              <w:bottom w:val="single" w:color="auto" w:sz="4" w:space="0"/>
              <w:right w:val="single" w:color="auto" w:sz="4" w:space="0"/>
            </w:tcBorders>
            <w:vAlign w:val="center"/>
          </w:tcPr>
          <w:p w14:paraId="48B1BED0">
            <w:pPr>
              <w:jc w:val="right"/>
            </w:pPr>
          </w:p>
        </w:tc>
        <w:tc>
          <w:tcPr>
            <w:tcW w:w="771" w:type="pct"/>
            <w:tcBorders>
              <w:top w:val="single" w:color="auto" w:sz="4" w:space="0"/>
              <w:left w:val="single" w:color="auto" w:sz="4" w:space="0"/>
              <w:bottom w:val="single" w:color="auto" w:sz="4" w:space="0"/>
              <w:right w:val="single" w:color="auto" w:sz="4" w:space="0"/>
            </w:tcBorders>
            <w:vAlign w:val="center"/>
          </w:tcPr>
          <w:p w14:paraId="463658CA">
            <w:pPr>
              <w:jc w:val="right"/>
              <w:rPr>
                <w:rFonts w:eastAsia="Times New Roman" w:cs="Times New Roman"/>
              </w:rPr>
            </w:pPr>
          </w:p>
        </w:tc>
        <w:tc>
          <w:tcPr>
            <w:tcW w:w="955" w:type="pct"/>
            <w:tcBorders>
              <w:top w:val="single" w:color="auto" w:sz="4" w:space="0"/>
              <w:left w:val="single" w:color="auto" w:sz="4" w:space="0"/>
              <w:bottom w:val="single" w:color="auto" w:sz="4" w:space="0"/>
              <w:right w:val="single" w:color="auto" w:sz="4" w:space="0"/>
            </w:tcBorders>
            <w:vAlign w:val="center"/>
          </w:tcPr>
          <w:p w14:paraId="5A7ACE89">
            <w:pPr>
              <w:jc w:val="right"/>
              <w:rPr>
                <w:rFonts w:ascii="宋体" w:hAnsi="宋体"/>
              </w:rPr>
            </w:pPr>
            <w:r>
              <w:t>3,160,669,700.00</w:t>
            </w:r>
          </w:p>
        </w:tc>
      </w:tr>
      <w:tr w14:paraId="3980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01" w:type="pct"/>
            <w:tcBorders>
              <w:top w:val="single" w:color="auto" w:sz="4" w:space="0"/>
              <w:left w:val="single" w:color="auto" w:sz="4" w:space="0"/>
              <w:bottom w:val="single" w:color="auto" w:sz="4" w:space="0"/>
              <w:right w:val="single" w:color="auto" w:sz="4" w:space="0"/>
            </w:tcBorders>
          </w:tcPr>
          <w:p w14:paraId="676E78A6">
            <w:pPr>
              <w:rPr>
                <w:color w:val="000000" w:themeColor="text1"/>
                <w14:textFill>
                  <w14:solidFill>
                    <w14:schemeClr w14:val="tx1"/>
                  </w14:solidFill>
                </w14:textFill>
              </w:rPr>
            </w:pPr>
            <w:r>
              <w:rPr>
                <w:rFonts w:hint="eastAsia"/>
                <w:color w:val="000000" w:themeColor="text1"/>
                <w14:textFill>
                  <w14:solidFill>
                    <w14:schemeClr w14:val="tx1"/>
                  </w14:solidFill>
                </w14:textFill>
              </w:rPr>
              <w:t>二、本期变动</w:t>
            </w:r>
          </w:p>
        </w:tc>
        <w:tc>
          <w:tcPr>
            <w:tcW w:w="955" w:type="pct"/>
            <w:tcBorders>
              <w:top w:val="single" w:color="auto" w:sz="4" w:space="0"/>
              <w:left w:val="single" w:color="auto" w:sz="4" w:space="0"/>
              <w:bottom w:val="single" w:color="auto" w:sz="4" w:space="0"/>
              <w:right w:val="single" w:color="auto" w:sz="4" w:space="0"/>
            </w:tcBorders>
            <w:vAlign w:val="center"/>
          </w:tcPr>
          <w:p w14:paraId="52F729AC">
            <w:pPr>
              <w:jc w:val="right"/>
            </w:pPr>
            <w:r>
              <w:rPr>
                <w:rFonts w:hint="eastAsia"/>
              </w:rPr>
              <w:t>-23,416,700.00</w:t>
            </w:r>
          </w:p>
        </w:tc>
        <w:tc>
          <w:tcPr>
            <w:tcW w:w="817" w:type="pct"/>
            <w:tcBorders>
              <w:top w:val="single" w:color="auto" w:sz="4" w:space="0"/>
              <w:left w:val="single" w:color="auto" w:sz="4" w:space="0"/>
              <w:bottom w:val="single" w:color="auto" w:sz="4" w:space="0"/>
              <w:right w:val="single" w:color="auto" w:sz="4" w:space="0"/>
            </w:tcBorders>
            <w:vAlign w:val="center"/>
          </w:tcPr>
          <w:p w14:paraId="5F8CB7B8">
            <w:pPr>
              <w:jc w:val="right"/>
            </w:pPr>
          </w:p>
        </w:tc>
        <w:tc>
          <w:tcPr>
            <w:tcW w:w="771" w:type="pct"/>
            <w:tcBorders>
              <w:top w:val="single" w:color="auto" w:sz="4" w:space="0"/>
              <w:left w:val="single" w:color="auto" w:sz="4" w:space="0"/>
              <w:bottom w:val="single" w:color="auto" w:sz="4" w:space="0"/>
              <w:right w:val="single" w:color="auto" w:sz="4" w:space="0"/>
            </w:tcBorders>
            <w:vAlign w:val="center"/>
          </w:tcPr>
          <w:p w14:paraId="61FD0892">
            <w:pPr>
              <w:jc w:val="right"/>
            </w:pPr>
          </w:p>
        </w:tc>
        <w:tc>
          <w:tcPr>
            <w:tcW w:w="955" w:type="pct"/>
            <w:tcBorders>
              <w:top w:val="single" w:color="auto" w:sz="4" w:space="0"/>
              <w:left w:val="single" w:color="auto" w:sz="4" w:space="0"/>
              <w:bottom w:val="single" w:color="auto" w:sz="4" w:space="0"/>
              <w:right w:val="single" w:color="auto" w:sz="4" w:space="0"/>
            </w:tcBorders>
            <w:vAlign w:val="center"/>
          </w:tcPr>
          <w:p w14:paraId="2BF9F057">
            <w:pPr>
              <w:jc w:val="right"/>
            </w:pPr>
            <w:r>
              <w:rPr>
                <w:rFonts w:hint="eastAsia"/>
              </w:rPr>
              <w:t>-23,416,700.00</w:t>
            </w:r>
          </w:p>
        </w:tc>
      </w:tr>
      <w:tr w14:paraId="55FE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01" w:type="pct"/>
            <w:tcBorders>
              <w:top w:val="single" w:color="auto" w:sz="4" w:space="0"/>
              <w:left w:val="single" w:color="auto" w:sz="4" w:space="0"/>
              <w:bottom w:val="single" w:color="auto" w:sz="4" w:space="0"/>
              <w:right w:val="single" w:color="auto" w:sz="4" w:space="0"/>
            </w:tcBorders>
          </w:tcPr>
          <w:p w14:paraId="3F267B30">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加：外购</w:t>
            </w:r>
          </w:p>
        </w:tc>
        <w:tc>
          <w:tcPr>
            <w:tcW w:w="955" w:type="pct"/>
            <w:tcBorders>
              <w:top w:val="single" w:color="auto" w:sz="4" w:space="0"/>
              <w:left w:val="single" w:color="auto" w:sz="4" w:space="0"/>
              <w:bottom w:val="single" w:color="auto" w:sz="4" w:space="0"/>
              <w:right w:val="single" w:color="auto" w:sz="4" w:space="0"/>
            </w:tcBorders>
          </w:tcPr>
          <w:p w14:paraId="79A0E83A">
            <w:pPr>
              <w:jc w:val="right"/>
            </w:pPr>
          </w:p>
        </w:tc>
        <w:tc>
          <w:tcPr>
            <w:tcW w:w="817" w:type="pct"/>
            <w:tcBorders>
              <w:top w:val="single" w:color="auto" w:sz="4" w:space="0"/>
              <w:left w:val="single" w:color="auto" w:sz="4" w:space="0"/>
              <w:bottom w:val="single" w:color="auto" w:sz="4" w:space="0"/>
              <w:right w:val="single" w:color="auto" w:sz="4" w:space="0"/>
            </w:tcBorders>
          </w:tcPr>
          <w:p w14:paraId="022E49A2">
            <w:pPr>
              <w:jc w:val="right"/>
            </w:pPr>
          </w:p>
        </w:tc>
        <w:tc>
          <w:tcPr>
            <w:tcW w:w="771" w:type="pct"/>
            <w:tcBorders>
              <w:top w:val="single" w:color="auto" w:sz="4" w:space="0"/>
              <w:left w:val="single" w:color="auto" w:sz="4" w:space="0"/>
              <w:bottom w:val="single" w:color="auto" w:sz="4" w:space="0"/>
              <w:right w:val="single" w:color="auto" w:sz="4" w:space="0"/>
            </w:tcBorders>
          </w:tcPr>
          <w:p w14:paraId="5F08AE5F">
            <w:pPr>
              <w:jc w:val="right"/>
            </w:pPr>
          </w:p>
        </w:tc>
        <w:tc>
          <w:tcPr>
            <w:tcW w:w="955" w:type="pct"/>
            <w:tcBorders>
              <w:top w:val="single" w:color="auto" w:sz="4" w:space="0"/>
              <w:left w:val="single" w:color="auto" w:sz="4" w:space="0"/>
              <w:bottom w:val="single" w:color="auto" w:sz="4" w:space="0"/>
              <w:right w:val="single" w:color="auto" w:sz="4" w:space="0"/>
            </w:tcBorders>
          </w:tcPr>
          <w:p w14:paraId="13E17C53">
            <w:pPr>
              <w:jc w:val="right"/>
            </w:pPr>
          </w:p>
        </w:tc>
      </w:tr>
      <w:tr w14:paraId="3357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01" w:type="pct"/>
            <w:tcBorders>
              <w:top w:val="single" w:color="auto" w:sz="4" w:space="0"/>
              <w:left w:val="single" w:color="auto" w:sz="4" w:space="0"/>
              <w:bottom w:val="single" w:color="auto" w:sz="4" w:space="0"/>
              <w:right w:val="single" w:color="auto" w:sz="4" w:space="0"/>
            </w:tcBorders>
          </w:tcPr>
          <w:p w14:paraId="3B718B9E">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存货\固定资产\在建工程转入</w:t>
            </w:r>
          </w:p>
        </w:tc>
        <w:tc>
          <w:tcPr>
            <w:tcW w:w="955" w:type="pct"/>
            <w:tcBorders>
              <w:top w:val="single" w:color="auto" w:sz="4" w:space="0"/>
              <w:left w:val="single" w:color="auto" w:sz="4" w:space="0"/>
              <w:bottom w:val="single" w:color="auto" w:sz="4" w:space="0"/>
              <w:right w:val="single" w:color="auto" w:sz="4" w:space="0"/>
            </w:tcBorders>
          </w:tcPr>
          <w:p w14:paraId="40C45FDF">
            <w:pPr>
              <w:jc w:val="right"/>
            </w:pPr>
          </w:p>
        </w:tc>
        <w:tc>
          <w:tcPr>
            <w:tcW w:w="817" w:type="pct"/>
            <w:tcBorders>
              <w:top w:val="single" w:color="auto" w:sz="4" w:space="0"/>
              <w:left w:val="single" w:color="auto" w:sz="4" w:space="0"/>
              <w:bottom w:val="single" w:color="auto" w:sz="4" w:space="0"/>
              <w:right w:val="single" w:color="auto" w:sz="4" w:space="0"/>
            </w:tcBorders>
          </w:tcPr>
          <w:p w14:paraId="2D638D28">
            <w:pPr>
              <w:jc w:val="right"/>
            </w:pPr>
          </w:p>
        </w:tc>
        <w:tc>
          <w:tcPr>
            <w:tcW w:w="771" w:type="pct"/>
            <w:tcBorders>
              <w:top w:val="single" w:color="auto" w:sz="4" w:space="0"/>
              <w:left w:val="single" w:color="auto" w:sz="4" w:space="0"/>
              <w:bottom w:val="single" w:color="auto" w:sz="4" w:space="0"/>
              <w:right w:val="single" w:color="auto" w:sz="4" w:space="0"/>
            </w:tcBorders>
          </w:tcPr>
          <w:p w14:paraId="6DB8505D">
            <w:pPr>
              <w:jc w:val="right"/>
            </w:pPr>
          </w:p>
        </w:tc>
        <w:tc>
          <w:tcPr>
            <w:tcW w:w="955" w:type="pct"/>
            <w:tcBorders>
              <w:top w:val="single" w:color="auto" w:sz="4" w:space="0"/>
              <w:left w:val="single" w:color="auto" w:sz="4" w:space="0"/>
              <w:bottom w:val="single" w:color="auto" w:sz="4" w:space="0"/>
              <w:right w:val="single" w:color="auto" w:sz="4" w:space="0"/>
            </w:tcBorders>
          </w:tcPr>
          <w:p w14:paraId="002086AE">
            <w:pPr>
              <w:jc w:val="right"/>
            </w:pPr>
          </w:p>
        </w:tc>
      </w:tr>
      <w:tr w14:paraId="2A8F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01" w:type="pct"/>
            <w:tcBorders>
              <w:top w:val="single" w:color="auto" w:sz="4" w:space="0"/>
              <w:left w:val="single" w:color="auto" w:sz="4" w:space="0"/>
              <w:bottom w:val="single" w:color="auto" w:sz="4" w:space="0"/>
              <w:right w:val="single" w:color="auto" w:sz="4" w:space="0"/>
            </w:tcBorders>
          </w:tcPr>
          <w:p w14:paraId="5FF2CEE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企业合并增加</w:t>
            </w:r>
          </w:p>
        </w:tc>
        <w:tc>
          <w:tcPr>
            <w:tcW w:w="955" w:type="pct"/>
            <w:tcBorders>
              <w:top w:val="single" w:color="auto" w:sz="4" w:space="0"/>
              <w:left w:val="single" w:color="auto" w:sz="4" w:space="0"/>
              <w:bottom w:val="single" w:color="auto" w:sz="4" w:space="0"/>
              <w:right w:val="single" w:color="auto" w:sz="4" w:space="0"/>
            </w:tcBorders>
          </w:tcPr>
          <w:p w14:paraId="2656D423">
            <w:pPr>
              <w:jc w:val="right"/>
            </w:pPr>
          </w:p>
        </w:tc>
        <w:tc>
          <w:tcPr>
            <w:tcW w:w="817" w:type="pct"/>
            <w:tcBorders>
              <w:top w:val="single" w:color="auto" w:sz="4" w:space="0"/>
              <w:left w:val="single" w:color="auto" w:sz="4" w:space="0"/>
              <w:bottom w:val="single" w:color="auto" w:sz="4" w:space="0"/>
              <w:right w:val="single" w:color="auto" w:sz="4" w:space="0"/>
            </w:tcBorders>
          </w:tcPr>
          <w:p w14:paraId="0029AFAE">
            <w:pPr>
              <w:jc w:val="right"/>
            </w:pPr>
          </w:p>
        </w:tc>
        <w:tc>
          <w:tcPr>
            <w:tcW w:w="771" w:type="pct"/>
            <w:tcBorders>
              <w:top w:val="single" w:color="auto" w:sz="4" w:space="0"/>
              <w:left w:val="single" w:color="auto" w:sz="4" w:space="0"/>
              <w:bottom w:val="single" w:color="auto" w:sz="4" w:space="0"/>
              <w:right w:val="single" w:color="auto" w:sz="4" w:space="0"/>
            </w:tcBorders>
          </w:tcPr>
          <w:p w14:paraId="0C99C759">
            <w:pPr>
              <w:jc w:val="right"/>
            </w:pPr>
          </w:p>
        </w:tc>
        <w:tc>
          <w:tcPr>
            <w:tcW w:w="955" w:type="pct"/>
            <w:tcBorders>
              <w:top w:val="single" w:color="auto" w:sz="4" w:space="0"/>
              <w:left w:val="single" w:color="auto" w:sz="4" w:space="0"/>
              <w:bottom w:val="single" w:color="auto" w:sz="4" w:space="0"/>
              <w:right w:val="single" w:color="auto" w:sz="4" w:space="0"/>
            </w:tcBorders>
          </w:tcPr>
          <w:p w14:paraId="7122E2A9">
            <w:pPr>
              <w:jc w:val="right"/>
            </w:pPr>
          </w:p>
        </w:tc>
      </w:tr>
      <w:tr w14:paraId="6CDB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01" w:type="pct"/>
            <w:tcBorders>
              <w:top w:val="single" w:color="auto" w:sz="4" w:space="0"/>
              <w:left w:val="single" w:color="auto" w:sz="4" w:space="0"/>
              <w:bottom w:val="single" w:color="auto" w:sz="4" w:space="0"/>
              <w:right w:val="single" w:color="auto" w:sz="4" w:space="0"/>
            </w:tcBorders>
          </w:tcPr>
          <w:p w14:paraId="142D332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减：处置</w:t>
            </w:r>
          </w:p>
        </w:tc>
        <w:tc>
          <w:tcPr>
            <w:tcW w:w="955" w:type="pct"/>
            <w:tcBorders>
              <w:top w:val="single" w:color="auto" w:sz="4" w:space="0"/>
              <w:left w:val="single" w:color="auto" w:sz="4" w:space="0"/>
              <w:bottom w:val="single" w:color="auto" w:sz="4" w:space="0"/>
              <w:right w:val="single" w:color="auto" w:sz="4" w:space="0"/>
            </w:tcBorders>
          </w:tcPr>
          <w:p w14:paraId="12FCE841">
            <w:pPr>
              <w:jc w:val="right"/>
            </w:pPr>
          </w:p>
        </w:tc>
        <w:tc>
          <w:tcPr>
            <w:tcW w:w="817" w:type="pct"/>
            <w:tcBorders>
              <w:top w:val="single" w:color="auto" w:sz="4" w:space="0"/>
              <w:left w:val="single" w:color="auto" w:sz="4" w:space="0"/>
              <w:bottom w:val="single" w:color="auto" w:sz="4" w:space="0"/>
              <w:right w:val="single" w:color="auto" w:sz="4" w:space="0"/>
            </w:tcBorders>
          </w:tcPr>
          <w:p w14:paraId="2943C7E9">
            <w:pPr>
              <w:jc w:val="right"/>
            </w:pPr>
          </w:p>
        </w:tc>
        <w:tc>
          <w:tcPr>
            <w:tcW w:w="771" w:type="pct"/>
            <w:tcBorders>
              <w:top w:val="single" w:color="auto" w:sz="4" w:space="0"/>
              <w:left w:val="single" w:color="auto" w:sz="4" w:space="0"/>
              <w:bottom w:val="single" w:color="auto" w:sz="4" w:space="0"/>
              <w:right w:val="single" w:color="auto" w:sz="4" w:space="0"/>
            </w:tcBorders>
          </w:tcPr>
          <w:p w14:paraId="68071340">
            <w:pPr>
              <w:jc w:val="right"/>
            </w:pPr>
          </w:p>
        </w:tc>
        <w:tc>
          <w:tcPr>
            <w:tcW w:w="955" w:type="pct"/>
            <w:tcBorders>
              <w:top w:val="single" w:color="auto" w:sz="4" w:space="0"/>
              <w:left w:val="single" w:color="auto" w:sz="4" w:space="0"/>
              <w:bottom w:val="single" w:color="auto" w:sz="4" w:space="0"/>
              <w:right w:val="single" w:color="auto" w:sz="4" w:space="0"/>
            </w:tcBorders>
          </w:tcPr>
          <w:p w14:paraId="284DD641">
            <w:pPr>
              <w:jc w:val="right"/>
            </w:pPr>
          </w:p>
        </w:tc>
      </w:tr>
      <w:tr w14:paraId="7BE3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01" w:type="pct"/>
            <w:tcBorders>
              <w:top w:val="single" w:color="auto" w:sz="4" w:space="0"/>
              <w:left w:val="single" w:color="auto" w:sz="4" w:space="0"/>
              <w:bottom w:val="single" w:color="auto" w:sz="4" w:space="0"/>
              <w:right w:val="single" w:color="auto" w:sz="4" w:space="0"/>
            </w:tcBorders>
          </w:tcPr>
          <w:p w14:paraId="6C554138">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其他转出</w:t>
            </w:r>
          </w:p>
        </w:tc>
        <w:tc>
          <w:tcPr>
            <w:tcW w:w="955" w:type="pct"/>
            <w:tcBorders>
              <w:top w:val="single" w:color="auto" w:sz="4" w:space="0"/>
              <w:left w:val="single" w:color="auto" w:sz="4" w:space="0"/>
              <w:bottom w:val="single" w:color="auto" w:sz="4" w:space="0"/>
              <w:right w:val="single" w:color="auto" w:sz="4" w:space="0"/>
            </w:tcBorders>
          </w:tcPr>
          <w:p w14:paraId="6497C270">
            <w:pPr>
              <w:jc w:val="right"/>
            </w:pPr>
          </w:p>
        </w:tc>
        <w:tc>
          <w:tcPr>
            <w:tcW w:w="817" w:type="pct"/>
            <w:tcBorders>
              <w:top w:val="single" w:color="auto" w:sz="4" w:space="0"/>
              <w:left w:val="single" w:color="auto" w:sz="4" w:space="0"/>
              <w:bottom w:val="single" w:color="auto" w:sz="4" w:space="0"/>
              <w:right w:val="single" w:color="auto" w:sz="4" w:space="0"/>
            </w:tcBorders>
          </w:tcPr>
          <w:p w14:paraId="138254F0">
            <w:pPr>
              <w:jc w:val="right"/>
            </w:pPr>
          </w:p>
        </w:tc>
        <w:tc>
          <w:tcPr>
            <w:tcW w:w="771" w:type="pct"/>
            <w:tcBorders>
              <w:top w:val="single" w:color="auto" w:sz="4" w:space="0"/>
              <w:left w:val="single" w:color="auto" w:sz="4" w:space="0"/>
              <w:bottom w:val="single" w:color="auto" w:sz="4" w:space="0"/>
              <w:right w:val="single" w:color="auto" w:sz="4" w:space="0"/>
            </w:tcBorders>
          </w:tcPr>
          <w:p w14:paraId="79747B69">
            <w:pPr>
              <w:jc w:val="right"/>
            </w:pPr>
          </w:p>
        </w:tc>
        <w:tc>
          <w:tcPr>
            <w:tcW w:w="955" w:type="pct"/>
            <w:tcBorders>
              <w:top w:val="single" w:color="auto" w:sz="4" w:space="0"/>
              <w:left w:val="single" w:color="auto" w:sz="4" w:space="0"/>
              <w:bottom w:val="single" w:color="auto" w:sz="4" w:space="0"/>
              <w:right w:val="single" w:color="auto" w:sz="4" w:space="0"/>
            </w:tcBorders>
          </w:tcPr>
          <w:p w14:paraId="72ECA62E">
            <w:pPr>
              <w:jc w:val="right"/>
            </w:pPr>
          </w:p>
        </w:tc>
      </w:tr>
      <w:tr w14:paraId="2A43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501" w:type="pct"/>
            <w:tcBorders>
              <w:top w:val="single" w:color="auto" w:sz="4" w:space="0"/>
              <w:left w:val="single" w:color="auto" w:sz="4" w:space="0"/>
              <w:bottom w:val="single" w:color="auto" w:sz="4" w:space="0"/>
              <w:right w:val="single" w:color="auto" w:sz="4" w:space="0"/>
            </w:tcBorders>
          </w:tcPr>
          <w:p w14:paraId="7CE453BB">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公允价值变动</w:t>
            </w:r>
          </w:p>
        </w:tc>
        <w:tc>
          <w:tcPr>
            <w:tcW w:w="955" w:type="pct"/>
            <w:tcBorders>
              <w:top w:val="single" w:color="auto" w:sz="4" w:space="0"/>
              <w:left w:val="single" w:color="auto" w:sz="4" w:space="0"/>
              <w:bottom w:val="single" w:color="auto" w:sz="4" w:space="0"/>
              <w:right w:val="single" w:color="auto" w:sz="4" w:space="0"/>
            </w:tcBorders>
            <w:vAlign w:val="center"/>
          </w:tcPr>
          <w:p w14:paraId="670C97F3">
            <w:pPr>
              <w:jc w:val="right"/>
            </w:pPr>
            <w:r>
              <w:rPr>
                <w:rFonts w:hint="eastAsia"/>
              </w:rPr>
              <w:t>-23,416,700.00</w:t>
            </w:r>
          </w:p>
        </w:tc>
        <w:tc>
          <w:tcPr>
            <w:tcW w:w="817" w:type="pct"/>
            <w:tcBorders>
              <w:top w:val="single" w:color="auto" w:sz="4" w:space="0"/>
              <w:left w:val="single" w:color="auto" w:sz="4" w:space="0"/>
              <w:bottom w:val="single" w:color="auto" w:sz="4" w:space="0"/>
              <w:right w:val="single" w:color="auto" w:sz="4" w:space="0"/>
            </w:tcBorders>
          </w:tcPr>
          <w:p w14:paraId="5377BC4A">
            <w:pPr>
              <w:jc w:val="right"/>
            </w:pPr>
          </w:p>
        </w:tc>
        <w:tc>
          <w:tcPr>
            <w:tcW w:w="771" w:type="pct"/>
            <w:tcBorders>
              <w:top w:val="single" w:color="auto" w:sz="4" w:space="0"/>
              <w:left w:val="single" w:color="auto" w:sz="4" w:space="0"/>
              <w:bottom w:val="single" w:color="auto" w:sz="4" w:space="0"/>
              <w:right w:val="single" w:color="auto" w:sz="4" w:space="0"/>
            </w:tcBorders>
          </w:tcPr>
          <w:p w14:paraId="0F9D76ED">
            <w:pPr>
              <w:jc w:val="right"/>
            </w:pPr>
          </w:p>
        </w:tc>
        <w:tc>
          <w:tcPr>
            <w:tcW w:w="955" w:type="pct"/>
            <w:tcBorders>
              <w:top w:val="single" w:color="auto" w:sz="4" w:space="0"/>
              <w:left w:val="single" w:color="auto" w:sz="4" w:space="0"/>
              <w:bottom w:val="single" w:color="auto" w:sz="4" w:space="0"/>
              <w:right w:val="single" w:color="auto" w:sz="4" w:space="0"/>
            </w:tcBorders>
            <w:vAlign w:val="center"/>
          </w:tcPr>
          <w:p w14:paraId="40FCB1A9">
            <w:pPr>
              <w:jc w:val="right"/>
            </w:pPr>
            <w:r>
              <w:rPr>
                <w:rFonts w:hint="eastAsia"/>
              </w:rPr>
              <w:t>-23,416,700.00</w:t>
            </w:r>
          </w:p>
        </w:tc>
      </w:tr>
      <w:tr w14:paraId="7727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01" w:type="pct"/>
            <w:tcBorders>
              <w:top w:val="single" w:color="auto" w:sz="4" w:space="0"/>
              <w:left w:val="single" w:color="auto" w:sz="4" w:space="0"/>
              <w:bottom w:val="single" w:color="auto" w:sz="4" w:space="0"/>
              <w:right w:val="single" w:color="auto" w:sz="4" w:space="0"/>
            </w:tcBorders>
          </w:tcPr>
          <w:p w14:paraId="2B61437A">
            <w:pPr>
              <w:rPr>
                <w:color w:val="000000" w:themeColor="text1"/>
                <w14:textFill>
                  <w14:solidFill>
                    <w14:schemeClr w14:val="tx1"/>
                  </w14:solidFill>
                </w14:textFill>
              </w:rPr>
            </w:pPr>
            <w:r>
              <w:rPr>
                <w:rFonts w:hint="eastAsia"/>
                <w:color w:val="000000" w:themeColor="text1"/>
                <w14:textFill>
                  <w14:solidFill>
                    <w14:schemeClr w14:val="tx1"/>
                  </w14:solidFill>
                </w14:textFill>
              </w:rPr>
              <w:t>三、期末余额</w:t>
            </w:r>
          </w:p>
        </w:tc>
        <w:tc>
          <w:tcPr>
            <w:tcW w:w="955" w:type="pct"/>
            <w:tcBorders>
              <w:top w:val="single" w:color="auto" w:sz="4" w:space="0"/>
              <w:left w:val="single" w:color="auto" w:sz="4" w:space="0"/>
              <w:bottom w:val="single" w:color="auto" w:sz="4" w:space="0"/>
              <w:right w:val="single" w:color="auto" w:sz="4" w:space="0"/>
            </w:tcBorders>
            <w:vAlign w:val="center"/>
          </w:tcPr>
          <w:p w14:paraId="340E1D13">
            <w:pPr>
              <w:jc w:val="right"/>
            </w:pPr>
            <w:r>
              <w:t>3,137,253,000.00</w:t>
            </w:r>
          </w:p>
        </w:tc>
        <w:tc>
          <w:tcPr>
            <w:tcW w:w="817" w:type="pct"/>
            <w:tcBorders>
              <w:top w:val="single" w:color="auto" w:sz="4" w:space="0"/>
              <w:left w:val="single" w:color="auto" w:sz="4" w:space="0"/>
              <w:bottom w:val="single" w:color="auto" w:sz="4" w:space="0"/>
              <w:right w:val="single" w:color="auto" w:sz="4" w:space="0"/>
            </w:tcBorders>
            <w:vAlign w:val="center"/>
          </w:tcPr>
          <w:p w14:paraId="06EFE45F">
            <w:pPr>
              <w:jc w:val="right"/>
            </w:pPr>
          </w:p>
        </w:tc>
        <w:tc>
          <w:tcPr>
            <w:tcW w:w="771" w:type="pct"/>
            <w:tcBorders>
              <w:top w:val="single" w:color="auto" w:sz="4" w:space="0"/>
              <w:left w:val="single" w:color="auto" w:sz="4" w:space="0"/>
              <w:bottom w:val="single" w:color="auto" w:sz="4" w:space="0"/>
              <w:right w:val="single" w:color="auto" w:sz="4" w:space="0"/>
            </w:tcBorders>
            <w:vAlign w:val="center"/>
          </w:tcPr>
          <w:p w14:paraId="061DF0F8">
            <w:pPr>
              <w:jc w:val="right"/>
            </w:pPr>
          </w:p>
        </w:tc>
        <w:tc>
          <w:tcPr>
            <w:tcW w:w="955" w:type="pct"/>
            <w:tcBorders>
              <w:top w:val="single" w:color="auto" w:sz="4" w:space="0"/>
              <w:left w:val="single" w:color="auto" w:sz="4" w:space="0"/>
              <w:bottom w:val="single" w:color="auto" w:sz="4" w:space="0"/>
              <w:right w:val="single" w:color="auto" w:sz="4" w:space="0"/>
            </w:tcBorders>
            <w:vAlign w:val="center"/>
          </w:tcPr>
          <w:p w14:paraId="2C792029">
            <w:pPr>
              <w:jc w:val="right"/>
            </w:pPr>
            <w:r>
              <w:t>3,137,253,000.00</w:t>
            </w:r>
          </w:p>
        </w:tc>
      </w:tr>
    </w:tbl>
    <w:p w14:paraId="11A6F0B3">
      <w:pPr>
        <w:ind w:right="283"/>
        <w:rPr>
          <w:rFonts w:cstheme="minorBidi"/>
          <w:color w:val="000000" w:themeColor="text1"/>
          <w:kern w:val="2"/>
          <w14:textFill>
            <w14:solidFill>
              <w14:schemeClr w14:val="tx1"/>
            </w14:solidFill>
          </w14:textFill>
        </w:rPr>
      </w:pPr>
    </w:p>
    <w:p w14:paraId="1E7EA16F">
      <w:pPr>
        <w:pStyle w:val="5"/>
        <w:numPr>
          <w:ilvl w:val="0"/>
          <w:numId w:val="57"/>
        </w:numPr>
        <w:tabs>
          <w:tab w:val="left" w:pos="616"/>
        </w:tabs>
        <w:rPr>
          <w:rFonts w:ascii="宋体" w:hAnsi="宋体"/>
          <w:color w:val="000000" w:themeColor="text1"/>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未办妥产权证书的投资性房地产情况：</w:t>
      </w:r>
    </w:p>
    <w:p w14:paraId="339B39AB">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未办妥产权证书的投资性房地产情况[双击切换]"/>
          <w:tag w:val="_GBC_4ebde9db521f427dbcd577bafe064ac8"/>
          <w:id w:val="-729456353"/>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489A99CA">
      <w:pPr>
        <w:rPr>
          <w:color w:val="000000" w:themeColor="text1"/>
          <w14:textFill>
            <w14:solidFill>
              <w14:schemeClr w14:val="tx1"/>
            </w14:solidFill>
          </w14:textFill>
        </w:rPr>
      </w:pPr>
    </w:p>
    <w:p w14:paraId="59B39872">
      <w:pPr>
        <w:pStyle w:val="5"/>
        <w:numPr>
          <w:ilvl w:val="0"/>
          <w:numId w:val="57"/>
        </w:numPr>
        <w:tabs>
          <w:tab w:val="left" w:pos="616"/>
        </w:tabs>
        <w:rPr>
          <w:rFonts w:ascii="宋体" w:hAnsi="宋体"/>
          <w:color w:val="000000" w:themeColor="text1"/>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转换为投资性房地产并采用公允价值计量模式的情况说明</w:t>
      </w:r>
    </w:p>
    <w:sdt>
      <w:sdtPr>
        <w:rPr>
          <w:color w:val="000000" w:themeColor="text1"/>
          <w14:textFill>
            <w14:solidFill>
              <w14:schemeClr w14:val="tx1"/>
            </w14:solidFill>
          </w14:textFill>
        </w:rPr>
        <w:alias w:val="是否适用：转换为投资性房地产并采用公允价值计量模式的情况[双击切换]"/>
        <w:tag w:val="_GBC_ebb3a3331b62446b9b62f07b124593f6"/>
        <w:id w:val="726494097"/>
        <w:placeholder>
          <w:docPart w:val="GBC22222222222222222222222222222"/>
        </w:placeholder>
      </w:sdtPr>
      <w:sdtEndPr>
        <w:rPr>
          <w:color w:val="000000" w:themeColor="text1"/>
          <w14:textFill>
            <w14:solidFill>
              <w14:schemeClr w14:val="tx1"/>
            </w14:solidFill>
          </w14:textFill>
        </w:rPr>
      </w:sdtEndPr>
      <w:sdtContent>
        <w:p w14:paraId="754151B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A4A7DE8">
      <w:pPr>
        <w:rPr>
          <w:color w:val="000000" w:themeColor="text1"/>
          <w14:textFill>
            <w14:solidFill>
              <w14:schemeClr w14:val="tx1"/>
            </w14:solidFill>
          </w14:textFill>
        </w:rPr>
      </w:pPr>
    </w:p>
    <w:p w14:paraId="3E66DB2D">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投资性房地产的说明[双击切换]"/>
        <w:tag w:val="_GBC_0caaeaf285c347ca935ac7d0d9b49f42"/>
        <w:id w:val="-301698820"/>
        <w:placeholder>
          <w:docPart w:val="GBC22222222222222222222222222222"/>
        </w:placeholder>
      </w:sdtPr>
      <w:sdtEndPr>
        <w:rPr>
          <w:color w:val="000000" w:themeColor="text1"/>
          <w14:textFill>
            <w14:solidFill>
              <w14:schemeClr w14:val="tx1"/>
            </w14:solidFill>
          </w14:textFill>
        </w:rPr>
      </w:sdtEndPr>
      <w:sdtContent>
        <w:p w14:paraId="647D92BE">
          <w:pPr>
            <w:rPr>
              <w:rFonts w:cstheme="minorBidi"/>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7A16D0">
      <w:pPr>
        <w:ind w:right="283"/>
        <w:rPr>
          <w:color w:val="000000" w:themeColor="text1"/>
          <w14:textFill>
            <w14:solidFill>
              <w14:schemeClr w14:val="tx1"/>
            </w14:solidFill>
          </w14:textFill>
        </w:rPr>
      </w:pPr>
      <w:bookmarkStart w:id="264" w:name="_Hlk167895351"/>
      <w:bookmarkEnd w:id="264"/>
      <w:bookmarkStart w:id="265" w:name="_Hlk153460290"/>
      <w:bookmarkEnd w:id="265"/>
      <w:bookmarkStart w:id="266" w:name="_Hlk167895546"/>
      <w:bookmarkEnd w:id="266"/>
      <w:bookmarkStart w:id="267" w:name="_Hlk167895445"/>
      <w:bookmarkEnd w:id="267"/>
    </w:p>
    <w:p w14:paraId="2A8A1037">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固定资产</w:t>
      </w:r>
    </w:p>
    <w:p w14:paraId="18F698EF">
      <w:pPr>
        <w:pStyle w:val="5"/>
        <w:tabs>
          <w:tab w:val="left" w:pos="588"/>
        </w:tabs>
        <w:rPr>
          <w:rFonts w:ascii="宋体" w:hAnsi="宋体"/>
          <w:color w:val="000000" w:themeColor="text1"/>
          <w14:textFill>
            <w14:solidFill>
              <w14:schemeClr w14:val="tx1"/>
            </w14:solidFill>
          </w14:textFill>
        </w:rPr>
      </w:pPr>
      <w:bookmarkStart w:id="268" w:name="_Hlk10472369"/>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固定资产分类列示[双击切换]"/>
        <w:tag w:val="_GBC_73d82e583dcc4330bebfeb83abd5f5bb"/>
        <w:id w:val="-1067728149"/>
        <w:placeholder>
          <w:docPart w:val="GBC22222222222222222222222222222"/>
        </w:placeholder>
      </w:sdtPr>
      <w:sdtEndPr>
        <w:rPr>
          <w:color w:val="000000" w:themeColor="text1"/>
          <w14:textFill>
            <w14:solidFill>
              <w14:schemeClr w14:val="tx1"/>
            </w14:solidFill>
          </w14:textFill>
        </w:rPr>
      </w:sdtEndPr>
      <w:sdtContent>
        <w:p w14:paraId="635C58B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59998E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固定资产分类列示"/>
          <w:tag w:val="_GBC_1ddbfde119544f109a3b12a48ffde12d"/>
          <w:id w:val="6414694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固定资产分类列示"/>
          <w:tag w:val="_GBC_fcb83ec59024431d9f3167f55c1ae7c0"/>
          <w:id w:val="-8444726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14:paraId="0C67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42dd3761084b5fa8943b910dbdbe45"/>
            <w:id w:val="-1178730192"/>
          </w:sdtPr>
          <w:sdtContent>
            <w:tc>
              <w:tcPr>
                <w:tcW w:w="1828" w:type="pct"/>
                <w:vAlign w:val="center"/>
              </w:tcPr>
              <w:p w14:paraId="1FC0B053">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66df388ce2f4405af4694ebf5c112ca"/>
            <w:id w:val="-464039269"/>
          </w:sdtPr>
          <w:sdtContent>
            <w:tc>
              <w:tcPr>
                <w:tcW w:w="1582" w:type="pct"/>
                <w:vAlign w:val="center"/>
              </w:tcPr>
              <w:p w14:paraId="596171F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ca4fd9ec8b6a43259f78c36475f04e58"/>
            <w:id w:val="1345515215"/>
          </w:sdtPr>
          <w:sdtContent>
            <w:tc>
              <w:tcPr>
                <w:tcW w:w="1590" w:type="pct"/>
                <w:vAlign w:val="center"/>
              </w:tcPr>
              <w:p w14:paraId="1B04AD2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32AA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28CD7309">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w:t>
            </w:r>
          </w:p>
        </w:tc>
        <w:tc>
          <w:tcPr>
            <w:tcW w:w="1582" w:type="pct"/>
          </w:tcPr>
          <w:p w14:paraId="32D3173F">
            <w:pPr>
              <w:tabs>
                <w:tab w:val="right" w:pos="3690"/>
                <w:tab w:val="right" w:pos="5130"/>
                <w:tab w:val="right" w:pos="6030"/>
                <w:tab w:val="right" w:pos="7650"/>
                <w:tab w:val="right" w:pos="9270"/>
              </w:tabs>
              <w:adjustRightInd w:val="0"/>
              <w:snapToGrid w:val="0"/>
              <w:jc w:val="right"/>
            </w:pPr>
            <w:r>
              <w:t>1,804,065,438.24</w:t>
            </w:r>
          </w:p>
        </w:tc>
        <w:tc>
          <w:tcPr>
            <w:tcW w:w="1590" w:type="pct"/>
          </w:tcPr>
          <w:p w14:paraId="4A85CC4E">
            <w:pPr>
              <w:tabs>
                <w:tab w:val="right" w:pos="3690"/>
                <w:tab w:val="right" w:pos="5130"/>
                <w:tab w:val="right" w:pos="6030"/>
                <w:tab w:val="right" w:pos="7650"/>
                <w:tab w:val="right" w:pos="9270"/>
              </w:tabs>
              <w:adjustRightInd w:val="0"/>
              <w:snapToGrid w:val="0"/>
              <w:jc w:val="right"/>
            </w:pPr>
            <w:r>
              <w:t>1,909,894,632.83</w:t>
            </w:r>
          </w:p>
        </w:tc>
      </w:tr>
      <w:tr w14:paraId="502C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vAlign w:val="center"/>
          </w:tcPr>
          <w:p w14:paraId="479D51C1">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582" w:type="pct"/>
          </w:tcPr>
          <w:p w14:paraId="0A2D2283">
            <w:pPr>
              <w:tabs>
                <w:tab w:val="right" w:pos="3690"/>
                <w:tab w:val="right" w:pos="5130"/>
                <w:tab w:val="right" w:pos="6030"/>
                <w:tab w:val="right" w:pos="7650"/>
                <w:tab w:val="right" w:pos="9270"/>
              </w:tabs>
              <w:adjustRightInd w:val="0"/>
              <w:snapToGrid w:val="0"/>
              <w:jc w:val="right"/>
            </w:pPr>
            <w:r>
              <w:t>1,804,065,438.24</w:t>
            </w:r>
          </w:p>
        </w:tc>
        <w:tc>
          <w:tcPr>
            <w:tcW w:w="1590" w:type="pct"/>
          </w:tcPr>
          <w:p w14:paraId="01D8679F">
            <w:pPr>
              <w:tabs>
                <w:tab w:val="right" w:pos="3690"/>
                <w:tab w:val="right" w:pos="5130"/>
                <w:tab w:val="right" w:pos="6030"/>
                <w:tab w:val="right" w:pos="7650"/>
                <w:tab w:val="right" w:pos="9270"/>
              </w:tabs>
              <w:adjustRightInd w:val="0"/>
              <w:snapToGrid w:val="0"/>
              <w:jc w:val="right"/>
            </w:pPr>
            <w:r>
              <w:t>1,909,894,632.83</w:t>
            </w:r>
          </w:p>
        </w:tc>
      </w:tr>
      <w:bookmarkEnd w:id="268"/>
    </w:tbl>
    <w:p w14:paraId="48D7E491">
      <w:pPr>
        <w:rPr>
          <w:color w:val="000000" w:themeColor="text1"/>
          <w14:textFill>
            <w14:solidFill>
              <w14:schemeClr w14:val="tx1"/>
            </w14:solidFill>
          </w14:textFill>
        </w:rPr>
      </w:pPr>
      <w:bookmarkStart w:id="269" w:name="_Hlk10472389"/>
      <w:bookmarkStart w:id="270" w:name="_Hlk10472397"/>
      <w:r>
        <w:rPr>
          <w:rFonts w:hint="eastAsia"/>
          <w:color w:val="000000" w:themeColor="text1"/>
          <w14:textFill>
            <w14:solidFill>
              <w14:schemeClr w14:val="tx1"/>
            </w14:solidFill>
          </w14:textFill>
        </w:rPr>
        <w:t>其他说明：</w:t>
      </w:r>
      <w:bookmarkEnd w:id="269"/>
    </w:p>
    <w:p w14:paraId="3BE496D2">
      <w:pPr>
        <w:rPr>
          <w:color w:val="000000" w:themeColor="text1"/>
          <w14:textFill>
            <w14:solidFill>
              <w14:schemeClr w14:val="tx1"/>
            </w14:solidFill>
          </w14:textFill>
        </w:rPr>
      </w:pPr>
      <w:sdt>
        <w:sdtPr>
          <w:rPr>
            <w:color w:val="000000" w:themeColor="text1"/>
            <w14:textFill>
              <w14:solidFill>
                <w14:schemeClr w14:val="tx1"/>
              </w14:solidFill>
            </w14:textFill>
          </w:rPr>
          <w:alias w:val="固定资产分类列示其他说明"/>
          <w:tag w:val="_GBC_9028bab58a12485bb8ef4d316280f591"/>
          <w:id w:val="-718198221"/>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bookmarkEnd w:id="270"/>
    <w:p w14:paraId="7765CEC7">
      <w:pPr>
        <w:rPr>
          <w:color w:val="000000" w:themeColor="text1"/>
          <w14:textFill>
            <w14:solidFill>
              <w14:schemeClr w14:val="tx1"/>
            </w14:solidFill>
          </w14:textFill>
        </w:rPr>
      </w:pPr>
    </w:p>
    <w:p w14:paraId="5EB0FD50">
      <w:pPr>
        <w:pStyle w:val="5"/>
        <w:tabs>
          <w:tab w:val="left" w:pos="58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固定资产</w:t>
      </w:r>
    </w:p>
    <w:p w14:paraId="40493012">
      <w:pPr>
        <w:pStyle w:val="6"/>
        <w:numPr>
          <w:ilvl w:val="0"/>
          <w:numId w:val="58"/>
        </w:numPr>
      </w:pPr>
      <w:r>
        <w:rPr>
          <w:rFonts w:hint="eastAsia"/>
        </w:rPr>
        <w:t>固定资产情况</w:t>
      </w:r>
    </w:p>
    <w:sdt>
      <w:sdtPr>
        <w:rPr>
          <w:color w:val="000000" w:themeColor="text1"/>
          <w14:textFill>
            <w14:solidFill>
              <w14:schemeClr w14:val="tx1"/>
            </w14:solidFill>
          </w14:textFill>
        </w:rPr>
        <w:alias w:val="是否适用：固定资产情况[双击切换]"/>
        <w:tag w:val="_GBC_dea1f620aab74d63b1372d831b5b450f"/>
        <w:id w:val="1196893536"/>
        <w:placeholder>
          <w:docPart w:val="GBC22222222222222222222222222222"/>
        </w:placeholder>
      </w:sdtPr>
      <w:sdtEndPr>
        <w:rPr>
          <w:color w:val="000000" w:themeColor="text1"/>
          <w14:textFill>
            <w14:solidFill>
              <w14:schemeClr w14:val="tx1"/>
            </w14:solidFill>
          </w14:textFill>
        </w:rPr>
      </w:sdtEndPr>
      <w:sdtContent>
        <w:p w14:paraId="04C4400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FE089F6">
      <w:pPr>
        <w:autoSpaceDE w:val="0"/>
        <w:autoSpaceDN w:val="0"/>
        <w:adjustRightInd w:val="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固定资产情况"/>
          <w:tag w:val="_GBC_563afa3e91c048118558af0713b1a1af"/>
          <w:id w:val="3238653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固定资产情况"/>
          <w:tag w:val="_GBC_c5ecae448dd948eca54add973afbe77b"/>
          <w:id w:val="18010266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164"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992"/>
        <w:gridCol w:w="1543"/>
        <w:gridCol w:w="1543"/>
        <w:gridCol w:w="1279"/>
        <w:gridCol w:w="1279"/>
        <w:gridCol w:w="1549"/>
      </w:tblGrid>
      <w:tr w14:paraId="70ED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1741958de41447b7ac4cbd15ce893c6c"/>
            <w:id w:val="-728227140"/>
          </w:sdtPr>
          <w:sdtContent>
            <w:tc>
              <w:tcPr>
                <w:tcW w:w="1085" w:type="pct"/>
                <w:vAlign w:val="center"/>
              </w:tcPr>
              <w:p w14:paraId="45FA4F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rPr>
              <w:rFonts w:hint="eastAsia"/>
              <w:color w:val="000000" w:themeColor="text1"/>
              <w14:textFill>
                <w14:solidFill>
                  <w14:schemeClr w14:val="tx1"/>
                </w14:solidFill>
              </w14:textFill>
            </w:rPr>
            <w:alias w:val="固定资产情况明细-项目名称"/>
            <w:tag w:val="_GBC_936a8499167f477aab1a2942b2fdbdaf"/>
            <w:id w:val="-958326570"/>
            <w:text/>
          </w:sdtPr>
          <w:sdtEndPr>
            <w:rPr>
              <w:rFonts w:hint="eastAsia"/>
              <w:color w:val="000000" w:themeColor="text1"/>
              <w14:textFill>
                <w14:solidFill>
                  <w14:schemeClr w14:val="tx1"/>
                </w14:solidFill>
              </w14:textFill>
            </w:rPr>
          </w:sdtEndPr>
          <w:sdtContent>
            <w:tc>
              <w:tcPr>
                <w:tcW w:w="840" w:type="pct"/>
                <w:vAlign w:val="center"/>
              </w:tcPr>
              <w:p w14:paraId="00FEF85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房屋及建筑物</w:t>
                </w:r>
              </w:p>
            </w:tc>
          </w:sdtContent>
        </w:sdt>
        <w:sdt>
          <w:sdtPr>
            <w:rPr>
              <w:rFonts w:hint="eastAsia"/>
            </w:rPr>
            <w:alias w:val="固定资产情况明细-项目名称"/>
            <w:tag w:val="_GBC_936a8499167f477aab1a2942b2fdbdaf"/>
            <w:id w:val="567547400"/>
            <w:text/>
          </w:sdtPr>
          <w:sdtEndPr>
            <w:rPr>
              <w:rFonts w:hint="eastAsia"/>
            </w:rPr>
          </w:sdtEndPr>
          <w:sdtContent>
            <w:tc>
              <w:tcPr>
                <w:tcW w:w="840" w:type="pct"/>
                <w:vAlign w:val="center"/>
              </w:tcPr>
              <w:p w14:paraId="244FA291">
                <w:pPr>
                  <w:jc w:val="center"/>
                </w:pPr>
                <w:r>
                  <w:rPr>
                    <w:rFonts w:hint="eastAsia"/>
                  </w:rPr>
                  <w:t>机器设备</w:t>
                </w:r>
              </w:p>
            </w:tc>
          </w:sdtContent>
        </w:sdt>
        <w:sdt>
          <w:sdtPr>
            <w:rPr>
              <w:rFonts w:hint="eastAsia"/>
            </w:rPr>
            <w:alias w:val="固定资产情况明细-项目名称"/>
            <w:tag w:val="_GBC_936a8499167f477aab1a2942b2fdbdaf"/>
            <w:id w:val="2031060733"/>
            <w:text/>
          </w:sdtPr>
          <w:sdtEndPr>
            <w:rPr>
              <w:rFonts w:hint="eastAsia"/>
            </w:rPr>
          </w:sdtEndPr>
          <w:sdtContent>
            <w:tc>
              <w:tcPr>
                <w:tcW w:w="696" w:type="pct"/>
                <w:vAlign w:val="center"/>
              </w:tcPr>
              <w:p w14:paraId="752C1B8E">
                <w:pPr>
                  <w:jc w:val="center"/>
                </w:pPr>
                <w:r>
                  <w:rPr>
                    <w:rFonts w:hint="eastAsia"/>
                  </w:rPr>
                  <w:t>运输工具</w:t>
                </w:r>
              </w:p>
            </w:tc>
          </w:sdtContent>
        </w:sdt>
        <w:sdt>
          <w:sdtPr>
            <w:rPr>
              <w:rFonts w:hint="eastAsia"/>
            </w:rPr>
            <w:alias w:val="固定资产情况明细-项目名称"/>
            <w:tag w:val="_GBC_936a8499167f477aab1a2942b2fdbdaf"/>
            <w:id w:val="44261790"/>
            <w:text/>
          </w:sdtPr>
          <w:sdtEndPr>
            <w:rPr>
              <w:rFonts w:hint="eastAsia"/>
            </w:rPr>
          </w:sdtEndPr>
          <w:sdtContent>
            <w:tc>
              <w:tcPr>
                <w:tcW w:w="696" w:type="pct"/>
                <w:vAlign w:val="center"/>
              </w:tcPr>
              <w:p w14:paraId="7F81D274">
                <w:pPr>
                  <w:jc w:val="center"/>
                </w:pPr>
                <w:r>
                  <w:rPr>
                    <w:rFonts w:hint="eastAsia"/>
                  </w:rPr>
                  <w:t>办公设备及其他</w:t>
                </w:r>
              </w:p>
            </w:tc>
          </w:sdtContent>
        </w:sdt>
        <w:sdt>
          <w:sdtPr>
            <w:tag w:val="_PLD_0b635f975b4949dbb798f88c3dcf1d8d"/>
            <w:id w:val="1300342201"/>
          </w:sdtPr>
          <w:sdtContent>
            <w:tc>
              <w:tcPr>
                <w:tcW w:w="840" w:type="pct"/>
                <w:vAlign w:val="center"/>
              </w:tcPr>
              <w:p w14:paraId="3E3483E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r>
      <w:tr w14:paraId="448C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e1d4e79d72fd45cc925f8729ecef795c"/>
            <w:id w:val="18369391"/>
          </w:sdtPr>
          <w:sdtContent>
            <w:tc>
              <w:tcPr>
                <w:tcW w:w="5000" w:type="pct"/>
                <w:gridSpan w:val="6"/>
              </w:tcPr>
              <w:p w14:paraId="1E4EE5BD">
                <w:pPr>
                  <w:rPr>
                    <w:color w:val="000000" w:themeColor="text1"/>
                    <w14:textFill>
                      <w14:solidFill>
                        <w14:schemeClr w14:val="tx1"/>
                      </w14:solidFill>
                    </w14:textFill>
                  </w:rPr>
                </w:pPr>
                <w:r>
                  <w:rPr>
                    <w:rFonts w:hint="eastAsia"/>
                    <w:color w:val="000000" w:themeColor="text1"/>
                    <w14:textFill>
                      <w14:solidFill>
                        <w14:schemeClr w14:val="tx1"/>
                      </w14:solidFill>
                    </w14:textFill>
                  </w:rPr>
                  <w:t>一、账面原值：</w:t>
                </w:r>
              </w:p>
            </w:tc>
          </w:sdtContent>
        </w:sdt>
      </w:tr>
      <w:tr w14:paraId="23B6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7F44A078">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期初余额</w:t>
            </w:r>
          </w:p>
        </w:tc>
        <w:tc>
          <w:tcPr>
            <w:tcW w:w="840" w:type="pct"/>
            <w:vAlign w:val="center"/>
          </w:tcPr>
          <w:p w14:paraId="585CFCE3">
            <w:pPr>
              <w:jc w:val="right"/>
            </w:pPr>
            <w:r>
              <w:t>2,262,691,226.90</w:t>
            </w:r>
          </w:p>
        </w:tc>
        <w:tc>
          <w:tcPr>
            <w:tcW w:w="840" w:type="pct"/>
            <w:vAlign w:val="center"/>
          </w:tcPr>
          <w:p w14:paraId="16CE1A88">
            <w:pPr>
              <w:jc w:val="right"/>
            </w:pPr>
            <w:r>
              <w:t>1,784,211,760.79</w:t>
            </w:r>
          </w:p>
        </w:tc>
        <w:tc>
          <w:tcPr>
            <w:tcW w:w="696" w:type="pct"/>
            <w:vAlign w:val="center"/>
          </w:tcPr>
          <w:p w14:paraId="48A0F62A">
            <w:pPr>
              <w:jc w:val="right"/>
            </w:pPr>
            <w:r>
              <w:t>28,517,693.01</w:t>
            </w:r>
          </w:p>
        </w:tc>
        <w:tc>
          <w:tcPr>
            <w:tcW w:w="696" w:type="pct"/>
            <w:vAlign w:val="center"/>
          </w:tcPr>
          <w:p w14:paraId="3B99B459">
            <w:pPr>
              <w:jc w:val="right"/>
            </w:pPr>
            <w:r>
              <w:t>81,519,560.26</w:t>
            </w:r>
          </w:p>
        </w:tc>
        <w:tc>
          <w:tcPr>
            <w:tcW w:w="840" w:type="pct"/>
            <w:vAlign w:val="center"/>
          </w:tcPr>
          <w:p w14:paraId="2C40D7F5">
            <w:pPr>
              <w:jc w:val="right"/>
            </w:pPr>
            <w:r>
              <w:t>4,156,940,240.96</w:t>
            </w:r>
          </w:p>
        </w:tc>
      </w:tr>
      <w:tr w14:paraId="60CA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5750E7D2">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本期增加金额</w:t>
            </w:r>
          </w:p>
        </w:tc>
        <w:tc>
          <w:tcPr>
            <w:tcW w:w="840" w:type="pct"/>
            <w:vAlign w:val="center"/>
          </w:tcPr>
          <w:p w14:paraId="2B130AB1">
            <w:pPr>
              <w:jc w:val="right"/>
            </w:pPr>
            <w:r>
              <w:rPr>
                <w:rFonts w:hint="eastAsia"/>
                <w:color w:val="000000"/>
              </w:rPr>
              <w:t>-491,611.61</w:t>
            </w:r>
          </w:p>
        </w:tc>
        <w:tc>
          <w:tcPr>
            <w:tcW w:w="840" w:type="pct"/>
            <w:vAlign w:val="center"/>
          </w:tcPr>
          <w:p w14:paraId="6A4325A1">
            <w:pPr>
              <w:jc w:val="right"/>
            </w:pPr>
            <w:r>
              <w:rPr>
                <w:rFonts w:hint="eastAsia"/>
                <w:color w:val="000000"/>
              </w:rPr>
              <w:t>10,872,896.90</w:t>
            </w:r>
          </w:p>
        </w:tc>
        <w:tc>
          <w:tcPr>
            <w:tcW w:w="696" w:type="pct"/>
            <w:vAlign w:val="center"/>
          </w:tcPr>
          <w:p w14:paraId="04837B52">
            <w:pPr>
              <w:jc w:val="right"/>
            </w:pPr>
            <w:r>
              <w:rPr>
                <w:rFonts w:hint="eastAsia"/>
                <w:color w:val="000000"/>
              </w:rPr>
              <w:t>2,773,223.73</w:t>
            </w:r>
          </w:p>
        </w:tc>
        <w:tc>
          <w:tcPr>
            <w:tcW w:w="696" w:type="pct"/>
            <w:vAlign w:val="center"/>
          </w:tcPr>
          <w:p w14:paraId="027AA482">
            <w:pPr>
              <w:jc w:val="right"/>
            </w:pPr>
            <w:r>
              <w:rPr>
                <w:rFonts w:hint="eastAsia"/>
                <w:color w:val="000000"/>
              </w:rPr>
              <w:t>1,603,768.87</w:t>
            </w:r>
          </w:p>
        </w:tc>
        <w:tc>
          <w:tcPr>
            <w:tcW w:w="840" w:type="pct"/>
            <w:vAlign w:val="center"/>
          </w:tcPr>
          <w:p w14:paraId="44849A2C">
            <w:pPr>
              <w:jc w:val="right"/>
            </w:pPr>
            <w:r>
              <w:rPr>
                <w:rFonts w:hint="eastAsia"/>
                <w:color w:val="000000"/>
              </w:rPr>
              <w:t>14,758,277.89</w:t>
            </w:r>
          </w:p>
        </w:tc>
      </w:tr>
      <w:tr w14:paraId="5E1C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1E830127">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（1）购置</w:t>
            </w:r>
          </w:p>
        </w:tc>
        <w:tc>
          <w:tcPr>
            <w:tcW w:w="840" w:type="pct"/>
            <w:vAlign w:val="center"/>
          </w:tcPr>
          <w:p w14:paraId="58BB7384">
            <w:pPr>
              <w:jc w:val="right"/>
            </w:pPr>
            <w:r>
              <w:rPr>
                <w:rFonts w:hint="eastAsia"/>
                <w:color w:val="000000"/>
              </w:rPr>
              <w:t>17,889.90</w:t>
            </w:r>
          </w:p>
        </w:tc>
        <w:tc>
          <w:tcPr>
            <w:tcW w:w="840" w:type="pct"/>
            <w:vAlign w:val="center"/>
          </w:tcPr>
          <w:p w14:paraId="09BC90DD">
            <w:pPr>
              <w:jc w:val="right"/>
            </w:pPr>
            <w:r>
              <w:rPr>
                <w:rFonts w:hint="eastAsia"/>
                <w:color w:val="000000"/>
              </w:rPr>
              <w:t>2,227,142.98</w:t>
            </w:r>
          </w:p>
        </w:tc>
        <w:tc>
          <w:tcPr>
            <w:tcW w:w="696" w:type="pct"/>
            <w:vAlign w:val="center"/>
          </w:tcPr>
          <w:p w14:paraId="61F00463">
            <w:pPr>
              <w:jc w:val="right"/>
            </w:pPr>
            <w:r>
              <w:rPr>
                <w:rFonts w:hint="eastAsia"/>
                <w:color w:val="000000"/>
              </w:rPr>
              <w:t>2,391,415.85</w:t>
            </w:r>
          </w:p>
        </w:tc>
        <w:tc>
          <w:tcPr>
            <w:tcW w:w="696" w:type="pct"/>
            <w:vAlign w:val="center"/>
          </w:tcPr>
          <w:p w14:paraId="04BC8290">
            <w:pPr>
              <w:jc w:val="right"/>
            </w:pPr>
            <w:r>
              <w:rPr>
                <w:rFonts w:hint="eastAsia"/>
                <w:color w:val="000000"/>
              </w:rPr>
              <w:t>1,587,290.03</w:t>
            </w:r>
          </w:p>
        </w:tc>
        <w:tc>
          <w:tcPr>
            <w:tcW w:w="840" w:type="pct"/>
            <w:vAlign w:val="center"/>
          </w:tcPr>
          <w:p w14:paraId="6C88BA6F">
            <w:pPr>
              <w:jc w:val="right"/>
            </w:pPr>
            <w:r>
              <w:rPr>
                <w:rFonts w:hint="eastAsia"/>
                <w:color w:val="000000"/>
              </w:rPr>
              <w:t>6,223,738.76</w:t>
            </w:r>
          </w:p>
        </w:tc>
      </w:tr>
      <w:tr w14:paraId="114E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3126836B">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（2）在建工程转入</w:t>
            </w:r>
          </w:p>
        </w:tc>
        <w:tc>
          <w:tcPr>
            <w:tcW w:w="840" w:type="pct"/>
            <w:vAlign w:val="center"/>
          </w:tcPr>
          <w:p w14:paraId="3FF5B790">
            <w:pPr>
              <w:jc w:val="right"/>
            </w:pPr>
          </w:p>
        </w:tc>
        <w:tc>
          <w:tcPr>
            <w:tcW w:w="840" w:type="pct"/>
            <w:vAlign w:val="center"/>
          </w:tcPr>
          <w:p w14:paraId="3EADC614">
            <w:pPr>
              <w:jc w:val="right"/>
            </w:pPr>
            <w:r>
              <w:t>8,796,575.70</w:t>
            </w:r>
          </w:p>
        </w:tc>
        <w:tc>
          <w:tcPr>
            <w:tcW w:w="696" w:type="pct"/>
            <w:vAlign w:val="center"/>
          </w:tcPr>
          <w:p w14:paraId="452AF5BB">
            <w:pPr>
              <w:jc w:val="right"/>
            </w:pPr>
          </w:p>
        </w:tc>
        <w:tc>
          <w:tcPr>
            <w:tcW w:w="696" w:type="pct"/>
            <w:vAlign w:val="center"/>
          </w:tcPr>
          <w:p w14:paraId="31CE2EB1">
            <w:pPr>
              <w:jc w:val="right"/>
            </w:pPr>
          </w:p>
        </w:tc>
        <w:tc>
          <w:tcPr>
            <w:tcW w:w="840" w:type="pct"/>
            <w:vAlign w:val="center"/>
          </w:tcPr>
          <w:p w14:paraId="1FE0093C">
            <w:pPr>
              <w:jc w:val="right"/>
            </w:pPr>
            <w:r>
              <w:t>8,796,575.70</w:t>
            </w:r>
          </w:p>
        </w:tc>
      </w:tr>
      <w:tr w14:paraId="46CC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65392FDC">
            <w:pPr>
              <w:ind w:firstLine="630" w:firstLineChars="300"/>
            </w:pPr>
            <w:r>
              <w:rPr>
                <w:rFonts w:hint="eastAsia"/>
              </w:rPr>
              <w:t>（3）外币报表折算差额</w:t>
            </w:r>
          </w:p>
        </w:tc>
        <w:tc>
          <w:tcPr>
            <w:tcW w:w="840" w:type="pct"/>
            <w:vAlign w:val="center"/>
          </w:tcPr>
          <w:p w14:paraId="60F9FDF0">
            <w:pPr>
              <w:jc w:val="right"/>
            </w:pPr>
            <w:r>
              <w:t>-509,501.51</w:t>
            </w:r>
          </w:p>
        </w:tc>
        <w:tc>
          <w:tcPr>
            <w:tcW w:w="840" w:type="pct"/>
            <w:vAlign w:val="center"/>
          </w:tcPr>
          <w:p w14:paraId="2FF524E8">
            <w:pPr>
              <w:jc w:val="right"/>
            </w:pPr>
            <w:r>
              <w:t>-150,821.78</w:t>
            </w:r>
          </w:p>
        </w:tc>
        <w:tc>
          <w:tcPr>
            <w:tcW w:w="696" w:type="pct"/>
            <w:vAlign w:val="center"/>
          </w:tcPr>
          <w:p w14:paraId="6051BCB0">
            <w:pPr>
              <w:jc w:val="right"/>
            </w:pPr>
            <w:r>
              <w:t>381,807.88</w:t>
            </w:r>
          </w:p>
        </w:tc>
        <w:tc>
          <w:tcPr>
            <w:tcW w:w="696" w:type="pct"/>
            <w:vAlign w:val="center"/>
          </w:tcPr>
          <w:p w14:paraId="548E9FA8">
            <w:pPr>
              <w:jc w:val="right"/>
            </w:pPr>
            <w:r>
              <w:t>16,478.84</w:t>
            </w:r>
          </w:p>
        </w:tc>
        <w:tc>
          <w:tcPr>
            <w:tcW w:w="840" w:type="pct"/>
            <w:vAlign w:val="center"/>
          </w:tcPr>
          <w:p w14:paraId="417C53F9">
            <w:pPr>
              <w:jc w:val="right"/>
            </w:pPr>
            <w:r>
              <w:t>-262,036.57</w:t>
            </w:r>
          </w:p>
        </w:tc>
      </w:tr>
      <w:tr w14:paraId="1090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38293A46">
            <w:pPr>
              <w:ind w:firstLine="525"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3.本期减少金额</w:t>
            </w:r>
          </w:p>
        </w:tc>
        <w:tc>
          <w:tcPr>
            <w:tcW w:w="840" w:type="pct"/>
            <w:vAlign w:val="center"/>
          </w:tcPr>
          <w:p w14:paraId="2C442EA7">
            <w:pPr>
              <w:jc w:val="right"/>
            </w:pPr>
            <w:r>
              <w:rPr>
                <w:rFonts w:hint="eastAsia"/>
                <w:color w:val="000000"/>
              </w:rPr>
              <w:t>1,126,832.33</w:t>
            </w:r>
          </w:p>
        </w:tc>
        <w:tc>
          <w:tcPr>
            <w:tcW w:w="840" w:type="pct"/>
            <w:vAlign w:val="center"/>
          </w:tcPr>
          <w:p w14:paraId="337D4564">
            <w:pPr>
              <w:jc w:val="right"/>
            </w:pPr>
            <w:r>
              <w:rPr>
                <w:rFonts w:hint="eastAsia"/>
                <w:color w:val="000000"/>
              </w:rPr>
              <w:t>283,354,821.26</w:t>
            </w:r>
          </w:p>
        </w:tc>
        <w:tc>
          <w:tcPr>
            <w:tcW w:w="696" w:type="pct"/>
            <w:vAlign w:val="center"/>
          </w:tcPr>
          <w:p w14:paraId="64721614">
            <w:pPr>
              <w:jc w:val="right"/>
            </w:pPr>
            <w:r>
              <w:rPr>
                <w:rFonts w:hint="eastAsia"/>
                <w:color w:val="000000"/>
              </w:rPr>
              <w:t>1,030,033.81</w:t>
            </w:r>
          </w:p>
        </w:tc>
        <w:tc>
          <w:tcPr>
            <w:tcW w:w="696" w:type="pct"/>
            <w:vAlign w:val="center"/>
          </w:tcPr>
          <w:p w14:paraId="04B3EB27">
            <w:pPr>
              <w:jc w:val="right"/>
            </w:pPr>
            <w:r>
              <w:rPr>
                <w:rFonts w:hint="eastAsia"/>
                <w:color w:val="000000"/>
              </w:rPr>
              <w:t>1,953,952.24</w:t>
            </w:r>
          </w:p>
        </w:tc>
        <w:tc>
          <w:tcPr>
            <w:tcW w:w="840" w:type="pct"/>
            <w:vAlign w:val="center"/>
          </w:tcPr>
          <w:p w14:paraId="5BA58BA6">
            <w:pPr>
              <w:jc w:val="right"/>
            </w:pPr>
            <w:r>
              <w:rPr>
                <w:rFonts w:hint="eastAsia"/>
                <w:color w:val="000000"/>
              </w:rPr>
              <w:t>287,465,639.64</w:t>
            </w:r>
          </w:p>
        </w:tc>
      </w:tr>
      <w:tr w14:paraId="5A2E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39B8962D">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（1）处置或报废</w:t>
            </w:r>
          </w:p>
        </w:tc>
        <w:tc>
          <w:tcPr>
            <w:tcW w:w="840" w:type="pct"/>
            <w:vAlign w:val="center"/>
          </w:tcPr>
          <w:p w14:paraId="705FCBF7">
            <w:pPr>
              <w:jc w:val="right"/>
            </w:pPr>
            <w:r>
              <w:rPr>
                <w:rFonts w:hint="eastAsia"/>
                <w:color w:val="000000"/>
              </w:rPr>
              <w:t>1,126,832.33</w:t>
            </w:r>
          </w:p>
        </w:tc>
        <w:tc>
          <w:tcPr>
            <w:tcW w:w="840" w:type="pct"/>
            <w:vAlign w:val="center"/>
          </w:tcPr>
          <w:p w14:paraId="588C2E24">
            <w:pPr>
              <w:jc w:val="right"/>
            </w:pPr>
            <w:r>
              <w:rPr>
                <w:rFonts w:hint="eastAsia"/>
                <w:color w:val="000000"/>
              </w:rPr>
              <w:t>283,354,821.26</w:t>
            </w:r>
          </w:p>
        </w:tc>
        <w:tc>
          <w:tcPr>
            <w:tcW w:w="696" w:type="pct"/>
            <w:vAlign w:val="center"/>
          </w:tcPr>
          <w:p w14:paraId="3A977E5F">
            <w:pPr>
              <w:jc w:val="right"/>
            </w:pPr>
            <w:r>
              <w:rPr>
                <w:rFonts w:hint="eastAsia"/>
                <w:color w:val="000000"/>
              </w:rPr>
              <w:t>1,030,033.81</w:t>
            </w:r>
          </w:p>
        </w:tc>
        <w:tc>
          <w:tcPr>
            <w:tcW w:w="696" w:type="pct"/>
            <w:vAlign w:val="center"/>
          </w:tcPr>
          <w:p w14:paraId="52D4EC10">
            <w:pPr>
              <w:jc w:val="right"/>
            </w:pPr>
            <w:r>
              <w:rPr>
                <w:rFonts w:hint="eastAsia"/>
                <w:color w:val="000000"/>
              </w:rPr>
              <w:t>1,953,952.24</w:t>
            </w:r>
          </w:p>
        </w:tc>
        <w:tc>
          <w:tcPr>
            <w:tcW w:w="840" w:type="pct"/>
            <w:vAlign w:val="center"/>
          </w:tcPr>
          <w:p w14:paraId="0BE3D607">
            <w:pPr>
              <w:jc w:val="right"/>
            </w:pPr>
            <w:r>
              <w:rPr>
                <w:rFonts w:hint="eastAsia"/>
                <w:color w:val="000000"/>
              </w:rPr>
              <w:t>287,465,639.64</w:t>
            </w:r>
          </w:p>
        </w:tc>
      </w:tr>
      <w:tr w14:paraId="782B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5B9CB746">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4.期末余额</w:t>
            </w:r>
          </w:p>
        </w:tc>
        <w:tc>
          <w:tcPr>
            <w:tcW w:w="840" w:type="pct"/>
            <w:vAlign w:val="center"/>
          </w:tcPr>
          <w:p w14:paraId="3EE12F2A">
            <w:pPr>
              <w:jc w:val="right"/>
            </w:pPr>
            <w:r>
              <w:rPr>
                <w:rFonts w:hint="eastAsia"/>
                <w:color w:val="000000"/>
              </w:rPr>
              <w:t>2,261,072,782.96</w:t>
            </w:r>
          </w:p>
        </w:tc>
        <w:tc>
          <w:tcPr>
            <w:tcW w:w="840" w:type="pct"/>
            <w:vAlign w:val="center"/>
          </w:tcPr>
          <w:p w14:paraId="5097C345">
            <w:pPr>
              <w:jc w:val="right"/>
            </w:pPr>
            <w:r>
              <w:rPr>
                <w:rFonts w:hint="eastAsia"/>
                <w:color w:val="000000"/>
              </w:rPr>
              <w:t>1,511,729,836.43</w:t>
            </w:r>
          </w:p>
        </w:tc>
        <w:tc>
          <w:tcPr>
            <w:tcW w:w="696" w:type="pct"/>
            <w:vAlign w:val="center"/>
          </w:tcPr>
          <w:p w14:paraId="74AB08E4">
            <w:pPr>
              <w:jc w:val="right"/>
            </w:pPr>
            <w:r>
              <w:rPr>
                <w:rFonts w:hint="eastAsia"/>
                <w:color w:val="000000"/>
              </w:rPr>
              <w:t>30,260,882.93</w:t>
            </w:r>
          </w:p>
        </w:tc>
        <w:tc>
          <w:tcPr>
            <w:tcW w:w="696" w:type="pct"/>
            <w:vAlign w:val="center"/>
          </w:tcPr>
          <w:p w14:paraId="064FB32E">
            <w:pPr>
              <w:jc w:val="right"/>
            </w:pPr>
            <w:r>
              <w:rPr>
                <w:rFonts w:hint="eastAsia"/>
                <w:color w:val="000000"/>
              </w:rPr>
              <w:t>81,169,376.89</w:t>
            </w:r>
          </w:p>
        </w:tc>
        <w:tc>
          <w:tcPr>
            <w:tcW w:w="840" w:type="pct"/>
            <w:vAlign w:val="center"/>
          </w:tcPr>
          <w:p w14:paraId="4EDE2B5A">
            <w:pPr>
              <w:jc w:val="right"/>
            </w:pPr>
            <w:r>
              <w:rPr>
                <w:rFonts w:hint="eastAsia"/>
                <w:color w:val="000000"/>
              </w:rPr>
              <w:t>3,884,232,879.21</w:t>
            </w:r>
          </w:p>
        </w:tc>
      </w:tr>
      <w:tr w14:paraId="1706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3b9a984e6e834331844252acd1c6a321"/>
            <w:id w:val="650101354"/>
          </w:sdtPr>
          <w:sdtContent>
            <w:tc>
              <w:tcPr>
                <w:tcW w:w="5000" w:type="pct"/>
                <w:gridSpan w:val="6"/>
              </w:tcPr>
              <w:p w14:paraId="5B68893A">
                <w:pPr>
                  <w:ind w:right="420"/>
                  <w:rPr>
                    <w:color w:val="000000" w:themeColor="text1"/>
                    <w14:textFill>
                      <w14:solidFill>
                        <w14:schemeClr w14:val="tx1"/>
                      </w14:solidFill>
                    </w14:textFill>
                  </w:rPr>
                </w:pPr>
                <w:r>
                  <w:rPr>
                    <w:rFonts w:hint="eastAsia"/>
                    <w:color w:val="000000" w:themeColor="text1"/>
                    <w14:textFill>
                      <w14:solidFill>
                        <w14:schemeClr w14:val="tx1"/>
                      </w14:solidFill>
                    </w14:textFill>
                  </w:rPr>
                  <w:t>二、累计折旧</w:t>
                </w:r>
              </w:p>
            </w:tc>
          </w:sdtContent>
        </w:sdt>
      </w:tr>
      <w:tr w14:paraId="21CE9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39E07AC1">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期初余额</w:t>
            </w:r>
          </w:p>
        </w:tc>
        <w:tc>
          <w:tcPr>
            <w:tcW w:w="840" w:type="pct"/>
            <w:vAlign w:val="center"/>
          </w:tcPr>
          <w:p w14:paraId="4E99C107">
            <w:pPr>
              <w:jc w:val="right"/>
            </w:pPr>
            <w:r>
              <w:t>822,548,570.80</w:t>
            </w:r>
          </w:p>
        </w:tc>
        <w:tc>
          <w:tcPr>
            <w:tcW w:w="840" w:type="pct"/>
            <w:vAlign w:val="center"/>
          </w:tcPr>
          <w:p w14:paraId="13D00393">
            <w:pPr>
              <w:jc w:val="right"/>
            </w:pPr>
            <w:r>
              <w:t>768,775,959.76</w:t>
            </w:r>
          </w:p>
        </w:tc>
        <w:tc>
          <w:tcPr>
            <w:tcW w:w="696" w:type="pct"/>
            <w:vAlign w:val="center"/>
          </w:tcPr>
          <w:p w14:paraId="3961AAE9">
            <w:pPr>
              <w:jc w:val="right"/>
            </w:pPr>
            <w:r>
              <w:t>7,529,875.61</w:t>
            </w:r>
          </w:p>
        </w:tc>
        <w:tc>
          <w:tcPr>
            <w:tcW w:w="696" w:type="pct"/>
            <w:vAlign w:val="center"/>
          </w:tcPr>
          <w:p w14:paraId="534583B0">
            <w:pPr>
              <w:jc w:val="right"/>
            </w:pPr>
            <w:r>
              <w:t>66,579,097.98</w:t>
            </w:r>
          </w:p>
        </w:tc>
        <w:tc>
          <w:tcPr>
            <w:tcW w:w="840" w:type="pct"/>
            <w:vAlign w:val="center"/>
          </w:tcPr>
          <w:p w14:paraId="3EFB5CB2">
            <w:pPr>
              <w:jc w:val="right"/>
            </w:pPr>
            <w:r>
              <w:t>1,665,433,504.15</w:t>
            </w:r>
          </w:p>
        </w:tc>
      </w:tr>
      <w:tr w14:paraId="62B0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0EBA1C54">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本期增加金额</w:t>
            </w:r>
          </w:p>
        </w:tc>
        <w:tc>
          <w:tcPr>
            <w:tcW w:w="840" w:type="pct"/>
            <w:vAlign w:val="center"/>
          </w:tcPr>
          <w:p w14:paraId="50E45A40">
            <w:pPr>
              <w:jc w:val="right"/>
            </w:pPr>
            <w:r>
              <w:rPr>
                <w:rFonts w:hint="eastAsia"/>
                <w:color w:val="000000"/>
              </w:rPr>
              <w:t>38,202,368.46</w:t>
            </w:r>
          </w:p>
        </w:tc>
        <w:tc>
          <w:tcPr>
            <w:tcW w:w="840" w:type="pct"/>
            <w:vAlign w:val="center"/>
          </w:tcPr>
          <w:p w14:paraId="6A00BE5D">
            <w:pPr>
              <w:jc w:val="right"/>
            </w:pPr>
            <w:r>
              <w:rPr>
                <w:rFonts w:hint="eastAsia"/>
                <w:color w:val="000000"/>
              </w:rPr>
              <w:t>42,534,036.69</w:t>
            </w:r>
          </w:p>
        </w:tc>
        <w:tc>
          <w:tcPr>
            <w:tcW w:w="696" w:type="pct"/>
            <w:vAlign w:val="center"/>
          </w:tcPr>
          <w:p w14:paraId="082F3498">
            <w:pPr>
              <w:jc w:val="right"/>
            </w:pPr>
            <w:r>
              <w:rPr>
                <w:rFonts w:hint="eastAsia"/>
                <w:color w:val="000000"/>
              </w:rPr>
              <w:t>2,699,026.98</w:t>
            </w:r>
          </w:p>
        </w:tc>
        <w:tc>
          <w:tcPr>
            <w:tcW w:w="696" w:type="pct"/>
            <w:vAlign w:val="center"/>
          </w:tcPr>
          <w:p w14:paraId="4B47D401">
            <w:pPr>
              <w:jc w:val="right"/>
            </w:pPr>
            <w:r>
              <w:rPr>
                <w:rFonts w:hint="eastAsia"/>
                <w:color w:val="000000"/>
              </w:rPr>
              <w:t>2,165,576.99</w:t>
            </w:r>
          </w:p>
        </w:tc>
        <w:tc>
          <w:tcPr>
            <w:tcW w:w="840" w:type="pct"/>
            <w:vAlign w:val="center"/>
          </w:tcPr>
          <w:p w14:paraId="181187C0">
            <w:pPr>
              <w:jc w:val="right"/>
            </w:pPr>
            <w:r>
              <w:rPr>
                <w:rFonts w:hint="eastAsia"/>
                <w:color w:val="000000"/>
              </w:rPr>
              <w:t>85,601,009.12</w:t>
            </w:r>
          </w:p>
        </w:tc>
      </w:tr>
      <w:tr w14:paraId="15FA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37690741">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（1）计提</w:t>
            </w:r>
          </w:p>
        </w:tc>
        <w:tc>
          <w:tcPr>
            <w:tcW w:w="840" w:type="pct"/>
            <w:vAlign w:val="center"/>
          </w:tcPr>
          <w:p w14:paraId="074AC35A">
            <w:pPr>
              <w:jc w:val="right"/>
            </w:pPr>
            <w:r>
              <w:rPr>
                <w:rFonts w:hint="eastAsia"/>
                <w:color w:val="000000"/>
              </w:rPr>
              <w:t>38,527,946.52</w:t>
            </w:r>
          </w:p>
        </w:tc>
        <w:tc>
          <w:tcPr>
            <w:tcW w:w="840" w:type="pct"/>
            <w:vAlign w:val="center"/>
          </w:tcPr>
          <w:p w14:paraId="57432623">
            <w:pPr>
              <w:jc w:val="right"/>
            </w:pPr>
            <w:r>
              <w:rPr>
                <w:rFonts w:hint="eastAsia"/>
                <w:color w:val="000000"/>
              </w:rPr>
              <w:t>42,628,761.36</w:t>
            </w:r>
          </w:p>
        </w:tc>
        <w:tc>
          <w:tcPr>
            <w:tcW w:w="696" w:type="pct"/>
            <w:vAlign w:val="center"/>
          </w:tcPr>
          <w:p w14:paraId="7EC93D1C">
            <w:pPr>
              <w:jc w:val="right"/>
            </w:pPr>
            <w:r>
              <w:rPr>
                <w:rFonts w:hint="eastAsia"/>
                <w:color w:val="000000"/>
              </w:rPr>
              <w:t>2,838,237.86</w:t>
            </w:r>
          </w:p>
        </w:tc>
        <w:tc>
          <w:tcPr>
            <w:tcW w:w="696" w:type="pct"/>
            <w:vAlign w:val="center"/>
          </w:tcPr>
          <w:p w14:paraId="76CCAFE3">
            <w:pPr>
              <w:jc w:val="right"/>
            </w:pPr>
            <w:r>
              <w:rPr>
                <w:rFonts w:hint="eastAsia"/>
                <w:color w:val="000000"/>
              </w:rPr>
              <w:t>2,247,207.17</w:t>
            </w:r>
          </w:p>
        </w:tc>
        <w:tc>
          <w:tcPr>
            <w:tcW w:w="840" w:type="pct"/>
            <w:vAlign w:val="center"/>
          </w:tcPr>
          <w:p w14:paraId="7BDAFD5F">
            <w:pPr>
              <w:jc w:val="right"/>
            </w:pPr>
            <w:r>
              <w:rPr>
                <w:rFonts w:hint="eastAsia"/>
                <w:color w:val="000000"/>
              </w:rPr>
              <w:t>86,242,152.91</w:t>
            </w:r>
          </w:p>
        </w:tc>
      </w:tr>
      <w:tr w14:paraId="7A2A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7A0FA1A7">
            <w:pPr>
              <w:ind w:firstLine="630" w:firstLineChars="300"/>
            </w:pPr>
            <w:r>
              <w:rPr>
                <w:rFonts w:hint="eastAsia"/>
              </w:rPr>
              <w:t>（2）外币报表折算差额</w:t>
            </w:r>
          </w:p>
        </w:tc>
        <w:tc>
          <w:tcPr>
            <w:tcW w:w="840" w:type="pct"/>
            <w:vAlign w:val="center"/>
          </w:tcPr>
          <w:p w14:paraId="2B4E4EFA">
            <w:pPr>
              <w:jc w:val="right"/>
            </w:pPr>
            <w:r>
              <w:t>-325,578.06</w:t>
            </w:r>
          </w:p>
        </w:tc>
        <w:tc>
          <w:tcPr>
            <w:tcW w:w="840" w:type="pct"/>
            <w:vAlign w:val="center"/>
          </w:tcPr>
          <w:p w14:paraId="3C847AA2">
            <w:pPr>
              <w:jc w:val="right"/>
            </w:pPr>
            <w:r>
              <w:t>-94,724.67</w:t>
            </w:r>
          </w:p>
        </w:tc>
        <w:tc>
          <w:tcPr>
            <w:tcW w:w="696" w:type="pct"/>
            <w:vAlign w:val="center"/>
          </w:tcPr>
          <w:p w14:paraId="571C721E">
            <w:pPr>
              <w:jc w:val="right"/>
            </w:pPr>
            <w:r>
              <w:t>-139,210.88</w:t>
            </w:r>
          </w:p>
        </w:tc>
        <w:tc>
          <w:tcPr>
            <w:tcW w:w="696" w:type="pct"/>
            <w:vAlign w:val="center"/>
          </w:tcPr>
          <w:p w14:paraId="5C95FC5D">
            <w:pPr>
              <w:jc w:val="right"/>
            </w:pPr>
            <w:r>
              <w:t>-81,630.18</w:t>
            </w:r>
          </w:p>
        </w:tc>
        <w:tc>
          <w:tcPr>
            <w:tcW w:w="840" w:type="pct"/>
            <w:vAlign w:val="center"/>
          </w:tcPr>
          <w:p w14:paraId="7F8927FC">
            <w:pPr>
              <w:jc w:val="right"/>
            </w:pPr>
            <w:r>
              <w:t>-641,143.79</w:t>
            </w:r>
          </w:p>
        </w:tc>
      </w:tr>
      <w:tr w14:paraId="0538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722E9AFF">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3.本期减少金额</w:t>
            </w:r>
          </w:p>
        </w:tc>
        <w:tc>
          <w:tcPr>
            <w:tcW w:w="840" w:type="pct"/>
            <w:vAlign w:val="center"/>
          </w:tcPr>
          <w:p w14:paraId="143FECA6">
            <w:pPr>
              <w:jc w:val="right"/>
              <w:rPr>
                <w:color w:val="000000"/>
              </w:rPr>
            </w:pPr>
            <w:r>
              <w:rPr>
                <w:rFonts w:hint="eastAsia"/>
                <w:color w:val="000000"/>
              </w:rPr>
              <w:t>317,367.09</w:t>
            </w:r>
          </w:p>
        </w:tc>
        <w:tc>
          <w:tcPr>
            <w:tcW w:w="840" w:type="pct"/>
            <w:vAlign w:val="center"/>
          </w:tcPr>
          <w:p w14:paraId="18695AB7">
            <w:pPr>
              <w:jc w:val="right"/>
              <w:rPr>
                <w:color w:val="000000"/>
              </w:rPr>
            </w:pPr>
            <w:r>
              <w:rPr>
                <w:rFonts w:hint="eastAsia"/>
                <w:color w:val="000000"/>
              </w:rPr>
              <w:t>58,714,385.51</w:t>
            </w:r>
          </w:p>
        </w:tc>
        <w:tc>
          <w:tcPr>
            <w:tcW w:w="696" w:type="pct"/>
            <w:vAlign w:val="center"/>
          </w:tcPr>
          <w:p w14:paraId="6BC93108">
            <w:pPr>
              <w:jc w:val="right"/>
              <w:rPr>
                <w:color w:val="000000"/>
              </w:rPr>
            </w:pPr>
            <w:r>
              <w:rPr>
                <w:rFonts w:hint="eastAsia"/>
                <w:color w:val="000000"/>
              </w:rPr>
              <w:t>173,213.19</w:t>
            </w:r>
          </w:p>
        </w:tc>
        <w:tc>
          <w:tcPr>
            <w:tcW w:w="696" w:type="pct"/>
            <w:vAlign w:val="center"/>
          </w:tcPr>
          <w:p w14:paraId="428AEFCE">
            <w:pPr>
              <w:jc w:val="right"/>
              <w:rPr>
                <w:color w:val="000000"/>
              </w:rPr>
            </w:pPr>
            <w:r>
              <w:rPr>
                <w:rFonts w:hint="eastAsia"/>
                <w:color w:val="000000"/>
              </w:rPr>
              <w:t>1,776,490.89</w:t>
            </w:r>
          </w:p>
        </w:tc>
        <w:tc>
          <w:tcPr>
            <w:tcW w:w="840" w:type="pct"/>
            <w:vAlign w:val="center"/>
          </w:tcPr>
          <w:p w14:paraId="064E0964">
            <w:pPr>
              <w:jc w:val="right"/>
              <w:rPr>
                <w:color w:val="000000"/>
              </w:rPr>
            </w:pPr>
            <w:r>
              <w:rPr>
                <w:rFonts w:hint="eastAsia"/>
                <w:color w:val="000000"/>
              </w:rPr>
              <w:t>60,981,456.68</w:t>
            </w:r>
          </w:p>
        </w:tc>
      </w:tr>
      <w:tr w14:paraId="7649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10BBEC67">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（1）处置或报废</w:t>
            </w:r>
          </w:p>
        </w:tc>
        <w:tc>
          <w:tcPr>
            <w:tcW w:w="840" w:type="pct"/>
            <w:vAlign w:val="center"/>
          </w:tcPr>
          <w:p w14:paraId="3095C967">
            <w:pPr>
              <w:jc w:val="right"/>
              <w:rPr>
                <w:color w:val="000000"/>
              </w:rPr>
            </w:pPr>
            <w:r>
              <w:rPr>
                <w:rFonts w:hint="eastAsia"/>
                <w:color w:val="000000"/>
              </w:rPr>
              <w:t>317,367.09</w:t>
            </w:r>
          </w:p>
        </w:tc>
        <w:tc>
          <w:tcPr>
            <w:tcW w:w="840" w:type="pct"/>
            <w:vAlign w:val="center"/>
          </w:tcPr>
          <w:p w14:paraId="3162A306">
            <w:pPr>
              <w:jc w:val="right"/>
              <w:rPr>
                <w:color w:val="000000"/>
              </w:rPr>
            </w:pPr>
            <w:r>
              <w:rPr>
                <w:rFonts w:hint="eastAsia"/>
                <w:color w:val="000000"/>
              </w:rPr>
              <w:t>58,714,385.51</w:t>
            </w:r>
          </w:p>
        </w:tc>
        <w:tc>
          <w:tcPr>
            <w:tcW w:w="696" w:type="pct"/>
            <w:vAlign w:val="center"/>
          </w:tcPr>
          <w:p w14:paraId="18295133">
            <w:pPr>
              <w:jc w:val="right"/>
              <w:rPr>
                <w:color w:val="000000"/>
              </w:rPr>
            </w:pPr>
            <w:r>
              <w:rPr>
                <w:rFonts w:hint="eastAsia"/>
                <w:color w:val="000000"/>
              </w:rPr>
              <w:t>173,213.19</w:t>
            </w:r>
          </w:p>
        </w:tc>
        <w:tc>
          <w:tcPr>
            <w:tcW w:w="696" w:type="pct"/>
            <w:vAlign w:val="center"/>
          </w:tcPr>
          <w:p w14:paraId="20364EC2">
            <w:pPr>
              <w:jc w:val="right"/>
              <w:rPr>
                <w:color w:val="000000"/>
              </w:rPr>
            </w:pPr>
            <w:r>
              <w:rPr>
                <w:rFonts w:hint="eastAsia"/>
                <w:color w:val="000000"/>
              </w:rPr>
              <w:t>1,776,490.89</w:t>
            </w:r>
          </w:p>
        </w:tc>
        <w:tc>
          <w:tcPr>
            <w:tcW w:w="840" w:type="pct"/>
            <w:vAlign w:val="center"/>
          </w:tcPr>
          <w:p w14:paraId="7E326681">
            <w:pPr>
              <w:jc w:val="right"/>
              <w:rPr>
                <w:color w:val="000000"/>
              </w:rPr>
            </w:pPr>
            <w:r>
              <w:rPr>
                <w:rFonts w:hint="eastAsia"/>
                <w:color w:val="000000"/>
              </w:rPr>
              <w:t>60,981,456.68</w:t>
            </w:r>
          </w:p>
        </w:tc>
      </w:tr>
      <w:tr w14:paraId="2F93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0FBE4117">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4.期末余额</w:t>
            </w:r>
          </w:p>
        </w:tc>
        <w:tc>
          <w:tcPr>
            <w:tcW w:w="840" w:type="pct"/>
            <w:vAlign w:val="center"/>
          </w:tcPr>
          <w:p w14:paraId="3ABBF13C">
            <w:pPr>
              <w:jc w:val="right"/>
              <w:rPr>
                <w:color w:val="000000"/>
              </w:rPr>
            </w:pPr>
            <w:r>
              <w:rPr>
                <w:rFonts w:hint="eastAsia"/>
                <w:color w:val="000000"/>
              </w:rPr>
              <w:t>860,433,572.17</w:t>
            </w:r>
          </w:p>
        </w:tc>
        <w:tc>
          <w:tcPr>
            <w:tcW w:w="840" w:type="pct"/>
            <w:vAlign w:val="center"/>
          </w:tcPr>
          <w:p w14:paraId="7310A02B">
            <w:pPr>
              <w:jc w:val="right"/>
              <w:rPr>
                <w:color w:val="000000"/>
              </w:rPr>
            </w:pPr>
            <w:r>
              <w:rPr>
                <w:rFonts w:hint="eastAsia"/>
                <w:color w:val="000000"/>
              </w:rPr>
              <w:t>752,595,610.94</w:t>
            </w:r>
          </w:p>
        </w:tc>
        <w:tc>
          <w:tcPr>
            <w:tcW w:w="696" w:type="pct"/>
            <w:vAlign w:val="center"/>
          </w:tcPr>
          <w:p w14:paraId="41A30F30">
            <w:pPr>
              <w:jc w:val="right"/>
              <w:rPr>
                <w:color w:val="000000"/>
              </w:rPr>
            </w:pPr>
            <w:r>
              <w:rPr>
                <w:rFonts w:hint="eastAsia"/>
                <w:color w:val="000000"/>
              </w:rPr>
              <w:t>10,055,689.40</w:t>
            </w:r>
          </w:p>
        </w:tc>
        <w:tc>
          <w:tcPr>
            <w:tcW w:w="696" w:type="pct"/>
            <w:vAlign w:val="center"/>
          </w:tcPr>
          <w:p w14:paraId="2CD774BF">
            <w:pPr>
              <w:jc w:val="right"/>
              <w:rPr>
                <w:color w:val="000000"/>
              </w:rPr>
            </w:pPr>
            <w:r>
              <w:rPr>
                <w:rFonts w:hint="eastAsia"/>
                <w:color w:val="000000"/>
              </w:rPr>
              <w:t>66,968,184.08</w:t>
            </w:r>
          </w:p>
        </w:tc>
        <w:tc>
          <w:tcPr>
            <w:tcW w:w="840" w:type="pct"/>
            <w:vAlign w:val="center"/>
          </w:tcPr>
          <w:p w14:paraId="11557D49">
            <w:pPr>
              <w:jc w:val="right"/>
              <w:rPr>
                <w:color w:val="000000"/>
              </w:rPr>
            </w:pPr>
            <w:r>
              <w:rPr>
                <w:rFonts w:hint="eastAsia"/>
                <w:color w:val="000000"/>
              </w:rPr>
              <w:t>1,690,053,056.59</w:t>
            </w:r>
          </w:p>
        </w:tc>
      </w:tr>
      <w:tr w14:paraId="0358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662c84047b6d41648e46d047cc9b134a"/>
            <w:id w:val="-824585834"/>
          </w:sdtPr>
          <w:sdtContent>
            <w:tc>
              <w:tcPr>
                <w:tcW w:w="5000" w:type="pct"/>
                <w:gridSpan w:val="6"/>
              </w:tcPr>
              <w:p w14:paraId="240C078D">
                <w:pPr>
                  <w:ind w:right="420"/>
                  <w:rPr>
                    <w:color w:val="000000" w:themeColor="text1"/>
                    <w14:textFill>
                      <w14:solidFill>
                        <w14:schemeClr w14:val="tx1"/>
                      </w14:solidFill>
                    </w14:textFill>
                  </w:rPr>
                </w:pPr>
                <w:r>
                  <w:rPr>
                    <w:rFonts w:hint="eastAsia"/>
                    <w:color w:val="000000" w:themeColor="text1"/>
                    <w14:textFill>
                      <w14:solidFill>
                        <w14:schemeClr w14:val="tx1"/>
                      </w14:solidFill>
                    </w14:textFill>
                  </w:rPr>
                  <w:t>三、减值准备</w:t>
                </w:r>
              </w:p>
            </w:tc>
          </w:sdtContent>
        </w:sdt>
      </w:tr>
      <w:tr w14:paraId="254F3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608D8BE0">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期初余额</w:t>
            </w:r>
          </w:p>
        </w:tc>
        <w:tc>
          <w:tcPr>
            <w:tcW w:w="840" w:type="pct"/>
            <w:vAlign w:val="center"/>
          </w:tcPr>
          <w:p w14:paraId="07657511">
            <w:pPr>
              <w:jc w:val="right"/>
              <w:rPr>
                <w:color w:val="000000"/>
              </w:rPr>
            </w:pPr>
            <w:r>
              <w:rPr>
                <w:rFonts w:hint="eastAsia"/>
                <w:color w:val="000000"/>
              </w:rPr>
              <w:t>43,799,984.48</w:t>
            </w:r>
          </w:p>
        </w:tc>
        <w:tc>
          <w:tcPr>
            <w:tcW w:w="840" w:type="pct"/>
            <w:vAlign w:val="center"/>
          </w:tcPr>
          <w:p w14:paraId="47064F35">
            <w:pPr>
              <w:jc w:val="right"/>
              <w:rPr>
                <w:color w:val="000000"/>
              </w:rPr>
            </w:pPr>
            <w:r>
              <w:rPr>
                <w:rFonts w:hint="eastAsia"/>
                <w:color w:val="000000"/>
              </w:rPr>
              <w:t>537,701,292.04</w:t>
            </w:r>
          </w:p>
        </w:tc>
        <w:tc>
          <w:tcPr>
            <w:tcW w:w="696" w:type="pct"/>
            <w:vAlign w:val="center"/>
          </w:tcPr>
          <w:p w14:paraId="15FB9F04">
            <w:pPr>
              <w:jc w:val="right"/>
              <w:rPr>
                <w:color w:val="000000"/>
              </w:rPr>
            </w:pPr>
          </w:p>
        </w:tc>
        <w:tc>
          <w:tcPr>
            <w:tcW w:w="696" w:type="pct"/>
            <w:vAlign w:val="center"/>
          </w:tcPr>
          <w:p w14:paraId="77E1E38C">
            <w:pPr>
              <w:jc w:val="right"/>
              <w:rPr>
                <w:color w:val="000000"/>
              </w:rPr>
            </w:pPr>
            <w:r>
              <w:rPr>
                <w:rFonts w:hint="eastAsia"/>
                <w:color w:val="000000"/>
              </w:rPr>
              <w:t>110,827.46</w:t>
            </w:r>
          </w:p>
        </w:tc>
        <w:tc>
          <w:tcPr>
            <w:tcW w:w="840" w:type="pct"/>
            <w:vAlign w:val="center"/>
          </w:tcPr>
          <w:p w14:paraId="24F34873">
            <w:pPr>
              <w:jc w:val="right"/>
              <w:rPr>
                <w:color w:val="000000"/>
              </w:rPr>
            </w:pPr>
            <w:r>
              <w:rPr>
                <w:rFonts w:hint="eastAsia"/>
                <w:color w:val="000000"/>
              </w:rPr>
              <w:t>581,612,103.98</w:t>
            </w:r>
          </w:p>
        </w:tc>
      </w:tr>
      <w:tr w14:paraId="1D4F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3107A982">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本期增加金额</w:t>
            </w:r>
          </w:p>
        </w:tc>
        <w:tc>
          <w:tcPr>
            <w:tcW w:w="840" w:type="pct"/>
            <w:vAlign w:val="center"/>
          </w:tcPr>
          <w:p w14:paraId="37321ACA">
            <w:pPr>
              <w:jc w:val="right"/>
              <w:rPr>
                <w:color w:val="000000"/>
              </w:rPr>
            </w:pPr>
            <w:r>
              <w:rPr>
                <w:rFonts w:hint="eastAsia"/>
                <w:color w:val="000000"/>
              </w:rPr>
              <w:t>6,976,544.56</w:t>
            </w:r>
          </w:p>
        </w:tc>
        <w:tc>
          <w:tcPr>
            <w:tcW w:w="840" w:type="pct"/>
            <w:vAlign w:val="center"/>
          </w:tcPr>
          <w:p w14:paraId="22428895">
            <w:pPr>
              <w:jc w:val="right"/>
              <w:rPr>
                <w:color w:val="000000"/>
              </w:rPr>
            </w:pPr>
            <w:r>
              <w:rPr>
                <w:rFonts w:hint="eastAsia"/>
                <w:color w:val="000000"/>
              </w:rPr>
              <w:t>16,408,435.17</w:t>
            </w:r>
          </w:p>
        </w:tc>
        <w:tc>
          <w:tcPr>
            <w:tcW w:w="696" w:type="pct"/>
            <w:vAlign w:val="center"/>
          </w:tcPr>
          <w:p w14:paraId="2B355BAF">
            <w:pPr>
              <w:jc w:val="right"/>
              <w:rPr>
                <w:color w:val="000000"/>
              </w:rPr>
            </w:pPr>
          </w:p>
        </w:tc>
        <w:tc>
          <w:tcPr>
            <w:tcW w:w="696" w:type="pct"/>
            <w:vAlign w:val="center"/>
          </w:tcPr>
          <w:p w14:paraId="606ABF59">
            <w:pPr>
              <w:jc w:val="right"/>
              <w:rPr>
                <w:color w:val="000000"/>
              </w:rPr>
            </w:pPr>
            <w:r>
              <w:rPr>
                <w:color w:val="000000"/>
              </w:rPr>
              <w:t>-2,384.19</w:t>
            </w:r>
          </w:p>
        </w:tc>
        <w:tc>
          <w:tcPr>
            <w:tcW w:w="840" w:type="pct"/>
            <w:vAlign w:val="center"/>
          </w:tcPr>
          <w:p w14:paraId="773DFE32">
            <w:pPr>
              <w:jc w:val="right"/>
              <w:rPr>
                <w:color w:val="000000"/>
              </w:rPr>
            </w:pPr>
            <w:r>
              <w:rPr>
                <w:rFonts w:hint="eastAsia"/>
                <w:color w:val="000000"/>
              </w:rPr>
              <w:t>23,382,595.54</w:t>
            </w:r>
          </w:p>
        </w:tc>
      </w:tr>
      <w:tr w14:paraId="1726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44867990">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（1）计提</w:t>
            </w:r>
          </w:p>
        </w:tc>
        <w:tc>
          <w:tcPr>
            <w:tcW w:w="840" w:type="pct"/>
            <w:vAlign w:val="center"/>
          </w:tcPr>
          <w:p w14:paraId="77D3EEE7">
            <w:pPr>
              <w:jc w:val="right"/>
              <w:rPr>
                <w:color w:val="000000"/>
              </w:rPr>
            </w:pPr>
            <w:r>
              <w:rPr>
                <w:rFonts w:hint="eastAsia"/>
                <w:color w:val="000000"/>
              </w:rPr>
              <w:t>7,011,269.16</w:t>
            </w:r>
          </w:p>
        </w:tc>
        <w:tc>
          <w:tcPr>
            <w:tcW w:w="840" w:type="pct"/>
            <w:vAlign w:val="center"/>
          </w:tcPr>
          <w:p w14:paraId="0163FD25">
            <w:pPr>
              <w:jc w:val="right"/>
              <w:rPr>
                <w:color w:val="000000"/>
              </w:rPr>
            </w:pPr>
            <w:r>
              <w:rPr>
                <w:rFonts w:hint="eastAsia"/>
                <w:color w:val="000000"/>
              </w:rPr>
              <w:t>16,440,327.78</w:t>
            </w:r>
          </w:p>
        </w:tc>
        <w:tc>
          <w:tcPr>
            <w:tcW w:w="696" w:type="pct"/>
            <w:vAlign w:val="center"/>
          </w:tcPr>
          <w:p w14:paraId="5E2E93C1">
            <w:pPr>
              <w:jc w:val="right"/>
              <w:rPr>
                <w:color w:val="000000"/>
              </w:rPr>
            </w:pPr>
          </w:p>
        </w:tc>
        <w:tc>
          <w:tcPr>
            <w:tcW w:w="696" w:type="pct"/>
            <w:vAlign w:val="center"/>
          </w:tcPr>
          <w:p w14:paraId="4B792636">
            <w:pPr>
              <w:jc w:val="right"/>
              <w:rPr>
                <w:color w:val="000000"/>
              </w:rPr>
            </w:pPr>
          </w:p>
        </w:tc>
        <w:tc>
          <w:tcPr>
            <w:tcW w:w="840" w:type="pct"/>
            <w:vAlign w:val="center"/>
          </w:tcPr>
          <w:p w14:paraId="1A57EB59">
            <w:pPr>
              <w:jc w:val="right"/>
              <w:rPr>
                <w:color w:val="000000"/>
              </w:rPr>
            </w:pPr>
            <w:r>
              <w:rPr>
                <w:rFonts w:hint="eastAsia"/>
                <w:color w:val="000000"/>
              </w:rPr>
              <w:t>23,451,596.94</w:t>
            </w:r>
          </w:p>
        </w:tc>
      </w:tr>
      <w:tr w14:paraId="29A3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0E7E8C49">
            <w:pPr>
              <w:ind w:firstLine="630" w:firstLineChars="300"/>
            </w:pPr>
            <w:r>
              <w:rPr>
                <w:rFonts w:hint="eastAsia"/>
              </w:rPr>
              <w:t>（2）外币报表折算差额</w:t>
            </w:r>
          </w:p>
        </w:tc>
        <w:tc>
          <w:tcPr>
            <w:tcW w:w="840" w:type="pct"/>
            <w:vAlign w:val="center"/>
          </w:tcPr>
          <w:p w14:paraId="513D8A76">
            <w:pPr>
              <w:jc w:val="right"/>
              <w:rPr>
                <w:color w:val="000000"/>
              </w:rPr>
            </w:pPr>
            <w:r>
              <w:rPr>
                <w:rFonts w:hint="eastAsia"/>
                <w:color w:val="000000"/>
              </w:rPr>
              <w:t>-        34,724.60</w:t>
            </w:r>
          </w:p>
        </w:tc>
        <w:tc>
          <w:tcPr>
            <w:tcW w:w="840" w:type="pct"/>
            <w:vAlign w:val="center"/>
          </w:tcPr>
          <w:p w14:paraId="61801252">
            <w:pPr>
              <w:jc w:val="right"/>
              <w:rPr>
                <w:color w:val="000000"/>
              </w:rPr>
            </w:pPr>
            <w:r>
              <w:rPr>
                <w:rFonts w:hint="eastAsia"/>
                <w:color w:val="000000"/>
              </w:rPr>
              <w:t>-           31,892.61</w:t>
            </w:r>
          </w:p>
        </w:tc>
        <w:tc>
          <w:tcPr>
            <w:tcW w:w="696" w:type="pct"/>
            <w:vAlign w:val="center"/>
          </w:tcPr>
          <w:p w14:paraId="54D1230A">
            <w:pPr>
              <w:jc w:val="right"/>
              <w:rPr>
                <w:color w:val="000000"/>
              </w:rPr>
            </w:pPr>
          </w:p>
        </w:tc>
        <w:tc>
          <w:tcPr>
            <w:tcW w:w="696" w:type="pct"/>
            <w:vAlign w:val="center"/>
          </w:tcPr>
          <w:p w14:paraId="6FBB365B">
            <w:pPr>
              <w:jc w:val="right"/>
              <w:rPr>
                <w:color w:val="000000"/>
              </w:rPr>
            </w:pPr>
            <w:r>
              <w:rPr>
                <w:color w:val="000000"/>
              </w:rPr>
              <w:t>-</w:t>
            </w:r>
            <w:r>
              <w:rPr>
                <w:rFonts w:hint="eastAsia"/>
                <w:color w:val="000000"/>
              </w:rPr>
              <w:t>2,384.19</w:t>
            </w:r>
          </w:p>
        </w:tc>
        <w:tc>
          <w:tcPr>
            <w:tcW w:w="840" w:type="pct"/>
            <w:vAlign w:val="center"/>
          </w:tcPr>
          <w:p w14:paraId="5020B183">
            <w:pPr>
              <w:jc w:val="right"/>
              <w:rPr>
                <w:color w:val="000000"/>
              </w:rPr>
            </w:pPr>
            <w:r>
              <w:rPr>
                <w:rFonts w:hint="eastAsia"/>
                <w:color w:val="000000"/>
              </w:rPr>
              <w:t>-69,001.40</w:t>
            </w:r>
          </w:p>
        </w:tc>
      </w:tr>
      <w:tr w14:paraId="2F4C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66076AE6">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3.本期减少金额</w:t>
            </w:r>
          </w:p>
        </w:tc>
        <w:tc>
          <w:tcPr>
            <w:tcW w:w="840" w:type="pct"/>
            <w:vAlign w:val="center"/>
          </w:tcPr>
          <w:p w14:paraId="4E204741">
            <w:pPr>
              <w:jc w:val="right"/>
              <w:rPr>
                <w:color w:val="000000"/>
              </w:rPr>
            </w:pPr>
            <w:r>
              <w:rPr>
                <w:rFonts w:hint="eastAsia"/>
                <w:color w:val="000000"/>
              </w:rPr>
              <w:t>807,347.04</w:t>
            </w:r>
          </w:p>
        </w:tc>
        <w:tc>
          <w:tcPr>
            <w:tcW w:w="840" w:type="pct"/>
            <w:vAlign w:val="center"/>
          </w:tcPr>
          <w:p w14:paraId="1B5578F0">
            <w:pPr>
              <w:jc w:val="right"/>
              <w:rPr>
                <w:color w:val="000000"/>
              </w:rPr>
            </w:pPr>
            <w:r>
              <w:rPr>
                <w:rFonts w:hint="eastAsia"/>
                <w:color w:val="000000"/>
              </w:rPr>
              <w:t>214,013,374.68</w:t>
            </w:r>
          </w:p>
        </w:tc>
        <w:tc>
          <w:tcPr>
            <w:tcW w:w="696" w:type="pct"/>
            <w:vAlign w:val="center"/>
          </w:tcPr>
          <w:p w14:paraId="6A844C8C">
            <w:pPr>
              <w:jc w:val="right"/>
              <w:rPr>
                <w:color w:val="000000"/>
              </w:rPr>
            </w:pPr>
          </w:p>
        </w:tc>
        <w:tc>
          <w:tcPr>
            <w:tcW w:w="696" w:type="pct"/>
            <w:vAlign w:val="center"/>
          </w:tcPr>
          <w:p w14:paraId="5587F727">
            <w:pPr>
              <w:jc w:val="right"/>
              <w:rPr>
                <w:color w:val="000000"/>
              </w:rPr>
            </w:pPr>
            <w:r>
              <w:rPr>
                <w:rFonts w:hint="eastAsia"/>
                <w:color w:val="000000"/>
              </w:rPr>
              <w:t>59,593.42</w:t>
            </w:r>
          </w:p>
        </w:tc>
        <w:tc>
          <w:tcPr>
            <w:tcW w:w="840" w:type="pct"/>
            <w:vAlign w:val="center"/>
          </w:tcPr>
          <w:p w14:paraId="0E58D1EB">
            <w:pPr>
              <w:jc w:val="right"/>
              <w:rPr>
                <w:color w:val="000000"/>
              </w:rPr>
            </w:pPr>
            <w:r>
              <w:rPr>
                <w:rFonts w:hint="eastAsia"/>
                <w:color w:val="000000"/>
              </w:rPr>
              <w:t>214,880,315.14</w:t>
            </w:r>
          </w:p>
        </w:tc>
      </w:tr>
      <w:tr w14:paraId="2F3A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791701A3">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（1）处置或报废</w:t>
            </w:r>
          </w:p>
        </w:tc>
        <w:tc>
          <w:tcPr>
            <w:tcW w:w="840" w:type="pct"/>
            <w:vAlign w:val="center"/>
          </w:tcPr>
          <w:p w14:paraId="07502037">
            <w:pPr>
              <w:jc w:val="right"/>
              <w:rPr>
                <w:color w:val="000000"/>
              </w:rPr>
            </w:pPr>
            <w:r>
              <w:rPr>
                <w:rFonts w:hint="eastAsia"/>
                <w:color w:val="000000"/>
              </w:rPr>
              <w:t>807,347.04</w:t>
            </w:r>
          </w:p>
        </w:tc>
        <w:tc>
          <w:tcPr>
            <w:tcW w:w="840" w:type="pct"/>
            <w:vAlign w:val="center"/>
          </w:tcPr>
          <w:p w14:paraId="25C3B432">
            <w:pPr>
              <w:jc w:val="right"/>
              <w:rPr>
                <w:color w:val="000000"/>
              </w:rPr>
            </w:pPr>
            <w:r>
              <w:rPr>
                <w:rFonts w:hint="eastAsia"/>
                <w:color w:val="000000"/>
              </w:rPr>
              <w:t>214,013,374.68</w:t>
            </w:r>
          </w:p>
        </w:tc>
        <w:tc>
          <w:tcPr>
            <w:tcW w:w="696" w:type="pct"/>
            <w:vAlign w:val="center"/>
          </w:tcPr>
          <w:p w14:paraId="732D27B6">
            <w:pPr>
              <w:jc w:val="right"/>
              <w:rPr>
                <w:color w:val="000000"/>
              </w:rPr>
            </w:pPr>
          </w:p>
        </w:tc>
        <w:tc>
          <w:tcPr>
            <w:tcW w:w="696" w:type="pct"/>
            <w:vAlign w:val="center"/>
          </w:tcPr>
          <w:p w14:paraId="196C0FDE">
            <w:pPr>
              <w:jc w:val="right"/>
              <w:rPr>
                <w:color w:val="000000"/>
              </w:rPr>
            </w:pPr>
            <w:r>
              <w:rPr>
                <w:rFonts w:hint="eastAsia"/>
                <w:color w:val="000000"/>
              </w:rPr>
              <w:t>59,593.42</w:t>
            </w:r>
          </w:p>
        </w:tc>
        <w:tc>
          <w:tcPr>
            <w:tcW w:w="840" w:type="pct"/>
            <w:vAlign w:val="center"/>
          </w:tcPr>
          <w:p w14:paraId="2D210CA1">
            <w:pPr>
              <w:jc w:val="right"/>
              <w:rPr>
                <w:color w:val="000000"/>
              </w:rPr>
            </w:pPr>
            <w:r>
              <w:rPr>
                <w:rFonts w:hint="eastAsia"/>
                <w:color w:val="000000"/>
              </w:rPr>
              <w:t>214,880,315.14</w:t>
            </w:r>
          </w:p>
        </w:tc>
      </w:tr>
      <w:tr w14:paraId="041C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79D97A08">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4.期末余额</w:t>
            </w:r>
          </w:p>
        </w:tc>
        <w:tc>
          <w:tcPr>
            <w:tcW w:w="840" w:type="pct"/>
            <w:vAlign w:val="center"/>
          </w:tcPr>
          <w:p w14:paraId="7FA937F7">
            <w:pPr>
              <w:jc w:val="right"/>
              <w:rPr>
                <w:color w:val="000000"/>
              </w:rPr>
            </w:pPr>
            <w:r>
              <w:rPr>
                <w:rFonts w:hint="eastAsia"/>
                <w:color w:val="000000"/>
              </w:rPr>
              <w:t>49,969,182.00</w:t>
            </w:r>
          </w:p>
        </w:tc>
        <w:tc>
          <w:tcPr>
            <w:tcW w:w="840" w:type="pct"/>
            <w:vAlign w:val="center"/>
          </w:tcPr>
          <w:p w14:paraId="05C5CE64">
            <w:pPr>
              <w:jc w:val="right"/>
              <w:rPr>
                <w:color w:val="000000"/>
              </w:rPr>
            </w:pPr>
            <w:r>
              <w:rPr>
                <w:rFonts w:hint="eastAsia"/>
                <w:color w:val="000000"/>
              </w:rPr>
              <w:t>340,096,352.53</w:t>
            </w:r>
          </w:p>
        </w:tc>
        <w:tc>
          <w:tcPr>
            <w:tcW w:w="696" w:type="pct"/>
            <w:vAlign w:val="center"/>
          </w:tcPr>
          <w:p w14:paraId="2C45541B">
            <w:pPr>
              <w:jc w:val="right"/>
              <w:rPr>
                <w:color w:val="000000"/>
              </w:rPr>
            </w:pPr>
          </w:p>
        </w:tc>
        <w:tc>
          <w:tcPr>
            <w:tcW w:w="696" w:type="pct"/>
            <w:vAlign w:val="center"/>
          </w:tcPr>
          <w:p w14:paraId="1D7DEA94">
            <w:pPr>
              <w:jc w:val="right"/>
              <w:rPr>
                <w:color w:val="000000"/>
              </w:rPr>
            </w:pPr>
            <w:r>
              <w:rPr>
                <w:rFonts w:hint="eastAsia"/>
                <w:color w:val="000000"/>
              </w:rPr>
              <w:t>48,849.85</w:t>
            </w:r>
          </w:p>
        </w:tc>
        <w:tc>
          <w:tcPr>
            <w:tcW w:w="840" w:type="pct"/>
            <w:vAlign w:val="center"/>
          </w:tcPr>
          <w:p w14:paraId="6D621C5C">
            <w:pPr>
              <w:jc w:val="right"/>
              <w:rPr>
                <w:color w:val="000000"/>
              </w:rPr>
            </w:pPr>
            <w:r>
              <w:rPr>
                <w:rFonts w:hint="eastAsia"/>
                <w:color w:val="000000"/>
              </w:rPr>
              <w:t>390,114,384.38</w:t>
            </w:r>
          </w:p>
        </w:tc>
      </w:tr>
      <w:tr w14:paraId="5898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bea29c32f5204124a483fa6e274ca7df"/>
            <w:id w:val="-770321807"/>
          </w:sdtPr>
          <w:sdtContent>
            <w:tc>
              <w:tcPr>
                <w:tcW w:w="5000" w:type="pct"/>
                <w:gridSpan w:val="6"/>
              </w:tcPr>
              <w:p w14:paraId="42BD68BD">
                <w:pPr>
                  <w:rPr>
                    <w:color w:val="000000" w:themeColor="text1"/>
                    <w14:textFill>
                      <w14:solidFill>
                        <w14:schemeClr w14:val="tx1"/>
                      </w14:solidFill>
                    </w14:textFill>
                  </w:rPr>
                </w:pPr>
                <w:r>
                  <w:rPr>
                    <w:rFonts w:hint="eastAsia"/>
                    <w:color w:val="000000" w:themeColor="text1"/>
                    <w14:textFill>
                      <w14:solidFill>
                        <w14:schemeClr w14:val="tx1"/>
                      </w14:solidFill>
                    </w14:textFill>
                  </w:rPr>
                  <w:t>四、账面价值</w:t>
                </w:r>
              </w:p>
            </w:tc>
          </w:sdtContent>
        </w:sdt>
      </w:tr>
      <w:tr w14:paraId="1288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19C7D97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1.期末账面价值</w:t>
            </w:r>
          </w:p>
        </w:tc>
        <w:tc>
          <w:tcPr>
            <w:tcW w:w="840" w:type="pct"/>
            <w:vAlign w:val="center"/>
          </w:tcPr>
          <w:p w14:paraId="1F6BB767">
            <w:pPr>
              <w:jc w:val="right"/>
              <w:rPr>
                <w:color w:val="000000"/>
              </w:rPr>
            </w:pPr>
            <w:r>
              <w:rPr>
                <w:rFonts w:hint="eastAsia"/>
                <w:color w:val="000000"/>
              </w:rPr>
              <w:t>1,350,670,028.79</w:t>
            </w:r>
          </w:p>
        </w:tc>
        <w:tc>
          <w:tcPr>
            <w:tcW w:w="840" w:type="pct"/>
            <w:vAlign w:val="center"/>
          </w:tcPr>
          <w:p w14:paraId="4C8589A1">
            <w:pPr>
              <w:jc w:val="right"/>
              <w:rPr>
                <w:color w:val="000000"/>
              </w:rPr>
            </w:pPr>
            <w:r>
              <w:rPr>
                <w:rFonts w:hint="eastAsia"/>
                <w:color w:val="000000"/>
              </w:rPr>
              <w:t>419,037,872.96</w:t>
            </w:r>
          </w:p>
        </w:tc>
        <w:tc>
          <w:tcPr>
            <w:tcW w:w="696" w:type="pct"/>
            <w:vAlign w:val="center"/>
          </w:tcPr>
          <w:p w14:paraId="690B40C9">
            <w:pPr>
              <w:jc w:val="right"/>
              <w:rPr>
                <w:color w:val="000000"/>
              </w:rPr>
            </w:pPr>
            <w:r>
              <w:rPr>
                <w:rFonts w:hint="eastAsia"/>
                <w:color w:val="000000"/>
              </w:rPr>
              <w:t>20,205,193.53</w:t>
            </w:r>
          </w:p>
        </w:tc>
        <w:tc>
          <w:tcPr>
            <w:tcW w:w="696" w:type="pct"/>
            <w:vAlign w:val="center"/>
          </w:tcPr>
          <w:p w14:paraId="7CFC4A7D">
            <w:pPr>
              <w:jc w:val="right"/>
              <w:rPr>
                <w:color w:val="000000"/>
              </w:rPr>
            </w:pPr>
            <w:r>
              <w:rPr>
                <w:rFonts w:hint="eastAsia"/>
                <w:color w:val="000000"/>
              </w:rPr>
              <w:t>14,152,342.96</w:t>
            </w:r>
          </w:p>
        </w:tc>
        <w:tc>
          <w:tcPr>
            <w:tcW w:w="840" w:type="pct"/>
            <w:vAlign w:val="center"/>
          </w:tcPr>
          <w:p w14:paraId="51C49682">
            <w:pPr>
              <w:jc w:val="right"/>
              <w:rPr>
                <w:color w:val="000000"/>
              </w:rPr>
            </w:pPr>
            <w:r>
              <w:rPr>
                <w:rFonts w:hint="eastAsia"/>
                <w:color w:val="000000"/>
              </w:rPr>
              <w:t>1,804,065,438.24</w:t>
            </w:r>
          </w:p>
        </w:tc>
      </w:tr>
      <w:tr w14:paraId="13BB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85" w:type="pct"/>
          </w:tcPr>
          <w:p w14:paraId="0FF5DB83">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2.期初账面价值</w:t>
            </w:r>
          </w:p>
        </w:tc>
        <w:tc>
          <w:tcPr>
            <w:tcW w:w="840" w:type="pct"/>
            <w:vAlign w:val="center"/>
          </w:tcPr>
          <w:p w14:paraId="7576D187">
            <w:pPr>
              <w:jc w:val="right"/>
              <w:rPr>
                <w:color w:val="000000"/>
              </w:rPr>
            </w:pPr>
            <w:r>
              <w:rPr>
                <w:rFonts w:hint="eastAsia"/>
                <w:color w:val="000000"/>
              </w:rPr>
              <w:t>1,396,342,671.62</w:t>
            </w:r>
          </w:p>
        </w:tc>
        <w:tc>
          <w:tcPr>
            <w:tcW w:w="840" w:type="pct"/>
            <w:vAlign w:val="center"/>
          </w:tcPr>
          <w:p w14:paraId="1982EB30">
            <w:pPr>
              <w:jc w:val="right"/>
              <w:rPr>
                <w:color w:val="000000"/>
              </w:rPr>
            </w:pPr>
            <w:r>
              <w:rPr>
                <w:rFonts w:hint="eastAsia"/>
                <w:color w:val="000000"/>
              </w:rPr>
              <w:t>477,734,508.99</w:t>
            </w:r>
          </w:p>
        </w:tc>
        <w:tc>
          <w:tcPr>
            <w:tcW w:w="696" w:type="pct"/>
            <w:vAlign w:val="center"/>
          </w:tcPr>
          <w:p w14:paraId="2A0AC19D">
            <w:pPr>
              <w:jc w:val="right"/>
              <w:rPr>
                <w:color w:val="000000"/>
              </w:rPr>
            </w:pPr>
            <w:r>
              <w:rPr>
                <w:rFonts w:hint="eastAsia"/>
                <w:color w:val="000000"/>
              </w:rPr>
              <w:t>20,987,817.40</w:t>
            </w:r>
          </w:p>
        </w:tc>
        <w:tc>
          <w:tcPr>
            <w:tcW w:w="696" w:type="pct"/>
            <w:vAlign w:val="center"/>
          </w:tcPr>
          <w:p w14:paraId="7F538315">
            <w:pPr>
              <w:jc w:val="right"/>
              <w:rPr>
                <w:color w:val="000000"/>
              </w:rPr>
            </w:pPr>
            <w:r>
              <w:rPr>
                <w:rFonts w:hint="eastAsia"/>
                <w:color w:val="000000"/>
              </w:rPr>
              <w:t>14,829,634.82</w:t>
            </w:r>
          </w:p>
        </w:tc>
        <w:tc>
          <w:tcPr>
            <w:tcW w:w="840" w:type="pct"/>
            <w:vAlign w:val="center"/>
          </w:tcPr>
          <w:p w14:paraId="3B8D8ABE">
            <w:pPr>
              <w:jc w:val="right"/>
              <w:rPr>
                <w:color w:val="000000"/>
              </w:rPr>
            </w:pPr>
            <w:r>
              <w:rPr>
                <w:rFonts w:hint="eastAsia"/>
                <w:color w:val="000000"/>
              </w:rPr>
              <w:t>1,909,894,632.83</w:t>
            </w:r>
          </w:p>
        </w:tc>
      </w:tr>
    </w:tbl>
    <w:p w14:paraId="05C21B97">
      <w:pPr>
        <w:rPr>
          <w:color w:val="000000" w:themeColor="text1"/>
          <w14:textFill>
            <w14:solidFill>
              <w14:schemeClr w14:val="tx1"/>
            </w14:solidFill>
          </w14:textFill>
        </w:rPr>
      </w:pPr>
    </w:p>
    <w:p w14:paraId="3E1466E0">
      <w:pPr>
        <w:pStyle w:val="6"/>
        <w:numPr>
          <w:ilvl w:val="0"/>
          <w:numId w:val="58"/>
        </w:numPr>
      </w:pPr>
      <w:r>
        <w:rPr>
          <w:rFonts w:hint="eastAsia"/>
        </w:rPr>
        <w:t>暂时闲置的固定资产情况</w:t>
      </w:r>
    </w:p>
    <w:sdt>
      <w:sdtPr>
        <w:rPr>
          <w:color w:val="000000" w:themeColor="text1"/>
          <w14:textFill>
            <w14:solidFill>
              <w14:schemeClr w14:val="tx1"/>
            </w14:solidFill>
          </w14:textFill>
        </w:rPr>
        <w:alias w:val="是否适用：暂时闲置的固定资产情况[双击切换]"/>
        <w:tag w:val="_GBC_ca31f29118c7481f95f99a2655f8c1e1"/>
        <w:id w:val="-1455168631"/>
        <w:placeholder>
          <w:docPart w:val="GBC22222222222222222222222222222"/>
        </w:placeholder>
      </w:sdtPr>
      <w:sdtEndPr>
        <w:rPr>
          <w:color w:val="000000" w:themeColor="text1"/>
          <w14:textFill>
            <w14:solidFill>
              <w14:schemeClr w14:val="tx1"/>
            </w14:solidFill>
          </w14:textFill>
        </w:rPr>
      </w:sdtEndPr>
      <w:sdtContent>
        <w:p w14:paraId="7E00C67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EF3E32">
      <w:pPr>
        <w:rPr>
          <w:color w:val="000000" w:themeColor="text1"/>
          <w14:textFill>
            <w14:solidFill>
              <w14:schemeClr w14:val="tx1"/>
            </w14:solidFill>
          </w14:textFill>
        </w:rPr>
      </w:pPr>
    </w:p>
    <w:p w14:paraId="2516AA06">
      <w:pPr>
        <w:pStyle w:val="6"/>
        <w:numPr>
          <w:ilvl w:val="0"/>
          <w:numId w:val="58"/>
        </w:numPr>
      </w:pPr>
      <w:r>
        <w:rPr>
          <w:rFonts w:hint="eastAsia"/>
        </w:rPr>
        <w:t>通过经营租赁租出的固定资产</w:t>
      </w:r>
    </w:p>
    <w:sdt>
      <w:sdtPr>
        <w:rPr>
          <w:color w:val="000000" w:themeColor="text1"/>
          <w14:textFill>
            <w14:solidFill>
              <w14:schemeClr w14:val="tx1"/>
            </w14:solidFill>
          </w14:textFill>
        </w:rPr>
        <w:alias w:val="是否适用：通过经营租赁租出的固定资产[双击切换]"/>
        <w:tag w:val="_GBC_251e1c74f40b47869d759974b0f6a463"/>
        <w:id w:val="1868872690"/>
        <w:placeholder>
          <w:docPart w:val="GBC22222222222222222222222222222"/>
        </w:placeholder>
      </w:sdtPr>
      <w:sdtEndPr>
        <w:rPr>
          <w:color w:val="000000" w:themeColor="text1"/>
          <w14:textFill>
            <w14:solidFill>
              <w14:schemeClr w14:val="tx1"/>
            </w14:solidFill>
          </w14:textFill>
        </w:rPr>
      </w:sdtEndPr>
      <w:sdtContent>
        <w:p w14:paraId="075346A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96A351">
      <w:pPr>
        <w:rPr>
          <w:color w:val="000000" w:themeColor="text1"/>
          <w14:textFill>
            <w14:solidFill>
              <w14:schemeClr w14:val="tx1"/>
            </w14:solidFill>
          </w14:textFill>
        </w:rPr>
      </w:pPr>
    </w:p>
    <w:p w14:paraId="67C8B2B3">
      <w:pPr>
        <w:pStyle w:val="6"/>
        <w:numPr>
          <w:ilvl w:val="0"/>
          <w:numId w:val="58"/>
        </w:numPr>
      </w:pPr>
      <w:r>
        <w:rPr>
          <w:rFonts w:hint="eastAsia"/>
        </w:rPr>
        <w:t>未办妥产权证书的固定资产情况</w:t>
      </w:r>
    </w:p>
    <w:sdt>
      <w:sdtPr>
        <w:rPr>
          <w:color w:val="000000" w:themeColor="text1"/>
          <w14:textFill>
            <w14:solidFill>
              <w14:schemeClr w14:val="tx1"/>
            </w14:solidFill>
          </w14:textFill>
        </w:rPr>
        <w:alias w:val="是否适用：未办妥产权证书的固定资产情况[双击切换]"/>
        <w:tag w:val="_GBC_a26aa363313e4c8fbedf9041cd41bfc9"/>
        <w:id w:val="-1800911685"/>
        <w:placeholder>
          <w:docPart w:val="GBC22222222222222222222222222222"/>
        </w:placeholder>
      </w:sdtPr>
      <w:sdtEndPr>
        <w:rPr>
          <w:color w:val="000000" w:themeColor="text1"/>
          <w14:textFill>
            <w14:solidFill>
              <w14:schemeClr w14:val="tx1"/>
            </w14:solidFill>
          </w14:textFill>
        </w:rPr>
      </w:sdtEndPr>
      <w:sdtContent>
        <w:p w14:paraId="5D62AF1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23E039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办妥产权证书的固定资产情况"/>
          <w:tag w:val="_GBC_b7780eb99c5c47be9731dc6ebe1dea77"/>
          <w:id w:val="2627323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办妥产权证书的固定资产情况"/>
          <w:tag w:val="_GBC_07d37ddbabe745a3b375a7706f9047dc"/>
          <w:id w:val="11536477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2426"/>
        <w:gridCol w:w="3675"/>
      </w:tblGrid>
      <w:tr w14:paraId="5E2A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347e8d2222c4d13aa7c3569cd05e439"/>
            <w:id w:val="1393151738"/>
          </w:sdtPr>
          <w:sdtContent>
            <w:tc>
              <w:tcPr>
                <w:tcW w:w="1629" w:type="pct"/>
                <w:vAlign w:val="center"/>
              </w:tcPr>
              <w:p w14:paraId="1EA8444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14c4b6f9d874d4c86e835843a896497"/>
            <w:id w:val="-1119687781"/>
          </w:sdtPr>
          <w:sdtContent>
            <w:tc>
              <w:tcPr>
                <w:tcW w:w="1340" w:type="pct"/>
                <w:vAlign w:val="center"/>
              </w:tcPr>
              <w:p w14:paraId="598CF9B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sdt>
          <w:sdtPr>
            <w:tag w:val="_PLD_0735ea1c6b5c4a2395fde5f63b614530"/>
            <w:id w:val="-82689972"/>
          </w:sdtPr>
          <w:sdtContent>
            <w:tc>
              <w:tcPr>
                <w:tcW w:w="2030" w:type="pct"/>
                <w:vAlign w:val="center"/>
              </w:tcPr>
              <w:p w14:paraId="18556B8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未办妥产权证书的原因</w:t>
                </w:r>
              </w:p>
            </w:tc>
          </w:sdtContent>
        </w:sdt>
      </w:tr>
      <w:tr w14:paraId="7EC9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Pr>
          <w:p w14:paraId="781060DE">
            <w:pPr>
              <w:jc w:val="center"/>
            </w:pPr>
            <w:r>
              <w:rPr>
                <w:rFonts w:hint="eastAsia"/>
              </w:rPr>
              <w:t>房屋建筑物</w:t>
            </w:r>
          </w:p>
        </w:tc>
        <w:tc>
          <w:tcPr>
            <w:tcW w:w="1340" w:type="pct"/>
          </w:tcPr>
          <w:p w14:paraId="7B791C31">
            <w:pPr>
              <w:jc w:val="right"/>
            </w:pPr>
            <w:r>
              <w:t>89,347,338.96</w:t>
            </w:r>
          </w:p>
        </w:tc>
        <w:tc>
          <w:tcPr>
            <w:tcW w:w="2030" w:type="pct"/>
          </w:tcPr>
          <w:p w14:paraId="3735A7CF">
            <w:r>
              <w:rPr>
                <w:rFonts w:hint="eastAsia"/>
              </w:rPr>
              <w:t>土地产权未解冻，暂时无法办理</w:t>
            </w:r>
          </w:p>
        </w:tc>
      </w:tr>
      <w:tr w14:paraId="212E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Pr>
          <w:p w14:paraId="4B43A9D3">
            <w:pPr>
              <w:jc w:val="center"/>
            </w:pPr>
            <w:r>
              <w:rPr>
                <w:rFonts w:hint="eastAsia"/>
              </w:rPr>
              <w:t>合计</w:t>
            </w:r>
          </w:p>
        </w:tc>
        <w:tc>
          <w:tcPr>
            <w:tcW w:w="1340" w:type="pct"/>
          </w:tcPr>
          <w:p w14:paraId="5992CCFB">
            <w:pPr>
              <w:jc w:val="right"/>
            </w:pPr>
            <w:r>
              <w:t>89,347,338.96</w:t>
            </w:r>
          </w:p>
        </w:tc>
        <w:tc>
          <w:tcPr>
            <w:tcW w:w="2030" w:type="pct"/>
          </w:tcPr>
          <w:p w14:paraId="2F69E429"/>
        </w:tc>
      </w:tr>
    </w:tbl>
    <w:p w14:paraId="61A874FB">
      <w:pPr>
        <w:rPr>
          <w:color w:val="000000" w:themeColor="text1"/>
          <w14:textFill>
            <w14:solidFill>
              <w14:schemeClr w14:val="tx1"/>
            </w14:solidFill>
          </w14:textFill>
        </w:rPr>
      </w:pPr>
    </w:p>
    <w:p w14:paraId="01F0EC57">
      <w:pPr>
        <w:pStyle w:val="6"/>
        <w:numPr>
          <w:ilvl w:val="0"/>
          <w:numId w:val="58"/>
        </w:numPr>
      </w:pPr>
      <w:bookmarkStart w:id="271" w:name="_Hlk167957241"/>
      <w:bookmarkStart w:id="272" w:name="_Hlk153460880"/>
      <w:r>
        <w:rPr>
          <w:rFonts w:hint="eastAsia"/>
        </w:rPr>
        <w:t>固定资产的减值测试情况</w:t>
      </w:r>
    </w:p>
    <w:sdt>
      <w:sdtPr>
        <w:rPr>
          <w:color w:val="000000" w:themeColor="text1"/>
          <w14:textFill>
            <w14:solidFill>
              <w14:schemeClr w14:val="tx1"/>
            </w14:solidFill>
          </w14:textFill>
        </w:rPr>
        <w:alias w:val="是否适用：减值测试情况[双击切换]"/>
        <w:tag w:val="_GBC_9a66caee6756422c9cb01da54631670e"/>
        <w:id w:val="128606515"/>
        <w:placeholder>
          <w:docPart w:val="GBC22222222222222222222222222222"/>
        </w:placeholder>
      </w:sdtPr>
      <w:sdtEndPr>
        <w:rPr>
          <w:color w:val="000000" w:themeColor="text1"/>
          <w14:textFill>
            <w14:solidFill>
              <w14:schemeClr w14:val="tx1"/>
            </w14:solidFill>
          </w14:textFill>
        </w:rPr>
      </w:sdtEndPr>
      <w:sdtContent>
        <w:p w14:paraId="470081D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71"/>
    <w:bookmarkEnd w:id="272"/>
    <w:p w14:paraId="597FF34E">
      <w:pPr>
        <w:rPr>
          <w:color w:val="000000" w:themeColor="text1"/>
          <w14:textFill>
            <w14:solidFill>
              <w14:schemeClr w14:val="tx1"/>
            </w14:solidFill>
          </w14:textFill>
        </w:rPr>
      </w:pPr>
    </w:p>
    <w:p w14:paraId="70B667CA">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固定资产的说明[双击切换]"/>
        <w:tag w:val="_GBC_e2fd7087594d4949ada40807334de5fb"/>
        <w:id w:val="970403437"/>
        <w:placeholder>
          <w:docPart w:val="GBC22222222222222222222222222222"/>
        </w:placeholder>
      </w:sdtPr>
      <w:sdtEndPr>
        <w:rPr>
          <w:color w:val="000000" w:themeColor="text1"/>
          <w14:textFill>
            <w14:solidFill>
              <w14:schemeClr w14:val="tx1"/>
            </w14:solidFill>
          </w14:textFill>
        </w:rPr>
      </w:sdtEndPr>
      <w:sdtContent>
        <w:p w14:paraId="251C31F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FA0A50D">
      <w:pPr>
        <w:rPr>
          <w:color w:val="000000" w:themeColor="text1"/>
          <w14:textFill>
            <w14:solidFill>
              <w14:schemeClr w14:val="tx1"/>
            </w14:solidFill>
          </w14:textFill>
        </w:rPr>
      </w:pPr>
    </w:p>
    <w:p w14:paraId="5AC32D09">
      <w:pPr>
        <w:pStyle w:val="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固定资产清理</w:t>
      </w:r>
    </w:p>
    <w:sdt>
      <w:sdtPr>
        <w:rPr>
          <w:color w:val="000000" w:themeColor="text1"/>
          <w14:textFill>
            <w14:solidFill>
              <w14:schemeClr w14:val="tx1"/>
            </w14:solidFill>
          </w14:textFill>
        </w:rPr>
        <w:alias w:val="是否适用：固定资产清理[双击切换]"/>
        <w:tag w:val="_GBC_d005d220fbda4cd2a58ced6d0d7a1404"/>
        <w:id w:val="1716161468"/>
        <w:placeholder>
          <w:docPart w:val="GBC22222222222222222222222222222"/>
        </w:placeholder>
      </w:sdtPr>
      <w:sdtEndPr>
        <w:rPr>
          <w:color w:val="000000" w:themeColor="text1"/>
          <w14:textFill>
            <w14:solidFill>
              <w14:schemeClr w14:val="tx1"/>
            </w14:solidFill>
          </w14:textFill>
        </w:rPr>
      </w:sdtEndPr>
      <w:sdtContent>
        <w:p w14:paraId="275AAD4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707E39">
      <w:pPr>
        <w:rPr>
          <w:color w:val="000000" w:themeColor="text1"/>
          <w14:textFill>
            <w14:solidFill>
              <w14:schemeClr w14:val="tx1"/>
            </w14:solidFill>
          </w14:textFill>
        </w:rPr>
      </w:pPr>
    </w:p>
    <w:p w14:paraId="4A251DE1">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在建工程</w:t>
      </w:r>
    </w:p>
    <w:p w14:paraId="635761FC">
      <w:pPr>
        <w:pStyle w:val="5"/>
        <w:rPr>
          <w:rFonts w:ascii="宋体" w:hAnsi="宋体"/>
          <w:color w:val="000000" w:themeColor="text1"/>
          <w14:textFill>
            <w14:solidFill>
              <w14:schemeClr w14:val="tx1"/>
            </w14:solidFill>
          </w14:textFill>
        </w:rPr>
      </w:pPr>
      <w:bookmarkStart w:id="273" w:name="_Hlk10472757"/>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在建工程分类列示[双击切换]"/>
        <w:tag w:val="_GBC_bcbd4315343844fc923825dd150041e5"/>
        <w:id w:val="-105271430"/>
        <w:placeholder>
          <w:docPart w:val="GBC22222222222222222222222222222"/>
        </w:placeholder>
      </w:sdtPr>
      <w:sdtEndPr>
        <w:rPr>
          <w:color w:val="000000" w:themeColor="text1"/>
          <w14:textFill>
            <w14:solidFill>
              <w14:schemeClr w14:val="tx1"/>
            </w14:solidFill>
          </w14:textFill>
        </w:rPr>
      </w:sdtEndPr>
      <w:sdtContent>
        <w:p w14:paraId="5EBD5DB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349EB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在建工程分类列示"/>
          <w:tag w:val="_GBC_9df8e16a6fb54a76b384d11e7a6dd52d"/>
          <w:id w:val="13032750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在建工程分类列示"/>
          <w:tag w:val="_GBC_17b0bdb7b5f24e599fcea2e90510306a"/>
          <w:id w:val="-9976547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14:paraId="0D27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a34a6496ee4454093b17b19ba9b805d"/>
            <w:id w:val="1906562459"/>
          </w:sdtPr>
          <w:sdtContent>
            <w:tc>
              <w:tcPr>
                <w:tcW w:w="1764" w:type="pct"/>
                <w:vAlign w:val="center"/>
              </w:tcPr>
              <w:p w14:paraId="62E1725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88973d2835334cdbb31181ad26b55912"/>
            <w:id w:val="-240251679"/>
          </w:sdtPr>
          <w:sdtContent>
            <w:tc>
              <w:tcPr>
                <w:tcW w:w="1622" w:type="pct"/>
                <w:vAlign w:val="center"/>
              </w:tcPr>
              <w:p w14:paraId="5B838BD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55f5bd8851c54b7897a165bee2df0273"/>
            <w:id w:val="1608617923"/>
          </w:sdtPr>
          <w:sdtContent>
            <w:tc>
              <w:tcPr>
                <w:tcW w:w="1614" w:type="pct"/>
                <w:vAlign w:val="center"/>
              </w:tcPr>
              <w:p w14:paraId="2B0562C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35BD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tcPr>
          <w:p w14:paraId="62047057">
            <w:pPr>
              <w:tabs>
                <w:tab w:val="right" w:pos="3690"/>
                <w:tab w:val="right" w:pos="5130"/>
                <w:tab w:val="right" w:pos="6030"/>
                <w:tab w:val="right" w:pos="7650"/>
                <w:tab w:val="right" w:pos="9270"/>
              </w:tabs>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在建工程</w:t>
            </w:r>
          </w:p>
        </w:tc>
        <w:tc>
          <w:tcPr>
            <w:tcW w:w="1622" w:type="pct"/>
            <w:vAlign w:val="center"/>
          </w:tcPr>
          <w:p w14:paraId="5326A9E4">
            <w:pPr>
              <w:jc w:val="right"/>
              <w:rPr>
                <w:rFonts w:eastAsia="等线" w:cs="Times New Roman"/>
                <w:color w:val="000000"/>
              </w:rPr>
            </w:pPr>
            <w:r>
              <w:rPr>
                <w:rFonts w:eastAsia="等线" w:cs="Times New Roman"/>
                <w:color w:val="000000"/>
              </w:rPr>
              <w:t>68,330,725.93</w:t>
            </w:r>
          </w:p>
        </w:tc>
        <w:tc>
          <w:tcPr>
            <w:tcW w:w="1614" w:type="pct"/>
            <w:vAlign w:val="center"/>
          </w:tcPr>
          <w:p w14:paraId="6DF4593B">
            <w:pPr>
              <w:jc w:val="right"/>
              <w:rPr>
                <w:rFonts w:eastAsia="等线" w:cs="Times New Roman"/>
                <w:color w:val="000000"/>
              </w:rPr>
            </w:pPr>
            <w:r>
              <w:rPr>
                <w:rFonts w:eastAsia="等线" w:cs="Times New Roman"/>
                <w:color w:val="000000"/>
              </w:rPr>
              <w:t>32,939,674.43</w:t>
            </w:r>
          </w:p>
        </w:tc>
      </w:tr>
      <w:tr w14:paraId="742C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764" w:type="pct"/>
            <w:vAlign w:val="center"/>
          </w:tcPr>
          <w:p w14:paraId="17C106B0">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22" w:type="pct"/>
            <w:vAlign w:val="center"/>
          </w:tcPr>
          <w:p w14:paraId="5C0A9289">
            <w:pPr>
              <w:jc w:val="right"/>
            </w:pPr>
            <w:r>
              <w:t>68,330,725.93</w:t>
            </w:r>
          </w:p>
        </w:tc>
        <w:tc>
          <w:tcPr>
            <w:tcW w:w="1614" w:type="pct"/>
            <w:vAlign w:val="center"/>
          </w:tcPr>
          <w:p w14:paraId="660F10D7">
            <w:pPr>
              <w:jc w:val="right"/>
            </w:pPr>
            <w:r>
              <w:t>32,939,674.43</w:t>
            </w:r>
          </w:p>
        </w:tc>
      </w:tr>
      <w:bookmarkEnd w:id="273"/>
    </w:tbl>
    <w:p w14:paraId="373B60AB">
      <w:pPr>
        <w:rPr>
          <w:color w:val="000000" w:themeColor="text1"/>
          <w14:textFill>
            <w14:solidFill>
              <w14:schemeClr w14:val="tx1"/>
            </w14:solidFill>
          </w14:textFill>
        </w:rPr>
      </w:pPr>
      <w:bookmarkStart w:id="274" w:name="_Hlk10472837"/>
      <w:bookmarkStart w:id="275" w:name="_Hlk10472848"/>
      <w:r>
        <w:rPr>
          <w:rFonts w:hint="eastAsia"/>
          <w:color w:val="000000" w:themeColor="text1"/>
          <w14:textFill>
            <w14:solidFill>
              <w14:schemeClr w14:val="tx1"/>
            </w14:solidFill>
          </w14:textFill>
        </w:rPr>
        <w:t>其他说明：</w:t>
      </w:r>
      <w:bookmarkEnd w:id="274"/>
    </w:p>
    <w:p w14:paraId="6849925E">
      <w:pPr>
        <w:rPr>
          <w:color w:val="000000" w:themeColor="text1"/>
          <w14:textFill>
            <w14:solidFill>
              <w14:schemeClr w14:val="tx1"/>
            </w14:solidFill>
          </w14:textFill>
        </w:rPr>
      </w:pPr>
      <w:sdt>
        <w:sdtPr>
          <w:rPr>
            <w:color w:val="000000" w:themeColor="text1"/>
            <w14:textFill>
              <w14:solidFill>
                <w14:schemeClr w14:val="tx1"/>
              </w14:solidFill>
            </w14:textFill>
          </w:rPr>
          <w:alias w:val="在建工程分类列示其他说明"/>
          <w:tag w:val="_GBC_ebe1a06b82914095a2c469c32c78af71"/>
          <w:id w:val="2137991245"/>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bookmarkEnd w:id="275"/>
    <w:p w14:paraId="48D8CD80">
      <w:pPr>
        <w:rPr>
          <w:color w:val="000000" w:themeColor="text1"/>
          <w14:textFill>
            <w14:solidFill>
              <w14:schemeClr w14:val="tx1"/>
            </w14:solidFill>
          </w14:textFill>
        </w:rPr>
      </w:pPr>
    </w:p>
    <w:p w14:paraId="373DB00E">
      <w:pPr>
        <w:pStyle w:val="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在建工程</w:t>
      </w:r>
    </w:p>
    <w:p w14:paraId="653E675B">
      <w:pPr>
        <w:pStyle w:val="6"/>
        <w:numPr>
          <w:ilvl w:val="0"/>
          <w:numId w:val="59"/>
        </w:numPr>
      </w:pPr>
      <w:r>
        <w:rPr>
          <w:rFonts w:hint="eastAsia"/>
        </w:rPr>
        <w:t>在建工程情况</w:t>
      </w:r>
    </w:p>
    <w:sdt>
      <w:sdtPr>
        <w:rPr>
          <w:color w:val="000000" w:themeColor="text1"/>
          <w14:textFill>
            <w14:solidFill>
              <w14:schemeClr w14:val="tx1"/>
            </w14:solidFill>
          </w14:textFill>
        </w:rPr>
        <w:alias w:val="是否适用：在建工程情况[双击切换]"/>
        <w:tag w:val="_GBC_d9828cc7ad534f26902e1979f9d67530"/>
        <w:id w:val="-1159306015"/>
        <w:placeholder>
          <w:docPart w:val="GBC22222222222222222222222222222"/>
        </w:placeholder>
      </w:sdtPr>
      <w:sdtEndPr>
        <w:rPr>
          <w:color w:val="000000" w:themeColor="text1"/>
          <w14:textFill>
            <w14:solidFill>
              <w14:schemeClr w14:val="tx1"/>
            </w14:solidFill>
          </w14:textFill>
        </w:rPr>
      </w:sdtEndPr>
      <w:sdtContent>
        <w:p w14:paraId="75FFD99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C0537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在建工程"/>
          <w:tag w:val="_GBC_d20598ce3f5b4d21a9055de674936a9a"/>
          <w:id w:val="14064931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在建工程"/>
          <w:tag w:val="_GBC_9e96d736daa247dd96af144329fff105"/>
          <w:id w:val="20329979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490"/>
        <w:gridCol w:w="1386"/>
        <w:gridCol w:w="1089"/>
        <w:gridCol w:w="1354"/>
        <w:gridCol w:w="1281"/>
        <w:gridCol w:w="1016"/>
        <w:gridCol w:w="1279"/>
      </w:tblGrid>
      <w:tr w14:paraId="1411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27b31695edfd49cb9cafa333777d18c3"/>
            <w:id w:val="1070083488"/>
          </w:sdtPr>
          <w:sdtContent>
            <w:tc>
              <w:tcPr>
                <w:tcW w:w="838" w:type="pct"/>
                <w:vMerge w:val="restart"/>
                <w:vAlign w:val="center"/>
              </w:tcPr>
              <w:p w14:paraId="6D22060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a5273bde7b2f4c6c8fbe3ea2d7a7eb84"/>
            <w:id w:val="-1259445844"/>
          </w:sdtPr>
          <w:sdtContent>
            <w:tc>
              <w:tcPr>
                <w:tcW w:w="2152" w:type="pct"/>
                <w:gridSpan w:val="3"/>
                <w:vAlign w:val="center"/>
              </w:tcPr>
              <w:p w14:paraId="684B4EE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ac57490b080449c8b91be5a872e19f79"/>
            <w:id w:val="1275363293"/>
          </w:sdtPr>
          <w:sdtContent>
            <w:tc>
              <w:tcPr>
                <w:tcW w:w="2010" w:type="pct"/>
                <w:gridSpan w:val="3"/>
                <w:vAlign w:val="center"/>
              </w:tcPr>
              <w:p w14:paraId="583F9CD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609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38" w:type="pct"/>
            <w:vMerge w:val="continue"/>
            <w:vAlign w:val="center"/>
          </w:tcPr>
          <w:p w14:paraId="2AEBE683">
            <w:pPr>
              <w:tabs>
                <w:tab w:val="left" w:pos="420"/>
              </w:tabs>
              <w:ind w:left="420" w:hanging="420"/>
              <w:jc w:val="center"/>
              <w:rPr>
                <w:color w:val="000000" w:themeColor="text1"/>
                <w14:textFill>
                  <w14:solidFill>
                    <w14:schemeClr w14:val="tx1"/>
                  </w14:solidFill>
                </w14:textFill>
              </w:rPr>
            </w:pPr>
          </w:p>
        </w:tc>
        <w:sdt>
          <w:sdtPr>
            <w:tag w:val="_PLD_1d60491359e245e7bc54655c8c8c15fd"/>
            <w:id w:val="-1927714404"/>
          </w:sdtPr>
          <w:sdtContent>
            <w:tc>
              <w:tcPr>
                <w:tcW w:w="779" w:type="pct"/>
                <w:vAlign w:val="center"/>
              </w:tcPr>
              <w:p w14:paraId="499449FE">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d5d8fa5186d44c82b146ad7151830389"/>
            <w:id w:val="-842090486"/>
          </w:sdtPr>
          <w:sdtContent>
            <w:tc>
              <w:tcPr>
                <w:tcW w:w="612" w:type="pct"/>
                <w:vAlign w:val="center"/>
              </w:tcPr>
              <w:p w14:paraId="68DE19A8">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w:t>
                </w:r>
              </w:p>
            </w:tc>
          </w:sdtContent>
        </w:sdt>
        <w:sdt>
          <w:sdtPr>
            <w:tag w:val="_PLD_49aa1c2d25814b789479d76afb6fc844"/>
            <w:id w:val="-863518257"/>
          </w:sdtPr>
          <w:sdtContent>
            <w:tc>
              <w:tcPr>
                <w:tcW w:w="761" w:type="pct"/>
                <w:vAlign w:val="center"/>
              </w:tcPr>
              <w:p w14:paraId="67C82401">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sdt>
          <w:sdtPr>
            <w:tag w:val="_PLD_4bba2db5e5a549ecafbf4e94a7af2e35"/>
            <w:id w:val="-1860043426"/>
          </w:sdtPr>
          <w:sdtContent>
            <w:tc>
              <w:tcPr>
                <w:tcW w:w="720" w:type="pct"/>
                <w:vAlign w:val="center"/>
              </w:tcPr>
              <w:p w14:paraId="1088E52F">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e054d8cd1e1b4672ae08a495b587bdce"/>
            <w:id w:val="1622963086"/>
          </w:sdtPr>
          <w:sdtContent>
            <w:tc>
              <w:tcPr>
                <w:tcW w:w="571" w:type="pct"/>
                <w:vAlign w:val="center"/>
              </w:tcPr>
              <w:p w14:paraId="36251CBB">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w:t>
                </w:r>
              </w:p>
            </w:tc>
          </w:sdtContent>
        </w:sdt>
        <w:sdt>
          <w:sdtPr>
            <w:tag w:val="_PLD_bd3055c2713a44fa9cbd3fd973d34c6a"/>
            <w:id w:val="1947040177"/>
          </w:sdtPr>
          <w:sdtContent>
            <w:tc>
              <w:tcPr>
                <w:tcW w:w="720" w:type="pct"/>
                <w:vAlign w:val="center"/>
              </w:tcPr>
              <w:p w14:paraId="70835E1A">
                <w:pPr>
                  <w:tabs>
                    <w:tab w:val="left" w:pos="420"/>
                  </w:tabs>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tr>
      <w:tr w14:paraId="2570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38" w:type="pct"/>
          </w:tcPr>
          <w:p w14:paraId="6E214765">
            <w:r>
              <w:t>P658车型焊装生产线改造项目</w:t>
            </w:r>
          </w:p>
        </w:tc>
        <w:tc>
          <w:tcPr>
            <w:tcW w:w="779" w:type="pct"/>
            <w:vAlign w:val="center"/>
          </w:tcPr>
          <w:p w14:paraId="1ADB4020">
            <w:pPr>
              <w:ind w:right="105"/>
              <w:jc w:val="right"/>
            </w:pPr>
            <w:r>
              <w:t>10,870,829.85</w:t>
            </w:r>
          </w:p>
        </w:tc>
        <w:tc>
          <w:tcPr>
            <w:tcW w:w="612" w:type="pct"/>
            <w:vAlign w:val="center"/>
          </w:tcPr>
          <w:p w14:paraId="093F554A">
            <w:pPr>
              <w:ind w:right="73"/>
              <w:jc w:val="right"/>
            </w:pPr>
          </w:p>
        </w:tc>
        <w:tc>
          <w:tcPr>
            <w:tcW w:w="761" w:type="pct"/>
            <w:vAlign w:val="center"/>
          </w:tcPr>
          <w:p w14:paraId="294C818B">
            <w:pPr>
              <w:ind w:right="73"/>
              <w:jc w:val="right"/>
            </w:pPr>
            <w:r>
              <w:t>10,870,829.85</w:t>
            </w:r>
          </w:p>
        </w:tc>
        <w:tc>
          <w:tcPr>
            <w:tcW w:w="720" w:type="pct"/>
            <w:vAlign w:val="center"/>
          </w:tcPr>
          <w:p w14:paraId="5E20CE19">
            <w:pPr>
              <w:jc w:val="right"/>
            </w:pPr>
            <w:r>
              <w:t>5,297,960.14</w:t>
            </w:r>
          </w:p>
        </w:tc>
        <w:tc>
          <w:tcPr>
            <w:tcW w:w="571" w:type="pct"/>
            <w:vAlign w:val="center"/>
          </w:tcPr>
          <w:p w14:paraId="2110E4DE">
            <w:pPr>
              <w:jc w:val="right"/>
            </w:pPr>
          </w:p>
        </w:tc>
        <w:tc>
          <w:tcPr>
            <w:tcW w:w="720" w:type="pct"/>
            <w:vAlign w:val="center"/>
          </w:tcPr>
          <w:p w14:paraId="43362974">
            <w:pPr>
              <w:jc w:val="right"/>
            </w:pPr>
            <w:r>
              <w:t>5,297,960.14</w:t>
            </w:r>
          </w:p>
        </w:tc>
      </w:tr>
      <w:tr w14:paraId="66EC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38" w:type="pct"/>
          </w:tcPr>
          <w:p w14:paraId="4606F080">
            <w:r>
              <w:t>其他项目</w:t>
            </w:r>
          </w:p>
        </w:tc>
        <w:tc>
          <w:tcPr>
            <w:tcW w:w="779" w:type="pct"/>
            <w:vAlign w:val="center"/>
          </w:tcPr>
          <w:p w14:paraId="52450FFC">
            <w:pPr>
              <w:ind w:right="105"/>
              <w:jc w:val="right"/>
            </w:pPr>
            <w:r>
              <w:t>48,499,570.18</w:t>
            </w:r>
          </w:p>
        </w:tc>
        <w:tc>
          <w:tcPr>
            <w:tcW w:w="612" w:type="pct"/>
            <w:vAlign w:val="center"/>
          </w:tcPr>
          <w:p w14:paraId="0A919B30">
            <w:pPr>
              <w:ind w:right="73"/>
              <w:jc w:val="right"/>
            </w:pPr>
            <w:r>
              <w:t>558,000.00</w:t>
            </w:r>
          </w:p>
        </w:tc>
        <w:tc>
          <w:tcPr>
            <w:tcW w:w="761" w:type="pct"/>
            <w:vAlign w:val="center"/>
          </w:tcPr>
          <w:p w14:paraId="72244C91">
            <w:pPr>
              <w:ind w:right="73"/>
              <w:jc w:val="right"/>
            </w:pPr>
            <w:r>
              <w:t>47,941,570.18</w:t>
            </w:r>
          </w:p>
        </w:tc>
        <w:tc>
          <w:tcPr>
            <w:tcW w:w="720" w:type="pct"/>
            <w:vAlign w:val="center"/>
          </w:tcPr>
          <w:p w14:paraId="223D6E46">
            <w:pPr>
              <w:jc w:val="right"/>
            </w:pPr>
            <w:r>
              <w:t>14,935,118.79</w:t>
            </w:r>
          </w:p>
        </w:tc>
        <w:tc>
          <w:tcPr>
            <w:tcW w:w="571" w:type="pct"/>
            <w:vAlign w:val="center"/>
          </w:tcPr>
          <w:p w14:paraId="2A85336A">
            <w:pPr>
              <w:jc w:val="right"/>
            </w:pPr>
            <w:r>
              <w:t>558,000.00</w:t>
            </w:r>
          </w:p>
        </w:tc>
        <w:tc>
          <w:tcPr>
            <w:tcW w:w="720" w:type="pct"/>
            <w:vAlign w:val="center"/>
          </w:tcPr>
          <w:p w14:paraId="7A49E60C">
            <w:pPr>
              <w:jc w:val="right"/>
            </w:pPr>
            <w:r>
              <w:t>14,377,118.79</w:t>
            </w:r>
          </w:p>
        </w:tc>
      </w:tr>
      <w:tr w14:paraId="631B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38" w:type="pct"/>
          </w:tcPr>
          <w:p w14:paraId="5739181F">
            <w:r>
              <w:t>模具开发</w:t>
            </w:r>
          </w:p>
        </w:tc>
        <w:tc>
          <w:tcPr>
            <w:tcW w:w="779" w:type="pct"/>
            <w:vAlign w:val="center"/>
          </w:tcPr>
          <w:p w14:paraId="09F801EB">
            <w:pPr>
              <w:ind w:right="105"/>
              <w:jc w:val="right"/>
            </w:pPr>
            <w:r>
              <w:t>9,518,325.90</w:t>
            </w:r>
          </w:p>
        </w:tc>
        <w:tc>
          <w:tcPr>
            <w:tcW w:w="612" w:type="pct"/>
            <w:vAlign w:val="center"/>
          </w:tcPr>
          <w:p w14:paraId="1380FC6F">
            <w:pPr>
              <w:ind w:right="73"/>
              <w:jc w:val="right"/>
            </w:pPr>
          </w:p>
        </w:tc>
        <w:tc>
          <w:tcPr>
            <w:tcW w:w="761" w:type="pct"/>
            <w:vAlign w:val="center"/>
          </w:tcPr>
          <w:p w14:paraId="4EC212AE">
            <w:pPr>
              <w:ind w:right="73"/>
              <w:jc w:val="right"/>
            </w:pPr>
            <w:r>
              <w:t>9,518,325.90</w:t>
            </w:r>
          </w:p>
        </w:tc>
        <w:tc>
          <w:tcPr>
            <w:tcW w:w="720" w:type="pct"/>
            <w:vAlign w:val="center"/>
          </w:tcPr>
          <w:p w14:paraId="3D64A412">
            <w:pPr>
              <w:jc w:val="right"/>
            </w:pPr>
            <w:r>
              <w:t>13,277,869.84</w:t>
            </w:r>
          </w:p>
        </w:tc>
        <w:tc>
          <w:tcPr>
            <w:tcW w:w="571" w:type="pct"/>
            <w:vAlign w:val="center"/>
          </w:tcPr>
          <w:p w14:paraId="011749AF">
            <w:pPr>
              <w:jc w:val="right"/>
            </w:pPr>
            <w:r>
              <w:t>13,274.34</w:t>
            </w:r>
          </w:p>
        </w:tc>
        <w:tc>
          <w:tcPr>
            <w:tcW w:w="720" w:type="pct"/>
            <w:vAlign w:val="center"/>
          </w:tcPr>
          <w:p w14:paraId="15E73C57">
            <w:pPr>
              <w:jc w:val="right"/>
            </w:pPr>
            <w:r>
              <w:t>13,264,595.50</w:t>
            </w:r>
          </w:p>
        </w:tc>
      </w:tr>
      <w:tr w14:paraId="6E6D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38" w:type="pct"/>
            <w:vAlign w:val="center"/>
          </w:tcPr>
          <w:p w14:paraId="4CA2F85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79" w:type="pct"/>
            <w:vAlign w:val="center"/>
          </w:tcPr>
          <w:p w14:paraId="7B72145F">
            <w:pPr>
              <w:jc w:val="right"/>
              <w:rPr>
                <w:color w:val="000000"/>
              </w:rPr>
            </w:pPr>
            <w:r>
              <w:rPr>
                <w:rFonts w:hint="eastAsia"/>
                <w:color w:val="000000"/>
              </w:rPr>
              <w:t>68,888,725.93</w:t>
            </w:r>
          </w:p>
        </w:tc>
        <w:tc>
          <w:tcPr>
            <w:tcW w:w="612" w:type="pct"/>
            <w:vAlign w:val="center"/>
          </w:tcPr>
          <w:p w14:paraId="3DE8210C">
            <w:pPr>
              <w:jc w:val="right"/>
              <w:rPr>
                <w:color w:val="000000"/>
              </w:rPr>
            </w:pPr>
            <w:r>
              <w:rPr>
                <w:rFonts w:hint="eastAsia"/>
                <w:color w:val="000000"/>
              </w:rPr>
              <w:t>558,000.00</w:t>
            </w:r>
          </w:p>
        </w:tc>
        <w:tc>
          <w:tcPr>
            <w:tcW w:w="761" w:type="pct"/>
            <w:vAlign w:val="center"/>
          </w:tcPr>
          <w:p w14:paraId="1F4E940E">
            <w:pPr>
              <w:jc w:val="right"/>
              <w:rPr>
                <w:color w:val="000000"/>
              </w:rPr>
            </w:pPr>
            <w:r>
              <w:rPr>
                <w:rFonts w:hint="eastAsia"/>
                <w:color w:val="000000"/>
              </w:rPr>
              <w:t>68,330,725.93</w:t>
            </w:r>
          </w:p>
        </w:tc>
        <w:tc>
          <w:tcPr>
            <w:tcW w:w="720" w:type="pct"/>
            <w:vAlign w:val="center"/>
          </w:tcPr>
          <w:p w14:paraId="4DC04AC9">
            <w:pPr>
              <w:jc w:val="right"/>
              <w:rPr>
                <w:color w:val="000000"/>
              </w:rPr>
            </w:pPr>
            <w:r>
              <w:rPr>
                <w:rFonts w:hint="eastAsia"/>
                <w:color w:val="000000"/>
              </w:rPr>
              <w:t>33,510,948.77</w:t>
            </w:r>
          </w:p>
        </w:tc>
        <w:tc>
          <w:tcPr>
            <w:tcW w:w="571" w:type="pct"/>
            <w:vAlign w:val="center"/>
          </w:tcPr>
          <w:p w14:paraId="49B69A9D">
            <w:pPr>
              <w:jc w:val="right"/>
              <w:rPr>
                <w:color w:val="000000"/>
              </w:rPr>
            </w:pPr>
            <w:r>
              <w:rPr>
                <w:rFonts w:hint="eastAsia"/>
                <w:color w:val="000000"/>
              </w:rPr>
              <w:t>571,274.34</w:t>
            </w:r>
          </w:p>
        </w:tc>
        <w:tc>
          <w:tcPr>
            <w:tcW w:w="720" w:type="pct"/>
            <w:vAlign w:val="center"/>
          </w:tcPr>
          <w:p w14:paraId="601D8D30">
            <w:pPr>
              <w:jc w:val="right"/>
              <w:rPr>
                <w:color w:val="000000"/>
              </w:rPr>
            </w:pPr>
            <w:r>
              <w:rPr>
                <w:rFonts w:hint="eastAsia"/>
                <w:color w:val="000000"/>
              </w:rPr>
              <w:t>32,939,674.43</w:t>
            </w:r>
          </w:p>
        </w:tc>
      </w:tr>
    </w:tbl>
    <w:p w14:paraId="3A51664F"/>
    <w:p w14:paraId="476A5254">
      <w:pPr>
        <w:pStyle w:val="6"/>
        <w:numPr>
          <w:ilvl w:val="0"/>
          <w:numId w:val="59"/>
        </w:numPr>
      </w:pPr>
      <w:r>
        <w:rPr>
          <w:rFonts w:hint="eastAsia"/>
        </w:rPr>
        <w:t>重要在建工程项目本期变动情况</w:t>
      </w:r>
    </w:p>
    <w:sdt>
      <w:sdtPr>
        <w:rPr>
          <w:color w:val="000000" w:themeColor="text1"/>
          <w14:textFill>
            <w14:solidFill>
              <w14:schemeClr w14:val="tx1"/>
            </w14:solidFill>
          </w14:textFill>
        </w:rPr>
        <w:alias w:val="是否适用：重要在建工程项目本期变动情况[双击切换]"/>
        <w:tag w:val="_GBC_ec2dd768673145d4bb9d3c31a6fa701a"/>
        <w:id w:val="-827122310"/>
        <w:placeholder>
          <w:docPart w:val="GBC22222222222222222222222222222"/>
        </w:placeholder>
      </w:sdtPr>
      <w:sdtEndPr>
        <w:rPr>
          <w:color w:val="000000" w:themeColor="text1"/>
          <w14:textFill>
            <w14:solidFill>
              <w14:schemeClr w14:val="tx1"/>
            </w14:solidFill>
          </w14:textFill>
        </w:rPr>
      </w:sdtEndPr>
      <w:sdtContent>
        <w:p w14:paraId="710EAB8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DAE830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在建工程项目变动情况"/>
          <w:tag w:val="_GBC_29f36690ce0d4e8bbec5f76711e80456"/>
          <w:id w:val="2570215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在建工程项目变动情况"/>
          <w:tag w:val="_GBC_6fab639954e742c1bd6f75b3c51ecaf8"/>
          <w:id w:val="8795968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5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944"/>
        <w:gridCol w:w="1232"/>
        <w:gridCol w:w="1130"/>
        <w:gridCol w:w="1131"/>
        <w:gridCol w:w="716"/>
        <w:gridCol w:w="610"/>
        <w:gridCol w:w="1235"/>
        <w:gridCol w:w="478"/>
        <w:gridCol w:w="478"/>
        <w:gridCol w:w="478"/>
        <w:gridCol w:w="478"/>
        <w:gridCol w:w="478"/>
        <w:gridCol w:w="478"/>
      </w:tblGrid>
      <w:tr w14:paraId="69EF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jc w:val="center"/>
        </w:trPr>
        <w:sdt>
          <w:sdtPr>
            <w:rPr>
              <w:spacing w:val="-10"/>
            </w:rPr>
            <w:tag w:val="_PLD_911d5911af294d4f9d2b6b16b5f6c08b"/>
            <w:id w:val="-1087764335"/>
          </w:sdtPr>
          <w:sdtEndPr>
            <w:rPr>
              <w:spacing w:val="-10"/>
            </w:rPr>
          </w:sdtEndPr>
          <w:sdtContent>
            <w:tc>
              <w:tcPr>
                <w:tcW w:w="479" w:type="pct"/>
                <w:vAlign w:val="center"/>
              </w:tcPr>
              <w:p w14:paraId="398729F9">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项目名称</w:t>
                </w:r>
              </w:p>
            </w:tc>
          </w:sdtContent>
        </w:sdt>
        <w:sdt>
          <w:sdtPr>
            <w:rPr>
              <w:spacing w:val="-10"/>
            </w:rPr>
            <w:tag w:val="_PLD_667404be40294d63b853abf58a9d185f"/>
            <w:id w:val="-4674039"/>
          </w:sdtPr>
          <w:sdtEndPr>
            <w:rPr>
              <w:spacing w:val="-10"/>
            </w:rPr>
          </w:sdtEndPr>
          <w:sdtContent>
            <w:tc>
              <w:tcPr>
                <w:tcW w:w="625" w:type="pct"/>
                <w:vAlign w:val="center"/>
              </w:tcPr>
              <w:p w14:paraId="72D04C8E">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预算数</w:t>
                </w:r>
              </w:p>
            </w:tc>
          </w:sdtContent>
        </w:sdt>
        <w:sdt>
          <w:sdtPr>
            <w:rPr>
              <w:spacing w:val="-10"/>
            </w:rPr>
            <w:tag w:val="_PLD_25c75ebdcb434964b5f5e8b512151b0b"/>
            <w:id w:val="17054970"/>
          </w:sdtPr>
          <w:sdtEndPr>
            <w:rPr>
              <w:spacing w:val="-10"/>
            </w:rPr>
          </w:sdtEndPr>
          <w:sdtContent>
            <w:tc>
              <w:tcPr>
                <w:tcW w:w="573" w:type="pct"/>
                <w:vAlign w:val="center"/>
              </w:tcPr>
              <w:p w14:paraId="4FB98865">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期初余额</w:t>
                </w:r>
              </w:p>
            </w:tc>
          </w:sdtContent>
        </w:sdt>
        <w:sdt>
          <w:sdtPr>
            <w:rPr>
              <w:spacing w:val="-10"/>
            </w:rPr>
            <w:tag w:val="_PLD_0117182ae7e24536a0996423ddcfa5f0"/>
            <w:id w:val="-2096081207"/>
          </w:sdtPr>
          <w:sdtEndPr>
            <w:rPr>
              <w:spacing w:val="-10"/>
            </w:rPr>
          </w:sdtEndPr>
          <w:sdtContent>
            <w:tc>
              <w:tcPr>
                <w:tcW w:w="573" w:type="pct"/>
                <w:vAlign w:val="center"/>
              </w:tcPr>
              <w:p w14:paraId="0EB64D3E">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本期增加金额</w:t>
                </w:r>
              </w:p>
            </w:tc>
          </w:sdtContent>
        </w:sdt>
        <w:sdt>
          <w:sdtPr>
            <w:rPr>
              <w:spacing w:val="-10"/>
            </w:rPr>
            <w:tag w:val="_PLD_6db4feaec90f4eeeb4ed5fb04d298657"/>
            <w:id w:val="-1493407270"/>
          </w:sdtPr>
          <w:sdtEndPr>
            <w:rPr>
              <w:spacing w:val="-10"/>
            </w:rPr>
          </w:sdtEndPr>
          <w:sdtContent>
            <w:tc>
              <w:tcPr>
                <w:tcW w:w="363" w:type="pct"/>
                <w:vAlign w:val="center"/>
              </w:tcPr>
              <w:p w14:paraId="2E526903">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本期转入固定资产金额</w:t>
                </w:r>
              </w:p>
            </w:tc>
          </w:sdtContent>
        </w:sdt>
        <w:sdt>
          <w:sdtPr>
            <w:rPr>
              <w:spacing w:val="-10"/>
            </w:rPr>
            <w:tag w:val="_PLD_1fe85c3ed6f84f6f85209149a9931055"/>
            <w:id w:val="910510087"/>
          </w:sdtPr>
          <w:sdtEndPr>
            <w:rPr>
              <w:spacing w:val="-10"/>
            </w:rPr>
          </w:sdtEndPr>
          <w:sdtContent>
            <w:tc>
              <w:tcPr>
                <w:tcW w:w="309" w:type="pct"/>
                <w:vAlign w:val="center"/>
              </w:tcPr>
              <w:p w14:paraId="6E6A20DB">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本期其他减少金额</w:t>
                </w:r>
              </w:p>
            </w:tc>
          </w:sdtContent>
        </w:sdt>
        <w:sdt>
          <w:sdtPr>
            <w:rPr>
              <w:spacing w:val="-10"/>
            </w:rPr>
            <w:tag w:val="_PLD_7954fe4b89f644d29865af249dfe8c3f"/>
            <w:id w:val="-2036792292"/>
          </w:sdtPr>
          <w:sdtEndPr>
            <w:rPr>
              <w:spacing w:val="-10"/>
            </w:rPr>
          </w:sdtEndPr>
          <w:sdtContent>
            <w:tc>
              <w:tcPr>
                <w:tcW w:w="626" w:type="pct"/>
                <w:vAlign w:val="center"/>
              </w:tcPr>
              <w:p w14:paraId="08D28402">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期末余额</w:t>
                </w:r>
              </w:p>
            </w:tc>
          </w:sdtContent>
        </w:sdt>
        <w:sdt>
          <w:sdtPr>
            <w:rPr>
              <w:spacing w:val="-10"/>
            </w:rPr>
            <w:tag w:val="_PLD_d9aa12b28eda4362b90372032218ea1a"/>
            <w:id w:val="34239899"/>
          </w:sdtPr>
          <w:sdtEndPr>
            <w:rPr>
              <w:spacing w:val="-10"/>
            </w:rPr>
          </w:sdtEndPr>
          <w:sdtContent>
            <w:tc>
              <w:tcPr>
                <w:tcW w:w="242" w:type="pct"/>
                <w:vAlign w:val="center"/>
              </w:tcPr>
              <w:p w14:paraId="6CF9930B">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工程累计投入占预算比例(%)</w:t>
                </w:r>
              </w:p>
            </w:tc>
          </w:sdtContent>
        </w:sdt>
        <w:sdt>
          <w:sdtPr>
            <w:rPr>
              <w:spacing w:val="-10"/>
            </w:rPr>
            <w:tag w:val="_PLD_9e610c25eba14177abc9b359511cb935"/>
            <w:id w:val="262892214"/>
          </w:sdtPr>
          <w:sdtEndPr>
            <w:rPr>
              <w:spacing w:val="-10"/>
            </w:rPr>
          </w:sdtEndPr>
          <w:sdtContent>
            <w:tc>
              <w:tcPr>
                <w:tcW w:w="242" w:type="pct"/>
                <w:vAlign w:val="center"/>
              </w:tcPr>
              <w:p w14:paraId="0E47A63D">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工程进度</w:t>
                </w:r>
              </w:p>
            </w:tc>
          </w:sdtContent>
        </w:sdt>
        <w:sdt>
          <w:sdtPr>
            <w:rPr>
              <w:spacing w:val="-10"/>
            </w:rPr>
            <w:tag w:val="_PLD_e89a95ddf6ab4a6abe2d40f64c95699a"/>
            <w:id w:val="749002684"/>
          </w:sdtPr>
          <w:sdtEndPr>
            <w:rPr>
              <w:spacing w:val="-10"/>
            </w:rPr>
          </w:sdtEndPr>
          <w:sdtContent>
            <w:tc>
              <w:tcPr>
                <w:tcW w:w="242" w:type="pct"/>
                <w:vAlign w:val="center"/>
              </w:tcPr>
              <w:p w14:paraId="70D0925A">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利息资本化累计金额</w:t>
                </w:r>
              </w:p>
            </w:tc>
          </w:sdtContent>
        </w:sdt>
        <w:sdt>
          <w:sdtPr>
            <w:rPr>
              <w:spacing w:val="-10"/>
            </w:rPr>
            <w:tag w:val="_PLD_211048c05b944d8f9bfd1d37edfd2f6d"/>
            <w:id w:val="-1901895944"/>
          </w:sdtPr>
          <w:sdtEndPr>
            <w:rPr>
              <w:spacing w:val="-10"/>
            </w:rPr>
          </w:sdtEndPr>
          <w:sdtContent>
            <w:tc>
              <w:tcPr>
                <w:tcW w:w="242" w:type="pct"/>
                <w:vAlign w:val="center"/>
              </w:tcPr>
              <w:p w14:paraId="2006A226">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其中：本期利息资本化金额</w:t>
                </w:r>
              </w:p>
            </w:tc>
          </w:sdtContent>
        </w:sdt>
        <w:sdt>
          <w:sdtPr>
            <w:rPr>
              <w:spacing w:val="-10"/>
            </w:rPr>
            <w:tag w:val="_PLD_2cbfddfcd5e6493ba68633d99551c05f"/>
            <w:id w:val="-1753799954"/>
          </w:sdtPr>
          <w:sdtEndPr>
            <w:rPr>
              <w:spacing w:val="-10"/>
            </w:rPr>
          </w:sdtEndPr>
          <w:sdtContent>
            <w:tc>
              <w:tcPr>
                <w:tcW w:w="242" w:type="pct"/>
                <w:vAlign w:val="center"/>
              </w:tcPr>
              <w:p w14:paraId="5F3848CB">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本期利息资本化率(%)</w:t>
                </w:r>
              </w:p>
            </w:tc>
          </w:sdtContent>
        </w:sdt>
        <w:sdt>
          <w:sdtPr>
            <w:rPr>
              <w:spacing w:val="-10"/>
            </w:rPr>
            <w:tag w:val="_PLD_39440674746d4382a4f99328187752a9"/>
            <w:id w:val="1705904753"/>
          </w:sdtPr>
          <w:sdtEndPr>
            <w:rPr>
              <w:spacing w:val="-10"/>
            </w:rPr>
          </w:sdtEndPr>
          <w:sdtContent>
            <w:tc>
              <w:tcPr>
                <w:tcW w:w="242" w:type="pct"/>
                <w:vAlign w:val="center"/>
              </w:tcPr>
              <w:p w14:paraId="6869A137">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资金来源</w:t>
                </w:r>
              </w:p>
            </w:tc>
          </w:sdtContent>
        </w:sdt>
      </w:tr>
      <w:tr w14:paraId="40B0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jc w:val="center"/>
        </w:trPr>
        <w:tc>
          <w:tcPr>
            <w:tcW w:w="479" w:type="pct"/>
            <w:vAlign w:val="center"/>
          </w:tcPr>
          <w:p w14:paraId="2F7BB826">
            <w:pPr>
              <w:ind w:left="-53" w:leftChars="-25" w:right="-53" w:rightChars="-25"/>
              <w:jc w:val="center"/>
              <w:rPr>
                <w:color w:val="000000"/>
                <w:spacing w:val="-10"/>
              </w:rPr>
            </w:pPr>
            <w:r>
              <w:rPr>
                <w:rFonts w:hint="eastAsia"/>
                <w:color w:val="000000"/>
                <w:spacing w:val="-10"/>
              </w:rPr>
              <w:t>P658车型焊装生产线改造项目</w:t>
            </w:r>
          </w:p>
        </w:tc>
        <w:tc>
          <w:tcPr>
            <w:tcW w:w="625" w:type="pct"/>
            <w:vAlign w:val="center"/>
          </w:tcPr>
          <w:p w14:paraId="6660C8E5">
            <w:pPr>
              <w:ind w:left="-53" w:leftChars="-25"/>
              <w:jc w:val="right"/>
              <w:rPr>
                <w:spacing w:val="-10"/>
              </w:rPr>
            </w:pPr>
            <w:r>
              <w:rPr>
                <w:spacing w:val="-10"/>
              </w:rPr>
              <w:t>33,495,000.00</w:t>
            </w:r>
          </w:p>
        </w:tc>
        <w:tc>
          <w:tcPr>
            <w:tcW w:w="573" w:type="pct"/>
            <w:vAlign w:val="center"/>
          </w:tcPr>
          <w:p w14:paraId="15AA705E">
            <w:pPr>
              <w:ind w:left="-53" w:leftChars="-25"/>
              <w:jc w:val="right"/>
              <w:rPr>
                <w:spacing w:val="-10"/>
              </w:rPr>
            </w:pPr>
            <w:r>
              <w:rPr>
                <w:spacing w:val="-10"/>
              </w:rPr>
              <w:t>5,297,960.14</w:t>
            </w:r>
          </w:p>
        </w:tc>
        <w:tc>
          <w:tcPr>
            <w:tcW w:w="573" w:type="pct"/>
            <w:vAlign w:val="center"/>
          </w:tcPr>
          <w:p w14:paraId="176E7CA7">
            <w:pPr>
              <w:ind w:left="-53" w:leftChars="-25"/>
              <w:jc w:val="right"/>
              <w:rPr>
                <w:spacing w:val="-10"/>
              </w:rPr>
            </w:pPr>
            <w:r>
              <w:rPr>
                <w:spacing w:val="-10"/>
              </w:rPr>
              <w:t>5,572,869.71</w:t>
            </w:r>
          </w:p>
        </w:tc>
        <w:tc>
          <w:tcPr>
            <w:tcW w:w="363" w:type="pct"/>
            <w:vAlign w:val="center"/>
          </w:tcPr>
          <w:p w14:paraId="543DDA3C">
            <w:pPr>
              <w:ind w:left="-53" w:leftChars="-25"/>
              <w:jc w:val="right"/>
              <w:rPr>
                <w:spacing w:val="-10"/>
              </w:rPr>
            </w:pPr>
          </w:p>
        </w:tc>
        <w:tc>
          <w:tcPr>
            <w:tcW w:w="309" w:type="pct"/>
            <w:vAlign w:val="center"/>
          </w:tcPr>
          <w:p w14:paraId="45B19A39">
            <w:pPr>
              <w:ind w:left="-53" w:leftChars="-25"/>
              <w:jc w:val="right"/>
              <w:rPr>
                <w:spacing w:val="-10"/>
              </w:rPr>
            </w:pPr>
          </w:p>
        </w:tc>
        <w:tc>
          <w:tcPr>
            <w:tcW w:w="626" w:type="pct"/>
            <w:vAlign w:val="center"/>
          </w:tcPr>
          <w:p w14:paraId="658157DC">
            <w:pPr>
              <w:ind w:left="-53" w:leftChars="-25"/>
              <w:jc w:val="right"/>
              <w:rPr>
                <w:rFonts w:ascii="宋体" w:hAnsi="宋体"/>
                <w:spacing w:val="-10"/>
                <w:sz w:val="24"/>
                <w:szCs w:val="24"/>
              </w:rPr>
            </w:pPr>
            <w:r>
              <w:rPr>
                <w:spacing w:val="-10"/>
              </w:rPr>
              <w:t>10,870,829.85</w:t>
            </w:r>
          </w:p>
        </w:tc>
        <w:tc>
          <w:tcPr>
            <w:tcW w:w="242" w:type="pct"/>
            <w:vAlign w:val="center"/>
          </w:tcPr>
          <w:p w14:paraId="162B1A47">
            <w:pPr>
              <w:ind w:left="-53" w:leftChars="-25"/>
              <w:jc w:val="right"/>
              <w:rPr>
                <w:rFonts w:eastAsia="等线" w:cs="Times New Roman"/>
                <w:color w:val="000000"/>
                <w:spacing w:val="-10"/>
              </w:rPr>
            </w:pPr>
            <w:r>
              <w:rPr>
                <w:rFonts w:eastAsia="等线" w:cs="Times New Roman"/>
                <w:color w:val="000000"/>
                <w:spacing w:val="-10"/>
              </w:rPr>
              <w:t>32</w:t>
            </w:r>
          </w:p>
        </w:tc>
        <w:tc>
          <w:tcPr>
            <w:tcW w:w="242" w:type="pct"/>
            <w:vAlign w:val="center"/>
          </w:tcPr>
          <w:p w14:paraId="2A20B68E">
            <w:pPr>
              <w:ind w:left="-53" w:leftChars="-25"/>
              <w:jc w:val="right"/>
              <w:rPr>
                <w:rFonts w:eastAsia="等线" w:cs="Times New Roman"/>
                <w:color w:val="000000"/>
                <w:spacing w:val="-10"/>
              </w:rPr>
            </w:pPr>
            <w:r>
              <w:rPr>
                <w:rFonts w:eastAsia="等线" w:cs="Times New Roman"/>
                <w:color w:val="000000"/>
                <w:spacing w:val="-10"/>
              </w:rPr>
              <w:t>32</w:t>
            </w:r>
          </w:p>
        </w:tc>
        <w:tc>
          <w:tcPr>
            <w:tcW w:w="242" w:type="pct"/>
            <w:vAlign w:val="center"/>
          </w:tcPr>
          <w:p w14:paraId="49728B91">
            <w:pPr>
              <w:ind w:left="-53" w:leftChars="-25"/>
              <w:jc w:val="right"/>
              <w:rPr>
                <w:rFonts w:eastAsia="等线" w:cs="Times New Roman"/>
                <w:color w:val="000000"/>
                <w:spacing w:val="-10"/>
              </w:rPr>
            </w:pPr>
            <w:r>
              <w:rPr>
                <w:rFonts w:eastAsia="等线" w:cs="Times New Roman"/>
                <w:color w:val="000000"/>
                <w:spacing w:val="-10"/>
              </w:rPr>
              <w:t>　</w:t>
            </w:r>
          </w:p>
        </w:tc>
        <w:tc>
          <w:tcPr>
            <w:tcW w:w="242" w:type="pct"/>
            <w:vAlign w:val="center"/>
          </w:tcPr>
          <w:p w14:paraId="45D3145C">
            <w:pPr>
              <w:ind w:left="-53" w:leftChars="-25"/>
              <w:jc w:val="right"/>
              <w:rPr>
                <w:rFonts w:eastAsia="等线" w:cs="Times New Roman"/>
                <w:color w:val="000000"/>
                <w:spacing w:val="-10"/>
              </w:rPr>
            </w:pPr>
            <w:r>
              <w:rPr>
                <w:rFonts w:eastAsia="等线" w:cs="Times New Roman"/>
                <w:color w:val="000000"/>
                <w:spacing w:val="-10"/>
              </w:rPr>
              <w:t>　</w:t>
            </w:r>
          </w:p>
        </w:tc>
        <w:tc>
          <w:tcPr>
            <w:tcW w:w="242" w:type="pct"/>
            <w:vAlign w:val="center"/>
          </w:tcPr>
          <w:p w14:paraId="4E65CA4C">
            <w:pPr>
              <w:ind w:left="-53" w:leftChars="-25"/>
              <w:jc w:val="right"/>
              <w:rPr>
                <w:rFonts w:eastAsia="等线" w:cs="Times New Roman"/>
                <w:color w:val="000000"/>
                <w:spacing w:val="-10"/>
              </w:rPr>
            </w:pPr>
            <w:r>
              <w:rPr>
                <w:rFonts w:eastAsia="等线" w:cs="Times New Roman"/>
                <w:color w:val="000000"/>
                <w:spacing w:val="-10"/>
              </w:rPr>
              <w:t>　</w:t>
            </w:r>
          </w:p>
        </w:tc>
        <w:tc>
          <w:tcPr>
            <w:tcW w:w="242" w:type="pct"/>
            <w:vAlign w:val="center"/>
          </w:tcPr>
          <w:p w14:paraId="33EEFC3C">
            <w:pPr>
              <w:ind w:left="-53" w:leftChars="-25"/>
              <w:jc w:val="right"/>
              <w:rPr>
                <w:rFonts w:ascii="宋体" w:hAnsi="宋体"/>
                <w:color w:val="000000"/>
                <w:spacing w:val="-10"/>
              </w:rPr>
            </w:pPr>
            <w:r>
              <w:rPr>
                <w:rFonts w:hint="eastAsia"/>
                <w:color w:val="000000"/>
                <w:spacing w:val="-10"/>
              </w:rPr>
              <w:t>自有资金</w:t>
            </w:r>
          </w:p>
        </w:tc>
      </w:tr>
      <w:tr w14:paraId="06B9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jc w:val="center"/>
        </w:trPr>
        <w:tc>
          <w:tcPr>
            <w:tcW w:w="479" w:type="pct"/>
            <w:vAlign w:val="center"/>
          </w:tcPr>
          <w:p w14:paraId="4523FAAF">
            <w:pPr>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合计</w:t>
            </w:r>
          </w:p>
        </w:tc>
        <w:tc>
          <w:tcPr>
            <w:tcW w:w="625" w:type="pct"/>
            <w:vAlign w:val="center"/>
          </w:tcPr>
          <w:p w14:paraId="3350FC28">
            <w:pPr>
              <w:ind w:left="-53" w:leftChars="-25"/>
              <w:jc w:val="right"/>
              <w:rPr>
                <w:spacing w:val="-10"/>
              </w:rPr>
            </w:pPr>
            <w:r>
              <w:rPr>
                <w:spacing w:val="-10"/>
              </w:rPr>
              <w:t>33,495,000.00</w:t>
            </w:r>
          </w:p>
        </w:tc>
        <w:tc>
          <w:tcPr>
            <w:tcW w:w="573" w:type="pct"/>
            <w:vAlign w:val="center"/>
          </w:tcPr>
          <w:p w14:paraId="7114DD07">
            <w:pPr>
              <w:ind w:left="-53" w:leftChars="-25"/>
              <w:jc w:val="right"/>
              <w:rPr>
                <w:spacing w:val="-10"/>
              </w:rPr>
            </w:pPr>
            <w:r>
              <w:rPr>
                <w:spacing w:val="-10"/>
              </w:rPr>
              <w:t>5,297,960.14</w:t>
            </w:r>
          </w:p>
        </w:tc>
        <w:tc>
          <w:tcPr>
            <w:tcW w:w="573" w:type="pct"/>
            <w:vAlign w:val="center"/>
          </w:tcPr>
          <w:p w14:paraId="637E2DA0">
            <w:pPr>
              <w:ind w:left="-53" w:leftChars="-25"/>
              <w:jc w:val="right"/>
              <w:rPr>
                <w:spacing w:val="-10"/>
              </w:rPr>
            </w:pPr>
            <w:r>
              <w:rPr>
                <w:spacing w:val="-10"/>
              </w:rPr>
              <w:t>5,572,869.71</w:t>
            </w:r>
          </w:p>
        </w:tc>
        <w:tc>
          <w:tcPr>
            <w:tcW w:w="363" w:type="pct"/>
            <w:vAlign w:val="center"/>
          </w:tcPr>
          <w:p w14:paraId="0282B806">
            <w:pPr>
              <w:ind w:left="-53" w:leftChars="-25"/>
              <w:jc w:val="right"/>
              <w:rPr>
                <w:spacing w:val="-10"/>
              </w:rPr>
            </w:pPr>
          </w:p>
        </w:tc>
        <w:tc>
          <w:tcPr>
            <w:tcW w:w="309" w:type="pct"/>
            <w:vAlign w:val="center"/>
          </w:tcPr>
          <w:p w14:paraId="3E3684A8">
            <w:pPr>
              <w:ind w:left="-53" w:leftChars="-25"/>
              <w:jc w:val="right"/>
              <w:rPr>
                <w:spacing w:val="-10"/>
              </w:rPr>
            </w:pPr>
          </w:p>
        </w:tc>
        <w:tc>
          <w:tcPr>
            <w:tcW w:w="626" w:type="pct"/>
            <w:vAlign w:val="center"/>
          </w:tcPr>
          <w:p w14:paraId="1351146D">
            <w:pPr>
              <w:ind w:left="-53" w:leftChars="-25"/>
              <w:jc w:val="right"/>
              <w:rPr>
                <w:rFonts w:ascii="宋体" w:hAnsi="宋体"/>
                <w:spacing w:val="-10"/>
                <w:sz w:val="24"/>
                <w:szCs w:val="24"/>
              </w:rPr>
            </w:pPr>
            <w:r>
              <w:rPr>
                <w:spacing w:val="-10"/>
              </w:rPr>
              <w:t>10,870,829.85</w:t>
            </w:r>
          </w:p>
        </w:tc>
        <w:tc>
          <w:tcPr>
            <w:tcW w:w="242" w:type="pct"/>
          </w:tcPr>
          <w:p w14:paraId="5759FE8B">
            <w:pPr>
              <w:ind w:left="-53" w:lef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w:t>
            </w:r>
          </w:p>
        </w:tc>
        <w:tc>
          <w:tcPr>
            <w:tcW w:w="242" w:type="pct"/>
          </w:tcPr>
          <w:p w14:paraId="7C40B7E1">
            <w:pPr>
              <w:ind w:left="-53" w:lef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w:t>
            </w:r>
          </w:p>
        </w:tc>
        <w:tc>
          <w:tcPr>
            <w:tcW w:w="242" w:type="pct"/>
          </w:tcPr>
          <w:p w14:paraId="50BD17B2">
            <w:pPr>
              <w:ind w:left="-53" w:leftChars="-25"/>
              <w:jc w:val="center"/>
              <w:rPr>
                <w:spacing w:val="-10"/>
              </w:rPr>
            </w:pPr>
          </w:p>
        </w:tc>
        <w:tc>
          <w:tcPr>
            <w:tcW w:w="242" w:type="pct"/>
          </w:tcPr>
          <w:p w14:paraId="05FA84CA">
            <w:pPr>
              <w:ind w:left="-53" w:leftChars="-25"/>
              <w:jc w:val="center"/>
              <w:rPr>
                <w:spacing w:val="-10"/>
              </w:rPr>
            </w:pPr>
          </w:p>
        </w:tc>
        <w:tc>
          <w:tcPr>
            <w:tcW w:w="242" w:type="pct"/>
          </w:tcPr>
          <w:p w14:paraId="5B780F66">
            <w:pPr>
              <w:ind w:left="-53" w:lef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w:t>
            </w:r>
          </w:p>
        </w:tc>
        <w:tc>
          <w:tcPr>
            <w:tcW w:w="242" w:type="pct"/>
          </w:tcPr>
          <w:p w14:paraId="5F85E9E0">
            <w:pPr>
              <w:ind w:left="-53" w:lef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w:t>
            </w:r>
          </w:p>
        </w:tc>
      </w:tr>
    </w:tbl>
    <w:p w14:paraId="570BFB68">
      <w:pPr>
        <w:snapToGrid w:val="0"/>
        <w:spacing w:line="240" w:lineRule="atLeast"/>
        <w:rPr>
          <w:color w:val="000000" w:themeColor="text1"/>
          <w14:textFill>
            <w14:solidFill>
              <w14:schemeClr w14:val="tx1"/>
            </w14:solidFill>
          </w14:textFill>
        </w:rPr>
      </w:pPr>
    </w:p>
    <w:p w14:paraId="3BCEFBB8">
      <w:pPr>
        <w:pStyle w:val="6"/>
        <w:numPr>
          <w:ilvl w:val="0"/>
          <w:numId w:val="59"/>
        </w:numPr>
      </w:pPr>
      <w:bookmarkStart w:id="276" w:name="_Hlk167958414"/>
      <w:r>
        <w:rPr>
          <w:rFonts w:hint="eastAsia"/>
        </w:rPr>
        <w:t>本期计提在建工程减值准备情况</w:t>
      </w:r>
    </w:p>
    <w:sdt>
      <w:sdtPr>
        <w:rPr>
          <w:color w:val="000000" w:themeColor="text1"/>
          <w14:textFill>
            <w14:solidFill>
              <w14:schemeClr w14:val="tx1"/>
            </w14:solidFill>
          </w14:textFill>
        </w:rPr>
        <w:alias w:val="是否适用：本期计提在建工程减值准备情况[双击切换]"/>
        <w:tag w:val="_GBC_7dd31cf4784347cd87139a8c2548b22d"/>
        <w:id w:val="-494420151"/>
        <w:placeholder>
          <w:docPart w:val="GBC22222222222222222222222222222"/>
        </w:placeholder>
      </w:sdtPr>
      <w:sdtEndPr>
        <w:rPr>
          <w:color w:val="000000" w:themeColor="text1"/>
          <w14:textFill>
            <w14:solidFill>
              <w14:schemeClr w14:val="tx1"/>
            </w14:solidFill>
          </w14:textFill>
        </w:rPr>
      </w:sdtEndPr>
      <w:sdtContent>
        <w:p w14:paraId="3C5E1E7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640A63D">
      <w:pPr>
        <w:rPr>
          <w:rFonts w:asciiTheme="minorHAnsi" w:hAnsiTheme="minorHAnsi" w:cstheme="minorBidi"/>
          <w:color w:val="000000" w:themeColor="text1"/>
          <w:kern w:val="2"/>
          <w:szCs w:val="22"/>
          <w14:textFill>
            <w14:solidFill>
              <w14:schemeClr w14:val="tx1"/>
            </w14:solidFill>
          </w14:textFill>
        </w:rPr>
      </w:pPr>
    </w:p>
    <w:p w14:paraId="0418BA8A">
      <w:pPr>
        <w:pStyle w:val="6"/>
        <w:numPr>
          <w:ilvl w:val="0"/>
          <w:numId w:val="59"/>
        </w:numPr>
      </w:pPr>
      <w:bookmarkStart w:id="277" w:name="_Hlk153461314"/>
      <w:r>
        <w:rPr>
          <w:rFonts w:hint="eastAsia"/>
        </w:rPr>
        <w:t>在建工程的减值测试情况</w:t>
      </w:r>
    </w:p>
    <w:sdt>
      <w:sdtPr>
        <w:rPr>
          <w:color w:val="000000" w:themeColor="text1"/>
          <w14:textFill>
            <w14:solidFill>
              <w14:schemeClr w14:val="tx1"/>
            </w14:solidFill>
          </w14:textFill>
        </w:rPr>
        <w:alias w:val="是否适用：减值测试情况[双击切换]"/>
        <w:tag w:val="_GBC_f6d4bcf1dee14a709974326281981b12"/>
        <w:id w:val="-1114287608"/>
        <w:placeholder>
          <w:docPart w:val="GBC22222222222222222222222222222"/>
        </w:placeholder>
      </w:sdtPr>
      <w:sdtEndPr>
        <w:rPr>
          <w:color w:val="000000" w:themeColor="text1"/>
          <w14:textFill>
            <w14:solidFill>
              <w14:schemeClr w14:val="tx1"/>
            </w14:solidFill>
          </w14:textFill>
        </w:rPr>
      </w:sdtEndPr>
      <w:sdtContent>
        <w:p w14:paraId="0380726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58A7DD">
      <w:pPr>
        <w:snapToGrid w:val="0"/>
        <w:spacing w:line="240" w:lineRule="atLeast"/>
        <w:rPr>
          <w:color w:val="000000" w:themeColor="text1"/>
          <w14:textFill>
            <w14:solidFill>
              <w14:schemeClr w14:val="tx1"/>
            </w14:solidFill>
          </w14:textFill>
        </w:rPr>
      </w:pPr>
    </w:p>
    <w:bookmarkEnd w:id="276"/>
    <w:bookmarkEnd w:id="277"/>
    <w:p w14:paraId="09C8FFBA">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在建工程的说明[双击切换]"/>
        <w:tag w:val="_GBC_c0ffdfbb304348758da855627ba6d858"/>
        <w:id w:val="1596047089"/>
        <w:placeholder>
          <w:docPart w:val="GBC22222222222222222222222222222"/>
        </w:placeholder>
      </w:sdtPr>
      <w:sdtEndPr>
        <w:rPr>
          <w:color w:val="000000" w:themeColor="text1"/>
          <w14:textFill>
            <w14:solidFill>
              <w14:schemeClr w14:val="tx1"/>
            </w14:solidFill>
          </w14:textFill>
        </w:rPr>
      </w:sdtEndPr>
      <w:sdtContent>
        <w:p w14:paraId="7DB75CA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98AC659">
      <w:pPr>
        <w:rPr>
          <w:color w:val="000000" w:themeColor="text1"/>
          <w14:textFill>
            <w14:solidFill>
              <w14:schemeClr w14:val="tx1"/>
            </w14:solidFill>
          </w14:textFill>
        </w:rPr>
      </w:pPr>
    </w:p>
    <w:p w14:paraId="0CE9E93D">
      <w:pPr>
        <w:pStyle w:val="5"/>
        <w:rPr>
          <w:rFonts w:ascii="宋体" w:hAnsi="宋体"/>
          <w:color w:val="000000" w:themeColor="text1"/>
          <w14:textFill>
            <w14:solidFill>
              <w14:schemeClr w14:val="tx1"/>
            </w14:solidFill>
          </w14:textFill>
        </w:rPr>
      </w:pPr>
      <w:bookmarkStart w:id="278" w:name="_Hlk11683481"/>
      <w:r>
        <w:rPr>
          <w:rFonts w:hint="eastAsia" w:ascii="宋体" w:hAnsi="宋体"/>
          <w:color w:val="000000" w:themeColor="text1"/>
          <w14:textFill>
            <w14:solidFill>
              <w14:schemeClr w14:val="tx1"/>
            </w14:solidFill>
          </w14:textFill>
        </w:rPr>
        <w:t>工程物资</w:t>
      </w:r>
    </w:p>
    <w:sdt>
      <w:sdtPr>
        <w:rPr>
          <w:color w:val="000000" w:themeColor="text1"/>
          <w14:textFill>
            <w14:solidFill>
              <w14:schemeClr w14:val="tx1"/>
            </w14:solidFill>
          </w14:textFill>
        </w:rPr>
        <w:alias w:val="是否适用：工程物资[双击切换]"/>
        <w:tag w:val="_GBC_0d711628566c4b08b883151766986b20"/>
        <w:id w:val="-2008662809"/>
        <w:placeholder>
          <w:docPart w:val="GBC22222222222222222222222222222"/>
        </w:placeholder>
      </w:sdtPr>
      <w:sdtEndPr>
        <w:rPr>
          <w:color w:val="000000" w:themeColor="text1"/>
          <w14:textFill>
            <w14:solidFill>
              <w14:schemeClr w14:val="tx1"/>
            </w14:solidFill>
          </w14:textFill>
        </w:rPr>
      </w:sdtEndPr>
      <w:sdtContent>
        <w:p w14:paraId="569A1DA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78"/>
    <w:p w14:paraId="1910C830">
      <w:pPr>
        <w:rPr>
          <w:color w:val="000000" w:themeColor="text1"/>
          <w14:textFill>
            <w14:solidFill>
              <w14:schemeClr w14:val="tx1"/>
            </w14:solidFill>
          </w14:textFill>
        </w:rPr>
      </w:pPr>
    </w:p>
    <w:p w14:paraId="4A73C336">
      <w:pPr>
        <w:pStyle w:val="4"/>
        <w:numPr>
          <w:ilvl w:val="0"/>
          <w:numId w:val="41"/>
        </w:num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生产性生物资产</w:t>
      </w:r>
    </w:p>
    <w:p w14:paraId="1533F410">
      <w:pPr>
        <w:pStyle w:val="5"/>
        <w:numPr>
          <w:ilvl w:val="0"/>
          <w:numId w:val="60"/>
        </w:numPr>
        <w:tabs>
          <w:tab w:val="left" w:pos="602"/>
          <w:tab w:val="left" w:pos="798"/>
        </w:tabs>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采用成本计量模式的生产性生物资产</w:t>
      </w:r>
    </w:p>
    <w:sdt>
      <w:sdtPr>
        <w:rPr>
          <w:rFonts w:hint="eastAsia"/>
          <w:color w:val="000000" w:themeColor="text1"/>
          <w14:textFill>
            <w14:solidFill>
              <w14:schemeClr w14:val="tx1"/>
            </w14:solidFill>
          </w14:textFill>
        </w:rPr>
        <w:alias w:val="是否适用：财务附注：以成本计量的生产性生物资产[双击切换]"/>
        <w:tag w:val="_GBC_fca5101d9b46492484acd605f0ade969"/>
        <w:id w:val="-1307697403"/>
        <w:placeholder>
          <w:docPart w:val="GBC22222222222222222222222222222"/>
        </w:placeholder>
      </w:sdtPr>
      <w:sdtEndPr>
        <w:rPr>
          <w:rFonts w:hint="eastAsia"/>
          <w:color w:val="000000" w:themeColor="text1"/>
          <w14:textFill>
            <w14:solidFill>
              <w14:schemeClr w14:val="tx1"/>
            </w14:solidFill>
          </w14:textFill>
        </w:rPr>
      </w:sdtEndPr>
      <w:sdtContent>
        <w:p w14:paraId="6C52F0B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93805B">
      <w:pPr>
        <w:rPr>
          <w:rFonts w:cstheme="minorBidi"/>
          <w:color w:val="000000" w:themeColor="text1"/>
          <w:kern w:val="2"/>
          <w14:textFill>
            <w14:solidFill>
              <w14:schemeClr w14:val="tx1"/>
            </w14:solidFill>
          </w14:textFill>
        </w:rPr>
      </w:pPr>
    </w:p>
    <w:p w14:paraId="04095933">
      <w:pPr>
        <w:pStyle w:val="5"/>
        <w:numPr>
          <w:ilvl w:val="0"/>
          <w:numId w:val="60"/>
        </w:numPr>
        <w:tabs>
          <w:tab w:val="left" w:pos="602"/>
          <w:tab w:val="left" w:pos="798"/>
        </w:tabs>
        <w:rPr>
          <w:rFonts w:ascii="宋体" w:hAnsi="宋体"/>
          <w:color w:val="000000" w:themeColor="text1"/>
          <w:kern w:val="0"/>
          <w:szCs w:val="21"/>
          <w14:textFill>
            <w14:solidFill>
              <w14:schemeClr w14:val="tx1"/>
            </w14:solidFill>
          </w14:textFill>
        </w:rPr>
      </w:pPr>
      <w:bookmarkStart w:id="279" w:name="_Hlk167958925"/>
      <w:bookmarkStart w:id="280" w:name="_Hlk153461442"/>
      <w:r>
        <w:rPr>
          <w:rFonts w:hint="eastAsia" w:ascii="宋体" w:hAnsi="宋体"/>
          <w:color w:val="000000" w:themeColor="text1"/>
          <w:kern w:val="0"/>
          <w:szCs w:val="21"/>
          <w14:textFill>
            <w14:solidFill>
              <w14:schemeClr w14:val="tx1"/>
            </w14:solidFill>
          </w14:textFill>
        </w:rPr>
        <w:t>采用成本计量模式的生产性生物资产的减值测试情况</w:t>
      </w:r>
    </w:p>
    <w:sdt>
      <w:sdtPr>
        <w:rPr>
          <w:color w:val="000000" w:themeColor="text1"/>
          <w14:textFill>
            <w14:solidFill>
              <w14:schemeClr w14:val="tx1"/>
            </w14:solidFill>
          </w14:textFill>
        </w:rPr>
        <w:alias w:val="是否适用：减值测试情况[双击切换]"/>
        <w:tag w:val="_GBC_9e260b0f45a84f50898aaf872db0ca84"/>
        <w:id w:val="1343130642"/>
        <w:placeholder>
          <w:docPart w:val="GBC22222222222222222222222222222"/>
        </w:placeholder>
      </w:sdtPr>
      <w:sdtEndPr>
        <w:rPr>
          <w:color w:val="000000" w:themeColor="text1"/>
          <w14:textFill>
            <w14:solidFill>
              <w14:schemeClr w14:val="tx1"/>
            </w14:solidFill>
          </w14:textFill>
        </w:rPr>
      </w:sdtEndPr>
      <w:sdtContent>
        <w:p w14:paraId="1F6FA8F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892E9AD">
      <w:pPr>
        <w:snapToGrid w:val="0"/>
        <w:spacing w:line="240" w:lineRule="atLeast"/>
        <w:rPr>
          <w:color w:val="000000" w:themeColor="text1"/>
          <w14:textFill>
            <w14:solidFill>
              <w14:schemeClr w14:val="tx1"/>
            </w14:solidFill>
          </w14:textFill>
        </w:rPr>
      </w:pPr>
    </w:p>
    <w:bookmarkEnd w:id="279"/>
    <w:bookmarkEnd w:id="280"/>
    <w:p w14:paraId="6E4AA409">
      <w:pPr>
        <w:pStyle w:val="5"/>
        <w:numPr>
          <w:ilvl w:val="0"/>
          <w:numId w:val="60"/>
        </w:numPr>
        <w:tabs>
          <w:tab w:val="left" w:pos="602"/>
          <w:tab w:val="left" w:pos="798"/>
        </w:tabs>
        <w:rPr>
          <w:rFonts w:ascii="宋体" w:hAnsi="宋体"/>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采用公允价值计量模式的生产性生物资产</w:t>
      </w:r>
    </w:p>
    <w:sdt>
      <w:sdtPr>
        <w:rPr>
          <w:color w:val="000000" w:themeColor="text1"/>
          <w14:textFill>
            <w14:solidFill>
              <w14:schemeClr w14:val="tx1"/>
            </w14:solidFill>
          </w14:textFill>
        </w:rPr>
        <w:alias w:val="是否适用：财务附注：以公允价值计量的生产性生物资产[双击切换]"/>
        <w:tag w:val="_GBC_3a67921e606f4abca6478a1ffb759394"/>
        <w:id w:val="-586535821"/>
        <w:placeholder>
          <w:docPart w:val="GBC22222222222222222222222222222"/>
        </w:placeholder>
      </w:sdtPr>
      <w:sdtEndPr>
        <w:rPr>
          <w:color w:val="000000" w:themeColor="text1"/>
          <w14:textFill>
            <w14:solidFill>
              <w14:schemeClr w14:val="tx1"/>
            </w14:solidFill>
          </w14:textFill>
        </w:rPr>
      </w:sdtEndPr>
      <w:sdtContent>
        <w:p w14:paraId="31DD3BF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E8C3D12">
      <w:pPr>
        <w:rPr>
          <w:color w:val="000000" w:themeColor="text1"/>
          <w14:textFill>
            <w14:solidFill>
              <w14:schemeClr w14:val="tx1"/>
            </w14:solidFill>
          </w14:textFill>
        </w:rPr>
      </w:pPr>
    </w:p>
    <w:p w14:paraId="72354743">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生产性生物资产的说明[双击切换]"/>
        <w:tag w:val="_GBC_48247874e2c54937aabce9db1308bea7"/>
        <w:id w:val="-2063938645"/>
        <w:placeholder>
          <w:docPart w:val="GBC22222222222222222222222222222"/>
        </w:placeholder>
      </w:sdtPr>
      <w:sdtEndPr>
        <w:rPr>
          <w:color w:val="000000" w:themeColor="text1"/>
          <w14:textFill>
            <w14:solidFill>
              <w14:schemeClr w14:val="tx1"/>
            </w14:solidFill>
          </w14:textFill>
        </w:rPr>
      </w:sdtEndPr>
      <w:sdtContent>
        <w:p w14:paraId="1D1D63D5">
          <w:pPr>
            <w:autoSpaceDE w:val="0"/>
            <w:autoSpaceDN w:val="0"/>
            <w:adjustRightInd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25768DD">
      <w:pPr>
        <w:rPr>
          <w:color w:val="000000" w:themeColor="text1"/>
          <w14:textFill>
            <w14:solidFill>
              <w14:schemeClr w14:val="tx1"/>
            </w14:solidFill>
          </w14:textFill>
        </w:rPr>
      </w:pPr>
    </w:p>
    <w:p w14:paraId="5AB54E80">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油气资产</w:t>
      </w:r>
    </w:p>
    <w:p w14:paraId="3B3D2860">
      <w:pPr>
        <w:pStyle w:val="5"/>
        <w:numPr>
          <w:ilvl w:val="0"/>
          <w:numId w:val="61"/>
        </w:numPr>
        <w:rPr>
          <w:color w:val="000000" w:themeColor="text1"/>
          <w14:textFill>
            <w14:solidFill>
              <w14:schemeClr w14:val="tx1"/>
            </w14:solidFill>
          </w14:textFill>
        </w:rPr>
      </w:pPr>
      <w:r>
        <w:rPr>
          <w:rFonts w:hint="eastAsia"/>
          <w:color w:val="000000" w:themeColor="text1"/>
          <w14:textFill>
            <w14:solidFill>
              <w14:schemeClr w14:val="tx1"/>
            </w14:solidFill>
          </w14:textFill>
        </w:rPr>
        <w:t>油气资产情况</w:t>
      </w:r>
    </w:p>
    <w:sdt>
      <w:sdtPr>
        <w:rPr>
          <w:color w:val="000000" w:themeColor="text1"/>
          <w14:textFill>
            <w14:solidFill>
              <w14:schemeClr w14:val="tx1"/>
            </w14:solidFill>
          </w14:textFill>
        </w:rPr>
        <w:alias w:val="是否适用：油气资产[双击切换]"/>
        <w:tag w:val="_GBC_7dce41817eb749dba0d132424020d250"/>
        <w:id w:val="-831141947"/>
        <w:placeholder>
          <w:docPart w:val="GBC22222222222222222222222222222"/>
        </w:placeholder>
      </w:sdtPr>
      <w:sdtEndPr>
        <w:rPr>
          <w:color w:val="000000" w:themeColor="text1"/>
          <w14:textFill>
            <w14:solidFill>
              <w14:schemeClr w14:val="tx1"/>
            </w14:solidFill>
          </w14:textFill>
        </w:rPr>
      </w:sdtEndPr>
      <w:sdtContent>
        <w:p w14:paraId="4858DBC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5460B6">
      <w:pPr>
        <w:rPr>
          <w:color w:val="000000" w:themeColor="text1"/>
          <w14:textFill>
            <w14:solidFill>
              <w14:schemeClr w14:val="tx1"/>
            </w14:solidFill>
          </w14:textFill>
        </w:rPr>
      </w:pPr>
    </w:p>
    <w:p w14:paraId="556CAA24">
      <w:pPr>
        <w:pStyle w:val="5"/>
        <w:numPr>
          <w:ilvl w:val="0"/>
          <w:numId w:val="61"/>
        </w:numPr>
        <w:rPr>
          <w:color w:val="000000" w:themeColor="text1"/>
          <w14:textFill>
            <w14:solidFill>
              <w14:schemeClr w14:val="tx1"/>
            </w14:solidFill>
          </w14:textFill>
        </w:rPr>
      </w:pPr>
      <w:bookmarkStart w:id="281" w:name="_Hlk153461604"/>
      <w:bookmarkStart w:id="282" w:name="_Hlk167959265"/>
      <w:r>
        <w:rPr>
          <w:rFonts w:hint="eastAsia"/>
          <w:color w:val="000000" w:themeColor="text1"/>
          <w14:textFill>
            <w14:solidFill>
              <w14:schemeClr w14:val="tx1"/>
            </w14:solidFill>
          </w14:textFill>
        </w:rPr>
        <w:t>油气资产的减值测试情况</w:t>
      </w:r>
    </w:p>
    <w:sdt>
      <w:sdtPr>
        <w:rPr>
          <w:color w:val="000000" w:themeColor="text1"/>
          <w14:textFill>
            <w14:solidFill>
              <w14:schemeClr w14:val="tx1"/>
            </w14:solidFill>
          </w14:textFill>
        </w:rPr>
        <w:alias w:val="是否适用：减值测试情况[双击切换]"/>
        <w:tag w:val="_GBC_3d3afd59d9f741639537a668ab2d0ccf"/>
        <w:id w:val="845758355"/>
        <w:placeholder>
          <w:docPart w:val="GBC22222222222222222222222222222"/>
        </w:placeholder>
      </w:sdtPr>
      <w:sdtEndPr>
        <w:rPr>
          <w:color w:val="000000" w:themeColor="text1"/>
          <w14:textFill>
            <w14:solidFill>
              <w14:schemeClr w14:val="tx1"/>
            </w14:solidFill>
          </w14:textFill>
        </w:rPr>
      </w:sdtEndPr>
      <w:sdtContent>
        <w:p w14:paraId="4C14ED7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72FE119">
      <w:pPr>
        <w:snapToGrid w:val="0"/>
        <w:spacing w:line="240" w:lineRule="atLeast"/>
        <w:rPr>
          <w:color w:val="000000" w:themeColor="text1"/>
          <w14:textFill>
            <w14:solidFill>
              <w14:schemeClr w14:val="tx1"/>
            </w14:solidFill>
          </w14:textFill>
        </w:rPr>
      </w:pPr>
    </w:p>
    <w:bookmarkEnd w:id="281"/>
    <w:bookmarkEnd w:id="282"/>
    <w:p w14:paraId="5A48A084">
      <w:pPr>
        <w:autoSpaceDE w:val="0"/>
        <w:autoSpaceDN w:val="0"/>
        <w:adjustRightInd w:val="0"/>
        <w:rPr>
          <w:color w:val="000000" w:themeColor="text1"/>
          <w14:textFill>
            <w14:solidFill>
              <w14:schemeClr w14:val="tx1"/>
            </w14:solidFill>
          </w14:textFill>
        </w:rPr>
      </w:pPr>
      <w:bookmarkStart w:id="283" w:name="_Hlk167959495"/>
      <w:r>
        <w:rPr>
          <w:rFonts w:hint="eastAsia"/>
          <w:color w:val="000000" w:themeColor="text1"/>
          <w14:textFill>
            <w14:solidFill>
              <w14:schemeClr w14:val="tx1"/>
            </w14:solidFill>
          </w14:textFill>
        </w:rPr>
        <w:t>其他说明：</w:t>
      </w:r>
    </w:p>
    <w:p w14:paraId="62351AE3">
      <w:pPr>
        <w:autoSpaceDE w:val="0"/>
        <w:autoSpaceDN w:val="0"/>
        <w:adjustRightInd w:val="0"/>
        <w:rPr>
          <w:color w:val="000000" w:themeColor="text1"/>
          <w14:textFill>
            <w14:solidFill>
              <w14:schemeClr w14:val="tx1"/>
            </w14:solidFill>
          </w14:textFill>
        </w:rPr>
      </w:pPr>
      <w:sdt>
        <w:sdtPr>
          <w:rPr>
            <w:color w:val="000000" w:themeColor="text1"/>
            <w14:textFill>
              <w14:solidFill>
                <w14:schemeClr w14:val="tx1"/>
              </w14:solidFill>
            </w14:textFill>
          </w:rPr>
          <w:alias w:val="油气资产的说明"/>
          <w:tag w:val="_GBC_f691a34a4bb64e549c6319049096f28b"/>
          <w:id w:val="1150716175"/>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2E099F4A">
      <w:pPr>
        <w:snapToGrid w:val="0"/>
        <w:spacing w:line="240" w:lineRule="atLeast"/>
        <w:rPr>
          <w:color w:val="000000" w:themeColor="text1"/>
          <w14:textFill>
            <w14:solidFill>
              <w14:schemeClr w14:val="tx1"/>
            </w14:solidFill>
          </w14:textFill>
        </w:rPr>
      </w:pPr>
    </w:p>
    <w:bookmarkEnd w:id="283"/>
    <w:sdt>
      <w:sdtPr>
        <w:rPr>
          <w:rFonts w:hint="eastAsia" w:ascii="宋体" w:hAnsi="宋体" w:cs="宋体"/>
          <w:b w:val="0"/>
          <w:bCs w:val="0"/>
          <w:color w:val="000000" w:themeColor="text1"/>
          <w:kern w:val="0"/>
          <w:szCs w:val="21"/>
          <w14:textFill>
            <w14:solidFill>
              <w14:schemeClr w14:val="tx1"/>
            </w14:solidFill>
          </w14:textFill>
        </w:rPr>
        <w:alias w:val="模块:使用权资产"/>
        <w:tag w:val="_SEC_42126bf96c7241e38ff33aae0d98dae2"/>
        <w:id w:val="-141352844"/>
        <w:placeholder>
          <w:docPart w:val="GBC22222222222222222222222222222"/>
        </w:placeholder>
      </w:sdtPr>
      <w:sdtEndPr>
        <w:rPr>
          <w:rFonts w:hint="eastAsia" w:ascii="Times New Roman" w:hAnsi="Times New Roman" w:cs="宋体"/>
          <w:b w:val="0"/>
          <w:bCs w:val="0"/>
          <w:color w:val="000000" w:themeColor="text1"/>
          <w:kern w:val="0"/>
          <w:szCs w:val="21"/>
          <w14:textFill>
            <w14:solidFill>
              <w14:schemeClr w14:val="tx1"/>
            </w14:solidFill>
          </w14:textFill>
        </w:rPr>
      </w:sdtEndPr>
      <w:sdtContent>
        <w:sdt>
          <w:sdtPr>
            <w:tag w:val="_PLD_dbf30b0808914e11a730d24190f6e581"/>
            <w:id w:val="1668592746"/>
          </w:sdtPr>
          <w:sdtContent>
            <w:p w14:paraId="41AA8784">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使用权资产</w:t>
              </w:r>
            </w:p>
          </w:sdtContent>
        </w:sdt>
        <w:p w14:paraId="2820326C">
          <w:pPr>
            <w:pStyle w:val="5"/>
            <w:numPr>
              <w:ilvl w:val="0"/>
              <w:numId w:val="62"/>
            </w:numPr>
            <w:rPr>
              <w:color w:val="000000" w:themeColor="text1"/>
              <w14:textFill>
                <w14:solidFill>
                  <w14:schemeClr w14:val="tx1"/>
                </w14:solidFill>
              </w14:textFill>
            </w:rPr>
          </w:pPr>
          <w:r>
            <w:rPr>
              <w:rFonts w:hint="eastAsia"/>
              <w:color w:val="000000" w:themeColor="text1"/>
              <w14:textFill>
                <w14:solidFill>
                  <w14:schemeClr w14:val="tx1"/>
                </w14:solidFill>
              </w14:textFill>
            </w:rPr>
            <w:t>使用权资产情况</w:t>
          </w:r>
        </w:p>
        <w:sdt>
          <w:sdtPr>
            <w:rPr>
              <w:color w:val="000000" w:themeColor="text1"/>
              <w14:textFill>
                <w14:solidFill>
                  <w14:schemeClr w14:val="tx1"/>
                </w14:solidFill>
              </w14:textFill>
            </w:rPr>
            <w:alias w:val="是否适用：使用权资产[双击切换]"/>
            <w:tag w:val="_GBC_3ac132175b304712af4889ae3914ef7d"/>
            <w:id w:val="-1138487475"/>
            <w:placeholder>
              <w:docPart w:val="GBC22222222222222222222222222222"/>
            </w:placeholder>
          </w:sdtPr>
          <w:sdtEndPr>
            <w:rPr>
              <w:color w:val="000000" w:themeColor="text1"/>
              <w14:textFill>
                <w14:solidFill>
                  <w14:schemeClr w14:val="tx1"/>
                </w14:solidFill>
              </w14:textFill>
            </w:rPr>
          </w:sdtEndPr>
          <w:sdtContent>
            <w:p w14:paraId="5C9B1FC5">
              <w:pPr>
                <w:rPr>
                  <w:color w:val="000000" w:themeColor="text1"/>
                  <w14:textFill>
                    <w14:solidFill>
                      <w14:schemeClr w14:val="tx1"/>
                    </w14:solidFill>
                  </w14:textFill>
                </w:rPr>
              </w:pPr>
              <w:bookmarkStart w:id="284" w:name="_Hlk11679747"/>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A9C7556">
          <w:pPr>
            <w:autoSpaceDE w:val="0"/>
            <w:autoSpaceDN w:val="0"/>
            <w:adjustRightInd w:val="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使用权资产"/>
              <w:tag w:val="_GBC_126de13c7c92490d95bdebd7efe2d59b"/>
              <w:id w:val="107108254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使用权资产"/>
              <w:tag w:val="_GBC_bb9e8b7096ab49fc95311a6c81431e95"/>
              <w:id w:val="-6122813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9"/>
            <w:gridCol w:w="2722"/>
            <w:gridCol w:w="2928"/>
          </w:tblGrid>
          <w:tr w14:paraId="5786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e7cc7a86c52f4dc596615cce534e6d6a"/>
                <w:id w:val="-1494939363"/>
              </w:sdtPr>
              <w:sdtContent>
                <w:tc>
                  <w:tcPr>
                    <w:tcW w:w="1878" w:type="pct"/>
                    <w:vAlign w:val="center"/>
                  </w:tcPr>
                  <w:p w14:paraId="04BFF571">
                    <w:pPr>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tc>
              <w:tcPr>
                <w:tcW w:w="1504" w:type="pct"/>
                <w:vAlign w:val="center"/>
              </w:tcPr>
              <w:p w14:paraId="0D294A28">
                <w:pPr>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房屋及建筑物</w:t>
                </w:r>
              </w:p>
            </w:tc>
            <w:sdt>
              <w:sdtPr>
                <w:tag w:val="_PLD_8404013d36434d0f94f9d2e0e06379db"/>
                <w:id w:val="-476295398"/>
              </w:sdtPr>
              <w:sdtContent>
                <w:tc>
                  <w:tcPr>
                    <w:tcW w:w="1618" w:type="pct"/>
                    <w:vAlign w:val="center"/>
                  </w:tcPr>
                  <w:p w14:paraId="0254E970">
                    <w:pPr>
                      <w:spacing w:line="24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sdtContent>
            </w:sdt>
          </w:tr>
          <w:tr w14:paraId="7718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8a1172a4974b4db489d9ace1c9b06ff9"/>
                <w:id w:val="-62802841"/>
              </w:sdtPr>
              <w:sdtContent>
                <w:tc>
                  <w:tcPr>
                    <w:tcW w:w="5000" w:type="pct"/>
                    <w:gridSpan w:val="3"/>
                    <w:vAlign w:val="center"/>
                  </w:tcPr>
                  <w:p w14:paraId="1853FE49">
                    <w:pPr>
                      <w:spacing w:line="240" w:lineRule="atLeast"/>
                      <w:rPr>
                        <w:color w:val="000000" w:themeColor="text1"/>
                        <w14:textFill>
                          <w14:solidFill>
                            <w14:schemeClr w14:val="tx1"/>
                          </w14:solidFill>
                        </w14:textFill>
                      </w:rPr>
                    </w:pPr>
                    <w:r>
                      <w:rPr>
                        <w:color w:val="000000" w:themeColor="text1"/>
                        <w14:textFill>
                          <w14:solidFill>
                            <w14:schemeClr w14:val="tx1"/>
                          </w14:solidFill>
                        </w14:textFill>
                      </w:rPr>
                      <w:t>一、</w:t>
                    </w:r>
                    <w:r>
                      <w:rPr>
                        <w:rFonts w:hint="eastAsia"/>
                        <w:color w:val="000000" w:themeColor="text1"/>
                        <w14:textFill>
                          <w14:solidFill>
                            <w14:schemeClr w14:val="tx1"/>
                          </w14:solidFill>
                        </w14:textFill>
                      </w:rPr>
                      <w:t>账面</w:t>
                    </w:r>
                    <w:r>
                      <w:rPr>
                        <w:color w:val="000000" w:themeColor="text1"/>
                        <w14:textFill>
                          <w14:solidFill>
                            <w14:schemeClr w14:val="tx1"/>
                          </w14:solidFill>
                        </w14:textFill>
                      </w:rPr>
                      <w:t>原</w:t>
                    </w:r>
                    <w:r>
                      <w:rPr>
                        <w:rFonts w:hint="eastAsia"/>
                        <w:color w:val="000000" w:themeColor="text1"/>
                        <w14:textFill>
                          <w14:solidFill>
                            <w14:schemeClr w14:val="tx1"/>
                          </w14:solidFill>
                        </w14:textFill>
                      </w:rPr>
                      <w:t>值</w:t>
                    </w:r>
                  </w:p>
                </w:tc>
              </w:sdtContent>
            </w:sdt>
          </w:tr>
          <w:tr w14:paraId="63F6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0573FB50">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期</w:t>
                </w:r>
                <w:r>
                  <w:rPr>
                    <w:color w:val="000000" w:themeColor="text1"/>
                    <w14:textFill>
                      <w14:solidFill>
                        <w14:schemeClr w14:val="tx1"/>
                      </w14:solidFill>
                    </w14:textFill>
                  </w:rPr>
                  <w:t>初余额</w:t>
                </w:r>
              </w:p>
            </w:tc>
            <w:tc>
              <w:tcPr>
                <w:tcW w:w="1504" w:type="pct"/>
                <w:vAlign w:val="center"/>
              </w:tcPr>
              <w:p w14:paraId="083989E7">
                <w:pPr>
                  <w:jc w:val="right"/>
                </w:pPr>
                <w:r>
                  <w:t>5,270,921.54</w:t>
                </w:r>
              </w:p>
            </w:tc>
            <w:tc>
              <w:tcPr>
                <w:tcW w:w="1618" w:type="pct"/>
                <w:vAlign w:val="center"/>
              </w:tcPr>
              <w:p w14:paraId="0960DB34">
                <w:pPr>
                  <w:jc w:val="right"/>
                </w:pPr>
                <w:r>
                  <w:t>5,270,921.54</w:t>
                </w:r>
              </w:p>
            </w:tc>
          </w:tr>
          <w:tr w14:paraId="2C9F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240E688C">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2.本期增加</w:t>
                </w:r>
                <w:r>
                  <w:rPr>
                    <w:rFonts w:hint="eastAsia"/>
                    <w:color w:val="000000" w:themeColor="text1"/>
                    <w14:textFill>
                      <w14:solidFill>
                        <w14:schemeClr w14:val="tx1"/>
                      </w14:solidFill>
                    </w14:textFill>
                  </w:rPr>
                  <w:t>金额</w:t>
                </w:r>
              </w:p>
            </w:tc>
            <w:tc>
              <w:tcPr>
                <w:tcW w:w="1504" w:type="pct"/>
              </w:tcPr>
              <w:p w14:paraId="0F0E3C37">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18" w:type="pct"/>
              </w:tcPr>
              <w:p w14:paraId="61A3FF55">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9B0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6445CBFB">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3.本期减少</w:t>
                </w:r>
                <w:r>
                  <w:rPr>
                    <w:rFonts w:hint="eastAsia"/>
                    <w:color w:val="000000" w:themeColor="text1"/>
                    <w14:textFill>
                      <w14:solidFill>
                        <w14:schemeClr w14:val="tx1"/>
                      </w14:solidFill>
                    </w14:textFill>
                  </w:rPr>
                  <w:t>金额</w:t>
                </w:r>
              </w:p>
            </w:tc>
            <w:tc>
              <w:tcPr>
                <w:tcW w:w="1504" w:type="pct"/>
              </w:tcPr>
              <w:p w14:paraId="7F360548">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18" w:type="pct"/>
              </w:tcPr>
              <w:p w14:paraId="7A609AE9">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661F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5C2F087E">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4.期末余额</w:t>
                </w:r>
              </w:p>
            </w:tc>
            <w:tc>
              <w:tcPr>
                <w:tcW w:w="1504" w:type="pct"/>
                <w:vAlign w:val="center"/>
              </w:tcPr>
              <w:p w14:paraId="38F7DA0F">
                <w:pPr>
                  <w:jc w:val="right"/>
                </w:pPr>
                <w:r>
                  <w:t>5,270,921.54</w:t>
                </w:r>
              </w:p>
            </w:tc>
            <w:tc>
              <w:tcPr>
                <w:tcW w:w="1618" w:type="pct"/>
                <w:vAlign w:val="center"/>
              </w:tcPr>
              <w:p w14:paraId="7F1FA9F2">
                <w:pPr>
                  <w:jc w:val="right"/>
                </w:pPr>
                <w:r>
                  <w:t>5,270,921.54</w:t>
                </w:r>
              </w:p>
            </w:tc>
          </w:tr>
          <w:tr w14:paraId="2E99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c5fd254e7ed54ab8b2346f3d57a1cc54"/>
                <w:id w:val="793022220"/>
              </w:sdtPr>
              <w:sdtContent>
                <w:tc>
                  <w:tcPr>
                    <w:tcW w:w="5000" w:type="pct"/>
                    <w:gridSpan w:val="3"/>
                    <w:vAlign w:val="center"/>
                  </w:tcPr>
                  <w:p w14:paraId="47AC41AF">
                    <w:pPr>
                      <w:spacing w:line="240" w:lineRule="atLeast"/>
                      <w:rPr>
                        <w:color w:val="000000" w:themeColor="text1"/>
                        <w14:textFill>
                          <w14:solidFill>
                            <w14:schemeClr w14:val="tx1"/>
                          </w14:solidFill>
                        </w14:textFill>
                      </w:rPr>
                    </w:pPr>
                    <w:r>
                      <w:rPr>
                        <w:color w:val="000000" w:themeColor="text1"/>
                        <w14:textFill>
                          <w14:solidFill>
                            <w14:schemeClr w14:val="tx1"/>
                          </w14:solidFill>
                        </w14:textFill>
                      </w:rPr>
                      <w:t>二、累计折旧</w:t>
                    </w:r>
                  </w:p>
                </w:tc>
              </w:sdtContent>
            </w:sdt>
          </w:tr>
          <w:tr w14:paraId="2D170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7DBBD588">
                <w:pPr>
                  <w:spacing w:line="240" w:lineRule="atLeas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1.期</w:t>
                </w:r>
                <w:r>
                  <w:rPr>
                    <w:color w:val="000000" w:themeColor="text1"/>
                    <w14:textFill>
                      <w14:solidFill>
                        <w14:schemeClr w14:val="tx1"/>
                      </w14:solidFill>
                    </w14:textFill>
                  </w:rPr>
                  <w:t>初余额</w:t>
                </w:r>
              </w:p>
            </w:tc>
            <w:tc>
              <w:tcPr>
                <w:tcW w:w="1504" w:type="pct"/>
                <w:vAlign w:val="center"/>
              </w:tcPr>
              <w:p w14:paraId="11178CF8">
                <w:pPr>
                  <w:jc w:val="right"/>
                </w:pPr>
                <w:r>
                  <w:t>4,327,579.90</w:t>
                </w:r>
              </w:p>
            </w:tc>
            <w:tc>
              <w:tcPr>
                <w:tcW w:w="1618" w:type="pct"/>
                <w:vAlign w:val="center"/>
              </w:tcPr>
              <w:p w14:paraId="4F76B009">
                <w:pPr>
                  <w:jc w:val="right"/>
                </w:pPr>
                <w:r>
                  <w:t>4,327,579.90</w:t>
                </w:r>
              </w:p>
            </w:tc>
          </w:tr>
          <w:tr w14:paraId="7F9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50E6CCB6">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2.本期增加</w:t>
                </w:r>
                <w:r>
                  <w:rPr>
                    <w:rFonts w:hint="eastAsia"/>
                    <w:color w:val="000000" w:themeColor="text1"/>
                    <w14:textFill>
                      <w14:solidFill>
                        <w14:schemeClr w14:val="tx1"/>
                      </w14:solidFill>
                    </w14:textFill>
                  </w:rPr>
                  <w:t>金额</w:t>
                </w:r>
              </w:p>
            </w:tc>
            <w:tc>
              <w:tcPr>
                <w:tcW w:w="1504" w:type="pct"/>
                <w:vAlign w:val="center"/>
              </w:tcPr>
              <w:p w14:paraId="514A31A8">
                <w:pPr>
                  <w:jc w:val="right"/>
                </w:pPr>
                <w:r>
                  <w:t>573,721.25</w:t>
                </w:r>
              </w:p>
            </w:tc>
            <w:tc>
              <w:tcPr>
                <w:tcW w:w="1618" w:type="pct"/>
                <w:vAlign w:val="center"/>
              </w:tcPr>
              <w:p w14:paraId="7D2C4B62">
                <w:pPr>
                  <w:jc w:val="right"/>
                </w:pPr>
                <w:r>
                  <w:t>573,721.25</w:t>
                </w:r>
              </w:p>
            </w:tc>
          </w:tr>
          <w:tr w14:paraId="140C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2997264D">
                <w:pPr>
                  <w:spacing w:line="240" w:lineRule="atLeast"/>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(1)计提</w:t>
                </w:r>
              </w:p>
            </w:tc>
            <w:tc>
              <w:tcPr>
                <w:tcW w:w="1504" w:type="pct"/>
                <w:vAlign w:val="center"/>
              </w:tcPr>
              <w:p w14:paraId="6066D33A">
                <w:pPr>
                  <w:jc w:val="right"/>
                </w:pPr>
                <w:r>
                  <w:t>573,721.25</w:t>
                </w:r>
              </w:p>
            </w:tc>
            <w:tc>
              <w:tcPr>
                <w:tcW w:w="1618" w:type="pct"/>
                <w:vAlign w:val="center"/>
              </w:tcPr>
              <w:p w14:paraId="715347C5">
                <w:pPr>
                  <w:jc w:val="right"/>
                </w:pPr>
                <w:r>
                  <w:t>573,721.25</w:t>
                </w:r>
              </w:p>
            </w:tc>
          </w:tr>
          <w:tr w14:paraId="2964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11D7A6E9">
                <w:pPr>
                  <w:spacing w:line="240" w:lineRule="atLeas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本期减少</w:t>
                </w:r>
                <w:r>
                  <w:rPr>
                    <w:rFonts w:hint="eastAsia"/>
                    <w:color w:val="000000" w:themeColor="text1"/>
                    <w14:textFill>
                      <w14:solidFill>
                        <w14:schemeClr w14:val="tx1"/>
                      </w14:solidFill>
                    </w14:textFill>
                  </w:rPr>
                  <w:t>金额</w:t>
                </w:r>
              </w:p>
            </w:tc>
            <w:tc>
              <w:tcPr>
                <w:tcW w:w="1504" w:type="pct"/>
              </w:tcPr>
              <w:p w14:paraId="2B52EAB1">
                <w:pPr>
                  <w:spacing w:line="240" w:lineRule="atLeast"/>
                  <w:jc w:val="right"/>
                  <w:rPr>
                    <w:color w:val="000000" w:themeColor="text1"/>
                    <w14:textFill>
                      <w14:solidFill>
                        <w14:schemeClr w14:val="tx1"/>
                      </w14:solidFill>
                    </w14:textFill>
                  </w:rPr>
                </w:pPr>
              </w:p>
            </w:tc>
            <w:tc>
              <w:tcPr>
                <w:tcW w:w="1618" w:type="pct"/>
              </w:tcPr>
              <w:p w14:paraId="66945C91">
                <w:pPr>
                  <w:spacing w:line="240" w:lineRule="atLeast"/>
                  <w:jc w:val="right"/>
                  <w:rPr>
                    <w:color w:val="000000" w:themeColor="text1"/>
                    <w14:textFill>
                      <w14:solidFill>
                        <w14:schemeClr w14:val="tx1"/>
                      </w14:solidFill>
                    </w14:textFill>
                  </w:rPr>
                </w:pPr>
              </w:p>
            </w:tc>
          </w:tr>
          <w:tr w14:paraId="6A67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49F82894">
                <w:pPr>
                  <w:spacing w:line="240" w:lineRule="atLeast"/>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处置</w:t>
                </w:r>
              </w:p>
            </w:tc>
            <w:tc>
              <w:tcPr>
                <w:tcW w:w="1504" w:type="pct"/>
              </w:tcPr>
              <w:p w14:paraId="06C84D5E">
                <w:pPr>
                  <w:spacing w:line="240" w:lineRule="atLeast"/>
                  <w:jc w:val="right"/>
                  <w:rPr>
                    <w:color w:val="000000" w:themeColor="text1"/>
                    <w14:textFill>
                      <w14:solidFill>
                        <w14:schemeClr w14:val="tx1"/>
                      </w14:solidFill>
                    </w14:textFill>
                  </w:rPr>
                </w:pPr>
              </w:p>
            </w:tc>
            <w:tc>
              <w:tcPr>
                <w:tcW w:w="1618" w:type="pct"/>
              </w:tcPr>
              <w:p w14:paraId="131B1A5C">
                <w:pPr>
                  <w:spacing w:line="240" w:lineRule="atLeast"/>
                  <w:jc w:val="right"/>
                  <w:rPr>
                    <w:color w:val="000000" w:themeColor="text1"/>
                    <w14:textFill>
                      <w14:solidFill>
                        <w14:schemeClr w14:val="tx1"/>
                      </w14:solidFill>
                    </w14:textFill>
                  </w:rPr>
                </w:pPr>
              </w:p>
            </w:tc>
          </w:tr>
          <w:tr w14:paraId="4840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35078DC8">
                <w:pPr>
                  <w:spacing w:line="240" w:lineRule="atLeas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期末余额</w:t>
                </w:r>
              </w:p>
            </w:tc>
            <w:tc>
              <w:tcPr>
                <w:tcW w:w="1504" w:type="pct"/>
              </w:tcPr>
              <w:p w14:paraId="1BED0559">
                <w:pPr>
                  <w:spacing w:line="240" w:lineRule="atLeast"/>
                  <w:jc w:val="right"/>
                  <w:rPr>
                    <w:color w:val="000000" w:themeColor="text1"/>
                    <w14:textFill>
                      <w14:solidFill>
                        <w14:schemeClr w14:val="tx1"/>
                      </w14:solidFill>
                    </w14:textFill>
                  </w:rPr>
                </w:pPr>
                <w:r>
                  <w:rPr>
                    <w:color w:val="000000" w:themeColor="text1"/>
                    <w14:textFill>
                      <w14:solidFill>
                        <w14:schemeClr w14:val="tx1"/>
                      </w14:solidFill>
                    </w14:textFill>
                  </w:rPr>
                  <w:t>4,901,301.15</w:t>
                </w:r>
              </w:p>
            </w:tc>
            <w:tc>
              <w:tcPr>
                <w:tcW w:w="1618" w:type="pct"/>
              </w:tcPr>
              <w:p w14:paraId="120F3757">
                <w:pPr>
                  <w:spacing w:line="240" w:lineRule="atLeast"/>
                  <w:jc w:val="right"/>
                  <w:rPr>
                    <w:color w:val="000000" w:themeColor="text1"/>
                    <w14:textFill>
                      <w14:solidFill>
                        <w14:schemeClr w14:val="tx1"/>
                      </w14:solidFill>
                    </w14:textFill>
                  </w:rPr>
                </w:pPr>
                <w:r>
                  <w:rPr>
                    <w:color w:val="000000" w:themeColor="text1"/>
                    <w14:textFill>
                      <w14:solidFill>
                        <w14:schemeClr w14:val="tx1"/>
                      </w14:solidFill>
                    </w14:textFill>
                  </w:rPr>
                  <w:t>4,901,301.15</w:t>
                </w:r>
              </w:p>
            </w:tc>
          </w:tr>
          <w:tr w14:paraId="575D98D8">
            <w:tblPrEx>
              <w:tblCellMar>
                <w:top w:w="0" w:type="dxa"/>
                <w:left w:w="108" w:type="dxa"/>
                <w:bottom w:w="0" w:type="dxa"/>
                <w:right w:w="108" w:type="dxa"/>
              </w:tblCellMar>
            </w:tblPrEx>
            <w:trPr>
              <w:trHeight w:val="284" w:hRule="atLeast"/>
            </w:trPr>
            <w:sdt>
              <w:sdtPr>
                <w:tag w:val="_PLD_977579b288954e92aacbdc72b4e58579"/>
                <w:id w:val="452070330"/>
              </w:sdtPr>
              <w:sdtContent>
                <w:tc>
                  <w:tcPr>
                    <w:tcW w:w="5000" w:type="pct"/>
                    <w:gridSpan w:val="3"/>
                    <w:vAlign w:val="center"/>
                  </w:tcPr>
                  <w:p w14:paraId="3CE716FC">
                    <w:pPr>
                      <w:spacing w:line="240" w:lineRule="atLeast"/>
                      <w:rPr>
                        <w:color w:val="000000" w:themeColor="text1"/>
                        <w14:textFill>
                          <w14:solidFill>
                            <w14:schemeClr w14:val="tx1"/>
                          </w14:solidFill>
                        </w14:textFill>
                      </w:rPr>
                    </w:pPr>
                    <w:r>
                      <w:rPr>
                        <w:color w:val="000000" w:themeColor="text1"/>
                        <w14:textFill>
                          <w14:solidFill>
                            <w14:schemeClr w14:val="tx1"/>
                          </w14:solidFill>
                        </w14:textFill>
                      </w:rPr>
                      <w:t>三、减值准备</w:t>
                    </w:r>
                  </w:p>
                </w:tc>
              </w:sdtContent>
            </w:sdt>
          </w:tr>
          <w:tr w14:paraId="2B13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79309F05">
                <w:pPr>
                  <w:spacing w:line="240" w:lineRule="atLeas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1.期</w:t>
                </w:r>
                <w:r>
                  <w:rPr>
                    <w:color w:val="000000" w:themeColor="text1"/>
                    <w14:textFill>
                      <w14:solidFill>
                        <w14:schemeClr w14:val="tx1"/>
                      </w14:solidFill>
                    </w14:textFill>
                  </w:rPr>
                  <w:t>初余额</w:t>
                </w:r>
              </w:p>
            </w:tc>
            <w:tc>
              <w:tcPr>
                <w:tcW w:w="1504" w:type="pct"/>
              </w:tcPr>
              <w:p w14:paraId="56C4AFC3">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18" w:type="pct"/>
              </w:tcPr>
              <w:p w14:paraId="3888FF55">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4B54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4F82546F">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2.本期增加</w:t>
                </w:r>
                <w:r>
                  <w:rPr>
                    <w:rFonts w:hint="eastAsia"/>
                    <w:color w:val="000000" w:themeColor="text1"/>
                    <w14:textFill>
                      <w14:solidFill>
                        <w14:schemeClr w14:val="tx1"/>
                      </w14:solidFill>
                    </w14:textFill>
                  </w:rPr>
                  <w:t>金额</w:t>
                </w:r>
              </w:p>
            </w:tc>
            <w:tc>
              <w:tcPr>
                <w:tcW w:w="1504" w:type="pct"/>
              </w:tcPr>
              <w:p w14:paraId="03C476EE">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18" w:type="pct"/>
              </w:tcPr>
              <w:p w14:paraId="675138FA">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BC0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3FFF971B">
                <w:pPr>
                  <w:spacing w:line="240" w:lineRule="atLeast"/>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(1)计提</w:t>
                </w:r>
              </w:p>
            </w:tc>
            <w:tc>
              <w:tcPr>
                <w:tcW w:w="1504" w:type="pct"/>
              </w:tcPr>
              <w:p w14:paraId="7FA0BDCB">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18" w:type="pct"/>
              </w:tcPr>
              <w:p w14:paraId="5313DA15">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6BBB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02B27869">
                <w:pPr>
                  <w:spacing w:line="240" w:lineRule="atLeas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本期减少</w:t>
                </w:r>
                <w:r>
                  <w:rPr>
                    <w:rFonts w:hint="eastAsia"/>
                    <w:color w:val="000000" w:themeColor="text1"/>
                    <w14:textFill>
                      <w14:solidFill>
                        <w14:schemeClr w14:val="tx1"/>
                      </w14:solidFill>
                    </w14:textFill>
                  </w:rPr>
                  <w:t>金额</w:t>
                </w:r>
              </w:p>
            </w:tc>
            <w:tc>
              <w:tcPr>
                <w:tcW w:w="1504" w:type="pct"/>
              </w:tcPr>
              <w:p w14:paraId="5A326B19">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18" w:type="pct"/>
              </w:tcPr>
              <w:p w14:paraId="35E87BEB">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ED7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23785AD3">
                <w:pPr>
                  <w:spacing w:line="240" w:lineRule="atLeast"/>
                  <w:ind w:firstLine="630" w:firstLineChars="3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处置</w:t>
                </w:r>
              </w:p>
            </w:tc>
            <w:tc>
              <w:tcPr>
                <w:tcW w:w="1504" w:type="pct"/>
              </w:tcPr>
              <w:p w14:paraId="53497A39">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18" w:type="pct"/>
              </w:tcPr>
              <w:p w14:paraId="25559122">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4C0C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377F8500">
                <w:pPr>
                  <w:spacing w:line="240" w:lineRule="atLeas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期末余额</w:t>
                </w:r>
              </w:p>
            </w:tc>
            <w:tc>
              <w:tcPr>
                <w:tcW w:w="1504" w:type="pct"/>
              </w:tcPr>
              <w:p w14:paraId="231BF342">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18" w:type="pct"/>
              </w:tcPr>
              <w:p w14:paraId="18FE7F9D">
                <w:pPr>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5D97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a609076f16da4fedb37d9fc1d72dfd8f"/>
                <w:id w:val="763876062"/>
              </w:sdtPr>
              <w:sdtContent>
                <w:tc>
                  <w:tcPr>
                    <w:tcW w:w="5000" w:type="pct"/>
                    <w:gridSpan w:val="3"/>
                    <w:vAlign w:val="center"/>
                  </w:tcPr>
                  <w:p w14:paraId="548C2B74">
                    <w:pPr>
                      <w:spacing w:line="240" w:lineRule="atLeast"/>
                      <w:rPr>
                        <w:color w:val="000000" w:themeColor="text1"/>
                        <w14:textFill>
                          <w14:solidFill>
                            <w14:schemeClr w14:val="tx1"/>
                          </w14:solidFill>
                        </w14:textFill>
                      </w:rPr>
                    </w:pPr>
                    <w:r>
                      <w:rPr>
                        <w:color w:val="000000" w:themeColor="text1"/>
                        <w14:textFill>
                          <w14:solidFill>
                            <w14:schemeClr w14:val="tx1"/>
                          </w14:solidFill>
                        </w14:textFill>
                      </w:rPr>
                      <w:t>四、账面价值</w:t>
                    </w:r>
                  </w:p>
                </w:tc>
              </w:sdtContent>
            </w:sdt>
          </w:tr>
          <w:tr w14:paraId="741B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5A087B25">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1.期末账面价值</w:t>
                </w:r>
              </w:p>
            </w:tc>
            <w:tc>
              <w:tcPr>
                <w:tcW w:w="1504" w:type="pct"/>
                <w:vAlign w:val="center"/>
              </w:tcPr>
              <w:p w14:paraId="4B991EC3">
                <w:pPr>
                  <w:jc w:val="right"/>
                </w:pPr>
                <w:r>
                  <w:t>369,620.39</w:t>
                </w:r>
              </w:p>
            </w:tc>
            <w:tc>
              <w:tcPr>
                <w:tcW w:w="1618" w:type="pct"/>
                <w:vAlign w:val="center"/>
              </w:tcPr>
              <w:p w14:paraId="53037020">
                <w:pPr>
                  <w:jc w:val="right"/>
                </w:pPr>
                <w:r>
                  <w:t>369,620.39</w:t>
                </w:r>
              </w:p>
            </w:tc>
          </w:tr>
          <w:tr w14:paraId="78636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78" w:type="pct"/>
                <w:vAlign w:val="center"/>
              </w:tcPr>
              <w:p w14:paraId="32A5D2A3">
                <w:pPr>
                  <w:spacing w:line="240" w:lineRule="atLeas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2.期初账面价值</w:t>
                </w:r>
              </w:p>
            </w:tc>
            <w:tc>
              <w:tcPr>
                <w:tcW w:w="1504" w:type="pct"/>
                <w:vAlign w:val="center"/>
              </w:tcPr>
              <w:p w14:paraId="47952968">
                <w:pPr>
                  <w:jc w:val="right"/>
                </w:pPr>
                <w:r>
                  <w:t>943,341.64</w:t>
                </w:r>
              </w:p>
            </w:tc>
            <w:tc>
              <w:tcPr>
                <w:tcW w:w="1618" w:type="pct"/>
                <w:vAlign w:val="center"/>
              </w:tcPr>
              <w:p w14:paraId="0B3F50A8">
                <w:pPr>
                  <w:jc w:val="right"/>
                </w:pPr>
                <w:r>
                  <w:t>943,341.64</w:t>
                </w:r>
              </w:p>
            </w:tc>
          </w:tr>
        </w:tbl>
        <w:p w14:paraId="55A5A5A9">
          <w:pPr>
            <w:autoSpaceDE w:val="0"/>
            <w:autoSpaceDN w:val="0"/>
            <w:adjustRightInd w:val="0"/>
            <w:rPr>
              <w:color w:val="000000" w:themeColor="text1"/>
              <w14:textFill>
                <w14:solidFill>
                  <w14:schemeClr w14:val="tx1"/>
                </w14:solidFill>
              </w14:textFill>
            </w:rPr>
          </w:pPr>
        </w:p>
      </w:sdtContent>
    </w:sdt>
    <w:bookmarkEnd w:id="284"/>
    <w:p w14:paraId="539909C3">
      <w:pPr>
        <w:pStyle w:val="5"/>
        <w:numPr>
          <w:ilvl w:val="0"/>
          <w:numId w:val="62"/>
        </w:numPr>
        <w:rPr>
          <w:color w:val="000000" w:themeColor="text1"/>
          <w14:textFill>
            <w14:solidFill>
              <w14:schemeClr w14:val="tx1"/>
            </w14:solidFill>
          </w14:textFill>
        </w:rPr>
      </w:pPr>
      <w:bookmarkStart w:id="285" w:name="_Hlk167959535"/>
      <w:bookmarkStart w:id="286" w:name="_Hlk153461708"/>
      <w:r>
        <w:rPr>
          <w:rFonts w:hint="eastAsia"/>
          <w:color w:val="000000" w:themeColor="text1"/>
          <w14:textFill>
            <w14:solidFill>
              <w14:schemeClr w14:val="tx1"/>
            </w14:solidFill>
          </w14:textFill>
        </w:rPr>
        <w:t>使用权资产的减值测试情况</w:t>
      </w:r>
    </w:p>
    <w:sdt>
      <w:sdtPr>
        <w:rPr>
          <w:color w:val="000000" w:themeColor="text1"/>
          <w14:textFill>
            <w14:solidFill>
              <w14:schemeClr w14:val="tx1"/>
            </w14:solidFill>
          </w14:textFill>
        </w:rPr>
        <w:alias w:val="是否适用：减值测试情况[双击切换]"/>
        <w:tag w:val="_GBC_d79f93753a2c43fc80991be4c588d144"/>
        <w:id w:val="1589268089"/>
        <w:placeholder>
          <w:docPart w:val="GBC22222222222222222222222222222"/>
        </w:placeholder>
      </w:sdtPr>
      <w:sdtEndPr>
        <w:rPr>
          <w:color w:val="000000" w:themeColor="text1"/>
          <w14:textFill>
            <w14:solidFill>
              <w14:schemeClr w14:val="tx1"/>
            </w14:solidFill>
          </w14:textFill>
        </w:rPr>
      </w:sdtEndPr>
      <w:sdtContent>
        <w:p w14:paraId="0F1506F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85"/>
    <w:bookmarkEnd w:id="286"/>
    <w:p w14:paraId="187F4065">
      <w:pPr>
        <w:autoSpaceDE w:val="0"/>
        <w:autoSpaceDN w:val="0"/>
        <w:adjustRightInd w:val="0"/>
        <w:rPr>
          <w:color w:val="000000" w:themeColor="text1"/>
          <w14:textFill>
            <w14:solidFill>
              <w14:schemeClr w14:val="tx1"/>
            </w14:solidFill>
          </w14:textFill>
        </w:rPr>
      </w:pPr>
      <w:bookmarkStart w:id="287" w:name="_Hlk167959640"/>
      <w:r>
        <w:rPr>
          <w:rFonts w:hint="eastAsia"/>
          <w:color w:val="000000" w:themeColor="text1"/>
          <w14:textFill>
            <w14:solidFill>
              <w14:schemeClr w14:val="tx1"/>
            </w14:solidFill>
          </w14:textFill>
        </w:rPr>
        <w:t>其他说明：</w:t>
      </w:r>
    </w:p>
    <w:p w14:paraId="4952C94B">
      <w:pPr>
        <w:rPr>
          <w:color w:val="000000" w:themeColor="text1"/>
          <w14:textFill>
            <w14:solidFill>
              <w14:schemeClr w14:val="tx1"/>
            </w14:solidFill>
          </w14:textFill>
        </w:rPr>
      </w:pPr>
      <w:sdt>
        <w:sdtPr>
          <w:rPr>
            <w:color w:val="000000" w:themeColor="text1"/>
            <w14:textFill>
              <w14:solidFill>
                <w14:schemeClr w14:val="tx1"/>
              </w14:solidFill>
            </w14:textFill>
          </w:rPr>
          <w:alias w:val="使用权资产其他说明"/>
          <w:tag w:val="_GBC_30439a7674b44ef39168f8672c6df2c9"/>
          <w:id w:val="-812328429"/>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1C0D7547">
      <w:pPr>
        <w:rPr>
          <w:color w:val="000000" w:themeColor="text1"/>
          <w14:textFill>
            <w14:solidFill>
              <w14:schemeClr w14:val="tx1"/>
            </w14:solidFill>
          </w14:textFill>
        </w:rPr>
      </w:pPr>
    </w:p>
    <w:bookmarkEnd w:id="287"/>
    <w:p w14:paraId="12F2852C">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无形资产</w:t>
      </w:r>
    </w:p>
    <w:p w14:paraId="405A791A">
      <w:pPr>
        <w:pStyle w:val="5"/>
        <w:numPr>
          <w:ilvl w:val="0"/>
          <w:numId w:val="63"/>
        </w:numPr>
        <w:tabs>
          <w:tab w:val="left" w:pos="602"/>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无形资产情况</w:t>
      </w:r>
    </w:p>
    <w:p w14:paraId="01F6AF3E">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无形资产情况[双击切换]"/>
          <w:tag w:val="_GBC_0882d05501f84259b91efc5f2eae98cf"/>
          <w:id w:val="1693102728"/>
          <w:lock w:val="contentLocked"/>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4624A31E">
      <w:pPr>
        <w:snapToGrid w:val="0"/>
        <w:spacing w:line="240" w:lineRule="atLeast"/>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无形资产情况"/>
          <w:tag w:val="_GBC_e04514c8858e489490302ba7c2e1448a"/>
          <w:id w:val="18053529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无形资产情况"/>
          <w:tag w:val="_GBC_5ac7324577934f838e3655199c980c1c"/>
          <w:id w:val="17263289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1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229"/>
        <w:gridCol w:w="1070"/>
        <w:gridCol w:w="1229"/>
        <w:gridCol w:w="1149"/>
        <w:gridCol w:w="1911"/>
        <w:gridCol w:w="1353"/>
        <w:gridCol w:w="7"/>
      </w:tblGrid>
      <w:tr w14:paraId="0FFC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sdt>
          <w:sdtPr>
            <w:rPr>
              <w:sz w:val="15"/>
              <w:szCs w:val="15"/>
            </w:rPr>
            <w:tag w:val="_PLD_16e062da10ef4301a1526b8633f88a31"/>
            <w:id w:val="-643504988"/>
          </w:sdtPr>
          <w:sdtEndPr>
            <w:rPr>
              <w:sz w:val="15"/>
              <w:szCs w:val="15"/>
            </w:rPr>
          </w:sdtEndPr>
          <w:sdtContent>
            <w:tc>
              <w:tcPr>
                <w:tcW w:w="705" w:type="pct"/>
                <w:vAlign w:val="center"/>
              </w:tcPr>
              <w:p w14:paraId="04783B48">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项目</w:t>
                </w:r>
              </w:p>
            </w:tc>
          </w:sdtContent>
        </w:sdt>
        <w:sdt>
          <w:sdtPr>
            <w:rPr>
              <w:sz w:val="15"/>
              <w:szCs w:val="15"/>
            </w:rPr>
            <w:tag w:val="_PLD_8b465b50cb10415c8931fdb66ee29ca3"/>
            <w:id w:val="-998342214"/>
          </w:sdtPr>
          <w:sdtEndPr>
            <w:rPr>
              <w:sz w:val="15"/>
              <w:szCs w:val="15"/>
            </w:rPr>
          </w:sdtEndPr>
          <w:sdtContent>
            <w:tc>
              <w:tcPr>
                <w:tcW w:w="664" w:type="pct"/>
                <w:vAlign w:val="center"/>
              </w:tcPr>
              <w:p w14:paraId="69B74D0E">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土地使用权</w:t>
                </w:r>
              </w:p>
            </w:tc>
          </w:sdtContent>
        </w:sdt>
        <w:tc>
          <w:tcPr>
            <w:tcW w:w="578" w:type="pct"/>
            <w:vAlign w:val="center"/>
          </w:tcPr>
          <w:p w14:paraId="2FBF5D6C">
            <w:pPr>
              <w:jc w:val="center"/>
              <w:rPr>
                <w:sz w:val="15"/>
                <w:szCs w:val="15"/>
              </w:rPr>
            </w:pPr>
            <w:r>
              <w:rPr>
                <w:rFonts w:hint="eastAsia"/>
                <w:sz w:val="15"/>
                <w:szCs w:val="15"/>
              </w:rPr>
              <w:t>商标权</w:t>
            </w:r>
          </w:p>
        </w:tc>
        <w:sdt>
          <w:sdtPr>
            <w:rPr>
              <w:sz w:val="15"/>
              <w:szCs w:val="15"/>
            </w:rPr>
            <w:tag w:val="_PLD_55a0c34977f7438f8a4e60b2ec43e654"/>
            <w:id w:val="300273930"/>
          </w:sdtPr>
          <w:sdtEndPr>
            <w:rPr>
              <w:sz w:val="15"/>
              <w:szCs w:val="15"/>
            </w:rPr>
          </w:sdtEndPr>
          <w:sdtContent>
            <w:tc>
              <w:tcPr>
                <w:tcW w:w="664" w:type="pct"/>
                <w:vAlign w:val="center"/>
              </w:tcPr>
              <w:p w14:paraId="0357B4D0">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专利权</w:t>
                </w:r>
              </w:p>
            </w:tc>
          </w:sdtContent>
        </w:sdt>
        <w:tc>
          <w:tcPr>
            <w:tcW w:w="621" w:type="pct"/>
            <w:vAlign w:val="center"/>
          </w:tcPr>
          <w:p w14:paraId="3AA0DA09">
            <w:pPr>
              <w:ind w:firstLine="150" w:firstLineChars="100"/>
              <w:rPr>
                <w:sz w:val="15"/>
                <w:szCs w:val="15"/>
              </w:rPr>
            </w:pPr>
            <w:r>
              <w:rPr>
                <w:rFonts w:hint="eastAsia"/>
                <w:sz w:val="15"/>
                <w:szCs w:val="15"/>
              </w:rPr>
              <w:t>软件</w:t>
            </w:r>
          </w:p>
        </w:tc>
        <w:sdt>
          <w:sdtPr>
            <w:rPr>
              <w:color w:val="000000" w:themeColor="text1"/>
              <w:sz w:val="15"/>
              <w:szCs w:val="15"/>
              <w14:textFill>
                <w14:solidFill>
                  <w14:schemeClr w14:val="tx1"/>
                </w14:solidFill>
              </w14:textFill>
            </w:rPr>
            <w:alias w:val="无形资产明细－项目"/>
            <w:tag w:val="_GBC_ee2531f58c0a420e83919cd1efe46139"/>
            <w:id w:val="-405227072"/>
          </w:sdtPr>
          <w:sdtEndPr>
            <w:rPr>
              <w:rFonts w:hint="eastAsia"/>
              <w:color w:val="000000" w:themeColor="text1"/>
              <w:sz w:val="15"/>
              <w:szCs w:val="15"/>
              <w14:textFill>
                <w14:solidFill>
                  <w14:schemeClr w14:val="tx1"/>
                </w14:solidFill>
              </w14:textFill>
            </w:rPr>
          </w:sdtEndPr>
          <w:sdtContent>
            <w:tc>
              <w:tcPr>
                <w:tcW w:w="1033" w:type="pct"/>
                <w:vAlign w:val="center"/>
              </w:tcPr>
              <w:p w14:paraId="1E8CE8D8">
                <w:pPr>
                  <w:jc w:val="cente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整车设计开发费及其他</w:t>
                </w:r>
              </w:p>
            </w:tc>
          </w:sdtContent>
        </w:sdt>
        <w:sdt>
          <w:sdtPr>
            <w:rPr>
              <w:sz w:val="15"/>
              <w:szCs w:val="15"/>
            </w:rPr>
            <w:tag w:val="_PLD_57620ddc57e34012a99d49f2280a99e2"/>
            <w:id w:val="1816448048"/>
          </w:sdtPr>
          <w:sdtEndPr>
            <w:rPr>
              <w:sz w:val="15"/>
              <w:szCs w:val="15"/>
            </w:rPr>
          </w:sdtEndPr>
          <w:sdtContent>
            <w:tc>
              <w:tcPr>
                <w:tcW w:w="731" w:type="pct"/>
                <w:vAlign w:val="center"/>
              </w:tcPr>
              <w:p w14:paraId="6D9925DB">
                <w:pPr>
                  <w:jc w:val="cente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合计</w:t>
                </w:r>
              </w:p>
            </w:tc>
          </w:sdtContent>
        </w:sdt>
      </w:tr>
      <w:tr w14:paraId="4285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sz w:val="15"/>
              <w:szCs w:val="15"/>
            </w:rPr>
            <w:tag w:val="_PLD_97ce5956782c457c89e9607c943b01d4"/>
            <w:id w:val="-1138872217"/>
          </w:sdtPr>
          <w:sdtEndPr>
            <w:rPr>
              <w:sz w:val="15"/>
              <w:szCs w:val="15"/>
            </w:rPr>
          </w:sdtEndPr>
          <w:sdtContent>
            <w:tc>
              <w:tcPr>
                <w:tcW w:w="5000" w:type="pct"/>
                <w:gridSpan w:val="8"/>
                <w:vAlign w:val="center"/>
              </w:tcPr>
              <w:p w14:paraId="374E5659">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一、</w:t>
                </w:r>
                <w:r>
                  <w:rPr>
                    <w:rFonts w:hint="eastAsia"/>
                    <w:color w:val="000000" w:themeColor="text1"/>
                    <w:sz w:val="15"/>
                    <w:szCs w:val="15"/>
                    <w14:textFill>
                      <w14:solidFill>
                        <w14:schemeClr w14:val="tx1"/>
                      </w14:solidFill>
                    </w14:textFill>
                  </w:rPr>
                  <w:t>账面原值</w:t>
                </w:r>
              </w:p>
            </w:tc>
          </w:sdtContent>
        </w:sdt>
      </w:tr>
      <w:tr w14:paraId="0330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26CAF1C8">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w:t>
            </w:r>
            <w:r>
              <w:rPr>
                <w:rFonts w:hint="eastAsia"/>
                <w:color w:val="000000" w:themeColor="text1"/>
                <w:sz w:val="15"/>
                <w:szCs w:val="15"/>
                <w14:textFill>
                  <w14:solidFill>
                    <w14:schemeClr w14:val="tx1"/>
                  </w14:solidFill>
                </w14:textFill>
              </w:rPr>
              <w:t>期</w:t>
            </w:r>
            <w:r>
              <w:rPr>
                <w:color w:val="000000" w:themeColor="text1"/>
                <w:sz w:val="15"/>
                <w:szCs w:val="15"/>
                <w14:textFill>
                  <w14:solidFill>
                    <w14:schemeClr w14:val="tx1"/>
                  </w14:solidFill>
                </w14:textFill>
              </w:rPr>
              <w:t>初余额</w:t>
            </w:r>
          </w:p>
        </w:tc>
        <w:tc>
          <w:tcPr>
            <w:tcW w:w="664" w:type="pct"/>
            <w:vAlign w:val="center"/>
          </w:tcPr>
          <w:p w14:paraId="28D61B34">
            <w:pPr>
              <w:jc w:val="right"/>
              <w:rPr>
                <w:sz w:val="15"/>
                <w:szCs w:val="15"/>
              </w:rPr>
            </w:pPr>
            <w:r>
              <w:rPr>
                <w:rFonts w:eastAsia="等线" w:cs="Times New Roman"/>
                <w:color w:val="000000"/>
                <w:sz w:val="15"/>
                <w:szCs w:val="15"/>
              </w:rPr>
              <w:t>605,474,672.48</w:t>
            </w:r>
          </w:p>
        </w:tc>
        <w:tc>
          <w:tcPr>
            <w:tcW w:w="578" w:type="pct"/>
            <w:vAlign w:val="center"/>
          </w:tcPr>
          <w:p w14:paraId="799E334D">
            <w:pPr>
              <w:jc w:val="right"/>
              <w:rPr>
                <w:sz w:val="15"/>
                <w:szCs w:val="15"/>
              </w:rPr>
            </w:pPr>
            <w:r>
              <w:rPr>
                <w:rFonts w:eastAsia="等线" w:cs="Times New Roman"/>
                <w:color w:val="000000"/>
                <w:sz w:val="15"/>
                <w:szCs w:val="15"/>
              </w:rPr>
              <w:t>7,010,188.86</w:t>
            </w:r>
          </w:p>
        </w:tc>
        <w:tc>
          <w:tcPr>
            <w:tcW w:w="664" w:type="pct"/>
            <w:vAlign w:val="center"/>
          </w:tcPr>
          <w:p w14:paraId="4A4F45B3">
            <w:pPr>
              <w:jc w:val="right"/>
              <w:rPr>
                <w:sz w:val="15"/>
                <w:szCs w:val="15"/>
              </w:rPr>
            </w:pPr>
            <w:r>
              <w:rPr>
                <w:rFonts w:eastAsia="等线" w:cs="Times New Roman"/>
                <w:color w:val="000000"/>
                <w:sz w:val="15"/>
                <w:szCs w:val="15"/>
              </w:rPr>
              <w:t>130,327,597.59</w:t>
            </w:r>
          </w:p>
        </w:tc>
        <w:tc>
          <w:tcPr>
            <w:tcW w:w="621" w:type="pct"/>
            <w:vAlign w:val="center"/>
          </w:tcPr>
          <w:p w14:paraId="19EB06BD">
            <w:pPr>
              <w:jc w:val="right"/>
              <w:rPr>
                <w:sz w:val="15"/>
                <w:szCs w:val="15"/>
              </w:rPr>
            </w:pPr>
            <w:r>
              <w:rPr>
                <w:rFonts w:eastAsia="等线" w:cs="Times New Roman"/>
                <w:color w:val="000000"/>
                <w:sz w:val="15"/>
                <w:szCs w:val="15"/>
              </w:rPr>
              <w:t>72,551,542.82</w:t>
            </w:r>
          </w:p>
        </w:tc>
        <w:tc>
          <w:tcPr>
            <w:tcW w:w="1033" w:type="pct"/>
            <w:vAlign w:val="center"/>
          </w:tcPr>
          <w:p w14:paraId="03EFD94A">
            <w:pPr>
              <w:jc w:val="right"/>
              <w:rPr>
                <w:sz w:val="15"/>
                <w:szCs w:val="15"/>
              </w:rPr>
            </w:pPr>
            <w:r>
              <w:rPr>
                <w:rFonts w:eastAsia="等线" w:cs="Times New Roman"/>
                <w:color w:val="000000"/>
                <w:sz w:val="15"/>
                <w:szCs w:val="15"/>
              </w:rPr>
              <w:t>1,691,714,790.20</w:t>
            </w:r>
          </w:p>
        </w:tc>
        <w:tc>
          <w:tcPr>
            <w:tcW w:w="731" w:type="pct"/>
            <w:vAlign w:val="center"/>
          </w:tcPr>
          <w:p w14:paraId="6A83CEA5">
            <w:pPr>
              <w:jc w:val="right"/>
              <w:rPr>
                <w:sz w:val="15"/>
                <w:szCs w:val="15"/>
              </w:rPr>
            </w:pPr>
            <w:r>
              <w:rPr>
                <w:rFonts w:eastAsia="等线" w:cs="Times New Roman"/>
                <w:color w:val="000000"/>
                <w:sz w:val="15"/>
                <w:szCs w:val="15"/>
              </w:rPr>
              <w:t>2,507,078,791.95</w:t>
            </w:r>
          </w:p>
        </w:tc>
      </w:tr>
      <w:tr w14:paraId="5A36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6DF1046D">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2.本期增加</w:t>
            </w:r>
            <w:r>
              <w:rPr>
                <w:rFonts w:hint="eastAsia"/>
                <w:color w:val="000000" w:themeColor="text1"/>
                <w:sz w:val="15"/>
                <w:szCs w:val="15"/>
                <w14:textFill>
                  <w14:solidFill>
                    <w14:schemeClr w14:val="tx1"/>
                  </w14:solidFill>
                </w14:textFill>
              </w:rPr>
              <w:t>金额</w:t>
            </w:r>
          </w:p>
        </w:tc>
        <w:tc>
          <w:tcPr>
            <w:tcW w:w="664" w:type="pct"/>
            <w:vAlign w:val="center"/>
          </w:tcPr>
          <w:p w14:paraId="74D981E7">
            <w:pPr>
              <w:jc w:val="right"/>
              <w:rPr>
                <w:sz w:val="15"/>
                <w:szCs w:val="15"/>
              </w:rPr>
            </w:pPr>
            <w:r>
              <w:rPr>
                <w:rFonts w:eastAsia="等线" w:cs="Times New Roman"/>
                <w:color w:val="000000"/>
                <w:sz w:val="15"/>
                <w:szCs w:val="15"/>
              </w:rPr>
              <w:t>-7,226.28</w:t>
            </w:r>
          </w:p>
        </w:tc>
        <w:tc>
          <w:tcPr>
            <w:tcW w:w="578" w:type="pct"/>
            <w:vAlign w:val="center"/>
          </w:tcPr>
          <w:p w14:paraId="27660C8F">
            <w:pPr>
              <w:jc w:val="right"/>
              <w:rPr>
                <w:sz w:val="15"/>
                <w:szCs w:val="15"/>
              </w:rPr>
            </w:pPr>
            <w:r>
              <w:rPr>
                <w:rFonts w:eastAsia="等线" w:cs="Times New Roman"/>
                <w:color w:val="000000"/>
                <w:sz w:val="15"/>
                <w:szCs w:val="15"/>
              </w:rPr>
              <w:t>125,393.76</w:t>
            </w:r>
          </w:p>
        </w:tc>
        <w:tc>
          <w:tcPr>
            <w:tcW w:w="664" w:type="pct"/>
            <w:vAlign w:val="center"/>
          </w:tcPr>
          <w:p w14:paraId="2E8DC2BD">
            <w:pPr>
              <w:jc w:val="right"/>
              <w:rPr>
                <w:sz w:val="15"/>
                <w:szCs w:val="15"/>
              </w:rPr>
            </w:pPr>
            <w:r>
              <w:rPr>
                <w:rFonts w:eastAsia="等线" w:cs="Times New Roman"/>
                <w:color w:val="000000"/>
                <w:sz w:val="15"/>
                <w:szCs w:val="15"/>
              </w:rPr>
              <w:t>　</w:t>
            </w:r>
          </w:p>
        </w:tc>
        <w:tc>
          <w:tcPr>
            <w:tcW w:w="621" w:type="pct"/>
            <w:vAlign w:val="center"/>
          </w:tcPr>
          <w:p w14:paraId="0071CA3C">
            <w:pPr>
              <w:jc w:val="right"/>
              <w:rPr>
                <w:sz w:val="15"/>
                <w:szCs w:val="15"/>
              </w:rPr>
            </w:pPr>
            <w:r>
              <w:rPr>
                <w:rFonts w:eastAsia="等线" w:cs="Times New Roman"/>
                <w:color w:val="000000"/>
                <w:sz w:val="15"/>
                <w:szCs w:val="15"/>
              </w:rPr>
              <w:t>761,622.30</w:t>
            </w:r>
          </w:p>
        </w:tc>
        <w:tc>
          <w:tcPr>
            <w:tcW w:w="1033" w:type="pct"/>
            <w:vAlign w:val="center"/>
          </w:tcPr>
          <w:p w14:paraId="73526D75">
            <w:pPr>
              <w:jc w:val="right"/>
              <w:rPr>
                <w:sz w:val="15"/>
                <w:szCs w:val="15"/>
              </w:rPr>
            </w:pPr>
            <w:r>
              <w:rPr>
                <w:rFonts w:eastAsia="等线" w:cs="Times New Roman"/>
                <w:color w:val="000000"/>
                <w:sz w:val="15"/>
                <w:szCs w:val="15"/>
              </w:rPr>
              <w:t>48,183,221.24</w:t>
            </w:r>
          </w:p>
        </w:tc>
        <w:tc>
          <w:tcPr>
            <w:tcW w:w="731" w:type="pct"/>
            <w:vAlign w:val="center"/>
          </w:tcPr>
          <w:p w14:paraId="05F965AE">
            <w:pPr>
              <w:jc w:val="right"/>
              <w:rPr>
                <w:sz w:val="15"/>
                <w:szCs w:val="15"/>
              </w:rPr>
            </w:pPr>
            <w:r>
              <w:rPr>
                <w:rFonts w:eastAsia="等线" w:cs="Times New Roman"/>
                <w:color w:val="000000"/>
                <w:sz w:val="15"/>
                <w:szCs w:val="15"/>
              </w:rPr>
              <w:t>49,063,011.02</w:t>
            </w:r>
          </w:p>
        </w:tc>
      </w:tr>
      <w:tr w14:paraId="7646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6C49A978">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w:t>
            </w:r>
            <w:r>
              <w:rPr>
                <w:rFonts w:hint="eastAsia"/>
                <w:color w:val="000000" w:themeColor="text1"/>
                <w:sz w:val="15"/>
                <w:szCs w:val="15"/>
                <w14:textFill>
                  <w14:solidFill>
                    <w14:schemeClr w14:val="tx1"/>
                  </w14:solidFill>
                </w14:textFill>
              </w:rPr>
              <w:t>购置</w:t>
            </w:r>
          </w:p>
        </w:tc>
        <w:tc>
          <w:tcPr>
            <w:tcW w:w="664" w:type="pct"/>
            <w:vAlign w:val="center"/>
          </w:tcPr>
          <w:p w14:paraId="18CC73E7">
            <w:pPr>
              <w:jc w:val="right"/>
              <w:rPr>
                <w:sz w:val="15"/>
                <w:szCs w:val="15"/>
              </w:rPr>
            </w:pPr>
            <w:r>
              <w:rPr>
                <w:rFonts w:eastAsia="等线" w:cs="Times New Roman"/>
                <w:color w:val="000000"/>
                <w:sz w:val="15"/>
                <w:szCs w:val="15"/>
              </w:rPr>
              <w:t>　</w:t>
            </w:r>
          </w:p>
        </w:tc>
        <w:tc>
          <w:tcPr>
            <w:tcW w:w="578" w:type="pct"/>
            <w:vAlign w:val="center"/>
          </w:tcPr>
          <w:p w14:paraId="09D1CECF">
            <w:pPr>
              <w:jc w:val="right"/>
              <w:rPr>
                <w:sz w:val="15"/>
                <w:szCs w:val="15"/>
              </w:rPr>
            </w:pPr>
            <w:r>
              <w:rPr>
                <w:rFonts w:eastAsia="等线" w:cs="Times New Roman"/>
                <w:color w:val="000000"/>
                <w:sz w:val="15"/>
                <w:szCs w:val="15"/>
              </w:rPr>
              <w:t>120,208.53</w:t>
            </w:r>
          </w:p>
        </w:tc>
        <w:tc>
          <w:tcPr>
            <w:tcW w:w="664" w:type="pct"/>
            <w:vAlign w:val="center"/>
          </w:tcPr>
          <w:p w14:paraId="3E82D0F8">
            <w:pPr>
              <w:jc w:val="right"/>
              <w:rPr>
                <w:sz w:val="15"/>
                <w:szCs w:val="15"/>
              </w:rPr>
            </w:pPr>
            <w:r>
              <w:rPr>
                <w:rFonts w:eastAsia="等线" w:cs="Times New Roman"/>
                <w:color w:val="000000"/>
                <w:sz w:val="15"/>
                <w:szCs w:val="15"/>
              </w:rPr>
              <w:t>　</w:t>
            </w:r>
          </w:p>
        </w:tc>
        <w:tc>
          <w:tcPr>
            <w:tcW w:w="621" w:type="pct"/>
            <w:vAlign w:val="center"/>
          </w:tcPr>
          <w:p w14:paraId="529E4159">
            <w:pPr>
              <w:jc w:val="right"/>
              <w:rPr>
                <w:sz w:val="15"/>
                <w:szCs w:val="15"/>
              </w:rPr>
            </w:pPr>
            <w:r>
              <w:rPr>
                <w:rFonts w:eastAsia="等线" w:cs="Times New Roman"/>
                <w:color w:val="000000"/>
                <w:sz w:val="15"/>
                <w:szCs w:val="15"/>
              </w:rPr>
              <w:t>761,622.30</w:t>
            </w:r>
          </w:p>
        </w:tc>
        <w:tc>
          <w:tcPr>
            <w:tcW w:w="1033" w:type="pct"/>
            <w:vAlign w:val="center"/>
          </w:tcPr>
          <w:p w14:paraId="3DD66328">
            <w:pPr>
              <w:jc w:val="right"/>
              <w:rPr>
                <w:sz w:val="15"/>
                <w:szCs w:val="15"/>
              </w:rPr>
            </w:pPr>
          </w:p>
        </w:tc>
        <w:tc>
          <w:tcPr>
            <w:tcW w:w="731" w:type="pct"/>
            <w:vAlign w:val="center"/>
          </w:tcPr>
          <w:p w14:paraId="7DC29967">
            <w:pPr>
              <w:jc w:val="right"/>
              <w:rPr>
                <w:sz w:val="15"/>
                <w:szCs w:val="15"/>
              </w:rPr>
            </w:pPr>
            <w:r>
              <w:rPr>
                <w:rFonts w:eastAsia="等线" w:cs="Times New Roman"/>
                <w:color w:val="000000"/>
                <w:sz w:val="15"/>
                <w:szCs w:val="15"/>
              </w:rPr>
              <w:t>881,830.83</w:t>
            </w:r>
          </w:p>
        </w:tc>
      </w:tr>
      <w:tr w14:paraId="170D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2C395BA0">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w:t>
            </w:r>
            <w:r>
              <w:rPr>
                <w:color w:val="000000" w:themeColor="text1"/>
                <w:sz w:val="15"/>
                <w:szCs w:val="15"/>
                <w14:textFill>
                  <w14:solidFill>
                    <w14:schemeClr w14:val="tx1"/>
                  </w14:solidFill>
                </w14:textFill>
              </w:rPr>
              <w:t>2)</w:t>
            </w:r>
            <w:r>
              <w:rPr>
                <w:rFonts w:hint="eastAsia"/>
                <w:color w:val="000000" w:themeColor="text1"/>
                <w:sz w:val="15"/>
                <w:szCs w:val="15"/>
                <w14:textFill>
                  <w14:solidFill>
                    <w14:schemeClr w14:val="tx1"/>
                  </w14:solidFill>
                </w14:textFill>
              </w:rPr>
              <w:t>内部研发</w:t>
            </w:r>
          </w:p>
        </w:tc>
        <w:tc>
          <w:tcPr>
            <w:tcW w:w="664" w:type="pct"/>
            <w:vAlign w:val="center"/>
          </w:tcPr>
          <w:p w14:paraId="6366F176">
            <w:pPr>
              <w:jc w:val="right"/>
              <w:rPr>
                <w:sz w:val="15"/>
                <w:szCs w:val="15"/>
              </w:rPr>
            </w:pPr>
            <w:r>
              <w:rPr>
                <w:rFonts w:eastAsia="等线" w:cs="Times New Roman"/>
                <w:color w:val="000000"/>
                <w:sz w:val="15"/>
                <w:szCs w:val="15"/>
              </w:rPr>
              <w:t>　</w:t>
            </w:r>
          </w:p>
        </w:tc>
        <w:tc>
          <w:tcPr>
            <w:tcW w:w="578" w:type="pct"/>
            <w:vAlign w:val="center"/>
          </w:tcPr>
          <w:p w14:paraId="018E1EED">
            <w:pPr>
              <w:jc w:val="right"/>
              <w:rPr>
                <w:sz w:val="15"/>
                <w:szCs w:val="15"/>
              </w:rPr>
            </w:pPr>
            <w:r>
              <w:rPr>
                <w:rFonts w:eastAsia="等线" w:cs="Times New Roman"/>
                <w:color w:val="000000"/>
                <w:sz w:val="15"/>
                <w:szCs w:val="15"/>
              </w:rPr>
              <w:t>　</w:t>
            </w:r>
          </w:p>
        </w:tc>
        <w:tc>
          <w:tcPr>
            <w:tcW w:w="664" w:type="pct"/>
            <w:vAlign w:val="center"/>
          </w:tcPr>
          <w:p w14:paraId="63310ECA">
            <w:pPr>
              <w:jc w:val="right"/>
              <w:rPr>
                <w:sz w:val="15"/>
                <w:szCs w:val="15"/>
              </w:rPr>
            </w:pPr>
            <w:r>
              <w:rPr>
                <w:rFonts w:eastAsia="等线" w:cs="Times New Roman"/>
                <w:color w:val="000000"/>
                <w:sz w:val="15"/>
                <w:szCs w:val="15"/>
              </w:rPr>
              <w:t>　</w:t>
            </w:r>
          </w:p>
        </w:tc>
        <w:tc>
          <w:tcPr>
            <w:tcW w:w="621" w:type="pct"/>
            <w:vAlign w:val="center"/>
          </w:tcPr>
          <w:p w14:paraId="2F2264FB">
            <w:pPr>
              <w:jc w:val="right"/>
              <w:rPr>
                <w:sz w:val="15"/>
                <w:szCs w:val="15"/>
              </w:rPr>
            </w:pPr>
            <w:r>
              <w:rPr>
                <w:rFonts w:eastAsia="等线" w:cs="Times New Roman"/>
                <w:color w:val="000000"/>
                <w:sz w:val="15"/>
                <w:szCs w:val="15"/>
              </w:rPr>
              <w:t>　</w:t>
            </w:r>
          </w:p>
        </w:tc>
        <w:tc>
          <w:tcPr>
            <w:tcW w:w="1033" w:type="pct"/>
            <w:vAlign w:val="center"/>
          </w:tcPr>
          <w:p w14:paraId="334A5D6E">
            <w:pPr>
              <w:jc w:val="right"/>
              <w:rPr>
                <w:sz w:val="15"/>
                <w:szCs w:val="15"/>
              </w:rPr>
            </w:pPr>
            <w:r>
              <w:rPr>
                <w:rFonts w:eastAsia="等线" w:cs="Times New Roman"/>
                <w:color w:val="000000"/>
                <w:sz w:val="15"/>
                <w:szCs w:val="15"/>
              </w:rPr>
              <w:t>48,183,221.24</w:t>
            </w:r>
          </w:p>
        </w:tc>
        <w:tc>
          <w:tcPr>
            <w:tcW w:w="731" w:type="pct"/>
            <w:vAlign w:val="center"/>
          </w:tcPr>
          <w:p w14:paraId="651A5A65">
            <w:pPr>
              <w:jc w:val="right"/>
              <w:rPr>
                <w:sz w:val="15"/>
                <w:szCs w:val="15"/>
              </w:rPr>
            </w:pPr>
            <w:r>
              <w:rPr>
                <w:rFonts w:eastAsia="等线" w:cs="Times New Roman"/>
                <w:color w:val="000000"/>
                <w:sz w:val="15"/>
                <w:szCs w:val="15"/>
              </w:rPr>
              <w:t>48,183,221.24</w:t>
            </w:r>
          </w:p>
        </w:tc>
      </w:tr>
      <w:tr w14:paraId="6E64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tcPr>
          <w:p w14:paraId="2BFB239B">
            <w:pPr>
              <w:rPr>
                <w:sz w:val="15"/>
                <w:szCs w:val="15"/>
              </w:rPr>
            </w:pPr>
            <w:r>
              <w:rPr>
                <w:rFonts w:hint="eastAsia"/>
                <w:sz w:val="15"/>
                <w:szCs w:val="15"/>
              </w:rPr>
              <w:t>(3)外币折算差额</w:t>
            </w:r>
          </w:p>
        </w:tc>
        <w:tc>
          <w:tcPr>
            <w:tcW w:w="664" w:type="pct"/>
            <w:vAlign w:val="center"/>
          </w:tcPr>
          <w:p w14:paraId="6F2405F9">
            <w:pPr>
              <w:jc w:val="right"/>
              <w:rPr>
                <w:sz w:val="15"/>
                <w:szCs w:val="15"/>
              </w:rPr>
            </w:pPr>
            <w:r>
              <w:rPr>
                <w:rFonts w:eastAsia="等线" w:cs="Times New Roman"/>
                <w:color w:val="000000"/>
                <w:sz w:val="15"/>
                <w:szCs w:val="15"/>
              </w:rPr>
              <w:t>-7,226.28</w:t>
            </w:r>
          </w:p>
        </w:tc>
        <w:tc>
          <w:tcPr>
            <w:tcW w:w="578" w:type="pct"/>
            <w:vAlign w:val="center"/>
          </w:tcPr>
          <w:p w14:paraId="52B4F6A6">
            <w:pPr>
              <w:jc w:val="right"/>
              <w:rPr>
                <w:sz w:val="15"/>
                <w:szCs w:val="15"/>
              </w:rPr>
            </w:pPr>
            <w:r>
              <w:rPr>
                <w:rFonts w:eastAsia="等线" w:cs="Times New Roman"/>
                <w:color w:val="000000"/>
                <w:sz w:val="15"/>
                <w:szCs w:val="15"/>
              </w:rPr>
              <w:t>5,185.23</w:t>
            </w:r>
          </w:p>
        </w:tc>
        <w:tc>
          <w:tcPr>
            <w:tcW w:w="664" w:type="pct"/>
            <w:vAlign w:val="center"/>
          </w:tcPr>
          <w:p w14:paraId="59ED5CBE">
            <w:pPr>
              <w:jc w:val="right"/>
              <w:rPr>
                <w:sz w:val="15"/>
                <w:szCs w:val="15"/>
              </w:rPr>
            </w:pPr>
            <w:r>
              <w:rPr>
                <w:rFonts w:eastAsia="等线" w:cs="Times New Roman"/>
                <w:color w:val="000000"/>
                <w:sz w:val="15"/>
                <w:szCs w:val="15"/>
              </w:rPr>
              <w:t>　</w:t>
            </w:r>
          </w:p>
        </w:tc>
        <w:tc>
          <w:tcPr>
            <w:tcW w:w="621" w:type="pct"/>
            <w:vAlign w:val="center"/>
          </w:tcPr>
          <w:p w14:paraId="271A67C2">
            <w:pPr>
              <w:jc w:val="right"/>
              <w:rPr>
                <w:sz w:val="15"/>
                <w:szCs w:val="15"/>
              </w:rPr>
            </w:pPr>
            <w:r>
              <w:rPr>
                <w:rFonts w:eastAsia="等线" w:cs="Times New Roman"/>
                <w:color w:val="000000"/>
                <w:sz w:val="15"/>
                <w:szCs w:val="15"/>
              </w:rPr>
              <w:t>　</w:t>
            </w:r>
          </w:p>
        </w:tc>
        <w:tc>
          <w:tcPr>
            <w:tcW w:w="1033" w:type="pct"/>
            <w:vAlign w:val="center"/>
          </w:tcPr>
          <w:p w14:paraId="54DD45B0">
            <w:pPr>
              <w:jc w:val="right"/>
              <w:rPr>
                <w:sz w:val="15"/>
                <w:szCs w:val="15"/>
              </w:rPr>
            </w:pPr>
            <w:r>
              <w:rPr>
                <w:rFonts w:eastAsia="等线" w:cs="Times New Roman"/>
                <w:color w:val="000000"/>
                <w:sz w:val="15"/>
                <w:szCs w:val="15"/>
              </w:rPr>
              <w:t>　</w:t>
            </w:r>
          </w:p>
        </w:tc>
        <w:tc>
          <w:tcPr>
            <w:tcW w:w="731" w:type="pct"/>
            <w:vAlign w:val="center"/>
          </w:tcPr>
          <w:p w14:paraId="6FA8ED2B">
            <w:pPr>
              <w:jc w:val="right"/>
              <w:rPr>
                <w:sz w:val="15"/>
                <w:szCs w:val="15"/>
              </w:rPr>
            </w:pPr>
            <w:r>
              <w:rPr>
                <w:rFonts w:eastAsia="等线" w:cs="Times New Roman"/>
                <w:color w:val="000000"/>
                <w:sz w:val="15"/>
                <w:szCs w:val="15"/>
              </w:rPr>
              <w:t>-2,041.05</w:t>
            </w:r>
          </w:p>
        </w:tc>
      </w:tr>
      <w:tr w14:paraId="272E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6E85D625">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3.本期减少</w:t>
            </w:r>
            <w:r>
              <w:rPr>
                <w:rFonts w:hint="eastAsia"/>
                <w:color w:val="000000" w:themeColor="text1"/>
                <w:sz w:val="15"/>
                <w:szCs w:val="15"/>
                <w14:textFill>
                  <w14:solidFill>
                    <w14:schemeClr w14:val="tx1"/>
                  </w14:solidFill>
                </w14:textFill>
              </w:rPr>
              <w:t>金额</w:t>
            </w:r>
          </w:p>
        </w:tc>
        <w:tc>
          <w:tcPr>
            <w:tcW w:w="664" w:type="pct"/>
            <w:vAlign w:val="center"/>
          </w:tcPr>
          <w:p w14:paraId="4F8C9783">
            <w:pPr>
              <w:jc w:val="right"/>
              <w:rPr>
                <w:sz w:val="15"/>
                <w:szCs w:val="15"/>
              </w:rPr>
            </w:pPr>
            <w:r>
              <w:rPr>
                <w:rFonts w:eastAsia="等线" w:cs="Times New Roman"/>
                <w:color w:val="000000"/>
                <w:sz w:val="15"/>
                <w:szCs w:val="15"/>
              </w:rPr>
              <w:t>　</w:t>
            </w:r>
          </w:p>
        </w:tc>
        <w:tc>
          <w:tcPr>
            <w:tcW w:w="578" w:type="pct"/>
            <w:vAlign w:val="center"/>
          </w:tcPr>
          <w:p w14:paraId="59C3D23E">
            <w:pPr>
              <w:jc w:val="right"/>
              <w:rPr>
                <w:sz w:val="15"/>
                <w:szCs w:val="15"/>
              </w:rPr>
            </w:pPr>
            <w:r>
              <w:rPr>
                <w:rFonts w:eastAsia="等线" w:cs="Times New Roman"/>
                <w:color w:val="000000"/>
                <w:sz w:val="15"/>
                <w:szCs w:val="15"/>
              </w:rPr>
              <w:t>　</w:t>
            </w:r>
          </w:p>
        </w:tc>
        <w:tc>
          <w:tcPr>
            <w:tcW w:w="664" w:type="pct"/>
            <w:vAlign w:val="center"/>
          </w:tcPr>
          <w:p w14:paraId="23BC878D">
            <w:pPr>
              <w:jc w:val="right"/>
              <w:rPr>
                <w:sz w:val="15"/>
                <w:szCs w:val="15"/>
              </w:rPr>
            </w:pPr>
            <w:r>
              <w:rPr>
                <w:rFonts w:eastAsia="等线" w:cs="Times New Roman"/>
                <w:color w:val="000000"/>
                <w:sz w:val="15"/>
                <w:szCs w:val="15"/>
              </w:rPr>
              <w:t>41,061,844.54</w:t>
            </w:r>
          </w:p>
        </w:tc>
        <w:tc>
          <w:tcPr>
            <w:tcW w:w="621" w:type="pct"/>
            <w:vAlign w:val="center"/>
          </w:tcPr>
          <w:p w14:paraId="39C8A0D4">
            <w:pPr>
              <w:jc w:val="right"/>
              <w:rPr>
                <w:sz w:val="15"/>
                <w:szCs w:val="15"/>
              </w:rPr>
            </w:pPr>
            <w:r>
              <w:rPr>
                <w:rFonts w:eastAsia="等线" w:cs="Times New Roman"/>
                <w:color w:val="000000"/>
                <w:sz w:val="15"/>
                <w:szCs w:val="15"/>
              </w:rPr>
              <w:t>7,230,892.50</w:t>
            </w:r>
          </w:p>
        </w:tc>
        <w:tc>
          <w:tcPr>
            <w:tcW w:w="1033" w:type="pct"/>
            <w:vAlign w:val="center"/>
          </w:tcPr>
          <w:p w14:paraId="7EF40950">
            <w:pPr>
              <w:jc w:val="right"/>
              <w:rPr>
                <w:sz w:val="15"/>
                <w:szCs w:val="15"/>
              </w:rPr>
            </w:pPr>
            <w:r>
              <w:rPr>
                <w:rFonts w:eastAsia="等线" w:cs="Times New Roman"/>
                <w:color w:val="000000"/>
                <w:sz w:val="15"/>
                <w:szCs w:val="15"/>
              </w:rPr>
              <w:t>89,734,719.21</w:t>
            </w:r>
          </w:p>
        </w:tc>
        <w:tc>
          <w:tcPr>
            <w:tcW w:w="731" w:type="pct"/>
            <w:vAlign w:val="center"/>
          </w:tcPr>
          <w:p w14:paraId="2D8670CE">
            <w:pPr>
              <w:jc w:val="right"/>
              <w:rPr>
                <w:sz w:val="15"/>
                <w:szCs w:val="15"/>
              </w:rPr>
            </w:pPr>
            <w:r>
              <w:rPr>
                <w:rFonts w:eastAsia="等线" w:cs="Times New Roman"/>
                <w:color w:val="000000"/>
                <w:sz w:val="15"/>
                <w:szCs w:val="15"/>
              </w:rPr>
              <w:t>138,027,456.25</w:t>
            </w:r>
          </w:p>
        </w:tc>
      </w:tr>
      <w:tr w14:paraId="0191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05F533A7">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1</w:t>
            </w: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处置</w:t>
            </w:r>
          </w:p>
        </w:tc>
        <w:tc>
          <w:tcPr>
            <w:tcW w:w="664" w:type="pct"/>
            <w:vAlign w:val="center"/>
          </w:tcPr>
          <w:p w14:paraId="004F9FBE">
            <w:pPr>
              <w:jc w:val="right"/>
              <w:rPr>
                <w:sz w:val="15"/>
                <w:szCs w:val="15"/>
              </w:rPr>
            </w:pPr>
            <w:r>
              <w:rPr>
                <w:rFonts w:eastAsia="等线" w:cs="Times New Roman"/>
                <w:color w:val="000000"/>
                <w:sz w:val="15"/>
                <w:szCs w:val="15"/>
              </w:rPr>
              <w:t>　</w:t>
            </w:r>
          </w:p>
        </w:tc>
        <w:tc>
          <w:tcPr>
            <w:tcW w:w="578" w:type="pct"/>
            <w:vAlign w:val="center"/>
          </w:tcPr>
          <w:p w14:paraId="30122F90">
            <w:pPr>
              <w:jc w:val="right"/>
              <w:rPr>
                <w:sz w:val="15"/>
                <w:szCs w:val="15"/>
              </w:rPr>
            </w:pPr>
            <w:r>
              <w:rPr>
                <w:rFonts w:eastAsia="等线" w:cs="Times New Roman"/>
                <w:color w:val="000000"/>
                <w:sz w:val="15"/>
                <w:szCs w:val="15"/>
              </w:rPr>
              <w:t>　</w:t>
            </w:r>
          </w:p>
        </w:tc>
        <w:tc>
          <w:tcPr>
            <w:tcW w:w="664" w:type="pct"/>
            <w:vAlign w:val="center"/>
          </w:tcPr>
          <w:p w14:paraId="4EB10FEF">
            <w:pPr>
              <w:jc w:val="right"/>
              <w:rPr>
                <w:sz w:val="15"/>
                <w:szCs w:val="15"/>
              </w:rPr>
            </w:pPr>
            <w:r>
              <w:rPr>
                <w:rFonts w:eastAsia="等线" w:cs="Times New Roman"/>
                <w:color w:val="000000"/>
                <w:sz w:val="15"/>
                <w:szCs w:val="15"/>
              </w:rPr>
              <w:t>41,061,844.54</w:t>
            </w:r>
          </w:p>
        </w:tc>
        <w:tc>
          <w:tcPr>
            <w:tcW w:w="621" w:type="pct"/>
            <w:vAlign w:val="center"/>
          </w:tcPr>
          <w:p w14:paraId="402312A8">
            <w:pPr>
              <w:jc w:val="right"/>
              <w:rPr>
                <w:sz w:val="15"/>
                <w:szCs w:val="15"/>
              </w:rPr>
            </w:pPr>
            <w:r>
              <w:rPr>
                <w:rFonts w:eastAsia="等线" w:cs="Times New Roman"/>
                <w:color w:val="000000"/>
                <w:sz w:val="15"/>
                <w:szCs w:val="15"/>
              </w:rPr>
              <w:t>7,230,892.50</w:t>
            </w:r>
          </w:p>
        </w:tc>
        <w:tc>
          <w:tcPr>
            <w:tcW w:w="1033" w:type="pct"/>
            <w:vAlign w:val="center"/>
          </w:tcPr>
          <w:p w14:paraId="6498AE83">
            <w:pPr>
              <w:jc w:val="right"/>
              <w:rPr>
                <w:sz w:val="15"/>
                <w:szCs w:val="15"/>
              </w:rPr>
            </w:pPr>
            <w:r>
              <w:rPr>
                <w:rFonts w:eastAsia="等线" w:cs="Times New Roman"/>
                <w:color w:val="000000"/>
                <w:sz w:val="15"/>
                <w:szCs w:val="15"/>
              </w:rPr>
              <w:t>89,734,719.21</w:t>
            </w:r>
          </w:p>
        </w:tc>
        <w:tc>
          <w:tcPr>
            <w:tcW w:w="731" w:type="pct"/>
            <w:vAlign w:val="center"/>
          </w:tcPr>
          <w:p w14:paraId="420634B7">
            <w:pPr>
              <w:jc w:val="right"/>
              <w:rPr>
                <w:sz w:val="15"/>
                <w:szCs w:val="15"/>
              </w:rPr>
            </w:pPr>
            <w:r>
              <w:rPr>
                <w:rFonts w:eastAsia="等线" w:cs="Times New Roman"/>
                <w:color w:val="000000"/>
                <w:sz w:val="15"/>
                <w:szCs w:val="15"/>
              </w:rPr>
              <w:t>138,027,456.25</w:t>
            </w:r>
          </w:p>
        </w:tc>
      </w:tr>
      <w:tr w14:paraId="51F2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67125E31">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4.期末余额</w:t>
            </w:r>
          </w:p>
        </w:tc>
        <w:tc>
          <w:tcPr>
            <w:tcW w:w="664" w:type="pct"/>
            <w:vAlign w:val="center"/>
          </w:tcPr>
          <w:p w14:paraId="75BEEDB8">
            <w:pPr>
              <w:jc w:val="right"/>
              <w:rPr>
                <w:sz w:val="15"/>
                <w:szCs w:val="15"/>
              </w:rPr>
            </w:pPr>
            <w:r>
              <w:rPr>
                <w:rFonts w:eastAsia="等线" w:cs="Times New Roman"/>
                <w:color w:val="000000"/>
                <w:sz w:val="15"/>
                <w:szCs w:val="15"/>
              </w:rPr>
              <w:t>605,467,446.20</w:t>
            </w:r>
          </w:p>
        </w:tc>
        <w:tc>
          <w:tcPr>
            <w:tcW w:w="578" w:type="pct"/>
            <w:vAlign w:val="center"/>
          </w:tcPr>
          <w:p w14:paraId="76D8A313">
            <w:pPr>
              <w:jc w:val="right"/>
              <w:rPr>
                <w:sz w:val="15"/>
                <w:szCs w:val="15"/>
              </w:rPr>
            </w:pPr>
            <w:r>
              <w:rPr>
                <w:rFonts w:eastAsia="等线" w:cs="Times New Roman"/>
                <w:color w:val="000000"/>
                <w:sz w:val="15"/>
                <w:szCs w:val="15"/>
              </w:rPr>
              <w:t>7,135,582.62</w:t>
            </w:r>
          </w:p>
        </w:tc>
        <w:tc>
          <w:tcPr>
            <w:tcW w:w="664" w:type="pct"/>
            <w:vAlign w:val="center"/>
          </w:tcPr>
          <w:p w14:paraId="78E3E571">
            <w:pPr>
              <w:jc w:val="right"/>
              <w:rPr>
                <w:sz w:val="15"/>
                <w:szCs w:val="15"/>
              </w:rPr>
            </w:pPr>
            <w:r>
              <w:rPr>
                <w:rFonts w:eastAsia="等线" w:cs="Times New Roman"/>
                <w:color w:val="000000"/>
                <w:sz w:val="15"/>
                <w:szCs w:val="15"/>
              </w:rPr>
              <w:t>89,265,753.05</w:t>
            </w:r>
          </w:p>
        </w:tc>
        <w:tc>
          <w:tcPr>
            <w:tcW w:w="621" w:type="pct"/>
            <w:vAlign w:val="center"/>
          </w:tcPr>
          <w:p w14:paraId="2398CD39">
            <w:pPr>
              <w:jc w:val="right"/>
              <w:rPr>
                <w:sz w:val="15"/>
                <w:szCs w:val="15"/>
              </w:rPr>
            </w:pPr>
            <w:r>
              <w:rPr>
                <w:rFonts w:eastAsia="等线" w:cs="Times New Roman"/>
                <w:color w:val="000000"/>
                <w:sz w:val="15"/>
                <w:szCs w:val="15"/>
              </w:rPr>
              <w:t>66,082,272.62</w:t>
            </w:r>
          </w:p>
        </w:tc>
        <w:tc>
          <w:tcPr>
            <w:tcW w:w="1033" w:type="pct"/>
            <w:vAlign w:val="center"/>
          </w:tcPr>
          <w:p w14:paraId="0CB1CA39">
            <w:pPr>
              <w:jc w:val="right"/>
              <w:rPr>
                <w:sz w:val="15"/>
                <w:szCs w:val="15"/>
              </w:rPr>
            </w:pPr>
            <w:r>
              <w:rPr>
                <w:rFonts w:eastAsia="等线" w:cs="Times New Roman"/>
                <w:color w:val="000000"/>
                <w:sz w:val="15"/>
                <w:szCs w:val="15"/>
              </w:rPr>
              <w:t>1,650,163,292.23</w:t>
            </w:r>
          </w:p>
        </w:tc>
        <w:tc>
          <w:tcPr>
            <w:tcW w:w="731" w:type="pct"/>
            <w:vAlign w:val="center"/>
          </w:tcPr>
          <w:p w14:paraId="038D3EC1">
            <w:pPr>
              <w:jc w:val="right"/>
              <w:rPr>
                <w:sz w:val="15"/>
                <w:szCs w:val="15"/>
              </w:rPr>
            </w:pPr>
            <w:r>
              <w:rPr>
                <w:rFonts w:eastAsia="等线" w:cs="Times New Roman"/>
                <w:color w:val="000000"/>
                <w:sz w:val="15"/>
                <w:szCs w:val="15"/>
              </w:rPr>
              <w:t>2,418,114,346.72</w:t>
            </w:r>
          </w:p>
        </w:tc>
      </w:tr>
      <w:tr w14:paraId="23FE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sz w:val="15"/>
              <w:szCs w:val="15"/>
            </w:rPr>
            <w:tag w:val="_PLD_3d92ef615d3b41e5abb58e018e2db72b"/>
            <w:id w:val="860949981"/>
          </w:sdtPr>
          <w:sdtEndPr>
            <w:rPr>
              <w:sz w:val="15"/>
              <w:szCs w:val="15"/>
            </w:rPr>
          </w:sdtEndPr>
          <w:sdtContent>
            <w:tc>
              <w:tcPr>
                <w:tcW w:w="5000" w:type="pct"/>
                <w:gridSpan w:val="8"/>
                <w:vAlign w:val="center"/>
              </w:tcPr>
              <w:p w14:paraId="6500BFFE">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二、累计</w:t>
                </w:r>
                <w:r>
                  <w:rPr>
                    <w:rFonts w:hint="eastAsia"/>
                    <w:color w:val="000000" w:themeColor="text1"/>
                    <w:sz w:val="15"/>
                    <w:szCs w:val="15"/>
                    <w14:textFill>
                      <w14:solidFill>
                        <w14:schemeClr w14:val="tx1"/>
                      </w14:solidFill>
                    </w14:textFill>
                  </w:rPr>
                  <w:t>摊销</w:t>
                </w:r>
              </w:p>
            </w:tc>
          </w:sdtContent>
        </w:sdt>
      </w:tr>
      <w:tr w14:paraId="4E6D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52B9D384">
            <w:pPr>
              <w:ind w:firstLine="300" w:firstLineChars="200"/>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1.期</w:t>
            </w:r>
            <w:r>
              <w:rPr>
                <w:color w:val="000000" w:themeColor="text1"/>
                <w:sz w:val="15"/>
                <w:szCs w:val="15"/>
                <w14:textFill>
                  <w14:solidFill>
                    <w14:schemeClr w14:val="tx1"/>
                  </w14:solidFill>
                </w14:textFill>
              </w:rPr>
              <w:t>初余额</w:t>
            </w:r>
          </w:p>
        </w:tc>
        <w:tc>
          <w:tcPr>
            <w:tcW w:w="664" w:type="pct"/>
            <w:vAlign w:val="center"/>
          </w:tcPr>
          <w:p w14:paraId="7A19285D">
            <w:pPr>
              <w:jc w:val="right"/>
              <w:rPr>
                <w:sz w:val="15"/>
                <w:szCs w:val="15"/>
              </w:rPr>
            </w:pPr>
            <w:r>
              <w:rPr>
                <w:rFonts w:eastAsia="等线" w:cs="Times New Roman"/>
                <w:color w:val="000000"/>
                <w:sz w:val="15"/>
                <w:szCs w:val="15"/>
              </w:rPr>
              <w:t>155,185,556.95</w:t>
            </w:r>
          </w:p>
        </w:tc>
        <w:tc>
          <w:tcPr>
            <w:tcW w:w="578" w:type="pct"/>
            <w:vAlign w:val="center"/>
          </w:tcPr>
          <w:p w14:paraId="1750AD65">
            <w:pPr>
              <w:jc w:val="right"/>
              <w:rPr>
                <w:sz w:val="15"/>
                <w:szCs w:val="15"/>
              </w:rPr>
            </w:pPr>
            <w:r>
              <w:rPr>
                <w:rFonts w:eastAsia="等线" w:cs="Times New Roman"/>
                <w:color w:val="000000"/>
                <w:sz w:val="15"/>
                <w:szCs w:val="15"/>
              </w:rPr>
              <w:t>5,832,587.25</w:t>
            </w:r>
          </w:p>
        </w:tc>
        <w:tc>
          <w:tcPr>
            <w:tcW w:w="664" w:type="pct"/>
            <w:vAlign w:val="center"/>
          </w:tcPr>
          <w:p w14:paraId="6DD5F870">
            <w:pPr>
              <w:jc w:val="right"/>
              <w:rPr>
                <w:sz w:val="15"/>
                <w:szCs w:val="15"/>
              </w:rPr>
            </w:pPr>
            <w:r>
              <w:rPr>
                <w:rFonts w:eastAsia="等线" w:cs="Times New Roman"/>
                <w:color w:val="000000"/>
                <w:sz w:val="15"/>
                <w:szCs w:val="15"/>
              </w:rPr>
              <w:t>61,847,451.77</w:t>
            </w:r>
          </w:p>
        </w:tc>
        <w:tc>
          <w:tcPr>
            <w:tcW w:w="621" w:type="pct"/>
            <w:vAlign w:val="center"/>
          </w:tcPr>
          <w:p w14:paraId="6BC35F2D">
            <w:pPr>
              <w:jc w:val="right"/>
              <w:rPr>
                <w:sz w:val="15"/>
                <w:szCs w:val="15"/>
              </w:rPr>
            </w:pPr>
            <w:r>
              <w:rPr>
                <w:rFonts w:eastAsia="等线" w:cs="Times New Roman"/>
                <w:color w:val="000000"/>
                <w:sz w:val="15"/>
                <w:szCs w:val="15"/>
              </w:rPr>
              <w:t>39,278,979.99</w:t>
            </w:r>
          </w:p>
        </w:tc>
        <w:tc>
          <w:tcPr>
            <w:tcW w:w="1033" w:type="pct"/>
            <w:vAlign w:val="center"/>
          </w:tcPr>
          <w:p w14:paraId="0496F72F">
            <w:pPr>
              <w:jc w:val="right"/>
              <w:rPr>
                <w:sz w:val="15"/>
                <w:szCs w:val="15"/>
              </w:rPr>
            </w:pPr>
            <w:r>
              <w:rPr>
                <w:rFonts w:eastAsia="等线" w:cs="Times New Roman"/>
                <w:color w:val="000000"/>
                <w:sz w:val="15"/>
                <w:szCs w:val="15"/>
              </w:rPr>
              <w:t>470,343,801.35</w:t>
            </w:r>
          </w:p>
        </w:tc>
        <w:tc>
          <w:tcPr>
            <w:tcW w:w="731" w:type="pct"/>
            <w:vAlign w:val="center"/>
          </w:tcPr>
          <w:p w14:paraId="5BF0FD59">
            <w:pPr>
              <w:jc w:val="right"/>
              <w:rPr>
                <w:sz w:val="15"/>
                <w:szCs w:val="15"/>
              </w:rPr>
            </w:pPr>
            <w:r>
              <w:rPr>
                <w:rFonts w:eastAsia="等线" w:cs="Times New Roman"/>
                <w:color w:val="000000"/>
                <w:sz w:val="15"/>
                <w:szCs w:val="15"/>
              </w:rPr>
              <w:t>732,488,377.31</w:t>
            </w:r>
          </w:p>
        </w:tc>
      </w:tr>
      <w:tr w14:paraId="5BC1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22238D8C">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2.本期增加</w:t>
            </w:r>
            <w:r>
              <w:rPr>
                <w:rFonts w:hint="eastAsia"/>
                <w:color w:val="000000" w:themeColor="text1"/>
                <w:sz w:val="15"/>
                <w:szCs w:val="15"/>
                <w14:textFill>
                  <w14:solidFill>
                    <w14:schemeClr w14:val="tx1"/>
                  </w14:solidFill>
                </w14:textFill>
              </w:rPr>
              <w:t>金额</w:t>
            </w:r>
          </w:p>
        </w:tc>
        <w:tc>
          <w:tcPr>
            <w:tcW w:w="664" w:type="pct"/>
            <w:vAlign w:val="center"/>
          </w:tcPr>
          <w:p w14:paraId="20F5608E">
            <w:pPr>
              <w:jc w:val="right"/>
              <w:rPr>
                <w:sz w:val="15"/>
                <w:szCs w:val="15"/>
              </w:rPr>
            </w:pPr>
            <w:r>
              <w:rPr>
                <w:rFonts w:eastAsia="等线" w:cs="Times New Roman"/>
                <w:color w:val="000000"/>
                <w:sz w:val="15"/>
                <w:szCs w:val="15"/>
              </w:rPr>
              <w:t>6,082,386.97</w:t>
            </w:r>
          </w:p>
        </w:tc>
        <w:tc>
          <w:tcPr>
            <w:tcW w:w="578" w:type="pct"/>
            <w:vAlign w:val="center"/>
          </w:tcPr>
          <w:p w14:paraId="168FC485">
            <w:pPr>
              <w:jc w:val="right"/>
              <w:rPr>
                <w:sz w:val="15"/>
                <w:szCs w:val="15"/>
              </w:rPr>
            </w:pPr>
            <w:r>
              <w:rPr>
                <w:rFonts w:eastAsia="等线" w:cs="Times New Roman"/>
                <w:color w:val="000000"/>
                <w:sz w:val="15"/>
                <w:szCs w:val="15"/>
              </w:rPr>
              <w:t>283,431.78</w:t>
            </w:r>
          </w:p>
        </w:tc>
        <w:tc>
          <w:tcPr>
            <w:tcW w:w="664" w:type="pct"/>
            <w:vAlign w:val="center"/>
          </w:tcPr>
          <w:p w14:paraId="468516F9">
            <w:pPr>
              <w:jc w:val="right"/>
              <w:rPr>
                <w:sz w:val="15"/>
                <w:szCs w:val="15"/>
              </w:rPr>
            </w:pPr>
            <w:r>
              <w:rPr>
                <w:rFonts w:eastAsia="等线" w:cs="Times New Roman"/>
                <w:color w:val="000000"/>
                <w:sz w:val="15"/>
                <w:szCs w:val="15"/>
              </w:rPr>
              <w:t>8,315,294.08</w:t>
            </w:r>
          </w:p>
        </w:tc>
        <w:tc>
          <w:tcPr>
            <w:tcW w:w="621" w:type="pct"/>
            <w:vAlign w:val="center"/>
          </w:tcPr>
          <w:p w14:paraId="6B003281">
            <w:pPr>
              <w:jc w:val="right"/>
              <w:rPr>
                <w:sz w:val="15"/>
                <w:szCs w:val="15"/>
              </w:rPr>
            </w:pPr>
            <w:r>
              <w:rPr>
                <w:rFonts w:eastAsia="等线" w:cs="Times New Roman"/>
                <w:color w:val="000000"/>
                <w:sz w:val="15"/>
                <w:szCs w:val="15"/>
              </w:rPr>
              <w:t>5,686,237.79</w:t>
            </w:r>
          </w:p>
        </w:tc>
        <w:tc>
          <w:tcPr>
            <w:tcW w:w="1033" w:type="pct"/>
            <w:vAlign w:val="center"/>
          </w:tcPr>
          <w:p w14:paraId="456A30E8">
            <w:pPr>
              <w:jc w:val="right"/>
              <w:rPr>
                <w:sz w:val="15"/>
                <w:szCs w:val="15"/>
              </w:rPr>
            </w:pPr>
            <w:r>
              <w:rPr>
                <w:rFonts w:eastAsia="等线" w:cs="Times New Roman"/>
                <w:color w:val="000000"/>
                <w:sz w:val="15"/>
                <w:szCs w:val="15"/>
              </w:rPr>
              <w:t>172,845,812.31</w:t>
            </w:r>
          </w:p>
        </w:tc>
        <w:tc>
          <w:tcPr>
            <w:tcW w:w="731" w:type="pct"/>
            <w:vAlign w:val="center"/>
          </w:tcPr>
          <w:p w14:paraId="393896F9">
            <w:pPr>
              <w:jc w:val="right"/>
              <w:rPr>
                <w:sz w:val="15"/>
                <w:szCs w:val="15"/>
              </w:rPr>
            </w:pPr>
            <w:r>
              <w:rPr>
                <w:rFonts w:eastAsia="等线" w:cs="Times New Roman"/>
                <w:color w:val="000000"/>
                <w:sz w:val="15"/>
                <w:szCs w:val="15"/>
              </w:rPr>
              <w:t>193,213,162.93</w:t>
            </w:r>
          </w:p>
        </w:tc>
      </w:tr>
      <w:tr w14:paraId="368E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6D106318">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w:t>
            </w:r>
            <w:r>
              <w:rPr>
                <w:color w:val="000000" w:themeColor="text1"/>
                <w:sz w:val="15"/>
                <w:szCs w:val="15"/>
                <w14:textFill>
                  <w14:solidFill>
                    <w14:schemeClr w14:val="tx1"/>
                  </w14:solidFill>
                </w14:textFill>
              </w:rPr>
              <w:t>计提</w:t>
            </w:r>
          </w:p>
        </w:tc>
        <w:tc>
          <w:tcPr>
            <w:tcW w:w="664" w:type="pct"/>
            <w:vAlign w:val="center"/>
          </w:tcPr>
          <w:p w14:paraId="289D46D6">
            <w:pPr>
              <w:jc w:val="right"/>
              <w:rPr>
                <w:sz w:val="15"/>
                <w:szCs w:val="15"/>
              </w:rPr>
            </w:pPr>
            <w:r>
              <w:rPr>
                <w:rFonts w:eastAsia="等线" w:cs="Times New Roman"/>
                <w:color w:val="000000"/>
                <w:sz w:val="15"/>
                <w:szCs w:val="15"/>
              </w:rPr>
              <w:t>6,083,318.82</w:t>
            </w:r>
          </w:p>
        </w:tc>
        <w:tc>
          <w:tcPr>
            <w:tcW w:w="578" w:type="pct"/>
            <w:vAlign w:val="center"/>
          </w:tcPr>
          <w:p w14:paraId="2C9FCDAC">
            <w:pPr>
              <w:jc w:val="right"/>
              <w:rPr>
                <w:sz w:val="15"/>
                <w:szCs w:val="15"/>
              </w:rPr>
            </w:pPr>
            <w:r>
              <w:rPr>
                <w:rFonts w:eastAsia="等线" w:cs="Times New Roman"/>
                <w:color w:val="000000"/>
                <w:sz w:val="15"/>
                <w:szCs w:val="15"/>
              </w:rPr>
              <w:t>279,915.68</w:t>
            </w:r>
          </w:p>
        </w:tc>
        <w:tc>
          <w:tcPr>
            <w:tcW w:w="664" w:type="pct"/>
            <w:vAlign w:val="center"/>
          </w:tcPr>
          <w:p w14:paraId="2F97A8F3">
            <w:pPr>
              <w:jc w:val="right"/>
              <w:rPr>
                <w:sz w:val="15"/>
                <w:szCs w:val="15"/>
              </w:rPr>
            </w:pPr>
            <w:r>
              <w:rPr>
                <w:rFonts w:eastAsia="等线" w:cs="Times New Roman"/>
                <w:color w:val="000000"/>
                <w:sz w:val="15"/>
                <w:szCs w:val="15"/>
              </w:rPr>
              <w:t>8,315,294.08</w:t>
            </w:r>
          </w:p>
        </w:tc>
        <w:tc>
          <w:tcPr>
            <w:tcW w:w="621" w:type="pct"/>
            <w:vAlign w:val="center"/>
          </w:tcPr>
          <w:p w14:paraId="5CDFCF0B">
            <w:pPr>
              <w:jc w:val="right"/>
              <w:rPr>
                <w:sz w:val="15"/>
                <w:szCs w:val="15"/>
              </w:rPr>
            </w:pPr>
            <w:r>
              <w:rPr>
                <w:rFonts w:eastAsia="等线" w:cs="Times New Roman"/>
                <w:color w:val="000000"/>
                <w:sz w:val="15"/>
                <w:szCs w:val="15"/>
              </w:rPr>
              <w:t>5,686,237.79</w:t>
            </w:r>
          </w:p>
        </w:tc>
        <w:tc>
          <w:tcPr>
            <w:tcW w:w="1033" w:type="pct"/>
            <w:vAlign w:val="center"/>
          </w:tcPr>
          <w:p w14:paraId="5740607B">
            <w:pPr>
              <w:jc w:val="right"/>
              <w:rPr>
                <w:sz w:val="15"/>
                <w:szCs w:val="15"/>
              </w:rPr>
            </w:pPr>
            <w:r>
              <w:rPr>
                <w:rFonts w:eastAsia="等线" w:cs="Times New Roman"/>
                <w:color w:val="000000"/>
                <w:sz w:val="15"/>
                <w:szCs w:val="15"/>
              </w:rPr>
              <w:t>172,845,812.31</w:t>
            </w:r>
          </w:p>
        </w:tc>
        <w:tc>
          <w:tcPr>
            <w:tcW w:w="731" w:type="pct"/>
            <w:vAlign w:val="center"/>
          </w:tcPr>
          <w:p w14:paraId="451006B3">
            <w:pPr>
              <w:jc w:val="right"/>
              <w:rPr>
                <w:sz w:val="15"/>
                <w:szCs w:val="15"/>
              </w:rPr>
            </w:pPr>
            <w:r>
              <w:rPr>
                <w:rFonts w:eastAsia="等线" w:cs="Times New Roman"/>
                <w:color w:val="000000"/>
                <w:sz w:val="15"/>
                <w:szCs w:val="15"/>
              </w:rPr>
              <w:t>193,210,578.68</w:t>
            </w:r>
          </w:p>
        </w:tc>
      </w:tr>
      <w:tr w14:paraId="6D5C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tcPr>
          <w:p w14:paraId="2B1F60CC">
            <w:pPr>
              <w:rPr>
                <w:sz w:val="15"/>
                <w:szCs w:val="15"/>
              </w:rPr>
            </w:pPr>
            <w:r>
              <w:rPr>
                <w:rFonts w:hint="eastAsia"/>
                <w:sz w:val="15"/>
                <w:szCs w:val="15"/>
              </w:rPr>
              <w:t>(2)外币折算差额　</w:t>
            </w:r>
          </w:p>
        </w:tc>
        <w:tc>
          <w:tcPr>
            <w:tcW w:w="664" w:type="pct"/>
            <w:vAlign w:val="center"/>
          </w:tcPr>
          <w:p w14:paraId="4E061683">
            <w:pPr>
              <w:jc w:val="right"/>
              <w:rPr>
                <w:sz w:val="15"/>
                <w:szCs w:val="15"/>
              </w:rPr>
            </w:pPr>
            <w:r>
              <w:rPr>
                <w:rFonts w:eastAsia="等线" w:cs="Times New Roman"/>
                <w:color w:val="000000"/>
                <w:sz w:val="15"/>
                <w:szCs w:val="15"/>
              </w:rPr>
              <w:t>-931.85</w:t>
            </w:r>
          </w:p>
        </w:tc>
        <w:tc>
          <w:tcPr>
            <w:tcW w:w="578" w:type="pct"/>
            <w:vAlign w:val="center"/>
          </w:tcPr>
          <w:p w14:paraId="72ABB8FD">
            <w:pPr>
              <w:jc w:val="right"/>
              <w:rPr>
                <w:sz w:val="15"/>
                <w:szCs w:val="15"/>
              </w:rPr>
            </w:pPr>
            <w:r>
              <w:rPr>
                <w:rFonts w:eastAsia="等线" w:cs="Times New Roman"/>
                <w:color w:val="000000"/>
                <w:sz w:val="15"/>
                <w:szCs w:val="15"/>
              </w:rPr>
              <w:t>3,516.10</w:t>
            </w:r>
          </w:p>
        </w:tc>
        <w:tc>
          <w:tcPr>
            <w:tcW w:w="664" w:type="pct"/>
            <w:vAlign w:val="center"/>
          </w:tcPr>
          <w:p w14:paraId="752CA07D">
            <w:pPr>
              <w:jc w:val="right"/>
              <w:rPr>
                <w:sz w:val="15"/>
                <w:szCs w:val="15"/>
              </w:rPr>
            </w:pPr>
            <w:r>
              <w:rPr>
                <w:rFonts w:eastAsia="等线" w:cs="Times New Roman"/>
                <w:color w:val="000000"/>
                <w:sz w:val="15"/>
                <w:szCs w:val="15"/>
              </w:rPr>
              <w:t>　</w:t>
            </w:r>
          </w:p>
        </w:tc>
        <w:tc>
          <w:tcPr>
            <w:tcW w:w="621" w:type="pct"/>
            <w:vAlign w:val="center"/>
          </w:tcPr>
          <w:p w14:paraId="2E785F2A">
            <w:pPr>
              <w:jc w:val="right"/>
              <w:rPr>
                <w:sz w:val="15"/>
                <w:szCs w:val="15"/>
              </w:rPr>
            </w:pPr>
            <w:r>
              <w:rPr>
                <w:rFonts w:eastAsia="等线" w:cs="Times New Roman"/>
                <w:color w:val="000000"/>
                <w:sz w:val="15"/>
                <w:szCs w:val="15"/>
              </w:rPr>
              <w:t>　</w:t>
            </w:r>
          </w:p>
        </w:tc>
        <w:tc>
          <w:tcPr>
            <w:tcW w:w="1033" w:type="pct"/>
            <w:vAlign w:val="center"/>
          </w:tcPr>
          <w:p w14:paraId="25A23DFF">
            <w:pPr>
              <w:jc w:val="right"/>
              <w:rPr>
                <w:sz w:val="15"/>
                <w:szCs w:val="15"/>
              </w:rPr>
            </w:pPr>
            <w:r>
              <w:rPr>
                <w:rFonts w:eastAsia="等线" w:cs="Times New Roman"/>
                <w:color w:val="000000"/>
                <w:sz w:val="15"/>
                <w:szCs w:val="15"/>
              </w:rPr>
              <w:t>　</w:t>
            </w:r>
          </w:p>
        </w:tc>
        <w:tc>
          <w:tcPr>
            <w:tcW w:w="731" w:type="pct"/>
            <w:vAlign w:val="center"/>
          </w:tcPr>
          <w:p w14:paraId="3323A2C1">
            <w:pPr>
              <w:jc w:val="right"/>
              <w:rPr>
                <w:sz w:val="15"/>
                <w:szCs w:val="15"/>
              </w:rPr>
            </w:pPr>
            <w:r>
              <w:rPr>
                <w:rFonts w:eastAsia="等线" w:cs="Times New Roman"/>
                <w:color w:val="000000"/>
                <w:sz w:val="15"/>
                <w:szCs w:val="15"/>
              </w:rPr>
              <w:t>2,584.25</w:t>
            </w:r>
          </w:p>
        </w:tc>
      </w:tr>
      <w:tr w14:paraId="7D2D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7B82730F">
            <w:pPr>
              <w:ind w:firstLine="300" w:firstLineChars="200"/>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w:t>
            </w:r>
            <w:r>
              <w:rPr>
                <w:color w:val="000000" w:themeColor="text1"/>
                <w:sz w:val="15"/>
                <w:szCs w:val="15"/>
                <w14:textFill>
                  <w14:solidFill>
                    <w14:schemeClr w14:val="tx1"/>
                  </w14:solidFill>
                </w14:textFill>
              </w:rPr>
              <w:t>本期减少</w:t>
            </w:r>
            <w:r>
              <w:rPr>
                <w:rFonts w:hint="eastAsia"/>
                <w:color w:val="000000" w:themeColor="text1"/>
                <w:sz w:val="15"/>
                <w:szCs w:val="15"/>
                <w14:textFill>
                  <w14:solidFill>
                    <w14:schemeClr w14:val="tx1"/>
                  </w14:solidFill>
                </w14:textFill>
              </w:rPr>
              <w:t>金额</w:t>
            </w:r>
          </w:p>
        </w:tc>
        <w:tc>
          <w:tcPr>
            <w:tcW w:w="664" w:type="pct"/>
            <w:vAlign w:val="center"/>
          </w:tcPr>
          <w:p w14:paraId="1A09224C">
            <w:pPr>
              <w:jc w:val="right"/>
              <w:rPr>
                <w:sz w:val="15"/>
                <w:szCs w:val="15"/>
              </w:rPr>
            </w:pPr>
            <w:r>
              <w:rPr>
                <w:rFonts w:eastAsia="等线" w:cs="Times New Roman"/>
                <w:color w:val="000000"/>
                <w:sz w:val="15"/>
                <w:szCs w:val="15"/>
              </w:rPr>
              <w:t>　</w:t>
            </w:r>
          </w:p>
        </w:tc>
        <w:tc>
          <w:tcPr>
            <w:tcW w:w="578" w:type="pct"/>
            <w:vAlign w:val="center"/>
          </w:tcPr>
          <w:p w14:paraId="52AF7410">
            <w:pPr>
              <w:jc w:val="right"/>
              <w:rPr>
                <w:sz w:val="15"/>
                <w:szCs w:val="15"/>
              </w:rPr>
            </w:pPr>
            <w:r>
              <w:rPr>
                <w:rFonts w:eastAsia="等线" w:cs="Times New Roman"/>
                <w:color w:val="000000"/>
                <w:sz w:val="15"/>
                <w:szCs w:val="15"/>
              </w:rPr>
              <w:t>　</w:t>
            </w:r>
          </w:p>
        </w:tc>
        <w:tc>
          <w:tcPr>
            <w:tcW w:w="664" w:type="pct"/>
            <w:vAlign w:val="center"/>
          </w:tcPr>
          <w:p w14:paraId="735C43FB">
            <w:pPr>
              <w:jc w:val="right"/>
              <w:rPr>
                <w:sz w:val="15"/>
                <w:szCs w:val="15"/>
              </w:rPr>
            </w:pPr>
            <w:r>
              <w:rPr>
                <w:rFonts w:eastAsia="等线" w:cs="Times New Roman"/>
                <w:color w:val="000000"/>
                <w:sz w:val="15"/>
                <w:szCs w:val="15"/>
              </w:rPr>
              <w:t>23,020,000.59</w:t>
            </w:r>
          </w:p>
        </w:tc>
        <w:tc>
          <w:tcPr>
            <w:tcW w:w="621" w:type="pct"/>
            <w:vAlign w:val="center"/>
          </w:tcPr>
          <w:p w14:paraId="3A2602C5">
            <w:pPr>
              <w:jc w:val="right"/>
              <w:rPr>
                <w:sz w:val="15"/>
                <w:szCs w:val="15"/>
              </w:rPr>
            </w:pPr>
            <w:r>
              <w:rPr>
                <w:rFonts w:eastAsia="等线" w:cs="Times New Roman"/>
                <w:color w:val="000000"/>
                <w:sz w:val="15"/>
                <w:szCs w:val="15"/>
              </w:rPr>
              <w:t>3,931,218.11</w:t>
            </w:r>
          </w:p>
        </w:tc>
        <w:tc>
          <w:tcPr>
            <w:tcW w:w="1033" w:type="pct"/>
            <w:vAlign w:val="center"/>
          </w:tcPr>
          <w:p w14:paraId="250AA442">
            <w:pPr>
              <w:jc w:val="right"/>
              <w:rPr>
                <w:sz w:val="15"/>
                <w:szCs w:val="15"/>
              </w:rPr>
            </w:pPr>
            <w:r>
              <w:rPr>
                <w:rFonts w:eastAsia="等线" w:cs="Times New Roman"/>
                <w:color w:val="000000"/>
                <w:sz w:val="15"/>
                <w:szCs w:val="15"/>
              </w:rPr>
              <w:t>2,332,482.12</w:t>
            </w:r>
          </w:p>
        </w:tc>
        <w:tc>
          <w:tcPr>
            <w:tcW w:w="731" w:type="pct"/>
            <w:vAlign w:val="center"/>
          </w:tcPr>
          <w:p w14:paraId="2B328759">
            <w:pPr>
              <w:jc w:val="right"/>
              <w:rPr>
                <w:sz w:val="15"/>
                <w:szCs w:val="15"/>
              </w:rPr>
            </w:pPr>
            <w:r>
              <w:rPr>
                <w:rFonts w:eastAsia="等线" w:cs="Times New Roman"/>
                <w:color w:val="000000"/>
                <w:sz w:val="15"/>
                <w:szCs w:val="15"/>
              </w:rPr>
              <w:t>29,283,700.82</w:t>
            </w:r>
          </w:p>
        </w:tc>
      </w:tr>
      <w:tr w14:paraId="1C82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4C2C70A3">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1</w:t>
            </w: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处置</w:t>
            </w:r>
          </w:p>
        </w:tc>
        <w:tc>
          <w:tcPr>
            <w:tcW w:w="664" w:type="pct"/>
            <w:vAlign w:val="center"/>
          </w:tcPr>
          <w:p w14:paraId="618B84DF">
            <w:pPr>
              <w:jc w:val="right"/>
              <w:rPr>
                <w:sz w:val="15"/>
                <w:szCs w:val="15"/>
              </w:rPr>
            </w:pPr>
            <w:r>
              <w:rPr>
                <w:rFonts w:eastAsia="等线" w:cs="Times New Roman"/>
                <w:color w:val="000000"/>
                <w:sz w:val="15"/>
                <w:szCs w:val="15"/>
              </w:rPr>
              <w:t>　</w:t>
            </w:r>
          </w:p>
        </w:tc>
        <w:tc>
          <w:tcPr>
            <w:tcW w:w="578" w:type="pct"/>
            <w:vAlign w:val="center"/>
          </w:tcPr>
          <w:p w14:paraId="7575C387">
            <w:pPr>
              <w:jc w:val="right"/>
              <w:rPr>
                <w:sz w:val="15"/>
                <w:szCs w:val="15"/>
              </w:rPr>
            </w:pPr>
            <w:r>
              <w:rPr>
                <w:rFonts w:eastAsia="等线" w:cs="Times New Roman"/>
                <w:color w:val="000000"/>
                <w:sz w:val="15"/>
                <w:szCs w:val="15"/>
              </w:rPr>
              <w:t>　</w:t>
            </w:r>
          </w:p>
        </w:tc>
        <w:tc>
          <w:tcPr>
            <w:tcW w:w="664" w:type="pct"/>
            <w:vAlign w:val="center"/>
          </w:tcPr>
          <w:p w14:paraId="01A304A3">
            <w:pPr>
              <w:jc w:val="right"/>
              <w:rPr>
                <w:sz w:val="15"/>
                <w:szCs w:val="15"/>
              </w:rPr>
            </w:pPr>
            <w:r>
              <w:rPr>
                <w:rFonts w:eastAsia="等线" w:cs="Times New Roman"/>
                <w:color w:val="000000"/>
                <w:sz w:val="15"/>
                <w:szCs w:val="15"/>
              </w:rPr>
              <w:t>23,020,000.59</w:t>
            </w:r>
          </w:p>
        </w:tc>
        <w:tc>
          <w:tcPr>
            <w:tcW w:w="621" w:type="pct"/>
            <w:vAlign w:val="center"/>
          </w:tcPr>
          <w:p w14:paraId="3637EBEE">
            <w:pPr>
              <w:jc w:val="right"/>
              <w:rPr>
                <w:sz w:val="15"/>
                <w:szCs w:val="15"/>
              </w:rPr>
            </w:pPr>
            <w:r>
              <w:rPr>
                <w:rFonts w:eastAsia="等线" w:cs="Times New Roman"/>
                <w:color w:val="000000"/>
                <w:sz w:val="15"/>
                <w:szCs w:val="15"/>
              </w:rPr>
              <w:t>3,931,218.11</w:t>
            </w:r>
          </w:p>
        </w:tc>
        <w:tc>
          <w:tcPr>
            <w:tcW w:w="1033" w:type="pct"/>
            <w:vAlign w:val="center"/>
          </w:tcPr>
          <w:p w14:paraId="5776E56B">
            <w:pPr>
              <w:jc w:val="right"/>
              <w:rPr>
                <w:sz w:val="15"/>
                <w:szCs w:val="15"/>
              </w:rPr>
            </w:pPr>
            <w:r>
              <w:rPr>
                <w:rFonts w:eastAsia="等线" w:cs="Times New Roman"/>
                <w:color w:val="000000"/>
                <w:sz w:val="15"/>
                <w:szCs w:val="15"/>
              </w:rPr>
              <w:t>2,332,482.12</w:t>
            </w:r>
          </w:p>
        </w:tc>
        <w:tc>
          <w:tcPr>
            <w:tcW w:w="731" w:type="pct"/>
            <w:vAlign w:val="center"/>
          </w:tcPr>
          <w:p w14:paraId="7406F884">
            <w:pPr>
              <w:jc w:val="right"/>
              <w:rPr>
                <w:sz w:val="15"/>
                <w:szCs w:val="15"/>
              </w:rPr>
            </w:pPr>
            <w:r>
              <w:rPr>
                <w:rFonts w:eastAsia="等线" w:cs="Times New Roman"/>
                <w:color w:val="000000"/>
                <w:sz w:val="15"/>
                <w:szCs w:val="15"/>
              </w:rPr>
              <w:t>29,283,700.82</w:t>
            </w:r>
          </w:p>
        </w:tc>
      </w:tr>
      <w:tr w14:paraId="3B9E6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340B590F">
            <w:pPr>
              <w:ind w:firstLine="300" w:firstLineChars="200"/>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w:t>
            </w:r>
            <w:r>
              <w:rPr>
                <w:color w:val="000000" w:themeColor="text1"/>
                <w:sz w:val="15"/>
                <w:szCs w:val="15"/>
                <w14:textFill>
                  <w14:solidFill>
                    <w14:schemeClr w14:val="tx1"/>
                  </w14:solidFill>
                </w14:textFill>
              </w:rPr>
              <w:t>期末余额</w:t>
            </w:r>
          </w:p>
        </w:tc>
        <w:tc>
          <w:tcPr>
            <w:tcW w:w="664" w:type="pct"/>
            <w:vAlign w:val="center"/>
          </w:tcPr>
          <w:p w14:paraId="1545D418">
            <w:pPr>
              <w:jc w:val="right"/>
              <w:rPr>
                <w:sz w:val="15"/>
                <w:szCs w:val="15"/>
              </w:rPr>
            </w:pPr>
            <w:r>
              <w:rPr>
                <w:rFonts w:eastAsia="等线" w:cs="Times New Roman"/>
                <w:color w:val="000000"/>
                <w:sz w:val="15"/>
                <w:szCs w:val="15"/>
              </w:rPr>
              <w:t>161,267,943.92</w:t>
            </w:r>
          </w:p>
        </w:tc>
        <w:tc>
          <w:tcPr>
            <w:tcW w:w="578" w:type="pct"/>
            <w:vAlign w:val="center"/>
          </w:tcPr>
          <w:p w14:paraId="02433CB5">
            <w:pPr>
              <w:jc w:val="right"/>
              <w:rPr>
                <w:sz w:val="15"/>
                <w:szCs w:val="15"/>
              </w:rPr>
            </w:pPr>
            <w:r>
              <w:rPr>
                <w:rFonts w:eastAsia="等线" w:cs="Times New Roman"/>
                <w:color w:val="000000"/>
                <w:sz w:val="15"/>
                <w:szCs w:val="15"/>
              </w:rPr>
              <w:t>6,116,019.03</w:t>
            </w:r>
          </w:p>
        </w:tc>
        <w:tc>
          <w:tcPr>
            <w:tcW w:w="664" w:type="pct"/>
            <w:vAlign w:val="center"/>
          </w:tcPr>
          <w:p w14:paraId="4F4F327B">
            <w:pPr>
              <w:jc w:val="right"/>
              <w:rPr>
                <w:sz w:val="15"/>
                <w:szCs w:val="15"/>
              </w:rPr>
            </w:pPr>
            <w:r>
              <w:rPr>
                <w:rFonts w:eastAsia="等线" w:cs="Times New Roman"/>
                <w:color w:val="000000"/>
                <w:sz w:val="15"/>
                <w:szCs w:val="15"/>
              </w:rPr>
              <w:t>47,142,745.26</w:t>
            </w:r>
          </w:p>
        </w:tc>
        <w:tc>
          <w:tcPr>
            <w:tcW w:w="621" w:type="pct"/>
            <w:vAlign w:val="center"/>
          </w:tcPr>
          <w:p w14:paraId="7F9F4F2C">
            <w:pPr>
              <w:jc w:val="right"/>
              <w:rPr>
                <w:sz w:val="15"/>
                <w:szCs w:val="15"/>
              </w:rPr>
            </w:pPr>
            <w:r>
              <w:rPr>
                <w:rFonts w:eastAsia="等线" w:cs="Times New Roman"/>
                <w:color w:val="000000"/>
                <w:sz w:val="15"/>
                <w:szCs w:val="15"/>
              </w:rPr>
              <w:t>41,033,999.67</w:t>
            </w:r>
          </w:p>
        </w:tc>
        <w:tc>
          <w:tcPr>
            <w:tcW w:w="1033" w:type="pct"/>
            <w:vAlign w:val="center"/>
          </w:tcPr>
          <w:p w14:paraId="325A42A3">
            <w:pPr>
              <w:jc w:val="right"/>
              <w:rPr>
                <w:sz w:val="15"/>
                <w:szCs w:val="15"/>
              </w:rPr>
            </w:pPr>
            <w:r>
              <w:rPr>
                <w:rFonts w:eastAsia="等线" w:cs="Times New Roman"/>
                <w:color w:val="000000"/>
                <w:sz w:val="15"/>
                <w:szCs w:val="15"/>
              </w:rPr>
              <w:t>640,857,131.54</w:t>
            </w:r>
          </w:p>
        </w:tc>
        <w:tc>
          <w:tcPr>
            <w:tcW w:w="731" w:type="pct"/>
            <w:vAlign w:val="center"/>
          </w:tcPr>
          <w:p w14:paraId="6E2F9E89">
            <w:pPr>
              <w:jc w:val="right"/>
              <w:rPr>
                <w:sz w:val="15"/>
                <w:szCs w:val="15"/>
              </w:rPr>
            </w:pPr>
            <w:r>
              <w:rPr>
                <w:rFonts w:eastAsia="等线" w:cs="Times New Roman"/>
                <w:color w:val="000000"/>
                <w:sz w:val="15"/>
                <w:szCs w:val="15"/>
              </w:rPr>
              <w:t>896,417,839.42</w:t>
            </w:r>
          </w:p>
        </w:tc>
      </w:tr>
      <w:tr w14:paraId="7B56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sz w:val="15"/>
              <w:szCs w:val="15"/>
            </w:rPr>
            <w:tag w:val="_PLD_100d3bc56cc142c1b30c3998528f8af2"/>
            <w:id w:val="735435646"/>
          </w:sdtPr>
          <w:sdtEndPr>
            <w:rPr>
              <w:sz w:val="15"/>
              <w:szCs w:val="15"/>
            </w:rPr>
          </w:sdtEndPr>
          <w:sdtContent>
            <w:tc>
              <w:tcPr>
                <w:tcW w:w="5000" w:type="pct"/>
                <w:gridSpan w:val="8"/>
                <w:vAlign w:val="center"/>
              </w:tcPr>
              <w:p w14:paraId="437D52FA">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三、减值准备</w:t>
                </w:r>
              </w:p>
            </w:tc>
          </w:sdtContent>
        </w:sdt>
      </w:tr>
      <w:tr w14:paraId="553E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3E68A223">
            <w:pPr>
              <w:ind w:firstLine="300" w:firstLineChars="200"/>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1.期</w:t>
            </w:r>
            <w:r>
              <w:rPr>
                <w:color w:val="000000" w:themeColor="text1"/>
                <w:sz w:val="15"/>
                <w:szCs w:val="15"/>
                <w14:textFill>
                  <w14:solidFill>
                    <w14:schemeClr w14:val="tx1"/>
                  </w14:solidFill>
                </w14:textFill>
              </w:rPr>
              <w:t>初余额</w:t>
            </w:r>
          </w:p>
        </w:tc>
        <w:tc>
          <w:tcPr>
            <w:tcW w:w="664" w:type="pct"/>
            <w:vAlign w:val="center"/>
          </w:tcPr>
          <w:p w14:paraId="744A3753">
            <w:pPr>
              <w:jc w:val="right"/>
              <w:rPr>
                <w:sz w:val="15"/>
                <w:szCs w:val="15"/>
              </w:rPr>
            </w:pPr>
            <w:r>
              <w:rPr>
                <w:rFonts w:eastAsia="等线" w:cs="Times New Roman"/>
                <w:color w:val="000000"/>
                <w:sz w:val="15"/>
                <w:szCs w:val="15"/>
              </w:rPr>
              <w:t>　</w:t>
            </w:r>
          </w:p>
        </w:tc>
        <w:tc>
          <w:tcPr>
            <w:tcW w:w="578" w:type="pct"/>
            <w:vAlign w:val="center"/>
          </w:tcPr>
          <w:p w14:paraId="77796325">
            <w:pPr>
              <w:jc w:val="right"/>
              <w:rPr>
                <w:sz w:val="15"/>
                <w:szCs w:val="15"/>
              </w:rPr>
            </w:pPr>
            <w:r>
              <w:rPr>
                <w:rFonts w:eastAsia="等线" w:cs="Times New Roman"/>
                <w:color w:val="000000"/>
                <w:sz w:val="15"/>
                <w:szCs w:val="15"/>
              </w:rPr>
              <w:t>27,805.00</w:t>
            </w:r>
          </w:p>
        </w:tc>
        <w:tc>
          <w:tcPr>
            <w:tcW w:w="664" w:type="pct"/>
            <w:vAlign w:val="center"/>
          </w:tcPr>
          <w:p w14:paraId="5B204EB0">
            <w:pPr>
              <w:jc w:val="right"/>
              <w:rPr>
                <w:sz w:val="15"/>
                <w:szCs w:val="15"/>
              </w:rPr>
            </w:pPr>
            <w:r>
              <w:rPr>
                <w:rFonts w:eastAsia="等线" w:cs="Times New Roman"/>
                <w:color w:val="000000"/>
                <w:sz w:val="15"/>
                <w:szCs w:val="15"/>
              </w:rPr>
              <w:t>17,759,731.60</w:t>
            </w:r>
          </w:p>
        </w:tc>
        <w:tc>
          <w:tcPr>
            <w:tcW w:w="621" w:type="pct"/>
            <w:vAlign w:val="center"/>
          </w:tcPr>
          <w:p w14:paraId="522BACA4">
            <w:pPr>
              <w:jc w:val="right"/>
              <w:rPr>
                <w:sz w:val="15"/>
                <w:szCs w:val="15"/>
              </w:rPr>
            </w:pPr>
            <w:r>
              <w:rPr>
                <w:rFonts w:eastAsia="等线" w:cs="Times New Roman"/>
                <w:color w:val="000000"/>
                <w:sz w:val="15"/>
                <w:szCs w:val="15"/>
              </w:rPr>
              <w:t>6,688,297.83</w:t>
            </w:r>
          </w:p>
        </w:tc>
        <w:tc>
          <w:tcPr>
            <w:tcW w:w="1033" w:type="pct"/>
            <w:vAlign w:val="center"/>
          </w:tcPr>
          <w:p w14:paraId="3AC10AD1">
            <w:pPr>
              <w:jc w:val="right"/>
              <w:rPr>
                <w:sz w:val="15"/>
                <w:szCs w:val="15"/>
              </w:rPr>
            </w:pPr>
            <w:r>
              <w:rPr>
                <w:rFonts w:eastAsia="等线" w:cs="Times New Roman"/>
                <w:color w:val="000000"/>
                <w:sz w:val="15"/>
                <w:szCs w:val="15"/>
              </w:rPr>
              <w:t>82,502,158.51</w:t>
            </w:r>
          </w:p>
        </w:tc>
        <w:tc>
          <w:tcPr>
            <w:tcW w:w="731" w:type="pct"/>
            <w:vAlign w:val="center"/>
          </w:tcPr>
          <w:p w14:paraId="6309B6C9">
            <w:pPr>
              <w:jc w:val="right"/>
              <w:rPr>
                <w:sz w:val="15"/>
                <w:szCs w:val="15"/>
              </w:rPr>
            </w:pPr>
            <w:r>
              <w:rPr>
                <w:rFonts w:eastAsia="等线" w:cs="Times New Roman"/>
                <w:color w:val="000000"/>
                <w:sz w:val="15"/>
                <w:szCs w:val="15"/>
              </w:rPr>
              <w:t>106,977,992.94</w:t>
            </w:r>
          </w:p>
        </w:tc>
      </w:tr>
      <w:tr w14:paraId="2E41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6BD971A3">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2.本期增加</w:t>
            </w:r>
            <w:r>
              <w:rPr>
                <w:rFonts w:hint="eastAsia"/>
                <w:color w:val="000000" w:themeColor="text1"/>
                <w:sz w:val="15"/>
                <w:szCs w:val="15"/>
                <w14:textFill>
                  <w14:solidFill>
                    <w14:schemeClr w14:val="tx1"/>
                  </w14:solidFill>
                </w14:textFill>
              </w:rPr>
              <w:t>金额</w:t>
            </w:r>
          </w:p>
        </w:tc>
        <w:tc>
          <w:tcPr>
            <w:tcW w:w="664" w:type="pct"/>
            <w:vAlign w:val="center"/>
          </w:tcPr>
          <w:p w14:paraId="34F037A0">
            <w:pPr>
              <w:jc w:val="right"/>
              <w:rPr>
                <w:sz w:val="15"/>
                <w:szCs w:val="15"/>
              </w:rPr>
            </w:pPr>
            <w:r>
              <w:rPr>
                <w:rFonts w:eastAsia="等线" w:cs="Times New Roman"/>
                <w:color w:val="000000"/>
                <w:sz w:val="15"/>
                <w:szCs w:val="15"/>
              </w:rPr>
              <w:t>　</w:t>
            </w:r>
          </w:p>
        </w:tc>
        <w:tc>
          <w:tcPr>
            <w:tcW w:w="578" w:type="pct"/>
            <w:vAlign w:val="center"/>
          </w:tcPr>
          <w:p w14:paraId="5B694BB1">
            <w:pPr>
              <w:jc w:val="right"/>
              <w:rPr>
                <w:sz w:val="15"/>
                <w:szCs w:val="15"/>
              </w:rPr>
            </w:pPr>
            <w:r>
              <w:rPr>
                <w:rFonts w:eastAsia="等线" w:cs="Times New Roman"/>
                <w:color w:val="000000"/>
                <w:sz w:val="15"/>
                <w:szCs w:val="15"/>
              </w:rPr>
              <w:t>　</w:t>
            </w:r>
          </w:p>
        </w:tc>
        <w:tc>
          <w:tcPr>
            <w:tcW w:w="664" w:type="pct"/>
            <w:vAlign w:val="center"/>
          </w:tcPr>
          <w:p w14:paraId="2A51280E">
            <w:pPr>
              <w:jc w:val="right"/>
              <w:rPr>
                <w:sz w:val="15"/>
                <w:szCs w:val="15"/>
              </w:rPr>
            </w:pPr>
            <w:r>
              <w:rPr>
                <w:rFonts w:eastAsia="等线" w:cs="Times New Roman"/>
                <w:color w:val="000000"/>
                <w:sz w:val="15"/>
                <w:szCs w:val="15"/>
              </w:rPr>
              <w:t>　</w:t>
            </w:r>
          </w:p>
        </w:tc>
        <w:tc>
          <w:tcPr>
            <w:tcW w:w="621" w:type="pct"/>
            <w:vAlign w:val="center"/>
          </w:tcPr>
          <w:p w14:paraId="2CB0492A">
            <w:pPr>
              <w:jc w:val="right"/>
              <w:rPr>
                <w:sz w:val="15"/>
                <w:szCs w:val="15"/>
              </w:rPr>
            </w:pPr>
            <w:r>
              <w:rPr>
                <w:rFonts w:eastAsia="等线" w:cs="Times New Roman"/>
                <w:color w:val="000000"/>
                <w:sz w:val="15"/>
                <w:szCs w:val="15"/>
              </w:rPr>
              <w:t>　</w:t>
            </w:r>
          </w:p>
        </w:tc>
        <w:tc>
          <w:tcPr>
            <w:tcW w:w="1033" w:type="pct"/>
            <w:vAlign w:val="center"/>
          </w:tcPr>
          <w:p w14:paraId="339183BD">
            <w:pPr>
              <w:jc w:val="right"/>
              <w:rPr>
                <w:sz w:val="15"/>
                <w:szCs w:val="15"/>
              </w:rPr>
            </w:pPr>
            <w:r>
              <w:rPr>
                <w:rFonts w:eastAsia="等线" w:cs="Times New Roman"/>
                <w:color w:val="000000"/>
                <w:sz w:val="15"/>
                <w:szCs w:val="15"/>
              </w:rPr>
              <w:t>　</w:t>
            </w:r>
          </w:p>
        </w:tc>
        <w:tc>
          <w:tcPr>
            <w:tcW w:w="731" w:type="pct"/>
            <w:vAlign w:val="center"/>
          </w:tcPr>
          <w:p w14:paraId="4856BED3">
            <w:pPr>
              <w:jc w:val="right"/>
              <w:rPr>
                <w:sz w:val="15"/>
                <w:szCs w:val="15"/>
              </w:rPr>
            </w:pPr>
            <w:r>
              <w:rPr>
                <w:rFonts w:eastAsia="等线" w:cs="Times New Roman"/>
                <w:color w:val="000000"/>
                <w:sz w:val="15"/>
                <w:szCs w:val="15"/>
              </w:rPr>
              <w:t>　</w:t>
            </w:r>
          </w:p>
        </w:tc>
      </w:tr>
      <w:tr w14:paraId="06BF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0D1FAFC5">
            <w:pPr>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（1）</w:t>
            </w:r>
            <w:r>
              <w:rPr>
                <w:color w:val="000000" w:themeColor="text1"/>
                <w:sz w:val="15"/>
                <w:szCs w:val="15"/>
                <w14:textFill>
                  <w14:solidFill>
                    <w14:schemeClr w14:val="tx1"/>
                  </w14:solidFill>
                </w14:textFill>
              </w:rPr>
              <w:t>计提</w:t>
            </w:r>
          </w:p>
        </w:tc>
        <w:tc>
          <w:tcPr>
            <w:tcW w:w="664" w:type="pct"/>
            <w:vAlign w:val="center"/>
          </w:tcPr>
          <w:p w14:paraId="3B495F85">
            <w:pPr>
              <w:jc w:val="right"/>
              <w:rPr>
                <w:sz w:val="15"/>
                <w:szCs w:val="15"/>
              </w:rPr>
            </w:pPr>
            <w:r>
              <w:rPr>
                <w:rFonts w:eastAsia="等线" w:cs="Times New Roman"/>
                <w:color w:val="000000"/>
                <w:sz w:val="15"/>
                <w:szCs w:val="15"/>
              </w:rPr>
              <w:t>　</w:t>
            </w:r>
          </w:p>
        </w:tc>
        <w:tc>
          <w:tcPr>
            <w:tcW w:w="578" w:type="pct"/>
            <w:vAlign w:val="center"/>
          </w:tcPr>
          <w:p w14:paraId="76BFFE41">
            <w:pPr>
              <w:jc w:val="right"/>
              <w:rPr>
                <w:sz w:val="15"/>
                <w:szCs w:val="15"/>
              </w:rPr>
            </w:pPr>
            <w:r>
              <w:rPr>
                <w:rFonts w:eastAsia="等线" w:cs="Times New Roman"/>
                <w:color w:val="000000"/>
                <w:sz w:val="15"/>
                <w:szCs w:val="15"/>
              </w:rPr>
              <w:t>　</w:t>
            </w:r>
          </w:p>
        </w:tc>
        <w:tc>
          <w:tcPr>
            <w:tcW w:w="664" w:type="pct"/>
            <w:vAlign w:val="center"/>
          </w:tcPr>
          <w:p w14:paraId="0034779D">
            <w:pPr>
              <w:jc w:val="right"/>
              <w:rPr>
                <w:sz w:val="15"/>
                <w:szCs w:val="15"/>
              </w:rPr>
            </w:pPr>
            <w:r>
              <w:rPr>
                <w:rFonts w:eastAsia="等线" w:cs="Times New Roman"/>
                <w:color w:val="000000"/>
                <w:sz w:val="15"/>
                <w:szCs w:val="15"/>
              </w:rPr>
              <w:t>　</w:t>
            </w:r>
          </w:p>
        </w:tc>
        <w:tc>
          <w:tcPr>
            <w:tcW w:w="621" w:type="pct"/>
            <w:vAlign w:val="center"/>
          </w:tcPr>
          <w:p w14:paraId="4742A77B">
            <w:pPr>
              <w:jc w:val="right"/>
              <w:rPr>
                <w:sz w:val="15"/>
                <w:szCs w:val="15"/>
              </w:rPr>
            </w:pPr>
            <w:r>
              <w:rPr>
                <w:rFonts w:eastAsia="等线" w:cs="Times New Roman"/>
                <w:color w:val="000000"/>
                <w:sz w:val="15"/>
                <w:szCs w:val="15"/>
              </w:rPr>
              <w:t>　</w:t>
            </w:r>
          </w:p>
        </w:tc>
        <w:tc>
          <w:tcPr>
            <w:tcW w:w="1033" w:type="pct"/>
            <w:vAlign w:val="center"/>
          </w:tcPr>
          <w:p w14:paraId="62967103">
            <w:pPr>
              <w:jc w:val="right"/>
              <w:rPr>
                <w:sz w:val="15"/>
                <w:szCs w:val="15"/>
              </w:rPr>
            </w:pPr>
            <w:r>
              <w:rPr>
                <w:rFonts w:eastAsia="等线" w:cs="Times New Roman"/>
                <w:color w:val="000000"/>
                <w:sz w:val="15"/>
                <w:szCs w:val="15"/>
              </w:rPr>
              <w:t>　</w:t>
            </w:r>
          </w:p>
        </w:tc>
        <w:tc>
          <w:tcPr>
            <w:tcW w:w="731" w:type="pct"/>
            <w:vAlign w:val="center"/>
          </w:tcPr>
          <w:p w14:paraId="1F590864">
            <w:pPr>
              <w:jc w:val="right"/>
              <w:rPr>
                <w:sz w:val="15"/>
                <w:szCs w:val="15"/>
              </w:rPr>
            </w:pPr>
            <w:r>
              <w:rPr>
                <w:rFonts w:eastAsia="等线" w:cs="Times New Roman"/>
                <w:color w:val="000000"/>
                <w:sz w:val="15"/>
                <w:szCs w:val="15"/>
              </w:rPr>
              <w:t>　</w:t>
            </w:r>
          </w:p>
        </w:tc>
      </w:tr>
      <w:tr w14:paraId="52BE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5BF7440F">
            <w:pPr>
              <w:ind w:firstLine="300" w:firstLineChars="200"/>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3.</w:t>
            </w:r>
            <w:r>
              <w:rPr>
                <w:color w:val="000000" w:themeColor="text1"/>
                <w:sz w:val="15"/>
                <w:szCs w:val="15"/>
                <w14:textFill>
                  <w14:solidFill>
                    <w14:schemeClr w14:val="tx1"/>
                  </w14:solidFill>
                </w14:textFill>
              </w:rPr>
              <w:t>本期减少</w:t>
            </w:r>
            <w:r>
              <w:rPr>
                <w:rFonts w:hint="eastAsia"/>
                <w:color w:val="000000" w:themeColor="text1"/>
                <w:sz w:val="15"/>
                <w:szCs w:val="15"/>
                <w14:textFill>
                  <w14:solidFill>
                    <w14:schemeClr w14:val="tx1"/>
                  </w14:solidFill>
                </w14:textFill>
              </w:rPr>
              <w:t>金额</w:t>
            </w:r>
          </w:p>
        </w:tc>
        <w:tc>
          <w:tcPr>
            <w:tcW w:w="664" w:type="pct"/>
            <w:vAlign w:val="center"/>
          </w:tcPr>
          <w:p w14:paraId="0A94A72A">
            <w:pPr>
              <w:jc w:val="right"/>
              <w:rPr>
                <w:sz w:val="15"/>
                <w:szCs w:val="15"/>
              </w:rPr>
            </w:pPr>
            <w:r>
              <w:rPr>
                <w:rFonts w:eastAsia="等线" w:cs="Times New Roman"/>
                <w:color w:val="000000"/>
                <w:sz w:val="15"/>
                <w:szCs w:val="15"/>
              </w:rPr>
              <w:t>　</w:t>
            </w:r>
          </w:p>
        </w:tc>
        <w:tc>
          <w:tcPr>
            <w:tcW w:w="578" w:type="pct"/>
            <w:vAlign w:val="center"/>
          </w:tcPr>
          <w:p w14:paraId="21258EA8">
            <w:pPr>
              <w:jc w:val="right"/>
              <w:rPr>
                <w:sz w:val="15"/>
                <w:szCs w:val="15"/>
              </w:rPr>
            </w:pPr>
            <w:r>
              <w:rPr>
                <w:rFonts w:eastAsia="等线" w:cs="Times New Roman"/>
                <w:color w:val="000000"/>
                <w:sz w:val="15"/>
                <w:szCs w:val="15"/>
              </w:rPr>
              <w:t>　</w:t>
            </w:r>
          </w:p>
        </w:tc>
        <w:tc>
          <w:tcPr>
            <w:tcW w:w="664" w:type="pct"/>
            <w:vAlign w:val="center"/>
          </w:tcPr>
          <w:p w14:paraId="5749076E">
            <w:pPr>
              <w:jc w:val="right"/>
              <w:rPr>
                <w:sz w:val="15"/>
                <w:szCs w:val="15"/>
              </w:rPr>
            </w:pPr>
            <w:r>
              <w:rPr>
                <w:rFonts w:eastAsia="等线" w:cs="Times New Roman"/>
                <w:color w:val="000000"/>
                <w:sz w:val="15"/>
                <w:szCs w:val="15"/>
              </w:rPr>
              <w:t>17,759,731.60</w:t>
            </w:r>
          </w:p>
        </w:tc>
        <w:tc>
          <w:tcPr>
            <w:tcW w:w="621" w:type="pct"/>
            <w:vAlign w:val="center"/>
          </w:tcPr>
          <w:p w14:paraId="093AEFF1">
            <w:pPr>
              <w:jc w:val="right"/>
              <w:rPr>
                <w:sz w:val="15"/>
                <w:szCs w:val="15"/>
              </w:rPr>
            </w:pPr>
            <w:r>
              <w:rPr>
                <w:rFonts w:eastAsia="等线" w:cs="Times New Roman"/>
                <w:color w:val="000000"/>
                <w:sz w:val="15"/>
                <w:szCs w:val="15"/>
              </w:rPr>
              <w:t>7,791.02</w:t>
            </w:r>
          </w:p>
        </w:tc>
        <w:tc>
          <w:tcPr>
            <w:tcW w:w="1033" w:type="pct"/>
            <w:vAlign w:val="center"/>
          </w:tcPr>
          <w:p w14:paraId="7B0AE276">
            <w:pPr>
              <w:jc w:val="right"/>
              <w:rPr>
                <w:sz w:val="15"/>
                <w:szCs w:val="15"/>
              </w:rPr>
            </w:pPr>
            <w:r>
              <w:rPr>
                <w:rFonts w:eastAsia="等线" w:cs="Times New Roman"/>
                <w:color w:val="000000"/>
                <w:sz w:val="15"/>
                <w:szCs w:val="15"/>
              </w:rPr>
              <w:t>82,502,158.51</w:t>
            </w:r>
          </w:p>
        </w:tc>
        <w:tc>
          <w:tcPr>
            <w:tcW w:w="731" w:type="pct"/>
            <w:vAlign w:val="center"/>
          </w:tcPr>
          <w:p w14:paraId="0FAD34D8">
            <w:pPr>
              <w:jc w:val="right"/>
              <w:rPr>
                <w:sz w:val="15"/>
                <w:szCs w:val="15"/>
              </w:rPr>
            </w:pPr>
            <w:r>
              <w:rPr>
                <w:rFonts w:eastAsia="等线" w:cs="Times New Roman"/>
                <w:color w:val="000000"/>
                <w:sz w:val="15"/>
                <w:szCs w:val="15"/>
              </w:rPr>
              <w:t>100,269,681.13</w:t>
            </w:r>
          </w:p>
        </w:tc>
      </w:tr>
      <w:tr w14:paraId="1650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12A3CCAE">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1</w:t>
            </w:r>
            <w:r>
              <w:rPr>
                <w:color w:val="000000" w:themeColor="text1"/>
                <w:sz w:val="15"/>
                <w:szCs w:val="15"/>
                <w14:textFill>
                  <w14:solidFill>
                    <w14:schemeClr w14:val="tx1"/>
                  </w14:solidFill>
                </w14:textFill>
              </w:rPr>
              <w:t>)</w:t>
            </w:r>
            <w:r>
              <w:rPr>
                <w:rFonts w:hint="eastAsia"/>
                <w:color w:val="000000" w:themeColor="text1"/>
                <w:sz w:val="15"/>
                <w:szCs w:val="15"/>
                <w14:textFill>
                  <w14:solidFill>
                    <w14:schemeClr w14:val="tx1"/>
                  </w14:solidFill>
                </w14:textFill>
              </w:rPr>
              <w:t>处置</w:t>
            </w:r>
          </w:p>
        </w:tc>
        <w:tc>
          <w:tcPr>
            <w:tcW w:w="664" w:type="pct"/>
            <w:vAlign w:val="center"/>
          </w:tcPr>
          <w:p w14:paraId="101C9612">
            <w:pPr>
              <w:jc w:val="right"/>
              <w:rPr>
                <w:sz w:val="15"/>
                <w:szCs w:val="15"/>
              </w:rPr>
            </w:pPr>
            <w:r>
              <w:rPr>
                <w:rFonts w:eastAsia="等线" w:cs="Times New Roman"/>
                <w:color w:val="000000"/>
                <w:sz w:val="15"/>
                <w:szCs w:val="15"/>
              </w:rPr>
              <w:t>　</w:t>
            </w:r>
          </w:p>
        </w:tc>
        <w:tc>
          <w:tcPr>
            <w:tcW w:w="578" w:type="pct"/>
            <w:vAlign w:val="center"/>
          </w:tcPr>
          <w:p w14:paraId="13187AC4">
            <w:pPr>
              <w:jc w:val="right"/>
              <w:rPr>
                <w:rFonts w:eastAsia="Times New Roman" w:cs="Times New Roman"/>
                <w:sz w:val="15"/>
                <w:szCs w:val="15"/>
              </w:rPr>
            </w:pPr>
            <w:r>
              <w:rPr>
                <w:rFonts w:eastAsia="等线" w:cs="Times New Roman"/>
                <w:color w:val="000000"/>
                <w:sz w:val="15"/>
                <w:szCs w:val="15"/>
              </w:rPr>
              <w:t>　</w:t>
            </w:r>
          </w:p>
        </w:tc>
        <w:tc>
          <w:tcPr>
            <w:tcW w:w="664" w:type="pct"/>
            <w:vAlign w:val="center"/>
          </w:tcPr>
          <w:p w14:paraId="1F04596B">
            <w:pPr>
              <w:jc w:val="right"/>
              <w:rPr>
                <w:rFonts w:ascii="宋体" w:hAnsi="宋体"/>
                <w:sz w:val="15"/>
                <w:szCs w:val="15"/>
              </w:rPr>
            </w:pPr>
            <w:r>
              <w:rPr>
                <w:rFonts w:eastAsia="等线" w:cs="Times New Roman"/>
                <w:color w:val="000000"/>
                <w:sz w:val="15"/>
                <w:szCs w:val="15"/>
              </w:rPr>
              <w:t>17,759,731.60</w:t>
            </w:r>
          </w:p>
        </w:tc>
        <w:tc>
          <w:tcPr>
            <w:tcW w:w="621" w:type="pct"/>
            <w:vAlign w:val="center"/>
          </w:tcPr>
          <w:p w14:paraId="7E3DC7A8">
            <w:pPr>
              <w:jc w:val="right"/>
              <w:rPr>
                <w:sz w:val="15"/>
                <w:szCs w:val="15"/>
              </w:rPr>
            </w:pPr>
            <w:r>
              <w:rPr>
                <w:rFonts w:eastAsia="等线" w:cs="Times New Roman"/>
                <w:color w:val="000000"/>
                <w:sz w:val="15"/>
                <w:szCs w:val="15"/>
              </w:rPr>
              <w:t>7,791.02</w:t>
            </w:r>
          </w:p>
        </w:tc>
        <w:tc>
          <w:tcPr>
            <w:tcW w:w="1033" w:type="pct"/>
            <w:vAlign w:val="center"/>
          </w:tcPr>
          <w:p w14:paraId="04D09312">
            <w:pPr>
              <w:jc w:val="right"/>
              <w:rPr>
                <w:sz w:val="15"/>
                <w:szCs w:val="15"/>
              </w:rPr>
            </w:pPr>
            <w:r>
              <w:rPr>
                <w:rFonts w:eastAsia="等线" w:cs="Times New Roman"/>
                <w:color w:val="000000"/>
                <w:sz w:val="15"/>
                <w:szCs w:val="15"/>
              </w:rPr>
              <w:t>82,502,158.51</w:t>
            </w:r>
          </w:p>
        </w:tc>
        <w:tc>
          <w:tcPr>
            <w:tcW w:w="731" w:type="pct"/>
            <w:vAlign w:val="center"/>
          </w:tcPr>
          <w:p w14:paraId="184C0849">
            <w:pPr>
              <w:jc w:val="right"/>
              <w:rPr>
                <w:sz w:val="15"/>
                <w:szCs w:val="15"/>
              </w:rPr>
            </w:pPr>
            <w:r>
              <w:rPr>
                <w:rFonts w:eastAsia="等线" w:cs="Times New Roman"/>
                <w:color w:val="000000"/>
                <w:sz w:val="15"/>
                <w:szCs w:val="15"/>
              </w:rPr>
              <w:t>100,269,681.13</w:t>
            </w:r>
          </w:p>
        </w:tc>
      </w:tr>
      <w:tr w14:paraId="1104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3D498592">
            <w:pPr>
              <w:ind w:firstLine="300" w:firstLineChars="200"/>
              <w:rPr>
                <w:color w:val="000000" w:themeColor="text1"/>
                <w:sz w:val="15"/>
                <w:szCs w:val="15"/>
                <w14:textFill>
                  <w14:solidFill>
                    <w14:schemeClr w14:val="tx1"/>
                  </w14:solidFill>
                </w14:textFill>
              </w:rPr>
            </w:pPr>
            <w:r>
              <w:rPr>
                <w:rFonts w:hint="eastAsia"/>
                <w:color w:val="000000" w:themeColor="text1"/>
                <w:sz w:val="15"/>
                <w:szCs w:val="15"/>
                <w14:textFill>
                  <w14:solidFill>
                    <w14:schemeClr w14:val="tx1"/>
                  </w14:solidFill>
                </w14:textFill>
              </w:rPr>
              <w:t>4.</w:t>
            </w:r>
            <w:r>
              <w:rPr>
                <w:color w:val="000000" w:themeColor="text1"/>
                <w:sz w:val="15"/>
                <w:szCs w:val="15"/>
                <w14:textFill>
                  <w14:solidFill>
                    <w14:schemeClr w14:val="tx1"/>
                  </w14:solidFill>
                </w14:textFill>
              </w:rPr>
              <w:t>期末余额</w:t>
            </w:r>
          </w:p>
        </w:tc>
        <w:tc>
          <w:tcPr>
            <w:tcW w:w="664" w:type="pct"/>
            <w:vAlign w:val="center"/>
          </w:tcPr>
          <w:p w14:paraId="5D0E5EA6">
            <w:pPr>
              <w:jc w:val="right"/>
              <w:rPr>
                <w:sz w:val="15"/>
                <w:szCs w:val="15"/>
              </w:rPr>
            </w:pPr>
            <w:r>
              <w:rPr>
                <w:rFonts w:eastAsia="等线" w:cs="Times New Roman"/>
                <w:color w:val="000000"/>
                <w:sz w:val="15"/>
                <w:szCs w:val="15"/>
              </w:rPr>
              <w:t>　</w:t>
            </w:r>
          </w:p>
        </w:tc>
        <w:tc>
          <w:tcPr>
            <w:tcW w:w="578" w:type="pct"/>
            <w:vAlign w:val="center"/>
          </w:tcPr>
          <w:p w14:paraId="23DF1241">
            <w:pPr>
              <w:jc w:val="right"/>
              <w:rPr>
                <w:sz w:val="15"/>
                <w:szCs w:val="15"/>
              </w:rPr>
            </w:pPr>
            <w:r>
              <w:rPr>
                <w:rFonts w:eastAsia="等线" w:cs="Times New Roman"/>
                <w:color w:val="000000"/>
                <w:sz w:val="15"/>
                <w:szCs w:val="15"/>
              </w:rPr>
              <w:t>27,805.00</w:t>
            </w:r>
          </w:p>
        </w:tc>
        <w:tc>
          <w:tcPr>
            <w:tcW w:w="664" w:type="pct"/>
            <w:vAlign w:val="center"/>
          </w:tcPr>
          <w:p w14:paraId="49223916">
            <w:pPr>
              <w:jc w:val="right"/>
              <w:rPr>
                <w:sz w:val="15"/>
                <w:szCs w:val="15"/>
              </w:rPr>
            </w:pPr>
            <w:r>
              <w:rPr>
                <w:rFonts w:eastAsia="等线" w:cs="Times New Roman"/>
                <w:color w:val="000000"/>
                <w:sz w:val="15"/>
                <w:szCs w:val="15"/>
              </w:rPr>
              <w:t>　</w:t>
            </w:r>
          </w:p>
        </w:tc>
        <w:tc>
          <w:tcPr>
            <w:tcW w:w="621" w:type="pct"/>
            <w:vAlign w:val="center"/>
          </w:tcPr>
          <w:p w14:paraId="29867425">
            <w:pPr>
              <w:jc w:val="right"/>
              <w:rPr>
                <w:sz w:val="15"/>
                <w:szCs w:val="15"/>
              </w:rPr>
            </w:pPr>
            <w:r>
              <w:rPr>
                <w:rFonts w:eastAsia="等线" w:cs="Times New Roman"/>
                <w:color w:val="000000"/>
                <w:sz w:val="15"/>
                <w:szCs w:val="15"/>
              </w:rPr>
              <w:t>6,680,506.81</w:t>
            </w:r>
          </w:p>
        </w:tc>
        <w:tc>
          <w:tcPr>
            <w:tcW w:w="1033" w:type="pct"/>
            <w:vAlign w:val="center"/>
          </w:tcPr>
          <w:p w14:paraId="3637549D">
            <w:pPr>
              <w:jc w:val="right"/>
              <w:rPr>
                <w:sz w:val="15"/>
                <w:szCs w:val="15"/>
              </w:rPr>
            </w:pPr>
            <w:r>
              <w:rPr>
                <w:rFonts w:eastAsia="等线" w:cs="Times New Roman"/>
                <w:color w:val="000000"/>
                <w:sz w:val="15"/>
                <w:szCs w:val="15"/>
              </w:rPr>
              <w:t>　</w:t>
            </w:r>
          </w:p>
        </w:tc>
        <w:tc>
          <w:tcPr>
            <w:tcW w:w="731" w:type="pct"/>
            <w:vAlign w:val="center"/>
          </w:tcPr>
          <w:p w14:paraId="32B2A9F2">
            <w:pPr>
              <w:jc w:val="right"/>
              <w:rPr>
                <w:sz w:val="15"/>
                <w:szCs w:val="15"/>
              </w:rPr>
            </w:pPr>
            <w:r>
              <w:rPr>
                <w:rFonts w:eastAsia="等线" w:cs="Times New Roman"/>
                <w:color w:val="000000"/>
                <w:sz w:val="15"/>
                <w:szCs w:val="15"/>
              </w:rPr>
              <w:t>6,708,311.81</w:t>
            </w:r>
          </w:p>
        </w:tc>
      </w:tr>
      <w:tr w14:paraId="4FB4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sz w:val="15"/>
              <w:szCs w:val="15"/>
            </w:rPr>
            <w:tag w:val="_PLD_77aceef1b70d43c0846f7e8f529b7784"/>
            <w:id w:val="-463739686"/>
          </w:sdtPr>
          <w:sdtEndPr>
            <w:rPr>
              <w:sz w:val="15"/>
              <w:szCs w:val="15"/>
            </w:rPr>
          </w:sdtEndPr>
          <w:sdtContent>
            <w:tc>
              <w:tcPr>
                <w:tcW w:w="5000" w:type="pct"/>
                <w:gridSpan w:val="8"/>
                <w:vAlign w:val="center"/>
              </w:tcPr>
              <w:p w14:paraId="3173AA5E">
                <w:pPr>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四、账面价值</w:t>
                </w:r>
              </w:p>
            </w:tc>
          </w:sdtContent>
        </w:sdt>
      </w:tr>
      <w:tr w14:paraId="2FBC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7C0E0333">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1.期末账面价值</w:t>
            </w:r>
          </w:p>
        </w:tc>
        <w:tc>
          <w:tcPr>
            <w:tcW w:w="664" w:type="pct"/>
            <w:vAlign w:val="center"/>
          </w:tcPr>
          <w:p w14:paraId="3824CF03">
            <w:pPr>
              <w:jc w:val="right"/>
              <w:rPr>
                <w:sz w:val="15"/>
                <w:szCs w:val="15"/>
              </w:rPr>
            </w:pPr>
            <w:r>
              <w:rPr>
                <w:rFonts w:eastAsia="等线" w:cs="Times New Roman"/>
                <w:color w:val="000000"/>
                <w:sz w:val="15"/>
                <w:szCs w:val="15"/>
              </w:rPr>
              <w:t>444,199,502.28</w:t>
            </w:r>
          </w:p>
        </w:tc>
        <w:tc>
          <w:tcPr>
            <w:tcW w:w="578" w:type="pct"/>
            <w:vAlign w:val="center"/>
          </w:tcPr>
          <w:p w14:paraId="178D57E6">
            <w:pPr>
              <w:jc w:val="right"/>
              <w:rPr>
                <w:sz w:val="15"/>
                <w:szCs w:val="15"/>
              </w:rPr>
            </w:pPr>
            <w:r>
              <w:rPr>
                <w:rFonts w:eastAsia="等线" w:cs="Times New Roman"/>
                <w:color w:val="000000"/>
                <w:sz w:val="15"/>
                <w:szCs w:val="15"/>
              </w:rPr>
              <w:t>991,758.59</w:t>
            </w:r>
          </w:p>
        </w:tc>
        <w:tc>
          <w:tcPr>
            <w:tcW w:w="664" w:type="pct"/>
            <w:vAlign w:val="center"/>
          </w:tcPr>
          <w:p w14:paraId="23E31C7E">
            <w:pPr>
              <w:jc w:val="right"/>
              <w:rPr>
                <w:sz w:val="15"/>
                <w:szCs w:val="15"/>
              </w:rPr>
            </w:pPr>
            <w:r>
              <w:rPr>
                <w:rFonts w:eastAsia="等线" w:cs="Times New Roman"/>
                <w:color w:val="000000"/>
                <w:sz w:val="15"/>
                <w:szCs w:val="15"/>
              </w:rPr>
              <w:t>42,123,007.79</w:t>
            </w:r>
          </w:p>
        </w:tc>
        <w:tc>
          <w:tcPr>
            <w:tcW w:w="621" w:type="pct"/>
            <w:vAlign w:val="center"/>
          </w:tcPr>
          <w:p w14:paraId="3A6AD944">
            <w:pPr>
              <w:jc w:val="right"/>
              <w:rPr>
                <w:sz w:val="15"/>
                <w:szCs w:val="15"/>
              </w:rPr>
            </w:pPr>
            <w:r>
              <w:rPr>
                <w:rFonts w:eastAsia="等线" w:cs="Times New Roman"/>
                <w:color w:val="000000"/>
                <w:sz w:val="15"/>
                <w:szCs w:val="15"/>
              </w:rPr>
              <w:t>18,367,766.14</w:t>
            </w:r>
          </w:p>
        </w:tc>
        <w:tc>
          <w:tcPr>
            <w:tcW w:w="1033" w:type="pct"/>
            <w:vAlign w:val="center"/>
          </w:tcPr>
          <w:p w14:paraId="30278008">
            <w:pPr>
              <w:jc w:val="right"/>
              <w:rPr>
                <w:sz w:val="15"/>
                <w:szCs w:val="15"/>
              </w:rPr>
            </w:pPr>
            <w:r>
              <w:rPr>
                <w:rFonts w:eastAsia="等线" w:cs="Times New Roman"/>
                <w:color w:val="000000"/>
                <w:sz w:val="15"/>
                <w:szCs w:val="15"/>
              </w:rPr>
              <w:t>1,009,306,160.69</w:t>
            </w:r>
          </w:p>
        </w:tc>
        <w:tc>
          <w:tcPr>
            <w:tcW w:w="731" w:type="pct"/>
            <w:vAlign w:val="center"/>
          </w:tcPr>
          <w:p w14:paraId="4FFF2E89">
            <w:pPr>
              <w:jc w:val="right"/>
              <w:rPr>
                <w:sz w:val="15"/>
                <w:szCs w:val="15"/>
              </w:rPr>
            </w:pPr>
            <w:r>
              <w:rPr>
                <w:rFonts w:eastAsia="等线" w:cs="Times New Roman"/>
                <w:color w:val="000000"/>
                <w:sz w:val="15"/>
                <w:szCs w:val="15"/>
              </w:rPr>
              <w:t>1,514,988,195.49</w:t>
            </w:r>
          </w:p>
        </w:tc>
      </w:tr>
      <w:tr w14:paraId="3770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84" w:hRule="atLeast"/>
        </w:trPr>
        <w:tc>
          <w:tcPr>
            <w:tcW w:w="705" w:type="pct"/>
            <w:vAlign w:val="center"/>
          </w:tcPr>
          <w:p w14:paraId="6EB979E9">
            <w:pPr>
              <w:ind w:firstLine="300" w:firstLineChars="200"/>
              <w:rPr>
                <w:color w:val="000000" w:themeColor="text1"/>
                <w:sz w:val="15"/>
                <w:szCs w:val="15"/>
                <w14:textFill>
                  <w14:solidFill>
                    <w14:schemeClr w14:val="tx1"/>
                  </w14:solidFill>
                </w14:textFill>
              </w:rPr>
            </w:pPr>
            <w:r>
              <w:rPr>
                <w:color w:val="000000" w:themeColor="text1"/>
                <w:sz w:val="15"/>
                <w:szCs w:val="15"/>
                <w14:textFill>
                  <w14:solidFill>
                    <w14:schemeClr w14:val="tx1"/>
                  </w14:solidFill>
                </w14:textFill>
              </w:rPr>
              <w:t>2.</w:t>
            </w:r>
            <w:r>
              <w:rPr>
                <w:rFonts w:hint="eastAsia"/>
                <w:color w:val="000000" w:themeColor="text1"/>
                <w:sz w:val="15"/>
                <w:szCs w:val="15"/>
                <w14:textFill>
                  <w14:solidFill>
                    <w14:schemeClr w14:val="tx1"/>
                  </w14:solidFill>
                </w14:textFill>
              </w:rPr>
              <w:t>期初</w:t>
            </w:r>
            <w:r>
              <w:rPr>
                <w:color w:val="000000" w:themeColor="text1"/>
                <w:sz w:val="15"/>
                <w:szCs w:val="15"/>
                <w14:textFill>
                  <w14:solidFill>
                    <w14:schemeClr w14:val="tx1"/>
                  </w14:solidFill>
                </w14:textFill>
              </w:rPr>
              <w:t>账面价值</w:t>
            </w:r>
          </w:p>
        </w:tc>
        <w:tc>
          <w:tcPr>
            <w:tcW w:w="664" w:type="pct"/>
            <w:vAlign w:val="center"/>
          </w:tcPr>
          <w:p w14:paraId="193E2D6D">
            <w:pPr>
              <w:jc w:val="right"/>
              <w:rPr>
                <w:sz w:val="15"/>
                <w:szCs w:val="15"/>
              </w:rPr>
            </w:pPr>
            <w:r>
              <w:rPr>
                <w:rFonts w:eastAsia="等线" w:cs="Times New Roman"/>
                <w:color w:val="000000"/>
                <w:sz w:val="15"/>
                <w:szCs w:val="15"/>
              </w:rPr>
              <w:t>450,289,115.53</w:t>
            </w:r>
          </w:p>
        </w:tc>
        <w:tc>
          <w:tcPr>
            <w:tcW w:w="578" w:type="pct"/>
            <w:vAlign w:val="center"/>
          </w:tcPr>
          <w:p w14:paraId="28DCFB1C">
            <w:pPr>
              <w:jc w:val="right"/>
              <w:rPr>
                <w:sz w:val="15"/>
                <w:szCs w:val="15"/>
              </w:rPr>
            </w:pPr>
            <w:r>
              <w:rPr>
                <w:rFonts w:eastAsia="等线" w:cs="Times New Roman"/>
                <w:color w:val="000000"/>
                <w:sz w:val="15"/>
                <w:szCs w:val="15"/>
              </w:rPr>
              <w:t>1,149,796.61</w:t>
            </w:r>
          </w:p>
        </w:tc>
        <w:tc>
          <w:tcPr>
            <w:tcW w:w="664" w:type="pct"/>
            <w:vAlign w:val="center"/>
          </w:tcPr>
          <w:p w14:paraId="56849EFF">
            <w:pPr>
              <w:jc w:val="right"/>
              <w:rPr>
                <w:sz w:val="15"/>
                <w:szCs w:val="15"/>
              </w:rPr>
            </w:pPr>
            <w:r>
              <w:rPr>
                <w:rFonts w:eastAsia="等线" w:cs="Times New Roman"/>
                <w:color w:val="000000"/>
                <w:sz w:val="15"/>
                <w:szCs w:val="15"/>
              </w:rPr>
              <w:t>50,720,414.22</w:t>
            </w:r>
          </w:p>
        </w:tc>
        <w:tc>
          <w:tcPr>
            <w:tcW w:w="621" w:type="pct"/>
            <w:vAlign w:val="center"/>
          </w:tcPr>
          <w:p w14:paraId="1B2A38A7">
            <w:pPr>
              <w:jc w:val="right"/>
              <w:rPr>
                <w:sz w:val="15"/>
                <w:szCs w:val="15"/>
              </w:rPr>
            </w:pPr>
            <w:r>
              <w:rPr>
                <w:rFonts w:eastAsia="等线" w:cs="Times New Roman"/>
                <w:color w:val="000000"/>
                <w:sz w:val="15"/>
                <w:szCs w:val="15"/>
              </w:rPr>
              <w:t>26,584,265.00</w:t>
            </w:r>
          </w:p>
        </w:tc>
        <w:tc>
          <w:tcPr>
            <w:tcW w:w="1033" w:type="pct"/>
            <w:vAlign w:val="center"/>
          </w:tcPr>
          <w:p w14:paraId="5D47E535">
            <w:pPr>
              <w:jc w:val="right"/>
              <w:rPr>
                <w:sz w:val="15"/>
                <w:szCs w:val="15"/>
              </w:rPr>
            </w:pPr>
            <w:r>
              <w:rPr>
                <w:rFonts w:eastAsia="等线" w:cs="Times New Roman"/>
                <w:color w:val="000000"/>
                <w:sz w:val="15"/>
                <w:szCs w:val="15"/>
              </w:rPr>
              <w:t>1,138,868,830.34</w:t>
            </w:r>
          </w:p>
        </w:tc>
        <w:tc>
          <w:tcPr>
            <w:tcW w:w="731" w:type="pct"/>
            <w:vAlign w:val="center"/>
          </w:tcPr>
          <w:p w14:paraId="6B9A6F25">
            <w:pPr>
              <w:jc w:val="right"/>
              <w:rPr>
                <w:sz w:val="15"/>
                <w:szCs w:val="15"/>
              </w:rPr>
            </w:pPr>
            <w:r>
              <w:rPr>
                <w:rFonts w:eastAsia="等线" w:cs="Times New Roman"/>
                <w:color w:val="000000"/>
                <w:sz w:val="15"/>
                <w:szCs w:val="15"/>
              </w:rPr>
              <w:t>1,667,612,421.70</w:t>
            </w:r>
          </w:p>
        </w:tc>
      </w:tr>
    </w:tbl>
    <w:p w14:paraId="3F80E541"/>
    <w:p w14:paraId="14881D30">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本期末通过公司内部研发形成的无形资产占无形资产余额的比例</w:t>
      </w:r>
      <w:sdt>
        <w:sdtPr>
          <w:rPr>
            <w:color w:val="000000" w:themeColor="text1"/>
            <w14:textFill>
              <w14:solidFill>
                <w14:schemeClr w14:val="tx1"/>
              </w14:solidFill>
            </w14:textFill>
          </w:rPr>
          <w:alias w:val="通过公司内部研发形成的无形资产占无形资产账面价值的比例"/>
          <w:tag w:val="_GBC_4eb0f3140a674bd1899e2bd836d51bbb"/>
          <w:id w:val="-107589307"/>
          <w:placeholder>
            <w:docPart w:val="GBC22222222222222222222222222222"/>
          </w:placeholder>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3.18</w:t>
          </w:r>
        </w:sdtContent>
      </w:sdt>
      <w:r>
        <w:rPr>
          <w:rFonts w:hint="eastAsia"/>
          <w:color w:val="000000" w:themeColor="text1"/>
          <w14:textFill>
            <w14:solidFill>
              <w14:schemeClr w14:val="tx1"/>
            </w14:solidFill>
          </w14:textFill>
        </w:rPr>
        <w:t>%</w:t>
      </w:r>
    </w:p>
    <w:p w14:paraId="610B1FEC">
      <w:pPr>
        <w:snapToGrid w:val="0"/>
        <w:spacing w:line="240" w:lineRule="atLeast"/>
        <w:rPr>
          <w:color w:val="000000" w:themeColor="text1"/>
          <w14:textFill>
            <w14:solidFill>
              <w14:schemeClr w14:val="tx1"/>
            </w14:solidFill>
          </w14:textFill>
        </w:rPr>
      </w:pPr>
    </w:p>
    <w:p w14:paraId="721B5E59">
      <w:pPr>
        <w:pStyle w:val="5"/>
        <w:numPr>
          <w:ilvl w:val="0"/>
          <w:numId w:val="63"/>
        </w:numPr>
        <w:tabs>
          <w:tab w:val="left" w:pos="602"/>
        </w:tabs>
        <w:rPr>
          <w:rFonts w:ascii="宋体" w:hAnsi="宋体"/>
          <w:color w:val="000000" w:themeColor="text1"/>
          <w:szCs w:val="21"/>
          <w14:textFill>
            <w14:solidFill>
              <w14:schemeClr w14:val="tx1"/>
            </w14:solidFill>
          </w14:textFill>
        </w:rPr>
      </w:pPr>
      <w:bookmarkStart w:id="288" w:name="_Hlk169705970"/>
      <w:r>
        <w:rPr>
          <w:rFonts w:hint="eastAsia" w:ascii="宋体" w:hAnsi="宋体"/>
          <w:color w:val="000000" w:themeColor="text1"/>
          <w:szCs w:val="21"/>
          <w14:textFill>
            <w14:solidFill>
              <w14:schemeClr w14:val="tx1"/>
            </w14:solidFill>
          </w14:textFill>
        </w:rPr>
        <w:t>确认为无形资产的数据资源</w:t>
      </w:r>
    </w:p>
    <w:sdt>
      <w:sdtPr>
        <w:rPr>
          <w:color w:val="000000" w:themeColor="text1"/>
          <w14:textFill>
            <w14:solidFill>
              <w14:schemeClr w14:val="tx1"/>
            </w14:solidFill>
          </w14:textFill>
        </w:rPr>
        <w:alias w:val="是否适用：确认为无形资产的数据资源[双击切换]"/>
        <w:tag w:val="_GBC_69d13d4234a148729542b163082d1cd0"/>
        <w:id w:val="488529074"/>
        <w:placeholder>
          <w:docPart w:val="GBC22222222222222222222222222222"/>
        </w:placeholder>
      </w:sdtPr>
      <w:sdtEndPr>
        <w:rPr>
          <w:color w:val="000000" w:themeColor="text1"/>
          <w14:textFill>
            <w14:solidFill>
              <w14:schemeClr w14:val="tx1"/>
            </w14:solidFill>
          </w14:textFill>
        </w:rPr>
      </w:sdtEndPr>
      <w:sdtContent>
        <w:p w14:paraId="080F37A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A88B1D">
      <w:pPr>
        <w:snapToGrid w:val="0"/>
        <w:spacing w:line="240" w:lineRule="atLeast"/>
        <w:rPr>
          <w:color w:val="000000" w:themeColor="text1"/>
          <w14:textFill>
            <w14:solidFill>
              <w14:schemeClr w14:val="tx1"/>
            </w14:solidFill>
          </w14:textFill>
        </w:rPr>
      </w:pPr>
    </w:p>
    <w:bookmarkEnd w:id="288"/>
    <w:p w14:paraId="1827679A">
      <w:pPr>
        <w:pStyle w:val="5"/>
        <w:numPr>
          <w:ilvl w:val="0"/>
          <w:numId w:val="63"/>
        </w:numPr>
        <w:tabs>
          <w:tab w:val="left" w:pos="602"/>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未办妥产权证书的土地使用权情况</w:t>
      </w:r>
    </w:p>
    <w:sdt>
      <w:sdtPr>
        <w:rPr>
          <w:color w:val="000000" w:themeColor="text1"/>
          <w14:textFill>
            <w14:solidFill>
              <w14:schemeClr w14:val="tx1"/>
            </w14:solidFill>
          </w14:textFill>
        </w:rPr>
        <w:alias w:val="是否适用：未办妥产权证书的土地使用权情况[双击切换]"/>
        <w:tag w:val="_GBC_e8ff0641401a44f19fe64ad31dc15c58"/>
        <w:id w:val="1877887758"/>
        <w:placeholder>
          <w:docPart w:val="GBC22222222222222222222222222222"/>
        </w:placeholder>
      </w:sdtPr>
      <w:sdtEndPr>
        <w:rPr>
          <w:color w:val="000000" w:themeColor="text1"/>
          <w14:textFill>
            <w14:solidFill>
              <w14:schemeClr w14:val="tx1"/>
            </w14:solidFill>
          </w14:textFill>
        </w:rPr>
      </w:sdtEndPr>
      <w:sdtContent>
        <w:p w14:paraId="1A8170A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4956D7D">
      <w:pPr>
        <w:rPr>
          <w:color w:val="000000" w:themeColor="text1"/>
          <w14:textFill>
            <w14:solidFill>
              <w14:schemeClr w14:val="tx1"/>
            </w14:solidFill>
          </w14:textFill>
        </w:rPr>
      </w:pPr>
    </w:p>
    <w:p w14:paraId="48ED6E93">
      <w:pPr>
        <w:pStyle w:val="5"/>
        <w:numPr>
          <w:ilvl w:val="0"/>
          <w:numId w:val="63"/>
        </w:numPr>
        <w:tabs>
          <w:tab w:val="left" w:pos="602"/>
        </w:tabs>
        <w:rPr>
          <w:rFonts w:ascii="宋体" w:hAnsi="宋体"/>
          <w:color w:val="000000" w:themeColor="text1"/>
          <w:szCs w:val="21"/>
          <w14:textFill>
            <w14:solidFill>
              <w14:schemeClr w14:val="tx1"/>
            </w14:solidFill>
          </w14:textFill>
        </w:rPr>
      </w:pPr>
      <w:bookmarkStart w:id="289" w:name="_Hlk167959697"/>
      <w:bookmarkStart w:id="290" w:name="_Hlk153461844"/>
      <w:r>
        <w:rPr>
          <w:rFonts w:hint="eastAsia" w:ascii="宋体" w:hAnsi="宋体"/>
          <w:color w:val="000000" w:themeColor="text1"/>
          <w:szCs w:val="21"/>
          <w14:textFill>
            <w14:solidFill>
              <w14:schemeClr w14:val="tx1"/>
            </w14:solidFill>
          </w14:textFill>
        </w:rPr>
        <w:t>无形资产的减值测试情况</w:t>
      </w:r>
    </w:p>
    <w:sdt>
      <w:sdtPr>
        <w:rPr>
          <w:color w:val="000000" w:themeColor="text1"/>
          <w14:textFill>
            <w14:solidFill>
              <w14:schemeClr w14:val="tx1"/>
            </w14:solidFill>
          </w14:textFill>
        </w:rPr>
        <w:alias w:val="是否适用：减值测试情况[双击切换]"/>
        <w:tag w:val="_GBC_6523dfc219a7467fb60857d0ff4fbd37"/>
        <w:id w:val="-1607954593"/>
        <w:placeholder>
          <w:docPart w:val="GBC22222222222222222222222222222"/>
        </w:placeholder>
      </w:sdtPr>
      <w:sdtEndPr>
        <w:rPr>
          <w:color w:val="000000" w:themeColor="text1"/>
          <w14:textFill>
            <w14:solidFill>
              <w14:schemeClr w14:val="tx1"/>
            </w14:solidFill>
          </w14:textFill>
        </w:rPr>
      </w:sdtEndPr>
      <w:sdtContent>
        <w:p w14:paraId="61BB4CA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5FF2BF">
      <w:pPr>
        <w:snapToGrid w:val="0"/>
        <w:spacing w:line="240" w:lineRule="atLeast"/>
        <w:rPr>
          <w:color w:val="000000" w:themeColor="text1"/>
          <w14:textFill>
            <w14:solidFill>
              <w14:schemeClr w14:val="tx1"/>
            </w14:solidFill>
          </w14:textFill>
        </w:rPr>
      </w:pPr>
    </w:p>
    <w:bookmarkEnd w:id="289"/>
    <w:bookmarkEnd w:id="290"/>
    <w:p w14:paraId="796A98F7">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无形资产的说明[双击切换]"/>
        <w:tag w:val="_GBC_dc3c687f3c2c457e9024304c14129458"/>
        <w:id w:val="-1621983285"/>
        <w:placeholder>
          <w:docPart w:val="GBC22222222222222222222222222222"/>
        </w:placeholder>
      </w:sdtPr>
      <w:sdtEndPr>
        <w:rPr>
          <w:color w:val="000000" w:themeColor="text1"/>
          <w14:textFill>
            <w14:solidFill>
              <w14:schemeClr w14:val="tx1"/>
            </w14:solidFill>
          </w14:textFill>
        </w:rPr>
      </w:sdtEndPr>
      <w:sdtContent>
        <w:p w14:paraId="0F29E6F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21D21A6">
      <w:pPr>
        <w:snapToGrid w:val="0"/>
        <w:spacing w:line="240" w:lineRule="atLeast"/>
        <w:rPr>
          <w:color w:val="000000" w:themeColor="text1"/>
          <w14:textFill>
            <w14:solidFill>
              <w14:schemeClr w14:val="tx1"/>
            </w14:solidFill>
          </w14:textFill>
        </w:rPr>
      </w:pPr>
    </w:p>
    <w:p w14:paraId="65CA655A">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商誉</w:t>
      </w:r>
    </w:p>
    <w:p w14:paraId="71CEFCB7">
      <w:pPr>
        <w:pStyle w:val="5"/>
        <w:numPr>
          <w:ilvl w:val="0"/>
          <w:numId w:val="64"/>
        </w:numPr>
        <w:tabs>
          <w:tab w:val="left" w:pos="58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商誉账面原值</w:t>
      </w:r>
    </w:p>
    <w:sdt>
      <w:sdtPr>
        <w:rPr>
          <w:color w:val="000000" w:themeColor="text1"/>
          <w14:textFill>
            <w14:solidFill>
              <w14:schemeClr w14:val="tx1"/>
            </w14:solidFill>
          </w14:textFill>
        </w:rPr>
        <w:alias w:val="是否适用：商誉账面原值[双击切换]"/>
        <w:tag w:val="_GBC_e2a869d440cf4b7f9f592f3e22cea85d"/>
        <w:id w:val="-119233356"/>
        <w:placeholder>
          <w:docPart w:val="GBC22222222222222222222222222222"/>
        </w:placeholder>
      </w:sdtPr>
      <w:sdtEndPr>
        <w:rPr>
          <w:color w:val="000000" w:themeColor="text1"/>
          <w14:textFill>
            <w14:solidFill>
              <w14:schemeClr w14:val="tx1"/>
            </w14:solidFill>
          </w14:textFill>
        </w:rPr>
      </w:sdtEndPr>
      <w:sdtContent>
        <w:p w14:paraId="64063F5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4CFA6B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商誉"/>
          <w:tag w:val="_GBC_4797b6084eb24fe79f24d181640f3283"/>
          <w:id w:val="-1652521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商誉"/>
          <w:tag w:val="_GBC_7cd9149d9bea4da8974b80b14b1c0e44"/>
          <w:id w:val="-7179029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3"/>
        <w:gridCol w:w="1598"/>
        <w:gridCol w:w="1164"/>
        <w:gridCol w:w="1162"/>
        <w:gridCol w:w="1785"/>
      </w:tblGrid>
      <w:tr w14:paraId="458E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tag w:val="_PLD_b248be5460bf4bb299c4579815256238"/>
            <w:id w:val="-2127235571"/>
          </w:sdtPr>
          <w:sdtContent>
            <w:tc>
              <w:tcPr>
                <w:tcW w:w="1895" w:type="pct"/>
                <w:vMerge w:val="restart"/>
                <w:vAlign w:val="center"/>
              </w:tcPr>
              <w:p w14:paraId="05BE94BE">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被投资单位名称或形成商誉的事项</w:t>
                </w:r>
              </w:p>
            </w:tc>
          </w:sdtContent>
        </w:sdt>
        <w:sdt>
          <w:sdtPr>
            <w:tag w:val="_PLD_a25f69a57b624da887f74ab27a20ba0b"/>
            <w:id w:val="-1316101237"/>
          </w:sdtPr>
          <w:sdtContent>
            <w:tc>
              <w:tcPr>
                <w:tcW w:w="869" w:type="pct"/>
                <w:vMerge w:val="restart"/>
                <w:vAlign w:val="center"/>
              </w:tcPr>
              <w:p w14:paraId="1CE9336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c348d952dc8b438289897d2014b7d310"/>
            <w:id w:val="-1190605585"/>
          </w:sdtPr>
          <w:sdtContent>
            <w:tc>
              <w:tcPr>
                <w:tcW w:w="633" w:type="pct"/>
                <w:vAlign w:val="center"/>
              </w:tcPr>
              <w:p w14:paraId="50C12DB0">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5560c6ea7650430a8c304ee861d4bc25"/>
            <w:id w:val="1722483395"/>
          </w:sdtPr>
          <w:sdtContent>
            <w:tc>
              <w:tcPr>
                <w:tcW w:w="632" w:type="pct"/>
                <w:vAlign w:val="center"/>
              </w:tcPr>
              <w:p w14:paraId="1CD88C11">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075635973edd4d94a997d2ed78e56d8b"/>
            <w:id w:val="1260257711"/>
          </w:sdtPr>
          <w:sdtContent>
            <w:tc>
              <w:tcPr>
                <w:tcW w:w="971" w:type="pct"/>
                <w:vMerge w:val="restart"/>
                <w:vAlign w:val="center"/>
              </w:tcPr>
              <w:p w14:paraId="511BFC18">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36E8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895" w:type="pct"/>
            <w:vMerge w:val="continue"/>
          </w:tcPr>
          <w:p w14:paraId="00D92825">
            <w:pPr>
              <w:autoSpaceDE w:val="0"/>
              <w:autoSpaceDN w:val="0"/>
              <w:adjustRightInd w:val="0"/>
              <w:snapToGrid w:val="0"/>
              <w:jc w:val="center"/>
              <w:rPr>
                <w:color w:val="000000" w:themeColor="text1"/>
                <w14:textFill>
                  <w14:solidFill>
                    <w14:schemeClr w14:val="tx1"/>
                  </w14:solidFill>
                </w14:textFill>
              </w:rPr>
            </w:pPr>
          </w:p>
        </w:tc>
        <w:tc>
          <w:tcPr>
            <w:tcW w:w="869" w:type="pct"/>
            <w:vMerge w:val="continue"/>
          </w:tcPr>
          <w:p w14:paraId="3F0233B3">
            <w:pPr>
              <w:autoSpaceDE w:val="0"/>
              <w:autoSpaceDN w:val="0"/>
              <w:adjustRightInd w:val="0"/>
              <w:snapToGrid w:val="0"/>
              <w:jc w:val="center"/>
              <w:rPr>
                <w:color w:val="000000" w:themeColor="text1"/>
                <w14:textFill>
                  <w14:solidFill>
                    <w14:schemeClr w14:val="tx1"/>
                  </w14:solidFill>
                </w14:textFill>
              </w:rPr>
            </w:pPr>
          </w:p>
        </w:tc>
        <w:sdt>
          <w:sdtPr>
            <w:tag w:val="_PLD_1553ab7e041e4cd0bdd59c30d303dc84"/>
            <w:id w:val="-457567542"/>
          </w:sdtPr>
          <w:sdtContent>
            <w:tc>
              <w:tcPr>
                <w:tcW w:w="633" w:type="pct"/>
                <w:vAlign w:val="center"/>
              </w:tcPr>
              <w:p w14:paraId="672A541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企业合并形成的</w:t>
                </w:r>
              </w:p>
            </w:tc>
          </w:sdtContent>
        </w:sdt>
        <w:sdt>
          <w:sdtPr>
            <w:tag w:val="_PLD_52f6eef41a0247f195c94af6823a4b67"/>
            <w:id w:val="283622154"/>
          </w:sdtPr>
          <w:sdtContent>
            <w:tc>
              <w:tcPr>
                <w:tcW w:w="632" w:type="pct"/>
                <w:vAlign w:val="center"/>
              </w:tcPr>
              <w:p w14:paraId="3F64802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处置</w:t>
                </w:r>
              </w:p>
            </w:tc>
          </w:sdtContent>
        </w:sdt>
        <w:tc>
          <w:tcPr>
            <w:tcW w:w="971" w:type="pct"/>
            <w:vMerge w:val="continue"/>
          </w:tcPr>
          <w:p w14:paraId="127FC1AF">
            <w:pPr>
              <w:autoSpaceDE w:val="0"/>
              <w:autoSpaceDN w:val="0"/>
              <w:adjustRightInd w:val="0"/>
              <w:snapToGrid w:val="0"/>
              <w:jc w:val="center"/>
              <w:rPr>
                <w:color w:val="000000" w:themeColor="text1"/>
                <w14:textFill>
                  <w14:solidFill>
                    <w14:schemeClr w14:val="tx1"/>
                  </w14:solidFill>
                </w14:textFill>
              </w:rPr>
            </w:pPr>
          </w:p>
        </w:tc>
      </w:tr>
      <w:tr w14:paraId="346A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95" w:type="pct"/>
          </w:tcPr>
          <w:p w14:paraId="7694E45C">
            <w:pPr>
              <w:autoSpaceDE w:val="0"/>
              <w:autoSpaceDN w:val="0"/>
              <w:adjustRightInd w:val="0"/>
              <w:snapToGrid w:val="0"/>
            </w:pPr>
            <w:r>
              <w:t>力帆-越南摩托车制造联营公司</w:t>
            </w:r>
          </w:p>
        </w:tc>
        <w:tc>
          <w:tcPr>
            <w:tcW w:w="869" w:type="pct"/>
            <w:vAlign w:val="center"/>
          </w:tcPr>
          <w:p w14:paraId="4348FC10">
            <w:pPr>
              <w:jc w:val="right"/>
            </w:pPr>
            <w:r>
              <w:t>2,000,000.00</w:t>
            </w:r>
          </w:p>
        </w:tc>
        <w:tc>
          <w:tcPr>
            <w:tcW w:w="633" w:type="pct"/>
          </w:tcPr>
          <w:p w14:paraId="3B76D4C8">
            <w:pPr>
              <w:autoSpaceDE w:val="0"/>
              <w:autoSpaceDN w:val="0"/>
              <w:adjustRightInd w:val="0"/>
              <w:snapToGrid w:val="0"/>
              <w:jc w:val="right"/>
            </w:pPr>
          </w:p>
        </w:tc>
        <w:tc>
          <w:tcPr>
            <w:tcW w:w="632" w:type="pct"/>
          </w:tcPr>
          <w:p w14:paraId="06697CE2">
            <w:pPr>
              <w:autoSpaceDE w:val="0"/>
              <w:autoSpaceDN w:val="0"/>
              <w:adjustRightInd w:val="0"/>
              <w:snapToGrid w:val="0"/>
              <w:jc w:val="right"/>
            </w:pPr>
          </w:p>
        </w:tc>
        <w:tc>
          <w:tcPr>
            <w:tcW w:w="971" w:type="pct"/>
            <w:vAlign w:val="center"/>
          </w:tcPr>
          <w:p w14:paraId="2330135E">
            <w:pPr>
              <w:jc w:val="right"/>
            </w:pPr>
            <w:r>
              <w:t>2,000,000.00</w:t>
            </w:r>
          </w:p>
        </w:tc>
      </w:tr>
      <w:tr w14:paraId="7927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95" w:type="pct"/>
          </w:tcPr>
          <w:p w14:paraId="1F6FFACA">
            <w:pPr>
              <w:autoSpaceDE w:val="0"/>
              <w:autoSpaceDN w:val="0"/>
              <w:adjustRightInd w:val="0"/>
              <w:snapToGrid w:val="0"/>
            </w:pPr>
            <w:r>
              <w:t>乌拉圭汽车公司BESINEY S.A</w:t>
            </w:r>
          </w:p>
        </w:tc>
        <w:tc>
          <w:tcPr>
            <w:tcW w:w="869" w:type="pct"/>
            <w:vAlign w:val="center"/>
          </w:tcPr>
          <w:p w14:paraId="567EDEA4">
            <w:pPr>
              <w:jc w:val="right"/>
            </w:pPr>
            <w:r>
              <w:t>29,178,454.15</w:t>
            </w:r>
          </w:p>
        </w:tc>
        <w:tc>
          <w:tcPr>
            <w:tcW w:w="633" w:type="pct"/>
          </w:tcPr>
          <w:p w14:paraId="63B2D41E">
            <w:pPr>
              <w:autoSpaceDE w:val="0"/>
              <w:autoSpaceDN w:val="0"/>
              <w:adjustRightInd w:val="0"/>
              <w:snapToGrid w:val="0"/>
              <w:jc w:val="right"/>
            </w:pPr>
          </w:p>
        </w:tc>
        <w:tc>
          <w:tcPr>
            <w:tcW w:w="632" w:type="pct"/>
          </w:tcPr>
          <w:p w14:paraId="643ABB71">
            <w:pPr>
              <w:autoSpaceDE w:val="0"/>
              <w:autoSpaceDN w:val="0"/>
              <w:adjustRightInd w:val="0"/>
              <w:snapToGrid w:val="0"/>
              <w:jc w:val="right"/>
            </w:pPr>
          </w:p>
        </w:tc>
        <w:tc>
          <w:tcPr>
            <w:tcW w:w="971" w:type="pct"/>
            <w:vAlign w:val="center"/>
          </w:tcPr>
          <w:p w14:paraId="3E4662B4">
            <w:pPr>
              <w:jc w:val="right"/>
            </w:pPr>
            <w:r>
              <w:t>29,178,454.15</w:t>
            </w:r>
          </w:p>
        </w:tc>
      </w:tr>
      <w:tr w14:paraId="1562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95" w:type="pct"/>
          </w:tcPr>
          <w:p w14:paraId="4811370B">
            <w:pPr>
              <w:autoSpaceDE w:val="0"/>
              <w:autoSpaceDN w:val="0"/>
              <w:adjustRightInd w:val="0"/>
              <w:snapToGrid w:val="0"/>
            </w:pPr>
            <w:r>
              <w:t>乌拉圭发动机公司ANIKTO S.A</w:t>
            </w:r>
          </w:p>
        </w:tc>
        <w:tc>
          <w:tcPr>
            <w:tcW w:w="869" w:type="pct"/>
            <w:vAlign w:val="center"/>
          </w:tcPr>
          <w:p w14:paraId="3B98F1CD">
            <w:pPr>
              <w:jc w:val="right"/>
            </w:pPr>
            <w:r>
              <w:t>37,982.75</w:t>
            </w:r>
          </w:p>
        </w:tc>
        <w:tc>
          <w:tcPr>
            <w:tcW w:w="633" w:type="pct"/>
          </w:tcPr>
          <w:p w14:paraId="76F331A1">
            <w:pPr>
              <w:autoSpaceDE w:val="0"/>
              <w:autoSpaceDN w:val="0"/>
              <w:adjustRightInd w:val="0"/>
              <w:snapToGrid w:val="0"/>
              <w:jc w:val="right"/>
            </w:pPr>
          </w:p>
        </w:tc>
        <w:tc>
          <w:tcPr>
            <w:tcW w:w="632" w:type="pct"/>
          </w:tcPr>
          <w:p w14:paraId="33AC5CEF">
            <w:pPr>
              <w:autoSpaceDE w:val="0"/>
              <w:autoSpaceDN w:val="0"/>
              <w:adjustRightInd w:val="0"/>
              <w:snapToGrid w:val="0"/>
              <w:jc w:val="right"/>
            </w:pPr>
          </w:p>
        </w:tc>
        <w:tc>
          <w:tcPr>
            <w:tcW w:w="971" w:type="pct"/>
            <w:vAlign w:val="center"/>
          </w:tcPr>
          <w:p w14:paraId="226F6B8B">
            <w:pPr>
              <w:jc w:val="right"/>
            </w:pPr>
            <w:r>
              <w:t>37,982.75</w:t>
            </w:r>
          </w:p>
        </w:tc>
      </w:tr>
      <w:tr w14:paraId="01FD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95" w:type="pct"/>
          </w:tcPr>
          <w:p w14:paraId="3ADEC16E">
            <w:pPr>
              <w:autoSpaceDE w:val="0"/>
              <w:autoSpaceDN w:val="0"/>
              <w:adjustRightInd w:val="0"/>
              <w:snapToGrid w:val="0"/>
            </w:pPr>
            <w:r>
              <w:t>重庆力帆内燃机有限公司</w:t>
            </w:r>
          </w:p>
        </w:tc>
        <w:tc>
          <w:tcPr>
            <w:tcW w:w="869" w:type="pct"/>
            <w:vAlign w:val="center"/>
          </w:tcPr>
          <w:p w14:paraId="11F778A1">
            <w:pPr>
              <w:jc w:val="right"/>
            </w:pPr>
            <w:r>
              <w:t>11,867,279.04</w:t>
            </w:r>
          </w:p>
        </w:tc>
        <w:tc>
          <w:tcPr>
            <w:tcW w:w="633" w:type="pct"/>
          </w:tcPr>
          <w:p w14:paraId="69FF5D86">
            <w:pPr>
              <w:autoSpaceDE w:val="0"/>
              <w:autoSpaceDN w:val="0"/>
              <w:adjustRightInd w:val="0"/>
              <w:snapToGrid w:val="0"/>
              <w:jc w:val="right"/>
            </w:pPr>
          </w:p>
        </w:tc>
        <w:tc>
          <w:tcPr>
            <w:tcW w:w="632" w:type="pct"/>
          </w:tcPr>
          <w:p w14:paraId="44EE3C21">
            <w:pPr>
              <w:autoSpaceDE w:val="0"/>
              <w:autoSpaceDN w:val="0"/>
              <w:adjustRightInd w:val="0"/>
              <w:snapToGrid w:val="0"/>
              <w:jc w:val="right"/>
            </w:pPr>
          </w:p>
        </w:tc>
        <w:tc>
          <w:tcPr>
            <w:tcW w:w="971" w:type="pct"/>
            <w:vAlign w:val="center"/>
          </w:tcPr>
          <w:p w14:paraId="17D15CA7">
            <w:pPr>
              <w:jc w:val="right"/>
            </w:pPr>
            <w:r>
              <w:t>11,867,279.04</w:t>
            </w:r>
          </w:p>
        </w:tc>
      </w:tr>
      <w:tr w14:paraId="0CCE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95" w:type="pct"/>
          </w:tcPr>
          <w:p w14:paraId="017200DF">
            <w:pPr>
              <w:autoSpaceDE w:val="0"/>
              <w:autoSpaceDN w:val="0"/>
              <w:adjustRightInd w:val="0"/>
              <w:snapToGrid w:val="0"/>
            </w:pPr>
            <w:r>
              <w:t>重庆无线绿洲通信技术有限公司</w:t>
            </w:r>
          </w:p>
        </w:tc>
        <w:tc>
          <w:tcPr>
            <w:tcW w:w="869" w:type="pct"/>
            <w:vAlign w:val="center"/>
          </w:tcPr>
          <w:p w14:paraId="7548D784">
            <w:pPr>
              <w:jc w:val="right"/>
            </w:pPr>
            <w:r>
              <w:t>304,436,913.82</w:t>
            </w:r>
          </w:p>
        </w:tc>
        <w:tc>
          <w:tcPr>
            <w:tcW w:w="633" w:type="pct"/>
          </w:tcPr>
          <w:p w14:paraId="3965ACD5">
            <w:pPr>
              <w:autoSpaceDE w:val="0"/>
              <w:autoSpaceDN w:val="0"/>
              <w:adjustRightInd w:val="0"/>
              <w:snapToGrid w:val="0"/>
              <w:jc w:val="right"/>
            </w:pPr>
          </w:p>
        </w:tc>
        <w:tc>
          <w:tcPr>
            <w:tcW w:w="632" w:type="pct"/>
          </w:tcPr>
          <w:p w14:paraId="7557E730">
            <w:pPr>
              <w:autoSpaceDE w:val="0"/>
              <w:autoSpaceDN w:val="0"/>
              <w:adjustRightInd w:val="0"/>
              <w:snapToGrid w:val="0"/>
              <w:jc w:val="right"/>
            </w:pPr>
          </w:p>
        </w:tc>
        <w:tc>
          <w:tcPr>
            <w:tcW w:w="971" w:type="pct"/>
            <w:vAlign w:val="center"/>
          </w:tcPr>
          <w:p w14:paraId="3AA7EF3C">
            <w:pPr>
              <w:jc w:val="right"/>
            </w:pPr>
            <w:r>
              <w:t>304,436,913.82</w:t>
            </w:r>
          </w:p>
        </w:tc>
      </w:tr>
      <w:tr w14:paraId="495E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895" w:type="pct"/>
          </w:tcPr>
          <w:p w14:paraId="7FE7361B">
            <w:pPr>
              <w:autoSpaceDE w:val="0"/>
              <w:autoSpaceDN w:val="0"/>
              <w:adjustRightInd w:val="0"/>
              <w:snapToGrid w:val="0"/>
            </w:pPr>
            <w:r>
              <w:t>重庆润田房地产开发有限公司</w:t>
            </w:r>
          </w:p>
        </w:tc>
        <w:tc>
          <w:tcPr>
            <w:tcW w:w="869" w:type="pct"/>
            <w:vAlign w:val="center"/>
          </w:tcPr>
          <w:p w14:paraId="293C3CD1">
            <w:pPr>
              <w:jc w:val="right"/>
            </w:pPr>
            <w:r>
              <w:t>319,273,772.27</w:t>
            </w:r>
          </w:p>
        </w:tc>
        <w:tc>
          <w:tcPr>
            <w:tcW w:w="633" w:type="pct"/>
          </w:tcPr>
          <w:p w14:paraId="2A98B837">
            <w:pPr>
              <w:autoSpaceDE w:val="0"/>
              <w:autoSpaceDN w:val="0"/>
              <w:adjustRightInd w:val="0"/>
              <w:snapToGrid w:val="0"/>
              <w:jc w:val="right"/>
            </w:pPr>
          </w:p>
        </w:tc>
        <w:tc>
          <w:tcPr>
            <w:tcW w:w="632" w:type="pct"/>
          </w:tcPr>
          <w:p w14:paraId="0C7438D0">
            <w:pPr>
              <w:autoSpaceDE w:val="0"/>
              <w:autoSpaceDN w:val="0"/>
              <w:adjustRightInd w:val="0"/>
              <w:snapToGrid w:val="0"/>
              <w:jc w:val="right"/>
            </w:pPr>
          </w:p>
        </w:tc>
        <w:tc>
          <w:tcPr>
            <w:tcW w:w="971" w:type="pct"/>
            <w:vAlign w:val="center"/>
          </w:tcPr>
          <w:p w14:paraId="22AB119D">
            <w:pPr>
              <w:jc w:val="right"/>
            </w:pPr>
            <w:r>
              <w:t>319,273,772.27</w:t>
            </w:r>
          </w:p>
        </w:tc>
      </w:tr>
      <w:tr w14:paraId="32C9F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95" w:type="pct"/>
            <w:vAlign w:val="center"/>
          </w:tcPr>
          <w:p w14:paraId="4302966E">
            <w:pPr>
              <w:autoSpaceDE w:val="0"/>
              <w:autoSpaceDN w:val="0"/>
              <w:adjustRightInd w:val="0"/>
              <w:snapToGrid w:val="0"/>
              <w:jc w:val="center"/>
              <w:rPr>
                <w:color w:val="000000" w:themeColor="text1"/>
                <w:u w:val="double"/>
                <w14:textFill>
                  <w14:solidFill>
                    <w14:schemeClr w14:val="tx1"/>
                  </w14:solidFill>
                </w14:textFill>
              </w:rPr>
            </w:pPr>
            <w:r>
              <w:rPr>
                <w:rFonts w:hint="eastAsia"/>
                <w:color w:val="000000" w:themeColor="text1"/>
                <w14:textFill>
                  <w14:solidFill>
                    <w14:schemeClr w14:val="tx1"/>
                  </w14:solidFill>
                </w14:textFill>
              </w:rPr>
              <w:t>合计</w:t>
            </w:r>
          </w:p>
        </w:tc>
        <w:tc>
          <w:tcPr>
            <w:tcW w:w="869" w:type="pct"/>
            <w:vAlign w:val="center"/>
          </w:tcPr>
          <w:p w14:paraId="434B9FFD">
            <w:pPr>
              <w:jc w:val="right"/>
            </w:pPr>
            <w:r>
              <w:t>666,794,402.03</w:t>
            </w:r>
          </w:p>
        </w:tc>
        <w:tc>
          <w:tcPr>
            <w:tcW w:w="633" w:type="pct"/>
          </w:tcPr>
          <w:p w14:paraId="0EBFA383">
            <w:pPr>
              <w:jc w:val="right"/>
            </w:pPr>
          </w:p>
        </w:tc>
        <w:tc>
          <w:tcPr>
            <w:tcW w:w="632" w:type="pct"/>
          </w:tcPr>
          <w:p w14:paraId="612A7495">
            <w:pPr>
              <w:jc w:val="right"/>
            </w:pPr>
          </w:p>
        </w:tc>
        <w:tc>
          <w:tcPr>
            <w:tcW w:w="971" w:type="pct"/>
            <w:vAlign w:val="center"/>
          </w:tcPr>
          <w:p w14:paraId="4B7ECBEB">
            <w:pPr>
              <w:jc w:val="right"/>
            </w:pPr>
            <w:r>
              <w:t>666,794,402.03</w:t>
            </w:r>
          </w:p>
        </w:tc>
      </w:tr>
    </w:tbl>
    <w:p w14:paraId="47728570"/>
    <w:p w14:paraId="2C939316">
      <w:pPr>
        <w:pStyle w:val="5"/>
        <w:numPr>
          <w:ilvl w:val="0"/>
          <w:numId w:val="64"/>
        </w:numPr>
        <w:tabs>
          <w:tab w:val="left" w:pos="58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商誉减值准备</w:t>
      </w:r>
    </w:p>
    <w:sdt>
      <w:sdtPr>
        <w:rPr>
          <w:color w:val="000000" w:themeColor="text1"/>
          <w14:textFill>
            <w14:solidFill>
              <w14:schemeClr w14:val="tx1"/>
            </w14:solidFill>
          </w14:textFill>
        </w:rPr>
        <w:alias w:val="是否适用：商誉减值准备[双击切换]"/>
        <w:tag w:val="_GBC_743c9a20b5c043668f28664eb36decf8"/>
        <w:id w:val="-819649143"/>
        <w:placeholder>
          <w:docPart w:val="GBC22222222222222222222222222222"/>
        </w:placeholder>
      </w:sdtPr>
      <w:sdtEndPr>
        <w:rPr>
          <w:color w:val="000000" w:themeColor="text1"/>
          <w14:textFill>
            <w14:solidFill>
              <w14:schemeClr w14:val="tx1"/>
            </w14:solidFill>
          </w14:textFill>
        </w:rPr>
      </w:sdtEndPr>
      <w:sdtContent>
        <w:p w14:paraId="6EA6A9A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396680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商誉减值准备"/>
          <w:tag w:val="_GBC_81f58baed09c46a3bf97830ea3adfd98"/>
          <w:id w:val="10376230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商誉减值准备"/>
          <w:tag w:val="_GBC_67c9edd209fb4492bdb662edf79314f5"/>
          <w:id w:val="13946293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1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83"/>
        <w:gridCol w:w="1659"/>
        <w:gridCol w:w="1461"/>
        <w:gridCol w:w="1108"/>
        <w:gridCol w:w="1568"/>
      </w:tblGrid>
      <w:tr w14:paraId="5FF5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sdt>
          <w:sdtPr>
            <w:tag w:val="_PLD_d1a517071536478f9f7187c625e93763"/>
            <w:id w:val="-837692073"/>
          </w:sdtPr>
          <w:sdtContent>
            <w:tc>
              <w:tcPr>
                <w:tcW w:w="1877" w:type="pct"/>
                <w:vMerge w:val="restart"/>
                <w:vAlign w:val="center"/>
              </w:tcPr>
              <w:p w14:paraId="02B3C4B2">
                <w:pPr>
                  <w:autoSpaceDE w:val="0"/>
                  <w:autoSpaceDN w:val="0"/>
                  <w:adjustRightInd w:val="0"/>
                  <w:snapToGrid w:val="0"/>
                  <w:jc w:val="center"/>
                  <w:rPr>
                    <w:color w:val="000000" w:themeColor="text1"/>
                    <w14:textFill>
                      <w14:solidFill>
                        <w14:schemeClr w14:val="tx1"/>
                      </w14:solidFill>
                    </w14:textFill>
                  </w:rPr>
                </w:pPr>
                <w:bookmarkStart w:id="291" w:name="_Hlk167959929"/>
                <w:r>
                  <w:rPr>
                    <w:rFonts w:hint="eastAsia"/>
                    <w:color w:val="000000" w:themeColor="text1"/>
                    <w14:textFill>
                      <w14:solidFill>
                        <w14:schemeClr w14:val="tx1"/>
                      </w14:solidFill>
                    </w14:textFill>
                  </w:rPr>
                  <w:t>被投资单位名称或形成商誉的事项</w:t>
                </w:r>
              </w:p>
            </w:tc>
          </w:sdtContent>
        </w:sdt>
        <w:sdt>
          <w:sdtPr>
            <w:tag w:val="_PLD_a1ccc5eef6a041ffadb4dd09605c43f5"/>
            <w:id w:val="-440527788"/>
          </w:sdtPr>
          <w:sdtContent>
            <w:tc>
              <w:tcPr>
                <w:tcW w:w="894" w:type="pct"/>
                <w:vMerge w:val="restart"/>
                <w:vAlign w:val="center"/>
              </w:tcPr>
              <w:p w14:paraId="71BA3C83">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3dc4c2fbed8640a6acf5f19dd5073967"/>
            <w:id w:val="672537622"/>
          </w:sdtPr>
          <w:sdtContent>
            <w:tc>
              <w:tcPr>
                <w:tcW w:w="787" w:type="pct"/>
                <w:vAlign w:val="center"/>
              </w:tcPr>
              <w:p w14:paraId="015D346E">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36789e440c5d4e70969760ec1adf11d6"/>
            <w:id w:val="-1286353878"/>
          </w:sdtPr>
          <w:sdtContent>
            <w:tc>
              <w:tcPr>
                <w:tcW w:w="597" w:type="pct"/>
                <w:vAlign w:val="center"/>
              </w:tcPr>
              <w:p w14:paraId="72A756C5">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b4bf3be5aa6c45bea85b5ae1c027be47"/>
            <w:id w:val="-543368511"/>
          </w:sdtPr>
          <w:sdtContent>
            <w:tc>
              <w:tcPr>
                <w:tcW w:w="845" w:type="pct"/>
                <w:vMerge w:val="restart"/>
                <w:vAlign w:val="center"/>
              </w:tcPr>
              <w:p w14:paraId="4B25740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4065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877" w:type="pct"/>
            <w:vMerge w:val="continue"/>
          </w:tcPr>
          <w:p w14:paraId="28D6887D">
            <w:pPr>
              <w:autoSpaceDE w:val="0"/>
              <w:autoSpaceDN w:val="0"/>
              <w:adjustRightInd w:val="0"/>
              <w:snapToGrid w:val="0"/>
              <w:rPr>
                <w:color w:val="000000" w:themeColor="text1"/>
                <w14:textFill>
                  <w14:solidFill>
                    <w14:schemeClr w14:val="tx1"/>
                  </w14:solidFill>
                </w14:textFill>
              </w:rPr>
            </w:pPr>
          </w:p>
        </w:tc>
        <w:tc>
          <w:tcPr>
            <w:tcW w:w="894" w:type="pct"/>
            <w:vMerge w:val="continue"/>
            <w:vAlign w:val="center"/>
          </w:tcPr>
          <w:p w14:paraId="6FE5CEE3">
            <w:pPr>
              <w:autoSpaceDE w:val="0"/>
              <w:autoSpaceDN w:val="0"/>
              <w:adjustRightInd w:val="0"/>
              <w:snapToGrid w:val="0"/>
              <w:jc w:val="right"/>
              <w:rPr>
                <w:color w:val="000000" w:themeColor="text1"/>
                <w14:textFill>
                  <w14:solidFill>
                    <w14:schemeClr w14:val="tx1"/>
                  </w14:solidFill>
                </w14:textFill>
              </w:rPr>
            </w:pPr>
          </w:p>
        </w:tc>
        <w:sdt>
          <w:sdtPr>
            <w:tag w:val="_PLD_fe6ebe6f95b64eeabc2aef23beee858c"/>
            <w:id w:val="2005941544"/>
          </w:sdtPr>
          <w:sdtContent>
            <w:tc>
              <w:tcPr>
                <w:tcW w:w="787" w:type="pct"/>
                <w:vAlign w:val="center"/>
              </w:tcPr>
              <w:p w14:paraId="082F8ECE">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计提</w:t>
                </w:r>
              </w:p>
            </w:tc>
          </w:sdtContent>
        </w:sdt>
        <w:sdt>
          <w:sdtPr>
            <w:tag w:val="_PLD_aaaa2d8a1fae404e9bab86b79225c7e3"/>
            <w:id w:val="-1960330179"/>
          </w:sdtPr>
          <w:sdtContent>
            <w:tc>
              <w:tcPr>
                <w:tcW w:w="597" w:type="pct"/>
                <w:vAlign w:val="center"/>
              </w:tcPr>
              <w:p w14:paraId="4EADD614">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处置</w:t>
                </w:r>
              </w:p>
            </w:tc>
          </w:sdtContent>
        </w:sdt>
        <w:tc>
          <w:tcPr>
            <w:tcW w:w="845" w:type="pct"/>
            <w:vMerge w:val="continue"/>
          </w:tcPr>
          <w:p w14:paraId="34BF23B7">
            <w:pPr>
              <w:autoSpaceDE w:val="0"/>
              <w:autoSpaceDN w:val="0"/>
              <w:adjustRightInd w:val="0"/>
              <w:snapToGrid w:val="0"/>
              <w:jc w:val="center"/>
              <w:rPr>
                <w:color w:val="000000" w:themeColor="text1"/>
                <w14:textFill>
                  <w14:solidFill>
                    <w14:schemeClr w14:val="tx1"/>
                  </w14:solidFill>
                </w14:textFill>
              </w:rPr>
            </w:pPr>
          </w:p>
        </w:tc>
      </w:tr>
      <w:tr w14:paraId="6FE7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77" w:type="pct"/>
          </w:tcPr>
          <w:p w14:paraId="6EC8237A">
            <w:pPr>
              <w:autoSpaceDE w:val="0"/>
              <w:autoSpaceDN w:val="0"/>
              <w:adjustRightInd w:val="0"/>
              <w:snapToGrid w:val="0"/>
            </w:pPr>
            <w:r>
              <w:t>力帆-越南摩托车制造联营公司</w:t>
            </w:r>
          </w:p>
        </w:tc>
        <w:tc>
          <w:tcPr>
            <w:tcW w:w="894" w:type="pct"/>
            <w:vAlign w:val="center"/>
          </w:tcPr>
          <w:p w14:paraId="685B46F0">
            <w:pPr>
              <w:jc w:val="right"/>
            </w:pPr>
            <w:r>
              <w:t>2,000,000.00</w:t>
            </w:r>
          </w:p>
        </w:tc>
        <w:tc>
          <w:tcPr>
            <w:tcW w:w="787" w:type="pct"/>
          </w:tcPr>
          <w:p w14:paraId="318F8F73">
            <w:pPr>
              <w:jc w:val="right"/>
            </w:pPr>
          </w:p>
        </w:tc>
        <w:tc>
          <w:tcPr>
            <w:tcW w:w="597" w:type="pct"/>
          </w:tcPr>
          <w:p w14:paraId="43CA41E6">
            <w:pPr>
              <w:jc w:val="right"/>
            </w:pPr>
          </w:p>
        </w:tc>
        <w:tc>
          <w:tcPr>
            <w:tcW w:w="845" w:type="pct"/>
            <w:vAlign w:val="center"/>
          </w:tcPr>
          <w:p w14:paraId="129CB97C">
            <w:pPr>
              <w:jc w:val="right"/>
            </w:pPr>
            <w:r>
              <w:t>2,000,000.00</w:t>
            </w:r>
          </w:p>
        </w:tc>
      </w:tr>
      <w:tr w14:paraId="686B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77" w:type="pct"/>
          </w:tcPr>
          <w:p w14:paraId="179F41B1">
            <w:pPr>
              <w:autoSpaceDE w:val="0"/>
              <w:autoSpaceDN w:val="0"/>
              <w:adjustRightInd w:val="0"/>
              <w:snapToGrid w:val="0"/>
            </w:pPr>
            <w:r>
              <w:t>乌拉圭汽车公司BESINEY S.A</w:t>
            </w:r>
          </w:p>
        </w:tc>
        <w:tc>
          <w:tcPr>
            <w:tcW w:w="894" w:type="pct"/>
            <w:vAlign w:val="center"/>
          </w:tcPr>
          <w:p w14:paraId="1FDE867F">
            <w:pPr>
              <w:jc w:val="right"/>
            </w:pPr>
            <w:r>
              <w:t>29,178,454.15</w:t>
            </w:r>
          </w:p>
        </w:tc>
        <w:tc>
          <w:tcPr>
            <w:tcW w:w="787" w:type="pct"/>
          </w:tcPr>
          <w:p w14:paraId="2AB1FB81">
            <w:pPr>
              <w:jc w:val="right"/>
            </w:pPr>
          </w:p>
        </w:tc>
        <w:tc>
          <w:tcPr>
            <w:tcW w:w="597" w:type="pct"/>
          </w:tcPr>
          <w:p w14:paraId="4DF2FB0F">
            <w:pPr>
              <w:jc w:val="right"/>
            </w:pPr>
          </w:p>
        </w:tc>
        <w:tc>
          <w:tcPr>
            <w:tcW w:w="845" w:type="pct"/>
            <w:vAlign w:val="center"/>
          </w:tcPr>
          <w:p w14:paraId="0B0541D0">
            <w:pPr>
              <w:jc w:val="right"/>
            </w:pPr>
            <w:r>
              <w:t>29,178,454.15</w:t>
            </w:r>
          </w:p>
        </w:tc>
      </w:tr>
      <w:tr w14:paraId="0563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77" w:type="pct"/>
          </w:tcPr>
          <w:p w14:paraId="30B193AB">
            <w:pPr>
              <w:autoSpaceDE w:val="0"/>
              <w:autoSpaceDN w:val="0"/>
              <w:adjustRightInd w:val="0"/>
              <w:snapToGrid w:val="0"/>
            </w:pPr>
            <w:r>
              <w:t>乌拉圭发动机公司ANIKTO S.A</w:t>
            </w:r>
          </w:p>
        </w:tc>
        <w:tc>
          <w:tcPr>
            <w:tcW w:w="894" w:type="pct"/>
            <w:vAlign w:val="center"/>
          </w:tcPr>
          <w:p w14:paraId="32971D8F">
            <w:pPr>
              <w:jc w:val="right"/>
            </w:pPr>
            <w:r>
              <w:t>37,982.75</w:t>
            </w:r>
          </w:p>
        </w:tc>
        <w:tc>
          <w:tcPr>
            <w:tcW w:w="787" w:type="pct"/>
          </w:tcPr>
          <w:p w14:paraId="3B0DC328">
            <w:pPr>
              <w:jc w:val="right"/>
            </w:pPr>
          </w:p>
        </w:tc>
        <w:tc>
          <w:tcPr>
            <w:tcW w:w="597" w:type="pct"/>
          </w:tcPr>
          <w:p w14:paraId="16345D90">
            <w:pPr>
              <w:jc w:val="right"/>
            </w:pPr>
          </w:p>
        </w:tc>
        <w:tc>
          <w:tcPr>
            <w:tcW w:w="845" w:type="pct"/>
            <w:vAlign w:val="center"/>
          </w:tcPr>
          <w:p w14:paraId="5033D33F">
            <w:pPr>
              <w:jc w:val="right"/>
            </w:pPr>
            <w:r>
              <w:t>37,982.75</w:t>
            </w:r>
          </w:p>
        </w:tc>
      </w:tr>
      <w:tr w14:paraId="2370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77" w:type="pct"/>
          </w:tcPr>
          <w:p w14:paraId="67C38634">
            <w:pPr>
              <w:autoSpaceDE w:val="0"/>
              <w:autoSpaceDN w:val="0"/>
              <w:adjustRightInd w:val="0"/>
              <w:snapToGrid w:val="0"/>
            </w:pPr>
            <w:r>
              <w:t>重庆力帆内燃机有限公司</w:t>
            </w:r>
          </w:p>
        </w:tc>
        <w:tc>
          <w:tcPr>
            <w:tcW w:w="894" w:type="pct"/>
            <w:vAlign w:val="center"/>
          </w:tcPr>
          <w:p w14:paraId="3DEB51D8">
            <w:pPr>
              <w:jc w:val="right"/>
            </w:pPr>
            <w:r>
              <w:t>11,867,279.04</w:t>
            </w:r>
          </w:p>
        </w:tc>
        <w:tc>
          <w:tcPr>
            <w:tcW w:w="787" w:type="pct"/>
          </w:tcPr>
          <w:p w14:paraId="3A6F4EAD">
            <w:pPr>
              <w:jc w:val="right"/>
            </w:pPr>
          </w:p>
        </w:tc>
        <w:tc>
          <w:tcPr>
            <w:tcW w:w="597" w:type="pct"/>
          </w:tcPr>
          <w:p w14:paraId="694D183B">
            <w:pPr>
              <w:jc w:val="right"/>
            </w:pPr>
          </w:p>
        </w:tc>
        <w:tc>
          <w:tcPr>
            <w:tcW w:w="845" w:type="pct"/>
            <w:vAlign w:val="center"/>
          </w:tcPr>
          <w:p w14:paraId="0947B1B7">
            <w:pPr>
              <w:jc w:val="right"/>
            </w:pPr>
            <w:r>
              <w:t>11,867,279.04</w:t>
            </w:r>
          </w:p>
        </w:tc>
      </w:tr>
      <w:tr w14:paraId="53D3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77" w:type="pct"/>
          </w:tcPr>
          <w:p w14:paraId="349EE0FD">
            <w:pPr>
              <w:autoSpaceDE w:val="0"/>
              <w:autoSpaceDN w:val="0"/>
              <w:adjustRightInd w:val="0"/>
              <w:snapToGrid w:val="0"/>
            </w:pPr>
            <w:r>
              <w:t>重庆无线绿洲通信技术有限公司</w:t>
            </w:r>
          </w:p>
        </w:tc>
        <w:tc>
          <w:tcPr>
            <w:tcW w:w="894" w:type="pct"/>
            <w:vAlign w:val="center"/>
          </w:tcPr>
          <w:p w14:paraId="15182F59">
            <w:pPr>
              <w:jc w:val="right"/>
            </w:pPr>
            <w:r>
              <w:t>304,436,913.82</w:t>
            </w:r>
          </w:p>
        </w:tc>
        <w:tc>
          <w:tcPr>
            <w:tcW w:w="787" w:type="pct"/>
          </w:tcPr>
          <w:p w14:paraId="53B9251A">
            <w:pPr>
              <w:jc w:val="right"/>
            </w:pPr>
          </w:p>
        </w:tc>
        <w:tc>
          <w:tcPr>
            <w:tcW w:w="597" w:type="pct"/>
          </w:tcPr>
          <w:p w14:paraId="053C71F8">
            <w:pPr>
              <w:jc w:val="right"/>
            </w:pPr>
          </w:p>
        </w:tc>
        <w:tc>
          <w:tcPr>
            <w:tcW w:w="845" w:type="pct"/>
            <w:vAlign w:val="center"/>
          </w:tcPr>
          <w:p w14:paraId="7A508B78">
            <w:pPr>
              <w:jc w:val="right"/>
            </w:pPr>
            <w:r>
              <w:t>304,436,913.82</w:t>
            </w:r>
          </w:p>
        </w:tc>
      </w:tr>
      <w:tr w14:paraId="0287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877" w:type="pct"/>
          </w:tcPr>
          <w:p w14:paraId="1E08ADA7">
            <w:pPr>
              <w:autoSpaceDE w:val="0"/>
              <w:autoSpaceDN w:val="0"/>
              <w:adjustRightInd w:val="0"/>
              <w:snapToGrid w:val="0"/>
            </w:pPr>
            <w:r>
              <w:t>重庆润田房地产开发有限公司</w:t>
            </w:r>
          </w:p>
        </w:tc>
        <w:tc>
          <w:tcPr>
            <w:tcW w:w="894" w:type="pct"/>
            <w:vAlign w:val="center"/>
          </w:tcPr>
          <w:p w14:paraId="7E1D094A">
            <w:pPr>
              <w:jc w:val="center"/>
            </w:pPr>
            <w:r>
              <w:t>117,177,300.75</w:t>
            </w:r>
          </w:p>
        </w:tc>
        <w:tc>
          <w:tcPr>
            <w:tcW w:w="787" w:type="pct"/>
            <w:vAlign w:val="center"/>
          </w:tcPr>
          <w:p w14:paraId="2AB1738B">
            <w:pPr>
              <w:jc w:val="center"/>
            </w:pPr>
            <w:r>
              <w:t>34,530,539.01</w:t>
            </w:r>
          </w:p>
        </w:tc>
        <w:tc>
          <w:tcPr>
            <w:tcW w:w="597" w:type="pct"/>
            <w:vAlign w:val="center"/>
          </w:tcPr>
          <w:p w14:paraId="61BD0A62">
            <w:pPr>
              <w:jc w:val="center"/>
            </w:pPr>
          </w:p>
        </w:tc>
        <w:tc>
          <w:tcPr>
            <w:tcW w:w="845" w:type="pct"/>
            <w:vAlign w:val="center"/>
          </w:tcPr>
          <w:p w14:paraId="3564A0A9">
            <w:pPr>
              <w:jc w:val="center"/>
            </w:pPr>
            <w:r>
              <w:t>151,707,839.76</w:t>
            </w:r>
          </w:p>
        </w:tc>
      </w:tr>
      <w:tr w14:paraId="2F76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877" w:type="pct"/>
            <w:vAlign w:val="center"/>
          </w:tcPr>
          <w:p w14:paraId="6D8436F1">
            <w:pPr>
              <w:autoSpaceDE w:val="0"/>
              <w:autoSpaceDN w:val="0"/>
              <w:adjustRightInd w:val="0"/>
              <w:snapToGrid w:val="0"/>
              <w:jc w:val="center"/>
              <w:rPr>
                <w:color w:val="000000" w:themeColor="text1"/>
                <w:u w:val="double"/>
                <w14:textFill>
                  <w14:solidFill>
                    <w14:schemeClr w14:val="tx1"/>
                  </w14:solidFill>
                </w14:textFill>
              </w:rPr>
            </w:pPr>
            <w:r>
              <w:rPr>
                <w:rFonts w:hint="eastAsia"/>
                <w:color w:val="000000" w:themeColor="text1"/>
                <w14:textFill>
                  <w14:solidFill>
                    <w14:schemeClr w14:val="tx1"/>
                  </w14:solidFill>
                </w14:textFill>
              </w:rPr>
              <w:t>合计</w:t>
            </w:r>
          </w:p>
        </w:tc>
        <w:tc>
          <w:tcPr>
            <w:tcW w:w="894" w:type="pct"/>
            <w:vAlign w:val="center"/>
          </w:tcPr>
          <w:p w14:paraId="0B5504BE">
            <w:pPr>
              <w:jc w:val="center"/>
            </w:pPr>
            <w:r>
              <w:t>464,697,930.51</w:t>
            </w:r>
          </w:p>
        </w:tc>
        <w:tc>
          <w:tcPr>
            <w:tcW w:w="787" w:type="pct"/>
            <w:vAlign w:val="center"/>
          </w:tcPr>
          <w:p w14:paraId="2FC36DFD">
            <w:pPr>
              <w:jc w:val="center"/>
            </w:pPr>
            <w:r>
              <w:t>34,530,539.01</w:t>
            </w:r>
          </w:p>
        </w:tc>
        <w:tc>
          <w:tcPr>
            <w:tcW w:w="597" w:type="pct"/>
            <w:vAlign w:val="center"/>
          </w:tcPr>
          <w:p w14:paraId="0796708C">
            <w:pPr>
              <w:jc w:val="center"/>
            </w:pPr>
          </w:p>
        </w:tc>
        <w:tc>
          <w:tcPr>
            <w:tcW w:w="845" w:type="pct"/>
            <w:vAlign w:val="center"/>
          </w:tcPr>
          <w:p w14:paraId="243FA384">
            <w:pPr>
              <w:jc w:val="center"/>
            </w:pPr>
            <w:r>
              <w:t>499,228,469.52</w:t>
            </w:r>
          </w:p>
        </w:tc>
      </w:tr>
    </w:tbl>
    <w:p w14:paraId="1E2FAF23"/>
    <w:p w14:paraId="360877FD">
      <w:pPr>
        <w:pStyle w:val="5"/>
        <w:numPr>
          <w:ilvl w:val="0"/>
          <w:numId w:val="64"/>
        </w:numPr>
        <w:tabs>
          <w:tab w:val="left" w:pos="58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商誉所在资产组或资产组组合的相关信息</w:t>
      </w:r>
    </w:p>
    <w:sdt>
      <w:sdtPr>
        <w:rPr>
          <w:rFonts w:hint="eastAsia"/>
          <w:color w:val="000000" w:themeColor="text1"/>
          <w14:textFill>
            <w14:solidFill>
              <w14:schemeClr w14:val="tx1"/>
            </w14:solidFill>
          </w14:textFill>
        </w:rPr>
        <w:alias w:val="是否适用：商誉所在资产组或资产组组合的相关信息[双击切换]"/>
        <w:tag w:val="_GBC_3010fdfa06fe41c1b1d500ed6edace89"/>
        <w:id w:val="-643814044"/>
        <w:placeholder>
          <w:docPart w:val="GBC22222222222222222222222222222"/>
        </w:placeholder>
      </w:sdtPr>
      <w:sdtEndPr>
        <w:rPr>
          <w:rFonts w:hint="eastAsia"/>
          <w:color w:val="000000" w:themeColor="text1"/>
          <w14:textFill>
            <w14:solidFill>
              <w14:schemeClr w14:val="tx1"/>
            </w14:solidFill>
          </w14:textFill>
        </w:rPr>
      </w:sdtEndPr>
      <w:sdtContent>
        <w:p w14:paraId="6CCC692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1915"/>
        <w:gridCol w:w="2072"/>
        <w:gridCol w:w="2632"/>
      </w:tblGrid>
      <w:tr w14:paraId="1ECB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919452812d4aaa8936687b8bfccb67"/>
            <w:id w:val="-1275945826"/>
          </w:sdtPr>
          <w:sdtContent>
            <w:tc>
              <w:tcPr>
                <w:tcW w:w="2204" w:type="dxa"/>
                <w:vAlign w:val="center"/>
              </w:tcPr>
              <w:p w14:paraId="7580310A">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名称</w:t>
                </w:r>
              </w:p>
            </w:tc>
          </w:sdtContent>
        </w:sdt>
        <w:sdt>
          <w:sdtPr>
            <w:tag w:val="_PLD_e8f1b9a6221f4972b29c49808dc79d30"/>
            <w:id w:val="-1269315691"/>
          </w:sdtPr>
          <w:sdtContent>
            <w:tc>
              <w:tcPr>
                <w:tcW w:w="1915" w:type="dxa"/>
                <w:vAlign w:val="center"/>
              </w:tcPr>
              <w:p w14:paraId="1A0D2B19">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所属资产组或组合的构成及依据</w:t>
                </w:r>
              </w:p>
            </w:tc>
          </w:sdtContent>
        </w:sdt>
        <w:sdt>
          <w:sdtPr>
            <w:tag w:val="_PLD_96dd6bcac8ab4de3b253487e9cd88b15"/>
            <w:id w:val="86813117"/>
          </w:sdtPr>
          <w:sdtContent>
            <w:tc>
              <w:tcPr>
                <w:tcW w:w="2072" w:type="dxa"/>
                <w:vAlign w:val="center"/>
              </w:tcPr>
              <w:p w14:paraId="5ABF42CB">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所属经营分部及依据</w:t>
                </w:r>
              </w:p>
            </w:tc>
          </w:sdtContent>
        </w:sdt>
        <w:sdt>
          <w:sdtPr>
            <w:tag w:val="_PLD_54f9a2ad176b44a5adce49c2dd260962"/>
            <w:id w:val="727499168"/>
          </w:sdtPr>
          <w:sdtContent>
            <w:tc>
              <w:tcPr>
                <w:tcW w:w="2632" w:type="dxa"/>
                <w:vAlign w:val="center"/>
              </w:tcPr>
              <w:p w14:paraId="0A3A8914">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是否与以前年度保持一致</w:t>
                </w:r>
              </w:p>
            </w:tc>
          </w:sdtContent>
        </w:sdt>
      </w:tr>
      <w:tr w14:paraId="0D6F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4" w:type="dxa"/>
          </w:tcPr>
          <w:p w14:paraId="1C93AF36">
            <w:pPr>
              <w:widowControl w:val="0"/>
              <w:jc w:val="both"/>
            </w:pPr>
            <w:r>
              <w:rPr>
                <w:rFonts w:hint="eastAsia"/>
              </w:rPr>
              <w:t>重庆润田房地产开发有限公司</w:t>
            </w:r>
          </w:p>
        </w:tc>
        <w:tc>
          <w:tcPr>
            <w:tcW w:w="1915" w:type="dxa"/>
          </w:tcPr>
          <w:p w14:paraId="35CEBCCD">
            <w:pPr>
              <w:widowControl w:val="0"/>
              <w:jc w:val="both"/>
            </w:pPr>
            <w:r>
              <w:rPr>
                <w:rFonts w:hint="eastAsia"/>
              </w:rPr>
              <w:t>所在资产组为存货、投资性房地产</w:t>
            </w:r>
          </w:p>
        </w:tc>
        <w:tc>
          <w:tcPr>
            <w:tcW w:w="2072" w:type="dxa"/>
            <w:vAlign w:val="center"/>
          </w:tcPr>
          <w:p w14:paraId="35C39CB0">
            <w:pPr>
              <w:widowControl w:val="0"/>
              <w:jc w:val="center"/>
            </w:pPr>
            <w:r>
              <w:rPr>
                <w:rFonts w:hint="eastAsia"/>
              </w:rPr>
              <w:t>地产</w:t>
            </w:r>
          </w:p>
        </w:tc>
        <w:sdt>
          <w:sdtPr>
            <w:rPr>
              <w:color w:val="000000" w:themeColor="text1"/>
              <w14:textFill>
                <w14:solidFill>
                  <w14:schemeClr w14:val="tx1"/>
                </w14:solidFill>
              </w14:textFill>
            </w:rPr>
            <w:alias w:val="商誉所在资产组或资产组组合的相关信息明细_是否与以前年度保持一致"/>
            <w:tag w:val="_GBC_3b471d039e3b454d93c9768c072ce51c"/>
            <w:id w:val="2007469012"/>
            <w:comboBox>
              <w:listItem w:displayText="是" w:value="是"/>
              <w:listItem w:displayText="否" w:value="否"/>
            </w:comboBox>
          </w:sdtPr>
          <w:sdtEndPr>
            <w:rPr>
              <w:color w:val="000000" w:themeColor="text1"/>
              <w14:textFill>
                <w14:solidFill>
                  <w14:schemeClr w14:val="tx1"/>
                </w14:solidFill>
              </w14:textFill>
            </w:rPr>
          </w:sdtEndPr>
          <w:sdtContent>
            <w:tc>
              <w:tcPr>
                <w:tcW w:w="2632" w:type="dxa"/>
                <w:vAlign w:val="center"/>
              </w:tcPr>
              <w:p w14:paraId="799A2BEE">
                <w:pPr>
                  <w:widowControl w:val="0"/>
                  <w:jc w:val="center"/>
                  <w:rPr>
                    <w:color w:val="000000" w:themeColor="text1"/>
                    <w14:textFill>
                      <w14:solidFill>
                        <w14:schemeClr w14:val="tx1"/>
                      </w14:solidFill>
                    </w14:textFill>
                  </w:rPr>
                </w:pPr>
                <w:r>
                  <w:rPr>
                    <w:color w:val="000000" w:themeColor="text1"/>
                    <w14:textFill>
                      <w14:solidFill>
                        <w14:schemeClr w14:val="tx1"/>
                      </w14:solidFill>
                    </w14:textFill>
                  </w:rPr>
                  <w:t>是</w:t>
                </w:r>
              </w:p>
            </w:tc>
          </w:sdtContent>
        </w:sdt>
      </w:tr>
    </w:tbl>
    <w:p w14:paraId="04C7DD18">
      <w:pPr>
        <w:rPr>
          <w:color w:val="000000" w:themeColor="text1"/>
          <w14:textFill>
            <w14:solidFill>
              <w14:schemeClr w14:val="tx1"/>
            </w14:solidFill>
          </w14:textFill>
        </w:rPr>
      </w:pPr>
    </w:p>
    <w:p w14:paraId="59C6036A">
      <w:pPr>
        <w:rPr>
          <w:color w:val="000000" w:themeColor="text1"/>
          <w14:textFill>
            <w14:solidFill>
              <w14:schemeClr w14:val="tx1"/>
            </w14:solidFill>
          </w14:textFill>
        </w:rPr>
      </w:pPr>
      <w:bookmarkStart w:id="292" w:name="_Hlk153462880"/>
      <w:r>
        <w:rPr>
          <w:rFonts w:hint="eastAsia"/>
          <w:color w:val="000000" w:themeColor="text1"/>
          <w14:textFill>
            <w14:solidFill>
              <w14:schemeClr w14:val="tx1"/>
            </w14:solidFill>
          </w14:textFill>
        </w:rPr>
        <w:t>资产组或资产组组合发生变化</w:t>
      </w:r>
    </w:p>
    <w:sdt>
      <w:sdtPr>
        <w:rPr>
          <w:color w:val="000000" w:themeColor="text1"/>
          <w14:textFill>
            <w14:solidFill>
              <w14:schemeClr w14:val="tx1"/>
            </w14:solidFill>
          </w14:textFill>
        </w:rPr>
        <w:alias w:val="是否适用：资产组或资产组组合发生变化[双击切换]"/>
        <w:tag w:val="_GBC_7123d6208cbb4b6a9f652548afdc778a"/>
        <w:id w:val="-1256359611"/>
        <w:placeholder>
          <w:docPart w:val="GBC22222222222222222222222222222"/>
        </w:placeholder>
      </w:sdtPr>
      <w:sdtEndPr>
        <w:rPr>
          <w:color w:val="000000" w:themeColor="text1"/>
          <w14:textFill>
            <w14:solidFill>
              <w14:schemeClr w14:val="tx1"/>
            </w14:solidFill>
          </w14:textFill>
        </w:rPr>
      </w:sdtEndPr>
      <w:sdtContent>
        <w:p w14:paraId="6F96838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BA2D7AA">
      <w:pPr>
        <w:rPr>
          <w:color w:val="000000" w:themeColor="text1"/>
          <w14:textFill>
            <w14:solidFill>
              <w14:schemeClr w14:val="tx1"/>
            </w14:solidFill>
          </w14:textFill>
        </w:rPr>
      </w:pPr>
    </w:p>
    <w:bookmarkEnd w:id="292"/>
    <w:p w14:paraId="1F08DBDB">
      <w:pPr>
        <w:rPr>
          <w:color w:val="000000" w:themeColor="text1"/>
          <w14:textFill>
            <w14:solidFill>
              <w14:schemeClr w14:val="tx1"/>
            </w14:solidFill>
          </w14:textFill>
        </w:rPr>
      </w:pPr>
      <w:bookmarkStart w:id="293" w:name="_Hlk152948734"/>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商誉所在资产组或资产组组合的相关信息其他说明[双击切换]"/>
        <w:tag w:val="_GBC_ffeac5265704403bb47e0eefe5c2d04e"/>
        <w:id w:val="-1213186682"/>
        <w:placeholder>
          <w:docPart w:val="GBC22222222222222222222222222222"/>
        </w:placeholder>
      </w:sdtPr>
      <w:sdtEndPr>
        <w:rPr>
          <w:color w:val="000000" w:themeColor="text1"/>
          <w14:textFill>
            <w14:solidFill>
              <w14:schemeClr w14:val="tx1"/>
            </w14:solidFill>
          </w14:textFill>
        </w:rPr>
      </w:sdtEndPr>
      <w:sdtContent>
        <w:p w14:paraId="20C95CF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293"/>
    <w:p w14:paraId="3E457573">
      <w:pPr>
        <w:rPr>
          <w:color w:val="000000" w:themeColor="text1"/>
          <w14:textFill>
            <w14:solidFill>
              <w14:schemeClr w14:val="tx1"/>
            </w14:solidFill>
          </w14:textFill>
        </w:rPr>
      </w:pPr>
    </w:p>
    <w:p w14:paraId="30F512FE">
      <w:pPr>
        <w:pStyle w:val="5"/>
        <w:numPr>
          <w:ilvl w:val="0"/>
          <w:numId w:val="64"/>
        </w:numPr>
        <w:tabs>
          <w:tab w:val="left" w:pos="588"/>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可收回金额的具体确定方法</w:t>
      </w:r>
    </w:p>
    <w:p w14:paraId="3ECF0EFC">
      <w:pPr>
        <w:rPr>
          <w:color w:val="000000" w:themeColor="text1"/>
          <w14:textFill>
            <w14:solidFill>
              <w14:schemeClr w14:val="tx1"/>
            </w14:solidFill>
          </w14:textFill>
        </w:rPr>
      </w:pPr>
      <w:bookmarkStart w:id="294" w:name="_Hlk153463075"/>
      <w:r>
        <w:rPr>
          <w:rFonts w:hint="eastAsia"/>
          <w:color w:val="000000" w:themeColor="text1"/>
          <w14:textFill>
            <w14:solidFill>
              <w14:schemeClr w14:val="tx1"/>
            </w14:solidFill>
          </w14:textFill>
        </w:rPr>
        <w:t>可收回金额按公允价值减去处置费用后的净额确定</w:t>
      </w:r>
    </w:p>
    <w:sdt>
      <w:sdtPr>
        <w:rPr>
          <w:color w:val="000000" w:themeColor="text1"/>
          <w14:textFill>
            <w14:solidFill>
              <w14:schemeClr w14:val="tx1"/>
            </w14:solidFill>
          </w14:textFill>
        </w:rPr>
        <w:alias w:val="是否适用：可收回金额按公允价值减去处置费用后的净额确定[双击切换]"/>
        <w:tag w:val="_GBC_c14479181df74e309ba619055f328f4b"/>
        <w:id w:val="-1958323662"/>
        <w:placeholder>
          <w:docPart w:val="GBC22222222222222222222222222222"/>
        </w:placeholder>
      </w:sdtPr>
      <w:sdtEndPr>
        <w:rPr>
          <w:color w:val="000000" w:themeColor="text1"/>
          <w14:textFill>
            <w14:solidFill>
              <w14:schemeClr w14:val="tx1"/>
            </w14:solidFill>
          </w14:textFill>
        </w:rPr>
      </w:sdtEndPr>
      <w:sdtContent>
        <w:p w14:paraId="7F62FCAE">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5C0363A">
      <w:pPr>
        <w:rPr>
          <w:color w:val="000000" w:themeColor="text1"/>
          <w14:textFill>
            <w14:solidFill>
              <w14:schemeClr w14:val="tx1"/>
            </w14:solidFill>
          </w14:textFill>
        </w:rPr>
      </w:pPr>
    </w:p>
    <w:p w14:paraId="0546B954">
      <w:pPr>
        <w:rPr>
          <w:color w:val="000000" w:themeColor="text1"/>
          <w14:textFill>
            <w14:solidFill>
              <w14:schemeClr w14:val="tx1"/>
            </w14:solidFill>
          </w14:textFill>
        </w:rPr>
      </w:pPr>
      <w:r>
        <w:rPr>
          <w:rFonts w:hint="eastAsia"/>
          <w:color w:val="000000" w:themeColor="text1"/>
          <w14:textFill>
            <w14:solidFill>
              <w14:schemeClr w14:val="tx1"/>
            </w14:solidFill>
          </w14:textFill>
        </w:rPr>
        <w:t>可收回金额按预计未来现金流量的现值确定</w:t>
      </w:r>
    </w:p>
    <w:sdt>
      <w:sdtPr>
        <w:rPr>
          <w:rFonts w:hint="eastAsia"/>
          <w:color w:val="000000" w:themeColor="text1"/>
          <w14:textFill>
            <w14:solidFill>
              <w14:schemeClr w14:val="tx1"/>
            </w14:solidFill>
          </w14:textFill>
        </w:rPr>
        <w:alias w:val="是否适用：可收回金额按预计未来现金流量的现值确定[双击切换]"/>
        <w:tag w:val="_GBC_775cb3824be54e48866a569883927f9d"/>
        <w:id w:val="-1900051368"/>
        <w:placeholder>
          <w:docPart w:val="GBC22222222222222222222222222222"/>
        </w:placeholder>
      </w:sdtPr>
      <w:sdtEndPr>
        <w:rPr>
          <w:rFonts w:hint="eastAsia"/>
          <w:color w:val="000000" w:themeColor="text1"/>
          <w14:textFill>
            <w14:solidFill>
              <w14:schemeClr w14:val="tx1"/>
            </w14:solidFill>
          </w14:textFill>
        </w:rPr>
      </w:sdtEndPr>
      <w:sdtContent>
        <w:p w14:paraId="245D48F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834A71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可收回金额按预计未来现金流量的现值确定"/>
          <w:tag w:val="_GBC_571bbf0be170465ca87dc3200f36fd8e"/>
          <w:id w:val="-1956935707"/>
          <w:placeholder>
            <w:docPart w:val="885933D842F2488691E6F57C255EE3F5"/>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可收回金额按预计未来现金流量的现值确定"/>
          <w:tag w:val="_GBC_e446f077b8704803a8e6619f9777b890"/>
          <w:id w:val="-1030407792"/>
          <w:placeholder>
            <w:docPart w:val="885933D842F2488691E6F57C255EE3F5"/>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454"/>
        <w:gridCol w:w="1600"/>
        <w:gridCol w:w="1308"/>
        <w:gridCol w:w="1308"/>
        <w:gridCol w:w="1306"/>
        <w:gridCol w:w="1235"/>
        <w:gridCol w:w="802"/>
        <w:gridCol w:w="729"/>
      </w:tblGrid>
      <w:tr w14:paraId="7478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sz w:val="18"/>
              <w:szCs w:val="18"/>
            </w:rPr>
            <w:tag w:val="_PLD_5b1703e6749d4bd99c4065f59e645eb2"/>
            <w:id w:val="-1949997312"/>
          </w:sdtPr>
          <w:sdtEndPr>
            <w:rPr>
              <w:sz w:val="18"/>
              <w:szCs w:val="18"/>
            </w:rPr>
          </w:sdtEndPr>
          <w:sdtContent>
            <w:tc>
              <w:tcPr>
                <w:tcW w:w="471" w:type="pct"/>
                <w:vAlign w:val="center"/>
              </w:tcPr>
              <w:p w14:paraId="56FC1771">
                <w:pPr>
                  <w:snapToGrid w:val="0"/>
                  <w:spacing w:line="240" w:lineRule="atLeast"/>
                  <w:ind w:left="-53" w:leftChars="-25" w:right="-53" w:rightChars="-2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p>
            </w:tc>
          </w:sdtContent>
        </w:sdt>
        <w:sdt>
          <w:sdtPr>
            <w:rPr>
              <w:sz w:val="18"/>
              <w:szCs w:val="18"/>
            </w:rPr>
            <w:tag w:val="_PLD_b6298a4f95ff4d31b3f95df50853b985"/>
            <w:id w:val="-1168642249"/>
          </w:sdtPr>
          <w:sdtEndPr>
            <w:rPr>
              <w:sz w:val="18"/>
              <w:szCs w:val="18"/>
            </w:rPr>
          </w:sdtEndPr>
          <w:sdtContent>
            <w:tc>
              <w:tcPr>
                <w:tcW w:w="676" w:type="pct"/>
                <w:vAlign w:val="center"/>
              </w:tcPr>
              <w:p w14:paraId="201C3952">
                <w:pPr>
                  <w:snapToGrid w:val="0"/>
                  <w:spacing w:line="240" w:lineRule="atLeast"/>
                  <w:ind w:left="-53" w:leftChars="-25" w:right="-53" w:rightChars="-2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账面价值</w:t>
                </w:r>
              </w:p>
            </w:tc>
          </w:sdtContent>
        </w:sdt>
        <w:sdt>
          <w:sdtPr>
            <w:rPr>
              <w:sz w:val="18"/>
              <w:szCs w:val="18"/>
            </w:rPr>
            <w:tag w:val="_PLD_ed1cd3a620a54cb681cb49856e706425"/>
            <w:id w:val="-2142024727"/>
          </w:sdtPr>
          <w:sdtEndPr>
            <w:rPr>
              <w:sz w:val="18"/>
              <w:szCs w:val="18"/>
            </w:rPr>
          </w:sdtEndPr>
          <w:sdtContent>
            <w:tc>
              <w:tcPr>
                <w:tcW w:w="744" w:type="pct"/>
                <w:vAlign w:val="center"/>
              </w:tcPr>
              <w:p w14:paraId="75CFCE83">
                <w:pPr>
                  <w:snapToGrid w:val="0"/>
                  <w:spacing w:line="240" w:lineRule="atLeast"/>
                  <w:ind w:left="-53" w:leftChars="-25" w:right="-53" w:rightChars="-2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可收回金额</w:t>
                </w:r>
              </w:p>
            </w:tc>
          </w:sdtContent>
        </w:sdt>
        <w:sdt>
          <w:sdtPr>
            <w:rPr>
              <w:sz w:val="18"/>
              <w:szCs w:val="18"/>
            </w:rPr>
            <w:tag w:val="_PLD_7498bdc763954da186a1c2099c4bcce0"/>
            <w:id w:val="1957830955"/>
          </w:sdtPr>
          <w:sdtEndPr>
            <w:rPr>
              <w:sz w:val="18"/>
              <w:szCs w:val="18"/>
            </w:rPr>
          </w:sdtEndPr>
          <w:sdtContent>
            <w:tc>
              <w:tcPr>
                <w:tcW w:w="608" w:type="pct"/>
                <w:vAlign w:val="center"/>
              </w:tcPr>
              <w:p w14:paraId="40325B9F">
                <w:pPr>
                  <w:snapToGrid w:val="0"/>
                  <w:spacing w:line="240" w:lineRule="atLeast"/>
                  <w:ind w:left="-53" w:leftChars="-25" w:right="-53" w:rightChars="-25"/>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减值金额</w:t>
                </w:r>
              </w:p>
            </w:tc>
          </w:sdtContent>
        </w:sdt>
        <w:sdt>
          <w:sdtPr>
            <w:rPr>
              <w:sz w:val="18"/>
              <w:szCs w:val="18"/>
            </w:rPr>
            <w:tag w:val="_PLD_04b978621a8e4c5d876200766cca6997"/>
            <w:id w:val="-1032652114"/>
          </w:sdtPr>
          <w:sdtEndPr>
            <w:rPr>
              <w:sz w:val="18"/>
              <w:szCs w:val="18"/>
            </w:rPr>
          </w:sdtEndPr>
          <w:sdtContent>
            <w:tc>
              <w:tcPr>
                <w:tcW w:w="608" w:type="pct"/>
                <w:vAlign w:val="center"/>
              </w:tcPr>
              <w:p w14:paraId="66F1A91E">
                <w:pPr>
                  <w:snapToGrid w:val="0"/>
                  <w:spacing w:line="240" w:lineRule="atLeast"/>
                  <w:ind w:left="-53" w:leftChars="-25" w:right="-53" w:rightChars="-2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预测期的年限</w:t>
                </w:r>
              </w:p>
            </w:tc>
          </w:sdtContent>
        </w:sdt>
        <w:sdt>
          <w:sdtPr>
            <w:rPr>
              <w:sz w:val="18"/>
              <w:szCs w:val="18"/>
            </w:rPr>
            <w:tag w:val="_PLD_10e8c61576a84ed1845d596cfe00453e"/>
            <w:id w:val="1414197811"/>
          </w:sdtPr>
          <w:sdtEndPr>
            <w:rPr>
              <w:sz w:val="18"/>
              <w:szCs w:val="18"/>
            </w:rPr>
          </w:sdtEndPr>
          <w:sdtContent>
            <w:tc>
              <w:tcPr>
                <w:tcW w:w="607" w:type="pct"/>
                <w:vAlign w:val="center"/>
              </w:tcPr>
              <w:p w14:paraId="5FF1D33E">
                <w:pPr>
                  <w:snapToGrid w:val="0"/>
                  <w:spacing w:line="240" w:lineRule="atLeast"/>
                  <w:ind w:left="-53" w:leftChars="-25" w:right="-53" w:rightChars="-2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预测期的关键参数（增长率、利润率等）</w:t>
                </w:r>
              </w:p>
            </w:tc>
          </w:sdtContent>
        </w:sdt>
        <w:sdt>
          <w:sdtPr>
            <w:rPr>
              <w:sz w:val="18"/>
              <w:szCs w:val="18"/>
            </w:rPr>
            <w:tag w:val="_PLD_725a09792ff54e35b83e09c153e9d89e"/>
            <w:id w:val="43179180"/>
          </w:sdtPr>
          <w:sdtEndPr>
            <w:rPr>
              <w:sz w:val="18"/>
              <w:szCs w:val="18"/>
            </w:rPr>
          </w:sdtEndPr>
          <w:sdtContent>
            <w:tc>
              <w:tcPr>
                <w:tcW w:w="574" w:type="pct"/>
                <w:vAlign w:val="center"/>
              </w:tcPr>
              <w:p w14:paraId="5B41C837">
                <w:pPr>
                  <w:snapToGrid w:val="0"/>
                  <w:spacing w:line="240" w:lineRule="atLeast"/>
                  <w:ind w:left="-53" w:leftChars="-25" w:right="-53" w:rightChars="-2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预测期内的参数的确定依据</w:t>
                </w:r>
              </w:p>
            </w:tc>
          </w:sdtContent>
        </w:sdt>
        <w:sdt>
          <w:sdtPr>
            <w:rPr>
              <w:sz w:val="18"/>
              <w:szCs w:val="18"/>
            </w:rPr>
            <w:tag w:val="_PLD_22792a3e236d4e8e87a9434b280ea5fa"/>
            <w:id w:val="797956443"/>
          </w:sdtPr>
          <w:sdtEndPr>
            <w:rPr>
              <w:sz w:val="18"/>
              <w:szCs w:val="18"/>
            </w:rPr>
          </w:sdtEndPr>
          <w:sdtContent>
            <w:tc>
              <w:tcPr>
                <w:tcW w:w="373" w:type="pct"/>
                <w:vAlign w:val="center"/>
              </w:tcPr>
              <w:p w14:paraId="05AAC5E4">
                <w:pPr>
                  <w:snapToGrid w:val="0"/>
                  <w:spacing w:line="240" w:lineRule="atLeast"/>
                  <w:ind w:left="-53" w:leftChars="-25" w:right="-53" w:rightChars="-25"/>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稳定期的关键参数（增长率、利润率、折现率等）</w:t>
                </w:r>
              </w:p>
            </w:tc>
          </w:sdtContent>
        </w:sdt>
        <w:sdt>
          <w:sdtPr>
            <w:rPr>
              <w:sz w:val="18"/>
              <w:szCs w:val="18"/>
            </w:rPr>
            <w:tag w:val="_PLD_440f254a8603485c8786ed1c094b145a"/>
            <w:id w:val="-463356580"/>
          </w:sdtPr>
          <w:sdtEndPr>
            <w:rPr>
              <w:sz w:val="18"/>
              <w:szCs w:val="18"/>
            </w:rPr>
          </w:sdtEndPr>
          <w:sdtContent>
            <w:tc>
              <w:tcPr>
                <w:tcW w:w="339" w:type="pct"/>
                <w:vAlign w:val="center"/>
              </w:tcPr>
              <w:p w14:paraId="0376827D">
                <w:pPr>
                  <w:snapToGrid w:val="0"/>
                  <w:spacing w:line="240" w:lineRule="atLeast"/>
                  <w:ind w:left="-53" w:leftChars="-25" w:right="-53" w:rightChars="-25"/>
                  <w:jc w:val="center"/>
                  <w:rPr>
                    <w:b/>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稳定期的关键参数的确定依据</w:t>
                </w:r>
              </w:p>
            </w:tc>
          </w:sdtContent>
        </w:sdt>
      </w:tr>
      <w:tr w14:paraId="5111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restart"/>
            <w:vAlign w:val="center"/>
          </w:tcPr>
          <w:p w14:paraId="559A6B20">
            <w:pPr>
              <w:snapToGrid w:val="0"/>
              <w:spacing w:line="240" w:lineRule="atLeast"/>
              <w:ind w:left="-53" w:leftChars="-25" w:right="-53" w:rightChars="-25"/>
              <w:jc w:val="center"/>
              <w:rPr>
                <w:spacing w:val="-6"/>
                <w:sz w:val="18"/>
                <w:szCs w:val="18"/>
              </w:rPr>
            </w:pPr>
            <w:r>
              <w:rPr>
                <w:rFonts w:hint="eastAsia"/>
                <w:spacing w:val="-6"/>
                <w:sz w:val="18"/>
                <w:szCs w:val="18"/>
              </w:rPr>
              <w:t>重庆润田房地产开发有限公司</w:t>
            </w:r>
          </w:p>
        </w:tc>
        <w:tc>
          <w:tcPr>
            <w:tcW w:w="676" w:type="pct"/>
            <w:vMerge w:val="restart"/>
            <w:vAlign w:val="center"/>
          </w:tcPr>
          <w:p w14:paraId="200C8C1C">
            <w:pPr>
              <w:snapToGrid w:val="0"/>
              <w:spacing w:line="240" w:lineRule="atLeast"/>
              <w:ind w:left="-53" w:leftChars="-25" w:right="-53" w:rightChars="-25"/>
              <w:jc w:val="right"/>
              <w:rPr>
                <w:spacing w:val="-6"/>
                <w:sz w:val="18"/>
                <w:szCs w:val="18"/>
              </w:rPr>
            </w:pPr>
            <w:r>
              <w:t>2,292,167,039.01</w:t>
            </w:r>
          </w:p>
        </w:tc>
        <w:tc>
          <w:tcPr>
            <w:tcW w:w="744" w:type="pct"/>
            <w:vMerge w:val="restart"/>
            <w:vAlign w:val="center"/>
          </w:tcPr>
          <w:p w14:paraId="1C67CDB7">
            <w:pPr>
              <w:snapToGrid w:val="0"/>
              <w:spacing w:line="240" w:lineRule="atLeast"/>
              <w:ind w:left="-53" w:leftChars="-25" w:right="-53" w:rightChars="-25"/>
              <w:jc w:val="right"/>
              <w:rPr>
                <w:spacing w:val="-6"/>
                <w:sz w:val="18"/>
                <w:szCs w:val="18"/>
              </w:rPr>
            </w:pPr>
            <w:r>
              <w:t>2,257,636,500.00</w:t>
            </w:r>
          </w:p>
        </w:tc>
        <w:tc>
          <w:tcPr>
            <w:tcW w:w="608" w:type="pct"/>
            <w:vMerge w:val="restart"/>
            <w:vAlign w:val="center"/>
          </w:tcPr>
          <w:p w14:paraId="554B9A27">
            <w:pPr>
              <w:snapToGrid w:val="0"/>
              <w:spacing w:line="240" w:lineRule="atLeast"/>
              <w:ind w:left="-53" w:leftChars="-25" w:right="-53" w:rightChars="-25"/>
              <w:jc w:val="right"/>
              <w:rPr>
                <w:spacing w:val="-6"/>
                <w:sz w:val="18"/>
                <w:szCs w:val="18"/>
              </w:rPr>
            </w:pPr>
            <w:r>
              <w:t>34,530,539.01</w:t>
            </w:r>
          </w:p>
        </w:tc>
        <w:tc>
          <w:tcPr>
            <w:tcW w:w="608" w:type="pct"/>
            <w:vAlign w:val="center"/>
          </w:tcPr>
          <w:p w14:paraId="5065BE9B">
            <w:pPr>
              <w:snapToGrid w:val="0"/>
              <w:spacing w:line="240" w:lineRule="atLeast"/>
              <w:ind w:left="-53" w:leftChars="-25" w:right="-53" w:rightChars="-25"/>
              <w:jc w:val="center"/>
              <w:rPr>
                <w:spacing w:val="-6"/>
                <w:sz w:val="18"/>
                <w:szCs w:val="18"/>
              </w:rPr>
            </w:pPr>
            <w:r>
              <w:rPr>
                <w:rFonts w:hint="eastAsia"/>
                <w:spacing w:val="-6"/>
                <w:sz w:val="18"/>
                <w:szCs w:val="18"/>
              </w:rPr>
              <w:t>投资性房地产2</w:t>
            </w:r>
            <w:r>
              <w:rPr>
                <w:spacing w:val="-6"/>
                <w:sz w:val="18"/>
                <w:szCs w:val="18"/>
              </w:rPr>
              <w:t>7.77</w:t>
            </w:r>
            <w:r>
              <w:rPr>
                <w:rFonts w:hint="eastAsia"/>
                <w:spacing w:val="-6"/>
                <w:sz w:val="18"/>
                <w:szCs w:val="18"/>
              </w:rPr>
              <w:t>年</w:t>
            </w:r>
          </w:p>
        </w:tc>
        <w:tc>
          <w:tcPr>
            <w:tcW w:w="607" w:type="pct"/>
            <w:vAlign w:val="center"/>
          </w:tcPr>
          <w:p w14:paraId="6A4E247C">
            <w:pPr>
              <w:snapToGrid w:val="0"/>
              <w:spacing w:line="240" w:lineRule="atLeast"/>
              <w:ind w:left="-53" w:leftChars="-25" w:right="-53" w:rightChars="-25"/>
              <w:jc w:val="center"/>
              <w:rPr>
                <w:spacing w:val="-6"/>
                <w:sz w:val="18"/>
                <w:szCs w:val="18"/>
              </w:rPr>
            </w:pPr>
            <w:r>
              <w:rPr>
                <w:rFonts w:hint="eastAsia"/>
                <w:spacing w:val="-6"/>
                <w:sz w:val="18"/>
                <w:szCs w:val="18"/>
              </w:rPr>
              <w:t>投资性房地产</w:t>
            </w:r>
            <w:r>
              <w:rPr>
                <w:spacing w:val="-6"/>
                <w:sz w:val="18"/>
                <w:szCs w:val="18"/>
              </w:rPr>
              <w:t>年租金增长率2%</w:t>
            </w:r>
            <w:r>
              <w:rPr>
                <w:rFonts w:hint="eastAsia"/>
                <w:spacing w:val="-6"/>
                <w:sz w:val="18"/>
                <w:szCs w:val="18"/>
              </w:rPr>
              <w:t>，</w:t>
            </w:r>
            <w:r>
              <w:rPr>
                <w:spacing w:val="-6"/>
                <w:sz w:val="18"/>
                <w:szCs w:val="18"/>
              </w:rPr>
              <w:t>空置率5.5%</w:t>
            </w:r>
          </w:p>
        </w:tc>
        <w:tc>
          <w:tcPr>
            <w:tcW w:w="574" w:type="pct"/>
            <w:vAlign w:val="center"/>
          </w:tcPr>
          <w:p w14:paraId="52DAA3A1">
            <w:pPr>
              <w:snapToGrid w:val="0"/>
              <w:spacing w:line="240" w:lineRule="atLeast"/>
              <w:ind w:left="-53" w:leftChars="-25" w:right="-53" w:rightChars="-25"/>
              <w:jc w:val="center"/>
              <w:rPr>
                <w:spacing w:val="-6"/>
                <w:sz w:val="18"/>
                <w:szCs w:val="18"/>
              </w:rPr>
            </w:pPr>
            <w:r>
              <w:rPr>
                <w:rFonts w:hint="eastAsia"/>
                <w:spacing w:val="-6"/>
                <w:sz w:val="18"/>
                <w:szCs w:val="18"/>
              </w:rPr>
              <w:t>无风险报酬率加风险补偿率</w:t>
            </w:r>
          </w:p>
        </w:tc>
        <w:tc>
          <w:tcPr>
            <w:tcW w:w="373" w:type="pct"/>
            <w:vAlign w:val="center"/>
          </w:tcPr>
          <w:p w14:paraId="28C4379F">
            <w:pPr>
              <w:snapToGrid w:val="0"/>
              <w:spacing w:line="240" w:lineRule="atLeast"/>
              <w:ind w:left="-53" w:leftChars="-25" w:right="-53" w:rightChars="-25"/>
              <w:jc w:val="center"/>
              <w:rPr>
                <w:spacing w:val="-6"/>
                <w:sz w:val="18"/>
                <w:szCs w:val="18"/>
              </w:rPr>
            </w:pPr>
            <w:r>
              <w:rPr>
                <w:rFonts w:hint="eastAsia"/>
                <w:spacing w:val="-6"/>
                <w:sz w:val="18"/>
                <w:szCs w:val="18"/>
              </w:rPr>
              <w:t>5</w:t>
            </w:r>
            <w:r>
              <w:rPr>
                <w:spacing w:val="-6"/>
                <w:sz w:val="18"/>
                <w:szCs w:val="18"/>
              </w:rPr>
              <w:t>.5</w:t>
            </w:r>
            <w:r>
              <w:rPr>
                <w:rFonts w:hint="eastAsia"/>
                <w:spacing w:val="-6"/>
                <w:sz w:val="18"/>
                <w:szCs w:val="18"/>
              </w:rPr>
              <w:t>%</w:t>
            </w:r>
          </w:p>
        </w:tc>
        <w:tc>
          <w:tcPr>
            <w:tcW w:w="339" w:type="pct"/>
            <w:vAlign w:val="center"/>
          </w:tcPr>
          <w:p w14:paraId="0A96AA54">
            <w:pPr>
              <w:snapToGrid w:val="0"/>
              <w:spacing w:line="240" w:lineRule="atLeast"/>
              <w:ind w:left="-53" w:leftChars="-25" w:right="-53" w:rightChars="-25"/>
              <w:jc w:val="center"/>
              <w:rPr>
                <w:spacing w:val="-6"/>
                <w:sz w:val="18"/>
                <w:szCs w:val="18"/>
              </w:rPr>
            </w:pPr>
          </w:p>
        </w:tc>
      </w:tr>
      <w:tr w14:paraId="6D8B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Merge w:val="continue"/>
          </w:tcPr>
          <w:p w14:paraId="6B444F2E">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p>
        </w:tc>
        <w:tc>
          <w:tcPr>
            <w:tcW w:w="676" w:type="pct"/>
            <w:vMerge w:val="continue"/>
            <w:vAlign w:val="center"/>
          </w:tcPr>
          <w:p w14:paraId="369E7ED0">
            <w:pPr>
              <w:snapToGrid w:val="0"/>
              <w:spacing w:line="240" w:lineRule="atLeast"/>
              <w:ind w:left="-53" w:leftChars="-25" w:right="-53" w:rightChars="-25"/>
              <w:jc w:val="right"/>
            </w:pPr>
          </w:p>
        </w:tc>
        <w:tc>
          <w:tcPr>
            <w:tcW w:w="744" w:type="pct"/>
            <w:vMerge w:val="continue"/>
            <w:vAlign w:val="center"/>
          </w:tcPr>
          <w:p w14:paraId="7973C900">
            <w:pPr>
              <w:snapToGrid w:val="0"/>
              <w:spacing w:line="240" w:lineRule="atLeast"/>
              <w:ind w:left="-53" w:leftChars="-25" w:right="-53" w:rightChars="-25"/>
              <w:jc w:val="right"/>
            </w:pPr>
          </w:p>
        </w:tc>
        <w:tc>
          <w:tcPr>
            <w:tcW w:w="608" w:type="pct"/>
            <w:vMerge w:val="continue"/>
            <w:vAlign w:val="center"/>
          </w:tcPr>
          <w:p w14:paraId="69F3043A">
            <w:pPr>
              <w:snapToGrid w:val="0"/>
              <w:spacing w:line="240" w:lineRule="atLeast"/>
              <w:ind w:left="-53" w:leftChars="-25" w:right="-53" w:rightChars="-25"/>
              <w:jc w:val="right"/>
            </w:pPr>
          </w:p>
        </w:tc>
        <w:tc>
          <w:tcPr>
            <w:tcW w:w="608" w:type="pct"/>
            <w:vAlign w:val="center"/>
          </w:tcPr>
          <w:p w14:paraId="2AF60F65">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rFonts w:hint="eastAsia"/>
                <w:color w:val="000000" w:themeColor="text1"/>
                <w:spacing w:val="-6"/>
                <w:sz w:val="18"/>
                <w:szCs w:val="18"/>
                <w14:textFill>
                  <w14:solidFill>
                    <w14:schemeClr w14:val="tx1"/>
                  </w14:solidFill>
                </w14:textFill>
              </w:rPr>
              <w:t>存货3年</w:t>
            </w:r>
          </w:p>
        </w:tc>
        <w:tc>
          <w:tcPr>
            <w:tcW w:w="607" w:type="pct"/>
            <w:vAlign w:val="center"/>
          </w:tcPr>
          <w:p w14:paraId="3CB965DD">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rFonts w:hint="eastAsia"/>
                <w:color w:val="000000" w:themeColor="text1"/>
                <w:spacing w:val="-6"/>
                <w:sz w:val="18"/>
                <w:szCs w:val="18"/>
                <w14:textFill>
                  <w14:solidFill>
                    <w14:schemeClr w14:val="tx1"/>
                  </w14:solidFill>
                </w14:textFill>
              </w:rPr>
              <w:t>无增长率</w:t>
            </w:r>
          </w:p>
        </w:tc>
        <w:tc>
          <w:tcPr>
            <w:tcW w:w="574" w:type="pct"/>
            <w:vAlign w:val="center"/>
          </w:tcPr>
          <w:p w14:paraId="2F85B6C3">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rFonts w:hint="eastAsia"/>
                <w:color w:val="000000" w:themeColor="text1"/>
                <w:spacing w:val="-6"/>
                <w:sz w:val="18"/>
                <w:szCs w:val="18"/>
                <w14:textFill>
                  <w14:solidFill>
                    <w14:schemeClr w14:val="tx1"/>
                  </w14:solidFill>
                </w14:textFill>
              </w:rPr>
              <w:t>税前的加权平均资本成本</w:t>
            </w:r>
          </w:p>
        </w:tc>
        <w:tc>
          <w:tcPr>
            <w:tcW w:w="373" w:type="pct"/>
          </w:tcPr>
          <w:p w14:paraId="37C12AC3">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rFonts w:hint="eastAsia"/>
                <w:color w:val="000000" w:themeColor="text1"/>
                <w:spacing w:val="-6"/>
                <w:sz w:val="18"/>
                <w:szCs w:val="18"/>
                <w14:textFill>
                  <w14:solidFill>
                    <w14:schemeClr w14:val="tx1"/>
                  </w14:solidFill>
                </w14:textFill>
              </w:rPr>
              <w:t>1</w:t>
            </w:r>
            <w:r>
              <w:rPr>
                <w:color w:val="000000" w:themeColor="text1"/>
                <w:spacing w:val="-6"/>
                <w:sz w:val="18"/>
                <w:szCs w:val="18"/>
                <w14:textFill>
                  <w14:solidFill>
                    <w14:schemeClr w14:val="tx1"/>
                  </w14:solidFill>
                </w14:textFill>
              </w:rPr>
              <w:t>1.61</w:t>
            </w:r>
            <w:r>
              <w:rPr>
                <w:rFonts w:hint="eastAsia"/>
                <w:color w:val="000000" w:themeColor="text1"/>
                <w:spacing w:val="-6"/>
                <w:sz w:val="18"/>
                <w:szCs w:val="18"/>
                <w14:textFill>
                  <w14:solidFill>
                    <w14:schemeClr w14:val="tx1"/>
                  </w14:solidFill>
                </w14:textFill>
              </w:rPr>
              <w:t>%</w:t>
            </w:r>
          </w:p>
        </w:tc>
        <w:tc>
          <w:tcPr>
            <w:tcW w:w="339" w:type="pct"/>
          </w:tcPr>
          <w:p w14:paraId="08923F1A">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p>
        </w:tc>
      </w:tr>
      <w:tr w14:paraId="6E5F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tcPr>
          <w:p w14:paraId="634BE7D5">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color w:val="000000" w:themeColor="text1"/>
                <w:spacing w:val="-6"/>
                <w:sz w:val="18"/>
                <w:szCs w:val="18"/>
                <w14:textFill>
                  <w14:solidFill>
                    <w14:schemeClr w14:val="tx1"/>
                  </w14:solidFill>
                </w14:textFill>
              </w:rPr>
              <w:t>合计</w:t>
            </w:r>
          </w:p>
        </w:tc>
        <w:tc>
          <w:tcPr>
            <w:tcW w:w="676" w:type="pct"/>
            <w:vAlign w:val="center"/>
          </w:tcPr>
          <w:p w14:paraId="7209CF89">
            <w:pPr>
              <w:snapToGrid w:val="0"/>
              <w:spacing w:line="240" w:lineRule="atLeast"/>
              <w:ind w:left="-53" w:leftChars="-25" w:right="-53" w:rightChars="-25"/>
              <w:jc w:val="right"/>
              <w:rPr>
                <w:spacing w:val="-6"/>
                <w:sz w:val="18"/>
                <w:szCs w:val="18"/>
              </w:rPr>
            </w:pPr>
            <w:r>
              <w:t>2,292,167,039.01</w:t>
            </w:r>
          </w:p>
        </w:tc>
        <w:tc>
          <w:tcPr>
            <w:tcW w:w="744" w:type="pct"/>
            <w:vAlign w:val="center"/>
          </w:tcPr>
          <w:p w14:paraId="7D6BAFF4">
            <w:pPr>
              <w:snapToGrid w:val="0"/>
              <w:spacing w:line="240" w:lineRule="atLeast"/>
              <w:ind w:left="-53" w:leftChars="-25" w:right="-53" w:rightChars="-25"/>
              <w:jc w:val="right"/>
              <w:rPr>
                <w:spacing w:val="-6"/>
                <w:sz w:val="18"/>
                <w:szCs w:val="18"/>
              </w:rPr>
            </w:pPr>
            <w:r>
              <w:t>2,257,636,500.00</w:t>
            </w:r>
          </w:p>
        </w:tc>
        <w:tc>
          <w:tcPr>
            <w:tcW w:w="608" w:type="pct"/>
            <w:vAlign w:val="center"/>
          </w:tcPr>
          <w:p w14:paraId="274A2724">
            <w:pPr>
              <w:snapToGrid w:val="0"/>
              <w:spacing w:line="240" w:lineRule="atLeast"/>
              <w:ind w:left="-53" w:leftChars="-25" w:right="-53" w:rightChars="-25"/>
              <w:jc w:val="right"/>
              <w:rPr>
                <w:spacing w:val="-6"/>
                <w:sz w:val="18"/>
                <w:szCs w:val="18"/>
              </w:rPr>
            </w:pPr>
            <w:r>
              <w:t>34,530,539.01</w:t>
            </w:r>
          </w:p>
        </w:tc>
        <w:tc>
          <w:tcPr>
            <w:tcW w:w="608" w:type="pct"/>
          </w:tcPr>
          <w:p w14:paraId="62CC6186">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color w:val="000000" w:themeColor="text1"/>
                <w:spacing w:val="-6"/>
                <w:sz w:val="18"/>
                <w:szCs w:val="18"/>
                <w14:textFill>
                  <w14:solidFill>
                    <w14:schemeClr w14:val="tx1"/>
                  </w14:solidFill>
                </w14:textFill>
              </w:rPr>
              <w:t>/</w:t>
            </w:r>
          </w:p>
        </w:tc>
        <w:tc>
          <w:tcPr>
            <w:tcW w:w="607" w:type="pct"/>
          </w:tcPr>
          <w:p w14:paraId="55C63C87">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color w:val="000000" w:themeColor="text1"/>
                <w:spacing w:val="-6"/>
                <w:sz w:val="18"/>
                <w:szCs w:val="18"/>
                <w14:textFill>
                  <w14:solidFill>
                    <w14:schemeClr w14:val="tx1"/>
                  </w14:solidFill>
                </w14:textFill>
              </w:rPr>
              <w:t>/</w:t>
            </w:r>
          </w:p>
        </w:tc>
        <w:tc>
          <w:tcPr>
            <w:tcW w:w="574" w:type="pct"/>
          </w:tcPr>
          <w:p w14:paraId="310CE1A2">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color w:val="000000" w:themeColor="text1"/>
                <w:spacing w:val="-6"/>
                <w:sz w:val="18"/>
                <w:szCs w:val="18"/>
                <w14:textFill>
                  <w14:solidFill>
                    <w14:schemeClr w14:val="tx1"/>
                  </w14:solidFill>
                </w14:textFill>
              </w:rPr>
              <w:t>/</w:t>
            </w:r>
          </w:p>
        </w:tc>
        <w:tc>
          <w:tcPr>
            <w:tcW w:w="373" w:type="pct"/>
          </w:tcPr>
          <w:p w14:paraId="5638CE7B">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color w:val="000000" w:themeColor="text1"/>
                <w:spacing w:val="-6"/>
                <w:sz w:val="18"/>
                <w:szCs w:val="18"/>
                <w14:textFill>
                  <w14:solidFill>
                    <w14:schemeClr w14:val="tx1"/>
                  </w14:solidFill>
                </w14:textFill>
              </w:rPr>
              <w:t>/</w:t>
            </w:r>
          </w:p>
        </w:tc>
        <w:tc>
          <w:tcPr>
            <w:tcW w:w="339" w:type="pct"/>
          </w:tcPr>
          <w:p w14:paraId="5C561B39">
            <w:pPr>
              <w:snapToGrid w:val="0"/>
              <w:spacing w:line="240" w:lineRule="atLeast"/>
              <w:ind w:left="-53" w:leftChars="-25" w:right="-53" w:rightChars="-25"/>
              <w:jc w:val="center"/>
              <w:rPr>
                <w:color w:val="000000" w:themeColor="text1"/>
                <w:spacing w:val="-6"/>
                <w:sz w:val="18"/>
                <w:szCs w:val="18"/>
                <w14:textFill>
                  <w14:solidFill>
                    <w14:schemeClr w14:val="tx1"/>
                  </w14:solidFill>
                </w14:textFill>
              </w:rPr>
            </w:pPr>
            <w:r>
              <w:rPr>
                <w:color w:val="000000" w:themeColor="text1"/>
                <w:spacing w:val="-6"/>
                <w:sz w:val="18"/>
                <w:szCs w:val="18"/>
                <w14:textFill>
                  <w14:solidFill>
                    <w14:schemeClr w14:val="tx1"/>
                  </w14:solidFill>
                </w14:textFill>
              </w:rPr>
              <w:t>/</w:t>
            </w:r>
          </w:p>
        </w:tc>
      </w:tr>
    </w:tbl>
    <w:p w14:paraId="479A8ECA">
      <w:pPr>
        <w:rPr>
          <w:color w:val="000000" w:themeColor="text1"/>
          <w14:textFill>
            <w14:solidFill>
              <w14:schemeClr w14:val="tx1"/>
            </w14:solidFill>
          </w14:textFill>
        </w:rPr>
      </w:pPr>
    </w:p>
    <w:p w14:paraId="1B3F0D98">
      <w:pPr>
        <w:rPr>
          <w:color w:val="000000" w:themeColor="text1"/>
          <w14:textFill>
            <w14:solidFill>
              <w14:schemeClr w14:val="tx1"/>
            </w14:solidFill>
          </w14:textFill>
        </w:rPr>
      </w:pPr>
      <w:r>
        <w:rPr>
          <w:rFonts w:hint="eastAsia"/>
          <w:color w:val="000000" w:themeColor="text1"/>
          <w14:textFill>
            <w14:solidFill>
              <w14:schemeClr w14:val="tx1"/>
            </w14:solidFill>
          </w14:textFill>
        </w:rPr>
        <w:t>前述信息与以前年度减值测试采用的信息或外部信息明显不一致的差异原因</w:t>
      </w:r>
    </w:p>
    <w:sdt>
      <w:sdtPr>
        <w:rPr>
          <w:color w:val="000000" w:themeColor="text1"/>
          <w14:textFill>
            <w14:solidFill>
              <w14:schemeClr w14:val="tx1"/>
            </w14:solidFill>
          </w14:textFill>
        </w:rPr>
        <w:alias w:val="是否适用：前述信息与以前年度减值测试采用的信息或外部信息明显不一致的差异原因[双击切换]"/>
        <w:tag w:val="_GBC_345565131261427b821f225ca476b7f0"/>
        <w:id w:val="2069753981"/>
        <w:placeholder>
          <w:docPart w:val="GBC22222222222222222222222222222"/>
        </w:placeholder>
      </w:sdtPr>
      <w:sdtEndPr>
        <w:rPr>
          <w:color w:val="000000" w:themeColor="text1"/>
          <w14:textFill>
            <w14:solidFill>
              <w14:schemeClr w14:val="tx1"/>
            </w14:solidFill>
          </w14:textFill>
        </w:rPr>
      </w:sdtEndPr>
      <w:sdtContent>
        <w:p w14:paraId="41CBB8E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5F4620F">
      <w:pPr>
        <w:snapToGrid w:val="0"/>
        <w:spacing w:line="240" w:lineRule="atLeast"/>
        <w:rPr>
          <w:color w:val="000000" w:themeColor="text1"/>
          <w14:textFill>
            <w14:solidFill>
              <w14:schemeClr w14:val="tx1"/>
            </w14:solidFill>
          </w14:textFill>
        </w:rPr>
      </w:pPr>
    </w:p>
    <w:p w14:paraId="04C01CE0">
      <w:pPr>
        <w:rPr>
          <w:color w:val="000000" w:themeColor="text1"/>
          <w14:textFill>
            <w14:solidFill>
              <w14:schemeClr w14:val="tx1"/>
            </w14:solidFill>
          </w14:textFill>
        </w:rPr>
      </w:pPr>
      <w:r>
        <w:rPr>
          <w:rFonts w:hint="eastAsia"/>
          <w:color w:val="000000" w:themeColor="text1"/>
          <w14:textFill>
            <w14:solidFill>
              <w14:schemeClr w14:val="tx1"/>
            </w14:solidFill>
          </w14:textFill>
        </w:rPr>
        <w:t>公司以前年度减值测试采用信息与当年实际情况明显不一致的差异原因</w:t>
      </w:r>
    </w:p>
    <w:sdt>
      <w:sdtPr>
        <w:rPr>
          <w:color w:val="000000" w:themeColor="text1"/>
          <w14:textFill>
            <w14:solidFill>
              <w14:schemeClr w14:val="tx1"/>
            </w14:solidFill>
          </w14:textFill>
        </w:rPr>
        <w:alias w:val="是否适用：公司以前年度减值测试采用信息与当年实际情况明显不一致的差异原因[双击切换]"/>
        <w:tag w:val="_GBC_380768c596a145f29f00b98c2c4edba5"/>
        <w:id w:val="-1774231788"/>
        <w:placeholder>
          <w:docPart w:val="GBC22222222222222222222222222222"/>
        </w:placeholder>
      </w:sdtPr>
      <w:sdtEndPr>
        <w:rPr>
          <w:color w:val="000000" w:themeColor="text1"/>
          <w14:textFill>
            <w14:solidFill>
              <w14:schemeClr w14:val="tx1"/>
            </w14:solidFill>
          </w14:textFill>
        </w:rPr>
      </w:sdtEndPr>
      <w:sdtContent>
        <w:p w14:paraId="11E75A9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AEC904">
      <w:pPr>
        <w:snapToGrid w:val="0"/>
        <w:spacing w:line="240" w:lineRule="atLeast"/>
        <w:rPr>
          <w:color w:val="000000" w:themeColor="text1"/>
          <w14:textFill>
            <w14:solidFill>
              <w14:schemeClr w14:val="tx1"/>
            </w14:solidFill>
          </w14:textFill>
        </w:rPr>
      </w:pPr>
    </w:p>
    <w:bookmarkEnd w:id="294"/>
    <w:p w14:paraId="38968F7A">
      <w:pPr>
        <w:pStyle w:val="5"/>
        <w:numPr>
          <w:ilvl w:val="0"/>
          <w:numId w:val="64"/>
        </w:numPr>
        <w:tabs>
          <w:tab w:val="left" w:pos="588"/>
        </w:tabs>
        <w:rPr>
          <w:rFonts w:ascii="宋体" w:hAnsi="宋体"/>
          <w:color w:val="000000" w:themeColor="text1"/>
          <w14:textFill>
            <w14:solidFill>
              <w14:schemeClr w14:val="tx1"/>
            </w14:solidFill>
          </w14:textFill>
        </w:rPr>
      </w:pPr>
      <w:bookmarkStart w:id="295" w:name="_Hlk153463443"/>
      <w:r>
        <w:rPr>
          <w:rFonts w:hint="eastAsia" w:ascii="宋体" w:hAnsi="宋体"/>
          <w:color w:val="000000" w:themeColor="text1"/>
          <w14:textFill>
            <w14:solidFill>
              <w14:schemeClr w14:val="tx1"/>
            </w14:solidFill>
          </w14:textFill>
        </w:rPr>
        <w:t>业绩承诺及对应商誉减值情况</w:t>
      </w:r>
    </w:p>
    <w:p w14:paraId="7D0B8C52">
      <w:pPr>
        <w:rPr>
          <w:color w:val="000000" w:themeColor="text1"/>
          <w14:textFill>
            <w14:solidFill>
              <w14:schemeClr w14:val="tx1"/>
            </w14:solidFill>
          </w14:textFill>
        </w:rPr>
      </w:pPr>
      <w:r>
        <w:rPr>
          <w:rFonts w:hint="eastAsia"/>
          <w:color w:val="000000" w:themeColor="text1"/>
          <w14:textFill>
            <w14:solidFill>
              <w14:schemeClr w14:val="tx1"/>
            </w14:solidFill>
          </w14:textFill>
        </w:rPr>
        <w:t>形成商誉时存在业绩承诺且报告期或报告期上一期间处于业绩承诺期内</w:t>
      </w:r>
    </w:p>
    <w:sdt>
      <w:sdtPr>
        <w:rPr>
          <w:color w:val="000000" w:themeColor="text1"/>
          <w14:textFill>
            <w14:solidFill>
              <w14:schemeClr w14:val="tx1"/>
            </w14:solidFill>
          </w14:textFill>
        </w:rPr>
        <w:alias w:val="是否适用：业绩承诺完成及对应商誉减值情况[双击切换]"/>
        <w:tag w:val="_GBC_f96eba4c85694a0d9c8987317df03a97"/>
        <w:id w:val="-844012298"/>
        <w:placeholder>
          <w:docPart w:val="GBC22222222222222222222222222222"/>
        </w:placeholder>
      </w:sdtPr>
      <w:sdtEndPr>
        <w:rPr>
          <w:color w:val="000000" w:themeColor="text1"/>
          <w14:textFill>
            <w14:solidFill>
              <w14:schemeClr w14:val="tx1"/>
            </w14:solidFill>
          </w14:textFill>
        </w:rPr>
      </w:sdtEndPr>
      <w:sdtContent>
        <w:p w14:paraId="4F1C9D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2C5C66C">
      <w:pPr>
        <w:rPr>
          <w:color w:val="000000" w:themeColor="text1"/>
          <w14:textFill>
            <w14:solidFill>
              <w14:schemeClr w14:val="tx1"/>
            </w14:solidFill>
          </w14:textFill>
        </w:rPr>
      </w:pPr>
    </w:p>
    <w:bookmarkEnd w:id="291"/>
    <w:bookmarkEnd w:id="295"/>
    <w:p w14:paraId="679BCA66">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商誉其他需要说明的事项[双击切换]"/>
        <w:tag w:val="_GBC_6b2c2377a4a6486b9a4ba845bd2192f6"/>
        <w:id w:val="-1672556539"/>
        <w:placeholder>
          <w:docPart w:val="GBC22222222222222222222222222222"/>
        </w:placeholder>
      </w:sdtPr>
      <w:sdtEndPr>
        <w:rPr>
          <w:color w:val="000000" w:themeColor="text1"/>
          <w14:textFill>
            <w14:solidFill>
              <w14:schemeClr w14:val="tx1"/>
            </w14:solidFill>
          </w14:textFill>
        </w:rPr>
      </w:sdtEndPr>
      <w:sdtContent>
        <w:p w14:paraId="0C0C88B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9456559">
      <w:pPr>
        <w:snapToGrid w:val="0"/>
        <w:spacing w:line="240" w:lineRule="atLeast"/>
        <w:rPr>
          <w:color w:val="000000" w:themeColor="text1"/>
          <w14:textFill>
            <w14:solidFill>
              <w14:schemeClr w14:val="tx1"/>
            </w14:solidFill>
          </w14:textFill>
        </w:rPr>
      </w:pPr>
    </w:p>
    <w:p w14:paraId="4CAFBE88">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长期待摊费用</w:t>
      </w:r>
    </w:p>
    <w:sdt>
      <w:sdtPr>
        <w:rPr>
          <w:color w:val="000000" w:themeColor="text1"/>
          <w14:textFill>
            <w14:solidFill>
              <w14:schemeClr w14:val="tx1"/>
            </w14:solidFill>
          </w14:textFill>
        </w:rPr>
        <w:alias w:val="是否适用：长期待摊费用[双击切换]"/>
        <w:tag w:val="_GBC_9bec8f9516c84b19bae2fb8a7292063f"/>
        <w:id w:val="-991253007"/>
        <w:placeholder>
          <w:docPart w:val="GBC22222222222222222222222222222"/>
        </w:placeholder>
      </w:sdtPr>
      <w:sdtEndPr>
        <w:rPr>
          <w:color w:val="000000" w:themeColor="text1"/>
          <w14:textFill>
            <w14:solidFill>
              <w14:schemeClr w14:val="tx1"/>
            </w14:solidFill>
          </w14:textFill>
        </w:rPr>
      </w:sdtEndPr>
      <w:sdtContent>
        <w:p w14:paraId="5ECD5E6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0482C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长期待摊费用"/>
          <w:tag w:val="_GBC_aa74f67aac374e54a7768a8434ab0c08"/>
          <w:id w:val="15935945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长期待摊费用"/>
          <w:tag w:val="_GBC_767b9b701cf8425c9d588b0398c42e90"/>
          <w:id w:val="-13267387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497"/>
        <w:gridCol w:w="1497"/>
        <w:gridCol w:w="1497"/>
        <w:gridCol w:w="1520"/>
        <w:gridCol w:w="1589"/>
      </w:tblGrid>
      <w:tr w14:paraId="7A47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0e665ce568e49a5aa1c687384d611b3"/>
            <w:id w:val="1212146364"/>
          </w:sdtPr>
          <w:sdtContent>
            <w:tc>
              <w:tcPr>
                <w:tcW w:w="801" w:type="pct"/>
                <w:vAlign w:val="center"/>
              </w:tcPr>
              <w:p w14:paraId="169A9CD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3597a5d560b48d59d41cd3dc72b1a3a"/>
            <w:id w:val="-1054995794"/>
          </w:sdtPr>
          <w:sdtContent>
            <w:tc>
              <w:tcPr>
                <w:tcW w:w="827" w:type="pct"/>
                <w:vAlign w:val="center"/>
              </w:tcPr>
              <w:p w14:paraId="2AA74AA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2edffaf8b24b489e97f2d4a6a5ec5711"/>
            <w:id w:val="-46837080"/>
          </w:sdtPr>
          <w:sdtContent>
            <w:tc>
              <w:tcPr>
                <w:tcW w:w="827" w:type="pct"/>
                <w:vAlign w:val="center"/>
              </w:tcPr>
              <w:p w14:paraId="44E50B0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本期增加金额</w:t>
                </w:r>
              </w:p>
            </w:tc>
          </w:sdtContent>
        </w:sdt>
        <w:sdt>
          <w:sdtPr>
            <w:tag w:val="_PLD_f6bc6a07519e4f6cab5889776aa0ecbd"/>
            <w:id w:val="1534766330"/>
          </w:sdtPr>
          <w:sdtContent>
            <w:tc>
              <w:tcPr>
                <w:tcW w:w="827" w:type="pct"/>
                <w:vAlign w:val="center"/>
              </w:tcPr>
              <w:p w14:paraId="143FF77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本期摊销金额</w:t>
                </w:r>
              </w:p>
            </w:tc>
          </w:sdtContent>
        </w:sdt>
        <w:sdt>
          <w:sdtPr>
            <w:tag w:val="_PLD_f987bb682c974016898d37b474ce35c6"/>
            <w:id w:val="1714623468"/>
          </w:sdtPr>
          <w:sdtContent>
            <w:tc>
              <w:tcPr>
                <w:tcW w:w="840" w:type="pct"/>
                <w:vAlign w:val="center"/>
              </w:tcPr>
              <w:p w14:paraId="107D31C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其他减少金额</w:t>
                </w:r>
              </w:p>
            </w:tc>
          </w:sdtContent>
        </w:sdt>
        <w:sdt>
          <w:sdtPr>
            <w:tag w:val="_PLD_dab738986fbc4bd7b942faf77cb39605"/>
            <w:id w:val="2118403176"/>
          </w:sdtPr>
          <w:sdtContent>
            <w:tc>
              <w:tcPr>
                <w:tcW w:w="878" w:type="pct"/>
                <w:vAlign w:val="center"/>
              </w:tcPr>
              <w:p w14:paraId="420D923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08A3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Pr>
          <w:p w14:paraId="6D352CE2">
            <w:pPr>
              <w:jc w:val="center"/>
            </w:pPr>
            <w:r>
              <w:t>标准件</w:t>
            </w:r>
          </w:p>
        </w:tc>
        <w:tc>
          <w:tcPr>
            <w:tcW w:w="827" w:type="pct"/>
            <w:vAlign w:val="center"/>
          </w:tcPr>
          <w:p w14:paraId="73426E39">
            <w:pPr>
              <w:jc w:val="right"/>
            </w:pPr>
            <w:r>
              <w:rPr>
                <w:rFonts w:eastAsia="等线" w:cs="Times New Roman"/>
                <w:color w:val="000000"/>
              </w:rPr>
              <w:t>4,983,104.79</w:t>
            </w:r>
          </w:p>
        </w:tc>
        <w:tc>
          <w:tcPr>
            <w:tcW w:w="827" w:type="pct"/>
            <w:vAlign w:val="center"/>
          </w:tcPr>
          <w:p w14:paraId="0F3C3B44">
            <w:pPr>
              <w:jc w:val="right"/>
            </w:pPr>
            <w:r>
              <w:rPr>
                <w:rFonts w:eastAsia="等线" w:cs="Times New Roman"/>
                <w:color w:val="000000"/>
              </w:rPr>
              <w:t xml:space="preserve">1,364,336.29 </w:t>
            </w:r>
          </w:p>
        </w:tc>
        <w:tc>
          <w:tcPr>
            <w:tcW w:w="827" w:type="pct"/>
            <w:vAlign w:val="center"/>
          </w:tcPr>
          <w:p w14:paraId="29A2BD75">
            <w:pPr>
              <w:jc w:val="right"/>
            </w:pPr>
            <w:r>
              <w:rPr>
                <w:rFonts w:eastAsia="等线" w:cs="Times New Roman"/>
                <w:color w:val="000000"/>
              </w:rPr>
              <w:t xml:space="preserve">864,852.31 </w:t>
            </w:r>
          </w:p>
        </w:tc>
        <w:tc>
          <w:tcPr>
            <w:tcW w:w="840" w:type="pct"/>
            <w:vAlign w:val="center"/>
          </w:tcPr>
          <w:p w14:paraId="4AD1AEF9">
            <w:pPr>
              <w:jc w:val="right"/>
            </w:pPr>
            <w:r>
              <w:rPr>
                <w:rFonts w:eastAsia="等线" w:cs="Times New Roman"/>
                <w:color w:val="000000"/>
              </w:rPr>
              <w:t>　</w:t>
            </w:r>
          </w:p>
        </w:tc>
        <w:tc>
          <w:tcPr>
            <w:tcW w:w="878" w:type="pct"/>
            <w:vAlign w:val="center"/>
          </w:tcPr>
          <w:p w14:paraId="71BADE66">
            <w:pPr>
              <w:jc w:val="right"/>
            </w:pPr>
            <w:r>
              <w:rPr>
                <w:rFonts w:eastAsia="等线" w:cs="Times New Roman"/>
                <w:color w:val="000000"/>
              </w:rPr>
              <w:t xml:space="preserve">5,482,588.77 </w:t>
            </w:r>
          </w:p>
        </w:tc>
      </w:tr>
      <w:tr w14:paraId="2E646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tcPr>
          <w:p w14:paraId="208714F3">
            <w:pPr>
              <w:jc w:val="center"/>
            </w:pPr>
            <w:r>
              <w:t>生产线改造</w:t>
            </w:r>
          </w:p>
        </w:tc>
        <w:tc>
          <w:tcPr>
            <w:tcW w:w="827" w:type="pct"/>
            <w:vAlign w:val="center"/>
          </w:tcPr>
          <w:p w14:paraId="2E4F5814">
            <w:pPr>
              <w:jc w:val="right"/>
            </w:pPr>
            <w:r>
              <w:rPr>
                <w:rFonts w:eastAsia="等线" w:cs="Times New Roman"/>
                <w:color w:val="000000"/>
              </w:rPr>
              <w:t>19,836,051.95</w:t>
            </w:r>
          </w:p>
        </w:tc>
        <w:tc>
          <w:tcPr>
            <w:tcW w:w="827" w:type="pct"/>
            <w:vAlign w:val="center"/>
          </w:tcPr>
          <w:p w14:paraId="794FE332">
            <w:pPr>
              <w:jc w:val="right"/>
            </w:pPr>
            <w:r>
              <w:rPr>
                <w:rFonts w:eastAsia="等线" w:cs="Times New Roman"/>
                <w:color w:val="000000"/>
              </w:rPr>
              <w:t>　</w:t>
            </w:r>
          </w:p>
        </w:tc>
        <w:tc>
          <w:tcPr>
            <w:tcW w:w="827" w:type="pct"/>
            <w:vAlign w:val="center"/>
          </w:tcPr>
          <w:p w14:paraId="0EA66529">
            <w:pPr>
              <w:jc w:val="right"/>
            </w:pPr>
            <w:r>
              <w:rPr>
                <w:rFonts w:eastAsia="等线" w:cs="Times New Roman"/>
                <w:color w:val="000000"/>
              </w:rPr>
              <w:t xml:space="preserve">2,814,596.28 </w:t>
            </w:r>
          </w:p>
        </w:tc>
        <w:tc>
          <w:tcPr>
            <w:tcW w:w="840" w:type="pct"/>
            <w:vAlign w:val="center"/>
          </w:tcPr>
          <w:p w14:paraId="192DD5D7">
            <w:pPr>
              <w:jc w:val="right"/>
            </w:pPr>
            <w:r>
              <w:rPr>
                <w:rFonts w:eastAsia="等线" w:cs="Times New Roman"/>
                <w:color w:val="000000"/>
              </w:rPr>
              <w:t>　</w:t>
            </w:r>
          </w:p>
        </w:tc>
        <w:tc>
          <w:tcPr>
            <w:tcW w:w="878" w:type="pct"/>
            <w:vAlign w:val="center"/>
          </w:tcPr>
          <w:p w14:paraId="5535CADD">
            <w:pPr>
              <w:jc w:val="right"/>
            </w:pPr>
            <w:r>
              <w:rPr>
                <w:rFonts w:eastAsia="等线" w:cs="Times New Roman"/>
                <w:color w:val="000000"/>
              </w:rPr>
              <w:t xml:space="preserve">17,021,455.67 </w:t>
            </w:r>
          </w:p>
        </w:tc>
      </w:tr>
      <w:tr w14:paraId="0AB9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vAlign w:val="center"/>
          </w:tcPr>
          <w:p w14:paraId="38974B0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827" w:type="pct"/>
            <w:vAlign w:val="center"/>
          </w:tcPr>
          <w:p w14:paraId="4ED72897">
            <w:pPr>
              <w:jc w:val="right"/>
              <w:rPr>
                <w:rFonts w:eastAsia="等线" w:cs="Times New Roman"/>
                <w:color w:val="000000"/>
              </w:rPr>
            </w:pPr>
            <w:r>
              <w:rPr>
                <w:rFonts w:eastAsia="等线" w:cs="Times New Roman"/>
                <w:color w:val="000000"/>
              </w:rPr>
              <w:t>24,819,156.74</w:t>
            </w:r>
          </w:p>
        </w:tc>
        <w:tc>
          <w:tcPr>
            <w:tcW w:w="827" w:type="pct"/>
            <w:vAlign w:val="center"/>
          </w:tcPr>
          <w:p w14:paraId="577D9581">
            <w:pPr>
              <w:jc w:val="right"/>
              <w:rPr>
                <w:rFonts w:eastAsia="等线" w:cs="Times New Roman"/>
                <w:color w:val="000000"/>
              </w:rPr>
            </w:pPr>
            <w:r>
              <w:rPr>
                <w:rFonts w:eastAsia="等线" w:cs="Times New Roman"/>
                <w:color w:val="000000"/>
              </w:rPr>
              <w:t>1,364,336.29</w:t>
            </w:r>
          </w:p>
        </w:tc>
        <w:tc>
          <w:tcPr>
            <w:tcW w:w="827" w:type="pct"/>
            <w:vAlign w:val="center"/>
          </w:tcPr>
          <w:p w14:paraId="523D21A0">
            <w:pPr>
              <w:jc w:val="right"/>
              <w:rPr>
                <w:rFonts w:eastAsia="等线" w:cs="Times New Roman"/>
                <w:color w:val="000000"/>
              </w:rPr>
            </w:pPr>
            <w:r>
              <w:rPr>
                <w:rFonts w:eastAsia="等线" w:cs="Times New Roman"/>
                <w:color w:val="000000"/>
              </w:rPr>
              <w:t>3,679,448.59</w:t>
            </w:r>
          </w:p>
        </w:tc>
        <w:tc>
          <w:tcPr>
            <w:tcW w:w="840" w:type="pct"/>
            <w:vAlign w:val="center"/>
          </w:tcPr>
          <w:p w14:paraId="376487FA">
            <w:pPr>
              <w:jc w:val="right"/>
              <w:rPr>
                <w:rFonts w:eastAsia="等线" w:cs="Times New Roman"/>
                <w:color w:val="000000"/>
              </w:rPr>
            </w:pPr>
            <w:r>
              <w:rPr>
                <w:rFonts w:eastAsia="等线" w:cs="Times New Roman"/>
                <w:color w:val="000000"/>
              </w:rPr>
              <w:t>　</w:t>
            </w:r>
          </w:p>
        </w:tc>
        <w:tc>
          <w:tcPr>
            <w:tcW w:w="878" w:type="pct"/>
            <w:vAlign w:val="center"/>
          </w:tcPr>
          <w:p w14:paraId="3AE1ADFA">
            <w:pPr>
              <w:jc w:val="right"/>
              <w:rPr>
                <w:rFonts w:eastAsia="等线" w:cs="Times New Roman"/>
                <w:color w:val="000000"/>
              </w:rPr>
            </w:pPr>
            <w:r>
              <w:rPr>
                <w:rFonts w:eastAsia="等线" w:cs="Times New Roman"/>
                <w:color w:val="000000"/>
              </w:rPr>
              <w:t xml:space="preserve">22,504,044.44 </w:t>
            </w:r>
          </w:p>
        </w:tc>
      </w:tr>
    </w:tbl>
    <w:p w14:paraId="3E18301C"/>
    <w:p w14:paraId="24D746D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长期待摊费用的说明"/>
        <w:tag w:val="_GBC_5b31c466b60f433faaa37d443fae74be"/>
        <w:id w:val="-1673253120"/>
        <w:placeholder>
          <w:docPart w:val="GBC22222222222222222222222222222"/>
        </w:placeholder>
      </w:sdtPr>
      <w:sdtEndPr>
        <w:rPr>
          <w:color w:val="000000" w:themeColor="text1"/>
          <w14:textFill>
            <w14:solidFill>
              <w14:schemeClr w14:val="tx1"/>
            </w14:solidFill>
          </w14:textFill>
        </w:rPr>
      </w:sdtEndPr>
      <w:sdtContent>
        <w:p w14:paraId="310E04FE">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1FD46BD">
      <w:pPr>
        <w:rPr>
          <w:color w:val="000000" w:themeColor="text1"/>
          <w14:textFill>
            <w14:solidFill>
              <w14:schemeClr w14:val="tx1"/>
            </w14:solidFill>
          </w14:textFill>
        </w:rPr>
      </w:pPr>
    </w:p>
    <w:p w14:paraId="5F736ADF">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递延所得税资产/ 递延所得税负债</w:t>
      </w:r>
    </w:p>
    <w:p w14:paraId="21A3444B">
      <w:pPr>
        <w:pStyle w:val="5"/>
        <w:numPr>
          <w:ilvl w:val="0"/>
          <w:numId w:val="65"/>
        </w:numPr>
        <w:tabs>
          <w:tab w:val="left" w:pos="588"/>
          <w:tab w:val="left" w:pos="616"/>
        </w:tabs>
        <w:rPr>
          <w:rFonts w:ascii="宋体" w:hAnsi="宋体"/>
          <w:color w:val="000000" w:themeColor="text1"/>
          <w14:textFill>
            <w14:solidFill>
              <w14:schemeClr w14:val="tx1"/>
            </w14:solidFill>
          </w14:textFill>
        </w:rPr>
      </w:pPr>
      <w:bookmarkStart w:id="296" w:name="_Toc215903151"/>
      <w:r>
        <w:rPr>
          <w:rFonts w:hint="eastAsia" w:ascii="宋体" w:hAnsi="宋体"/>
          <w:color w:val="000000" w:themeColor="text1"/>
          <w14:textFill>
            <w14:solidFill>
              <w14:schemeClr w14:val="tx1"/>
            </w14:solidFill>
          </w14:textFill>
        </w:rPr>
        <w:t>未经抵销的递延所得税资产</w:t>
      </w:r>
    </w:p>
    <w:sdt>
      <w:sdtPr>
        <w:rPr>
          <w:color w:val="000000" w:themeColor="text1"/>
          <w14:textFill>
            <w14:solidFill>
              <w14:schemeClr w14:val="tx1"/>
            </w14:solidFill>
          </w14:textFill>
        </w:rPr>
        <w:alias w:val="是否适用：未经抵销的递延所得税资产[双击切换]"/>
        <w:tag w:val="_GBC_fc6e77974a404dc3bef5fc386ae4e1e7"/>
        <w:id w:val="1467931862"/>
        <w:placeholder>
          <w:docPart w:val="GBC22222222222222222222222222222"/>
        </w:placeholder>
      </w:sdtPr>
      <w:sdtEndPr>
        <w:rPr>
          <w:color w:val="000000" w:themeColor="text1"/>
          <w14:textFill>
            <w14:solidFill>
              <w14:schemeClr w14:val="tx1"/>
            </w14:solidFill>
          </w14:textFill>
        </w:rPr>
      </w:sdtEndPr>
      <w:sdtContent>
        <w:p w14:paraId="16B5983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6C4C18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已确认的递延所得税资产和递延所得税负债"/>
          <w:tag w:val="_GBC_7be724d3c6f14974914db7d02bb734f9"/>
          <w:id w:val="20095552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bookmarkEnd w:id="296"/>
      <w:sdt>
        <w:sdtPr>
          <w:rPr>
            <w:rFonts w:hint="eastAsia"/>
            <w:color w:val="000000" w:themeColor="text1"/>
            <w14:textFill>
              <w14:solidFill>
                <w14:schemeClr w14:val="tx1"/>
              </w14:solidFill>
            </w14:textFill>
          </w:rPr>
          <w:alias w:val="币种：财务附注：已确认的递延所得税资产和递延所得税负债"/>
          <w:tag w:val="_GBC_a48237f045494aa9a0ea8c2cb35b1c0f"/>
          <w:id w:val="3492279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1729"/>
        <w:gridCol w:w="1600"/>
        <w:gridCol w:w="1729"/>
        <w:gridCol w:w="1597"/>
      </w:tblGrid>
      <w:tr w14:paraId="061A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45101b3a01946f19f22657bb959574e"/>
            <w:id w:val="1138994053"/>
          </w:sdtPr>
          <w:sdtContent>
            <w:tc>
              <w:tcPr>
                <w:tcW w:w="1324" w:type="pct"/>
                <w:vMerge w:val="restart"/>
                <w:vAlign w:val="center"/>
              </w:tcPr>
              <w:p w14:paraId="02FF769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d892ffecd234c819059bf10f71b1910"/>
            <w:id w:val="1763408576"/>
          </w:sdtPr>
          <w:sdtContent>
            <w:tc>
              <w:tcPr>
                <w:tcW w:w="1839" w:type="pct"/>
                <w:gridSpan w:val="2"/>
                <w:vAlign w:val="center"/>
              </w:tcPr>
              <w:p w14:paraId="1EE4E1E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be855fcb002344d6ae2c74083e90b1c1"/>
            <w:id w:val="1743913137"/>
          </w:sdtPr>
          <w:sdtContent>
            <w:tc>
              <w:tcPr>
                <w:tcW w:w="1837" w:type="pct"/>
                <w:gridSpan w:val="2"/>
                <w:vAlign w:val="center"/>
              </w:tcPr>
              <w:p w14:paraId="4C01C7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218C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24" w:type="pct"/>
            <w:vMerge w:val="continue"/>
            <w:vAlign w:val="center"/>
          </w:tcPr>
          <w:p w14:paraId="24C1FA1B">
            <w:pPr>
              <w:jc w:val="center"/>
              <w:rPr>
                <w:b/>
                <w:color w:val="000000" w:themeColor="text1"/>
                <w14:textFill>
                  <w14:solidFill>
                    <w14:schemeClr w14:val="tx1"/>
                  </w14:solidFill>
                </w14:textFill>
              </w:rPr>
            </w:pPr>
          </w:p>
        </w:tc>
        <w:sdt>
          <w:sdtPr>
            <w:tag w:val="_PLD_c82eb64547054aa39a1b7bfe7c532e2e"/>
            <w:id w:val="-759678202"/>
          </w:sdtPr>
          <w:sdtContent>
            <w:tc>
              <w:tcPr>
                <w:tcW w:w="955" w:type="pct"/>
                <w:vAlign w:val="center"/>
              </w:tcPr>
              <w:p w14:paraId="1BB3A9A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可抵扣暂时性差异</w:t>
                </w:r>
              </w:p>
            </w:tc>
          </w:sdtContent>
        </w:sdt>
        <w:sdt>
          <w:sdtPr>
            <w:tag w:val="_PLD_ad2e47975c52486d8bfc7fec079252de"/>
            <w:id w:val="-1596941598"/>
          </w:sdtPr>
          <w:sdtContent>
            <w:tc>
              <w:tcPr>
                <w:tcW w:w="884" w:type="pct"/>
                <w:vAlign w:val="center"/>
              </w:tcPr>
              <w:p w14:paraId="02C7A6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w:t>
                </w:r>
              </w:p>
              <w:p w14:paraId="6351259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资产</w:t>
                </w:r>
              </w:p>
            </w:tc>
          </w:sdtContent>
        </w:sdt>
        <w:sdt>
          <w:sdtPr>
            <w:tag w:val="_PLD_0e0e7aabb5f8432ea9da8b4066b2e897"/>
            <w:id w:val="525598491"/>
          </w:sdtPr>
          <w:sdtContent>
            <w:tc>
              <w:tcPr>
                <w:tcW w:w="955" w:type="pct"/>
                <w:vAlign w:val="center"/>
              </w:tcPr>
              <w:p w14:paraId="3BE3F97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可抵扣暂时性差异</w:t>
                </w:r>
              </w:p>
            </w:tc>
          </w:sdtContent>
        </w:sdt>
        <w:sdt>
          <w:sdtPr>
            <w:tag w:val="_PLD_34147e3346eb4b24b314e0dadaab6983"/>
            <w:id w:val="264194965"/>
          </w:sdtPr>
          <w:sdtContent>
            <w:tc>
              <w:tcPr>
                <w:tcW w:w="882" w:type="pct"/>
                <w:vAlign w:val="center"/>
              </w:tcPr>
              <w:p w14:paraId="5CE40C9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w:t>
                </w:r>
              </w:p>
              <w:p w14:paraId="0600A4E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资产</w:t>
                </w:r>
              </w:p>
            </w:tc>
          </w:sdtContent>
        </w:sdt>
      </w:tr>
      <w:tr w14:paraId="5EA8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24" w:type="pct"/>
            <w:vAlign w:val="center"/>
          </w:tcPr>
          <w:p w14:paraId="141484B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资产减值准备</w:t>
            </w:r>
          </w:p>
        </w:tc>
        <w:tc>
          <w:tcPr>
            <w:tcW w:w="955" w:type="pct"/>
            <w:vAlign w:val="center"/>
          </w:tcPr>
          <w:p w14:paraId="0FB2BD67">
            <w:pPr>
              <w:jc w:val="right"/>
            </w:pPr>
            <w:r>
              <w:t>2,642,169,242.88</w:t>
            </w:r>
          </w:p>
        </w:tc>
        <w:tc>
          <w:tcPr>
            <w:tcW w:w="884" w:type="pct"/>
            <w:vAlign w:val="center"/>
          </w:tcPr>
          <w:p w14:paraId="18D37176">
            <w:pPr>
              <w:jc w:val="right"/>
            </w:pPr>
            <w:r>
              <w:t>398,626,880.74</w:t>
            </w:r>
          </w:p>
        </w:tc>
        <w:tc>
          <w:tcPr>
            <w:tcW w:w="955" w:type="pct"/>
            <w:vAlign w:val="center"/>
          </w:tcPr>
          <w:p w14:paraId="01A7F0BE">
            <w:pPr>
              <w:jc w:val="right"/>
            </w:pPr>
            <w:r>
              <w:t>2,847,651,182.43</w:t>
            </w:r>
          </w:p>
        </w:tc>
        <w:tc>
          <w:tcPr>
            <w:tcW w:w="882" w:type="pct"/>
            <w:vAlign w:val="center"/>
          </w:tcPr>
          <w:p w14:paraId="51A99D0E">
            <w:pPr>
              <w:jc w:val="right"/>
            </w:pPr>
            <w:r>
              <w:t>429,422,865.44</w:t>
            </w:r>
          </w:p>
        </w:tc>
      </w:tr>
      <w:tr w14:paraId="4E9A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24" w:type="pct"/>
            <w:vAlign w:val="center"/>
          </w:tcPr>
          <w:p w14:paraId="67A17E3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内部交易未实现利润</w:t>
            </w:r>
          </w:p>
        </w:tc>
        <w:tc>
          <w:tcPr>
            <w:tcW w:w="955" w:type="pct"/>
            <w:vAlign w:val="center"/>
          </w:tcPr>
          <w:p w14:paraId="7F4080DA">
            <w:pPr>
              <w:jc w:val="right"/>
            </w:pPr>
            <w:r>
              <w:t>100,190,128.25</w:t>
            </w:r>
          </w:p>
        </w:tc>
        <w:tc>
          <w:tcPr>
            <w:tcW w:w="884" w:type="pct"/>
            <w:vAlign w:val="center"/>
          </w:tcPr>
          <w:p w14:paraId="22DDE866">
            <w:pPr>
              <w:jc w:val="right"/>
            </w:pPr>
            <w:r>
              <w:t>15,028,519.24</w:t>
            </w:r>
          </w:p>
        </w:tc>
        <w:tc>
          <w:tcPr>
            <w:tcW w:w="955" w:type="pct"/>
            <w:vAlign w:val="center"/>
          </w:tcPr>
          <w:p w14:paraId="2B5F0CA4">
            <w:pPr>
              <w:jc w:val="right"/>
            </w:pPr>
            <w:r>
              <w:t>151,161,184.13</w:t>
            </w:r>
          </w:p>
        </w:tc>
        <w:tc>
          <w:tcPr>
            <w:tcW w:w="882" w:type="pct"/>
            <w:vAlign w:val="center"/>
          </w:tcPr>
          <w:p w14:paraId="6D6908F0">
            <w:pPr>
              <w:jc w:val="right"/>
            </w:pPr>
            <w:r>
              <w:t>22,674,177.62</w:t>
            </w:r>
          </w:p>
        </w:tc>
      </w:tr>
      <w:tr w14:paraId="3BA4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24" w:type="pct"/>
            <w:tcBorders>
              <w:bottom w:val="single" w:color="auto" w:sz="4" w:space="0"/>
            </w:tcBorders>
            <w:vAlign w:val="center"/>
          </w:tcPr>
          <w:p w14:paraId="3FBD67C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可抵扣亏损</w:t>
            </w:r>
          </w:p>
        </w:tc>
        <w:tc>
          <w:tcPr>
            <w:tcW w:w="955" w:type="pct"/>
            <w:vAlign w:val="center"/>
          </w:tcPr>
          <w:p w14:paraId="71A707F2">
            <w:pPr>
              <w:jc w:val="right"/>
            </w:pPr>
            <w:r>
              <w:t>2,012,181,821.10</w:t>
            </w:r>
          </w:p>
        </w:tc>
        <w:tc>
          <w:tcPr>
            <w:tcW w:w="884" w:type="pct"/>
            <w:vAlign w:val="center"/>
          </w:tcPr>
          <w:p w14:paraId="6394A8E8">
            <w:pPr>
              <w:jc w:val="right"/>
            </w:pPr>
            <w:r>
              <w:t>302,692,581.21</w:t>
            </w:r>
          </w:p>
        </w:tc>
        <w:tc>
          <w:tcPr>
            <w:tcW w:w="955" w:type="pct"/>
            <w:vAlign w:val="center"/>
          </w:tcPr>
          <w:p w14:paraId="4FC1D18A">
            <w:pPr>
              <w:jc w:val="right"/>
            </w:pPr>
            <w:r>
              <w:t>2,850,032,958.69</w:t>
            </w:r>
          </w:p>
        </w:tc>
        <w:tc>
          <w:tcPr>
            <w:tcW w:w="882" w:type="pct"/>
            <w:vAlign w:val="center"/>
          </w:tcPr>
          <w:p w14:paraId="26E82803">
            <w:pPr>
              <w:jc w:val="right"/>
            </w:pPr>
            <w:r>
              <w:t>428,202,088.35</w:t>
            </w:r>
          </w:p>
        </w:tc>
      </w:tr>
      <w:tr w14:paraId="4729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24" w:type="pct"/>
            <w:vAlign w:val="center"/>
          </w:tcPr>
          <w:p w14:paraId="1339B517">
            <w:pPr>
              <w:jc w:val="center"/>
            </w:pPr>
            <w:r>
              <w:rPr>
                <w:rFonts w:hint="eastAsia"/>
              </w:rPr>
              <w:t>预计负债</w:t>
            </w:r>
          </w:p>
        </w:tc>
        <w:tc>
          <w:tcPr>
            <w:tcW w:w="955" w:type="pct"/>
            <w:vAlign w:val="center"/>
          </w:tcPr>
          <w:p w14:paraId="0770B21E">
            <w:pPr>
              <w:jc w:val="right"/>
            </w:pPr>
            <w:r>
              <w:t>3,055,274.07</w:t>
            </w:r>
          </w:p>
        </w:tc>
        <w:tc>
          <w:tcPr>
            <w:tcW w:w="884" w:type="pct"/>
            <w:vAlign w:val="center"/>
          </w:tcPr>
          <w:p w14:paraId="7D5EF279">
            <w:pPr>
              <w:jc w:val="right"/>
            </w:pPr>
            <w:r>
              <w:t>458,291.11</w:t>
            </w:r>
          </w:p>
        </w:tc>
        <w:tc>
          <w:tcPr>
            <w:tcW w:w="955" w:type="pct"/>
            <w:vAlign w:val="center"/>
          </w:tcPr>
          <w:p w14:paraId="03B3D323">
            <w:pPr>
              <w:jc w:val="right"/>
            </w:pPr>
            <w:r>
              <w:t>18,395,319.39</w:t>
            </w:r>
          </w:p>
        </w:tc>
        <w:tc>
          <w:tcPr>
            <w:tcW w:w="882" w:type="pct"/>
            <w:vAlign w:val="center"/>
          </w:tcPr>
          <w:p w14:paraId="32494273">
            <w:pPr>
              <w:jc w:val="right"/>
            </w:pPr>
            <w:r>
              <w:t>2,759,297.91</w:t>
            </w:r>
          </w:p>
        </w:tc>
      </w:tr>
      <w:tr w14:paraId="1EEB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24" w:type="pct"/>
            <w:vAlign w:val="center"/>
          </w:tcPr>
          <w:p w14:paraId="74E49E66">
            <w:pPr>
              <w:jc w:val="center"/>
            </w:pPr>
            <w:r>
              <w:rPr>
                <w:rFonts w:hint="eastAsia"/>
              </w:rPr>
              <w:t>租赁负债会税差</w:t>
            </w:r>
          </w:p>
        </w:tc>
        <w:tc>
          <w:tcPr>
            <w:tcW w:w="955" w:type="pct"/>
            <w:vAlign w:val="center"/>
          </w:tcPr>
          <w:p w14:paraId="2B1CA61E">
            <w:pPr>
              <w:jc w:val="right"/>
            </w:pPr>
            <w:r>
              <w:t>313,784.98</w:t>
            </w:r>
          </w:p>
        </w:tc>
        <w:tc>
          <w:tcPr>
            <w:tcW w:w="884" w:type="pct"/>
            <w:vAlign w:val="center"/>
          </w:tcPr>
          <w:p w14:paraId="0061F6FA">
            <w:pPr>
              <w:jc w:val="right"/>
            </w:pPr>
            <w:r>
              <w:t>78,446.25</w:t>
            </w:r>
          </w:p>
        </w:tc>
        <w:tc>
          <w:tcPr>
            <w:tcW w:w="955" w:type="pct"/>
            <w:vAlign w:val="center"/>
          </w:tcPr>
          <w:p w14:paraId="59F2BBF2">
            <w:pPr>
              <w:jc w:val="right"/>
            </w:pPr>
            <w:r>
              <w:t>111,047.48</w:t>
            </w:r>
          </w:p>
        </w:tc>
        <w:tc>
          <w:tcPr>
            <w:tcW w:w="882" w:type="pct"/>
            <w:vAlign w:val="center"/>
          </w:tcPr>
          <w:p w14:paraId="21660963">
            <w:pPr>
              <w:jc w:val="right"/>
            </w:pPr>
            <w:r>
              <w:t>16,657.12</w:t>
            </w:r>
          </w:p>
        </w:tc>
      </w:tr>
      <w:tr w14:paraId="3F56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24" w:type="pct"/>
            <w:vAlign w:val="center"/>
          </w:tcPr>
          <w:p w14:paraId="533DE1B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55" w:type="pct"/>
            <w:vAlign w:val="center"/>
          </w:tcPr>
          <w:p w14:paraId="476EFC64">
            <w:pPr>
              <w:jc w:val="right"/>
            </w:pPr>
            <w:r>
              <w:t>4,757,910,251.28</w:t>
            </w:r>
          </w:p>
        </w:tc>
        <w:tc>
          <w:tcPr>
            <w:tcW w:w="884" w:type="pct"/>
            <w:vAlign w:val="center"/>
          </w:tcPr>
          <w:p w14:paraId="442089F1">
            <w:pPr>
              <w:jc w:val="right"/>
            </w:pPr>
            <w:r>
              <w:t>716,884,718.55</w:t>
            </w:r>
          </w:p>
        </w:tc>
        <w:tc>
          <w:tcPr>
            <w:tcW w:w="955" w:type="pct"/>
            <w:vAlign w:val="center"/>
          </w:tcPr>
          <w:p w14:paraId="26273FD8">
            <w:pPr>
              <w:jc w:val="right"/>
            </w:pPr>
            <w:r>
              <w:t>5,867,351,692.12</w:t>
            </w:r>
          </w:p>
        </w:tc>
        <w:tc>
          <w:tcPr>
            <w:tcW w:w="882" w:type="pct"/>
            <w:vAlign w:val="center"/>
          </w:tcPr>
          <w:p w14:paraId="5BF94EBD">
            <w:pPr>
              <w:jc w:val="right"/>
            </w:pPr>
            <w:r>
              <w:t>883,075,086.44</w:t>
            </w:r>
          </w:p>
        </w:tc>
      </w:tr>
    </w:tbl>
    <w:p w14:paraId="699978D5">
      <w:pPr>
        <w:rPr>
          <w:color w:val="000000" w:themeColor="text1"/>
          <w14:textFill>
            <w14:solidFill>
              <w14:schemeClr w14:val="tx1"/>
            </w14:solidFill>
          </w14:textFill>
        </w:rPr>
      </w:pPr>
    </w:p>
    <w:p w14:paraId="4FC455F9">
      <w:pPr>
        <w:pStyle w:val="5"/>
        <w:numPr>
          <w:ilvl w:val="0"/>
          <w:numId w:val="65"/>
        </w:numPr>
        <w:tabs>
          <w:tab w:val="left" w:pos="588"/>
          <w:tab w:val="left" w:pos="616"/>
        </w:tabs>
        <w:rPr>
          <w:rFonts w:ascii="宋体" w:hAnsi="宋体"/>
          <w:color w:val="000000" w:themeColor="text1"/>
          <w14:textFill>
            <w14:solidFill>
              <w14:schemeClr w14:val="tx1"/>
            </w14:solidFill>
          </w14:textFill>
        </w:rPr>
      </w:pPr>
      <w:bookmarkStart w:id="297" w:name="_Hlk11160621"/>
      <w:r>
        <w:rPr>
          <w:rFonts w:hint="eastAsia" w:ascii="宋体" w:hAnsi="宋体"/>
          <w:color w:val="000000" w:themeColor="text1"/>
          <w14:textFill>
            <w14:solidFill>
              <w14:schemeClr w14:val="tx1"/>
            </w14:solidFill>
          </w14:textFill>
        </w:rPr>
        <w:t>未经抵销的递延所得税负债</w:t>
      </w:r>
    </w:p>
    <w:sdt>
      <w:sdtPr>
        <w:rPr>
          <w:color w:val="000000" w:themeColor="text1"/>
          <w14:textFill>
            <w14:solidFill>
              <w14:schemeClr w14:val="tx1"/>
            </w14:solidFill>
          </w14:textFill>
        </w:rPr>
        <w:alias w:val="是否适用：未经抵销的递延所得税负债[双击切换]"/>
        <w:tag w:val="_GBC_e9cf2825b61d4a9ca57e90c2ed017173"/>
        <w:id w:val="-228381896"/>
        <w:placeholder>
          <w:docPart w:val="GBC22222222222222222222222222222"/>
        </w:placeholder>
      </w:sdtPr>
      <w:sdtEndPr>
        <w:rPr>
          <w:color w:val="000000" w:themeColor="text1"/>
          <w14:textFill>
            <w14:solidFill>
              <w14:schemeClr w14:val="tx1"/>
            </w14:solidFill>
          </w14:textFill>
        </w:rPr>
      </w:sdtEndPr>
      <w:sdtContent>
        <w:p w14:paraId="638AD26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EE9FE3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经抵销的递延所得税负债"/>
          <w:tag w:val="_GBC_7fa4a7048e284eb79ceb0dee5165516f"/>
          <w:id w:val="16058420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经抵销的递延所得税负债"/>
          <w:tag w:val="_GBC_85beae3a7d624858bfe37a33da15472b"/>
          <w:id w:val="19743379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297"/>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1728"/>
        <w:gridCol w:w="1625"/>
        <w:gridCol w:w="1728"/>
        <w:gridCol w:w="1635"/>
      </w:tblGrid>
      <w:tr w14:paraId="352C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6ef6111bb2d4b3792b581d6ff38c8d2"/>
            <w:id w:val="-1238705553"/>
          </w:sdtPr>
          <w:sdtContent>
            <w:tc>
              <w:tcPr>
                <w:tcW w:w="1289" w:type="pct"/>
                <w:vMerge w:val="restart"/>
                <w:vAlign w:val="center"/>
              </w:tcPr>
              <w:p w14:paraId="0DEC6F83">
                <w:pPr>
                  <w:jc w:val="center"/>
                  <w:rPr>
                    <w:color w:val="000000" w:themeColor="text1"/>
                    <w14:textFill>
                      <w14:solidFill>
                        <w14:schemeClr w14:val="tx1"/>
                      </w14:solidFill>
                    </w14:textFill>
                  </w:rPr>
                </w:pPr>
                <w:bookmarkStart w:id="298" w:name="_Hlk11160645"/>
                <w:r>
                  <w:rPr>
                    <w:rFonts w:hint="eastAsia"/>
                    <w:color w:val="000000" w:themeColor="text1"/>
                    <w14:textFill>
                      <w14:solidFill>
                        <w14:schemeClr w14:val="tx1"/>
                      </w14:solidFill>
                    </w14:textFill>
                  </w:rPr>
                  <w:t>项目</w:t>
                </w:r>
              </w:p>
            </w:tc>
          </w:sdtContent>
        </w:sdt>
        <w:sdt>
          <w:sdtPr>
            <w:tag w:val="_PLD_b850d4f63866495f80e69799c9ea1b37"/>
            <w:id w:val="1228349426"/>
          </w:sdtPr>
          <w:sdtContent>
            <w:tc>
              <w:tcPr>
                <w:tcW w:w="1853" w:type="pct"/>
                <w:gridSpan w:val="2"/>
                <w:vAlign w:val="center"/>
              </w:tcPr>
              <w:p w14:paraId="420888B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951c3eee882c4aaa862f620814f6ce4e"/>
            <w:id w:val="-751511077"/>
          </w:sdtPr>
          <w:sdtContent>
            <w:tc>
              <w:tcPr>
                <w:tcW w:w="1858" w:type="pct"/>
                <w:gridSpan w:val="2"/>
                <w:vAlign w:val="center"/>
              </w:tcPr>
              <w:p w14:paraId="4CEC345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4FE9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89" w:type="pct"/>
            <w:vMerge w:val="continue"/>
            <w:vAlign w:val="center"/>
          </w:tcPr>
          <w:p w14:paraId="51517C27">
            <w:pPr>
              <w:jc w:val="center"/>
              <w:rPr>
                <w:b/>
                <w:color w:val="000000" w:themeColor="text1"/>
                <w14:textFill>
                  <w14:solidFill>
                    <w14:schemeClr w14:val="tx1"/>
                  </w14:solidFill>
                </w14:textFill>
              </w:rPr>
            </w:pPr>
          </w:p>
        </w:tc>
        <w:sdt>
          <w:sdtPr>
            <w:tag w:val="_PLD_f33e3c528ff14a2bac81ec99970641f6"/>
            <w:id w:val="423227273"/>
          </w:sdtPr>
          <w:sdtContent>
            <w:tc>
              <w:tcPr>
                <w:tcW w:w="955" w:type="pct"/>
                <w:vAlign w:val="center"/>
              </w:tcPr>
              <w:p w14:paraId="1AA2137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应纳税暂时性差异</w:t>
                </w:r>
              </w:p>
            </w:tc>
          </w:sdtContent>
        </w:sdt>
        <w:sdt>
          <w:sdtPr>
            <w:tag w:val="_PLD_0cb734f9904e4a57a5107d601b9b38d1"/>
            <w:id w:val="-1229375443"/>
          </w:sdtPr>
          <w:sdtContent>
            <w:tc>
              <w:tcPr>
                <w:tcW w:w="898" w:type="pct"/>
                <w:vAlign w:val="center"/>
              </w:tcPr>
              <w:p w14:paraId="5C00BC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w:t>
                </w:r>
              </w:p>
              <w:p w14:paraId="63E432D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负债</w:t>
                </w:r>
              </w:p>
            </w:tc>
          </w:sdtContent>
        </w:sdt>
        <w:sdt>
          <w:sdtPr>
            <w:tag w:val="_PLD_ddf3980c66a840e782386c14bb078052"/>
            <w:id w:val="1703279805"/>
          </w:sdtPr>
          <w:sdtContent>
            <w:tc>
              <w:tcPr>
                <w:tcW w:w="955" w:type="pct"/>
                <w:vAlign w:val="center"/>
              </w:tcPr>
              <w:p w14:paraId="5791177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应纳税暂时性差异</w:t>
                </w:r>
              </w:p>
            </w:tc>
          </w:sdtContent>
        </w:sdt>
        <w:sdt>
          <w:sdtPr>
            <w:tag w:val="_PLD_590dc17e8304449fbff47c3b3cd45eb5"/>
            <w:id w:val="1164817996"/>
          </w:sdtPr>
          <w:sdtContent>
            <w:tc>
              <w:tcPr>
                <w:tcW w:w="903" w:type="pct"/>
                <w:vAlign w:val="center"/>
              </w:tcPr>
              <w:p w14:paraId="1D175C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w:t>
                </w:r>
              </w:p>
              <w:p w14:paraId="77E52A5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负债</w:t>
                </w:r>
              </w:p>
            </w:tc>
          </w:sdtContent>
        </w:sdt>
      </w:tr>
      <w:tr w14:paraId="7948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89" w:type="pct"/>
          </w:tcPr>
          <w:p w14:paraId="3139FE02">
            <w:pPr>
              <w:rPr>
                <w:color w:val="000000" w:themeColor="text1"/>
                <w14:textFill>
                  <w14:solidFill>
                    <w14:schemeClr w14:val="tx1"/>
                  </w14:solidFill>
                </w14:textFill>
              </w:rPr>
            </w:pPr>
            <w:r>
              <w:rPr>
                <w:rFonts w:hint="eastAsia"/>
                <w:color w:val="000000" w:themeColor="text1"/>
                <w14:textFill>
                  <w14:solidFill>
                    <w14:schemeClr w14:val="tx1"/>
                  </w14:solidFill>
                </w14:textFill>
              </w:rPr>
              <w:t>非同一控制企业合并资产评估增值</w:t>
            </w:r>
          </w:p>
        </w:tc>
        <w:tc>
          <w:tcPr>
            <w:tcW w:w="955" w:type="pct"/>
            <w:vAlign w:val="center"/>
          </w:tcPr>
          <w:p w14:paraId="1CB62974">
            <w:pPr>
              <w:jc w:val="right"/>
            </w:pPr>
            <w:r>
              <w:t>293,890,901.52</w:t>
            </w:r>
          </w:p>
        </w:tc>
        <w:tc>
          <w:tcPr>
            <w:tcW w:w="898" w:type="pct"/>
            <w:vAlign w:val="center"/>
          </w:tcPr>
          <w:p w14:paraId="22D12A38">
            <w:pPr>
              <w:jc w:val="right"/>
            </w:pPr>
            <w:r>
              <w:t>73,472,725.38</w:t>
            </w:r>
          </w:p>
        </w:tc>
        <w:tc>
          <w:tcPr>
            <w:tcW w:w="955" w:type="pct"/>
            <w:vAlign w:val="center"/>
          </w:tcPr>
          <w:p w14:paraId="39B49244">
            <w:pPr>
              <w:jc w:val="right"/>
            </w:pPr>
            <w:r>
              <w:t>293,890,901.52</w:t>
            </w:r>
          </w:p>
        </w:tc>
        <w:tc>
          <w:tcPr>
            <w:tcW w:w="903" w:type="pct"/>
            <w:vAlign w:val="center"/>
          </w:tcPr>
          <w:p w14:paraId="41C377F4">
            <w:pPr>
              <w:jc w:val="right"/>
            </w:pPr>
            <w:r>
              <w:t>73,472,725.38</w:t>
            </w:r>
          </w:p>
        </w:tc>
      </w:tr>
      <w:tr w14:paraId="0A70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89" w:type="pct"/>
            <w:vAlign w:val="center"/>
          </w:tcPr>
          <w:p w14:paraId="7FD3DD87">
            <w:r>
              <w:t>使用权资产</w:t>
            </w:r>
          </w:p>
        </w:tc>
        <w:tc>
          <w:tcPr>
            <w:tcW w:w="955" w:type="pct"/>
            <w:vAlign w:val="center"/>
          </w:tcPr>
          <w:p w14:paraId="1DB39F32">
            <w:pPr>
              <w:jc w:val="right"/>
            </w:pPr>
          </w:p>
        </w:tc>
        <w:tc>
          <w:tcPr>
            <w:tcW w:w="898" w:type="pct"/>
            <w:vAlign w:val="center"/>
          </w:tcPr>
          <w:p w14:paraId="02CB462C">
            <w:pPr>
              <w:jc w:val="right"/>
            </w:pPr>
          </w:p>
        </w:tc>
        <w:tc>
          <w:tcPr>
            <w:tcW w:w="955" w:type="pct"/>
            <w:vAlign w:val="center"/>
          </w:tcPr>
          <w:p w14:paraId="230ACAEA">
            <w:pPr>
              <w:jc w:val="right"/>
            </w:pPr>
            <w:r>
              <w:t>803,286.36</w:t>
            </w:r>
          </w:p>
        </w:tc>
        <w:tc>
          <w:tcPr>
            <w:tcW w:w="903" w:type="pct"/>
            <w:vAlign w:val="center"/>
          </w:tcPr>
          <w:p w14:paraId="2AFFD2E6">
            <w:pPr>
              <w:jc w:val="right"/>
            </w:pPr>
            <w:r>
              <w:t>200,821.59</w:t>
            </w:r>
          </w:p>
        </w:tc>
      </w:tr>
      <w:tr w14:paraId="0514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89" w:type="pct"/>
            <w:vAlign w:val="center"/>
          </w:tcPr>
          <w:p w14:paraId="39F897B6">
            <w:r>
              <w:t>投资成本小于被购买股权可辨认净资产公允价值的差额</w:t>
            </w:r>
          </w:p>
        </w:tc>
        <w:tc>
          <w:tcPr>
            <w:tcW w:w="955" w:type="pct"/>
            <w:vAlign w:val="center"/>
          </w:tcPr>
          <w:p w14:paraId="45D60FB1">
            <w:pPr>
              <w:jc w:val="right"/>
            </w:pPr>
            <w:r>
              <w:t>40,070,292.33</w:t>
            </w:r>
          </w:p>
        </w:tc>
        <w:tc>
          <w:tcPr>
            <w:tcW w:w="898" w:type="pct"/>
            <w:vAlign w:val="center"/>
          </w:tcPr>
          <w:p w14:paraId="50150AAA">
            <w:pPr>
              <w:jc w:val="right"/>
            </w:pPr>
            <w:r>
              <w:t>6,010,543.85</w:t>
            </w:r>
          </w:p>
        </w:tc>
        <w:tc>
          <w:tcPr>
            <w:tcW w:w="955" w:type="pct"/>
            <w:vAlign w:val="center"/>
          </w:tcPr>
          <w:p w14:paraId="0880AC04">
            <w:pPr>
              <w:jc w:val="right"/>
            </w:pPr>
            <w:r>
              <w:t>40,070,292.33</w:t>
            </w:r>
          </w:p>
        </w:tc>
        <w:tc>
          <w:tcPr>
            <w:tcW w:w="903" w:type="pct"/>
            <w:vAlign w:val="center"/>
          </w:tcPr>
          <w:p w14:paraId="7B35AF3E">
            <w:pPr>
              <w:jc w:val="right"/>
            </w:pPr>
            <w:r>
              <w:t>6,010,543.85</w:t>
            </w:r>
          </w:p>
        </w:tc>
      </w:tr>
      <w:tr w14:paraId="08C1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89" w:type="pct"/>
            <w:vAlign w:val="center"/>
          </w:tcPr>
          <w:p w14:paraId="73EDF1B5">
            <w:r>
              <w:rPr>
                <w:rFonts w:hint="eastAsia"/>
              </w:rPr>
              <w:t>投资性房地产公允价值计量变动</w:t>
            </w:r>
          </w:p>
        </w:tc>
        <w:tc>
          <w:tcPr>
            <w:tcW w:w="955" w:type="pct"/>
            <w:vAlign w:val="center"/>
          </w:tcPr>
          <w:p w14:paraId="47CE3A68">
            <w:pPr>
              <w:jc w:val="center"/>
            </w:pPr>
            <w:r>
              <w:t>2,173,358,793.26</w:t>
            </w:r>
          </w:p>
        </w:tc>
        <w:tc>
          <w:tcPr>
            <w:tcW w:w="898" w:type="pct"/>
            <w:vAlign w:val="center"/>
          </w:tcPr>
          <w:p w14:paraId="608215ED">
            <w:pPr>
              <w:jc w:val="center"/>
            </w:pPr>
            <w:r>
              <w:t>536,884,826.37</w:t>
            </w:r>
          </w:p>
        </w:tc>
        <w:tc>
          <w:tcPr>
            <w:tcW w:w="955" w:type="pct"/>
            <w:vAlign w:val="center"/>
          </w:tcPr>
          <w:p w14:paraId="3EEE8895">
            <w:pPr>
              <w:jc w:val="right"/>
            </w:pPr>
            <w:r>
              <w:t>2,191,705,293.26</w:t>
            </w:r>
          </w:p>
        </w:tc>
        <w:tc>
          <w:tcPr>
            <w:tcW w:w="903" w:type="pct"/>
            <w:vAlign w:val="center"/>
          </w:tcPr>
          <w:p w14:paraId="4ACADDDF">
            <w:pPr>
              <w:jc w:val="right"/>
            </w:pPr>
            <w:r>
              <w:t>542,618,771.37</w:t>
            </w:r>
          </w:p>
        </w:tc>
      </w:tr>
      <w:tr w14:paraId="0851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89" w:type="pct"/>
            <w:vAlign w:val="center"/>
          </w:tcPr>
          <w:p w14:paraId="61C8C343">
            <w:r>
              <w:t>固定资产加速折旧</w:t>
            </w:r>
          </w:p>
        </w:tc>
        <w:tc>
          <w:tcPr>
            <w:tcW w:w="955" w:type="pct"/>
            <w:vAlign w:val="center"/>
          </w:tcPr>
          <w:p w14:paraId="23F8CD94">
            <w:pPr>
              <w:jc w:val="right"/>
            </w:pPr>
            <w:r>
              <w:t>4,495,070.86</w:t>
            </w:r>
          </w:p>
        </w:tc>
        <w:tc>
          <w:tcPr>
            <w:tcW w:w="898" w:type="pct"/>
            <w:vAlign w:val="center"/>
          </w:tcPr>
          <w:p w14:paraId="4CB0A605">
            <w:pPr>
              <w:jc w:val="right"/>
            </w:pPr>
            <w:r>
              <w:t>674,260.63</w:t>
            </w:r>
          </w:p>
        </w:tc>
        <w:tc>
          <w:tcPr>
            <w:tcW w:w="955" w:type="pct"/>
            <w:vAlign w:val="center"/>
          </w:tcPr>
          <w:p w14:paraId="26B468FB">
            <w:pPr>
              <w:jc w:val="right"/>
            </w:pPr>
          </w:p>
        </w:tc>
        <w:tc>
          <w:tcPr>
            <w:tcW w:w="903" w:type="pct"/>
            <w:vAlign w:val="center"/>
          </w:tcPr>
          <w:p w14:paraId="1D22D1E7">
            <w:pPr>
              <w:jc w:val="right"/>
            </w:pPr>
          </w:p>
        </w:tc>
      </w:tr>
      <w:tr w14:paraId="3BDE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89" w:type="pct"/>
            <w:vAlign w:val="center"/>
          </w:tcPr>
          <w:p w14:paraId="5DAFC8D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55" w:type="pct"/>
            <w:vAlign w:val="center"/>
          </w:tcPr>
          <w:p w14:paraId="156FBC44">
            <w:pPr>
              <w:jc w:val="right"/>
            </w:pPr>
            <w:r>
              <w:t>2,511,815,057.97</w:t>
            </w:r>
          </w:p>
        </w:tc>
        <w:tc>
          <w:tcPr>
            <w:tcW w:w="898" w:type="pct"/>
            <w:vAlign w:val="center"/>
          </w:tcPr>
          <w:p w14:paraId="1625FE85">
            <w:pPr>
              <w:jc w:val="right"/>
            </w:pPr>
            <w:r>
              <w:t>617,042,356.23</w:t>
            </w:r>
          </w:p>
        </w:tc>
        <w:tc>
          <w:tcPr>
            <w:tcW w:w="955" w:type="pct"/>
            <w:vAlign w:val="center"/>
          </w:tcPr>
          <w:p w14:paraId="4326C006">
            <w:pPr>
              <w:jc w:val="right"/>
            </w:pPr>
            <w:r>
              <w:t>2,526,469,773.47</w:t>
            </w:r>
          </w:p>
        </w:tc>
        <w:tc>
          <w:tcPr>
            <w:tcW w:w="903" w:type="pct"/>
            <w:vAlign w:val="center"/>
          </w:tcPr>
          <w:p w14:paraId="6BEB7BA0">
            <w:pPr>
              <w:jc w:val="right"/>
            </w:pPr>
            <w:r>
              <w:t>622,302,862.19</w:t>
            </w:r>
          </w:p>
        </w:tc>
      </w:tr>
    </w:tbl>
    <w:p w14:paraId="236DDE04"/>
    <w:p w14:paraId="0EF8EA6F">
      <w:pPr>
        <w:pStyle w:val="5"/>
        <w:numPr>
          <w:ilvl w:val="0"/>
          <w:numId w:val="65"/>
        </w:numPr>
        <w:tabs>
          <w:tab w:val="left" w:pos="588"/>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以抵销后净额列示的递延所得税资产或负债</w:t>
      </w:r>
    </w:p>
    <w:sdt>
      <w:sdtPr>
        <w:rPr>
          <w:color w:val="000000" w:themeColor="text1"/>
          <w14:textFill>
            <w14:solidFill>
              <w14:schemeClr w14:val="tx1"/>
            </w14:solidFill>
          </w14:textFill>
        </w:rPr>
        <w:alias w:val="是否适用：以抵销后净额列示的递延所得税资产或负债[双击切换]"/>
        <w:tag w:val="_GBC_d6419a9d2dc94127a5f6aea72cb2a94d"/>
        <w:id w:val="-328368728"/>
        <w:placeholder>
          <w:docPart w:val="GBC22222222222222222222222222222"/>
        </w:placeholder>
      </w:sdtPr>
      <w:sdtEndPr>
        <w:rPr>
          <w:color w:val="000000" w:themeColor="text1"/>
          <w14:textFill>
            <w14:solidFill>
              <w14:schemeClr w14:val="tx1"/>
            </w14:solidFill>
          </w14:textFill>
        </w:rPr>
      </w:sdtEndPr>
      <w:sdtContent>
        <w:p w14:paraId="7151F44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92ACFA">
      <w:pPr>
        <w:rPr>
          <w:color w:val="000000" w:themeColor="text1"/>
          <w14:textFill>
            <w14:solidFill>
              <w14:schemeClr w14:val="tx1"/>
            </w14:solidFill>
          </w14:textFill>
        </w:rPr>
      </w:pPr>
      <w:bookmarkStart w:id="299" w:name="_Hlk200964296"/>
    </w:p>
    <w:bookmarkEnd w:id="298"/>
    <w:bookmarkEnd w:id="299"/>
    <w:p w14:paraId="511D1DCC">
      <w:pPr>
        <w:pStyle w:val="5"/>
        <w:numPr>
          <w:ilvl w:val="0"/>
          <w:numId w:val="65"/>
        </w:numPr>
        <w:tabs>
          <w:tab w:val="left" w:pos="588"/>
          <w:tab w:val="left" w:pos="616"/>
        </w:tabs>
        <w:rPr>
          <w:rFonts w:ascii="宋体" w:hAnsi="宋体"/>
          <w:color w:val="000000" w:themeColor="text1"/>
          <w14:textFill>
            <w14:solidFill>
              <w14:schemeClr w14:val="tx1"/>
            </w14:solidFill>
          </w14:textFill>
        </w:rPr>
      </w:pPr>
      <w:bookmarkStart w:id="300" w:name="_Hlk11160660"/>
      <w:r>
        <w:rPr>
          <w:rFonts w:hint="eastAsia" w:ascii="宋体" w:hAnsi="宋体"/>
          <w:color w:val="000000" w:themeColor="text1"/>
          <w14:textFill>
            <w14:solidFill>
              <w14:schemeClr w14:val="tx1"/>
            </w14:solidFill>
          </w14:textFill>
        </w:rPr>
        <w:t>未确认递延所得税资产明细</w:t>
      </w:r>
    </w:p>
    <w:sdt>
      <w:sdtPr>
        <w:rPr>
          <w:color w:val="000000" w:themeColor="text1"/>
          <w14:textFill>
            <w14:solidFill>
              <w14:schemeClr w14:val="tx1"/>
            </w14:solidFill>
          </w14:textFill>
        </w:rPr>
        <w:alias w:val="是否适用：未确认递延所得税资产明细[双击切换]"/>
        <w:tag w:val="_GBC_f210878b05204277b5f70ed9ae786ea7"/>
        <w:id w:val="-393123422"/>
        <w:placeholder>
          <w:docPart w:val="GBC22222222222222222222222222222"/>
        </w:placeholder>
      </w:sdtPr>
      <w:sdtEndPr>
        <w:rPr>
          <w:color w:val="000000" w:themeColor="text1"/>
          <w14:textFill>
            <w14:solidFill>
              <w14:schemeClr w14:val="tx1"/>
            </w14:solidFill>
          </w14:textFill>
        </w:rPr>
      </w:sdtEndPr>
      <w:sdtContent>
        <w:p w14:paraId="4F0B737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CD5929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确认递延所得税资产明细"/>
          <w:tag w:val="_GBC_ce13c0c07be34b60aa76bbbf1260928d"/>
          <w:id w:val="-9293478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确认递延所得税资产明细"/>
          <w:tag w:val="_GBC_8f1c08c0092d44718e258d0b64b7bf6f"/>
          <w:id w:val="5040142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300"/>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8"/>
        <w:gridCol w:w="3082"/>
        <w:gridCol w:w="3079"/>
      </w:tblGrid>
      <w:tr w14:paraId="40F3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bfd226eac09b4e2fb1cc66684c879c9b"/>
            <w:id w:val="-1133866824"/>
          </w:sdtPr>
          <w:sdtContent>
            <w:tc>
              <w:tcPr>
                <w:tcW w:w="1596" w:type="pct"/>
                <w:tcBorders>
                  <w:top w:val="single" w:color="auto" w:sz="4" w:space="0"/>
                  <w:left w:val="single" w:color="auto" w:sz="4" w:space="0"/>
                  <w:bottom w:val="single" w:color="auto" w:sz="4" w:space="0"/>
                  <w:right w:val="single" w:color="auto" w:sz="4" w:space="0"/>
                </w:tcBorders>
                <w:vAlign w:val="center"/>
              </w:tcPr>
              <w:p w14:paraId="4A1C7E3C">
                <w:pPr>
                  <w:jc w:val="center"/>
                  <w:rPr>
                    <w:color w:val="000000" w:themeColor="text1"/>
                    <w14:textFill>
                      <w14:solidFill>
                        <w14:schemeClr w14:val="tx1"/>
                      </w14:solidFill>
                    </w14:textFill>
                  </w:rPr>
                </w:pPr>
                <w:bookmarkStart w:id="301" w:name="_Hlk11160672"/>
                <w:r>
                  <w:rPr>
                    <w:rFonts w:hint="eastAsia"/>
                    <w:color w:val="000000" w:themeColor="text1"/>
                    <w14:textFill>
                      <w14:solidFill>
                        <w14:schemeClr w14:val="tx1"/>
                      </w14:solidFill>
                    </w14:textFill>
                  </w:rPr>
                  <w:t>项目</w:t>
                </w:r>
              </w:p>
            </w:tc>
          </w:sdtContent>
        </w:sdt>
        <w:sdt>
          <w:sdtPr>
            <w:tag w:val="_PLD_bba7988c74a34dcf950349beb6df1c0b"/>
            <w:id w:val="1123814502"/>
          </w:sdtPr>
          <w:sdtContent>
            <w:tc>
              <w:tcPr>
                <w:tcW w:w="1703" w:type="pct"/>
                <w:tcBorders>
                  <w:top w:val="single" w:color="auto" w:sz="4" w:space="0"/>
                  <w:left w:val="single" w:color="auto" w:sz="4" w:space="0"/>
                  <w:bottom w:val="single" w:color="auto" w:sz="4" w:space="0"/>
                  <w:right w:val="single" w:color="auto" w:sz="4" w:space="0"/>
                </w:tcBorders>
                <w:vAlign w:val="center"/>
              </w:tcPr>
              <w:p w14:paraId="1FAB0F9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36004da9855d4469bf16ab328077f444"/>
            <w:id w:val="-328143785"/>
          </w:sdtPr>
          <w:sdtContent>
            <w:tc>
              <w:tcPr>
                <w:tcW w:w="1701" w:type="pct"/>
                <w:tcBorders>
                  <w:top w:val="single" w:color="auto" w:sz="4" w:space="0"/>
                  <w:left w:val="single" w:color="auto" w:sz="4" w:space="0"/>
                  <w:bottom w:val="single" w:color="auto" w:sz="4" w:space="0"/>
                  <w:right w:val="single" w:color="auto" w:sz="4" w:space="0"/>
                </w:tcBorders>
                <w:vAlign w:val="center"/>
              </w:tcPr>
              <w:p w14:paraId="33BF0B1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004B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vAlign w:val="center"/>
          </w:tcPr>
          <w:p w14:paraId="7D5FBC22">
            <w:r>
              <w:t>资产减值准备</w:t>
            </w:r>
          </w:p>
        </w:tc>
        <w:tc>
          <w:tcPr>
            <w:tcW w:w="1703" w:type="pct"/>
            <w:tcBorders>
              <w:top w:val="single" w:color="auto" w:sz="4" w:space="0"/>
              <w:left w:val="single" w:color="auto" w:sz="4" w:space="0"/>
              <w:bottom w:val="single" w:color="auto" w:sz="4" w:space="0"/>
              <w:right w:val="single" w:color="auto" w:sz="4" w:space="0"/>
            </w:tcBorders>
            <w:vAlign w:val="center"/>
          </w:tcPr>
          <w:p w14:paraId="7C25BE75">
            <w:pPr>
              <w:jc w:val="right"/>
            </w:pPr>
            <w:r>
              <w:t>391,900,035.08</w:t>
            </w:r>
          </w:p>
        </w:tc>
        <w:tc>
          <w:tcPr>
            <w:tcW w:w="1701" w:type="pct"/>
            <w:tcBorders>
              <w:top w:val="single" w:color="auto" w:sz="4" w:space="0"/>
              <w:left w:val="single" w:color="auto" w:sz="4" w:space="0"/>
              <w:bottom w:val="single" w:color="auto" w:sz="4" w:space="0"/>
              <w:right w:val="single" w:color="auto" w:sz="4" w:space="0"/>
            </w:tcBorders>
          </w:tcPr>
          <w:p w14:paraId="48615BCA">
            <w:pPr>
              <w:jc w:val="right"/>
            </w:pPr>
            <w:r>
              <w:t>626,707,716.48</w:t>
            </w:r>
          </w:p>
        </w:tc>
      </w:tr>
      <w:tr w14:paraId="6CA5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vAlign w:val="center"/>
          </w:tcPr>
          <w:p w14:paraId="76327760">
            <w:r>
              <w:t>预计负债</w:t>
            </w:r>
          </w:p>
        </w:tc>
        <w:tc>
          <w:tcPr>
            <w:tcW w:w="1703" w:type="pct"/>
            <w:tcBorders>
              <w:top w:val="single" w:color="auto" w:sz="4" w:space="0"/>
              <w:left w:val="single" w:color="auto" w:sz="4" w:space="0"/>
              <w:bottom w:val="single" w:color="auto" w:sz="4" w:space="0"/>
              <w:right w:val="single" w:color="auto" w:sz="4" w:space="0"/>
            </w:tcBorders>
            <w:vAlign w:val="center"/>
          </w:tcPr>
          <w:p w14:paraId="6871CED4">
            <w:pPr>
              <w:jc w:val="right"/>
            </w:pPr>
            <w:r>
              <w:t>87,834,174.39</w:t>
            </w:r>
          </w:p>
        </w:tc>
        <w:tc>
          <w:tcPr>
            <w:tcW w:w="1701" w:type="pct"/>
            <w:tcBorders>
              <w:top w:val="single" w:color="auto" w:sz="4" w:space="0"/>
              <w:left w:val="single" w:color="auto" w:sz="4" w:space="0"/>
              <w:bottom w:val="single" w:color="auto" w:sz="4" w:space="0"/>
              <w:right w:val="single" w:color="auto" w:sz="4" w:space="0"/>
            </w:tcBorders>
          </w:tcPr>
          <w:p w14:paraId="3672526E">
            <w:pPr>
              <w:jc w:val="right"/>
            </w:pPr>
            <w:r>
              <w:t>66,969,849.62</w:t>
            </w:r>
          </w:p>
        </w:tc>
      </w:tr>
      <w:tr w14:paraId="22CD2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vAlign w:val="center"/>
          </w:tcPr>
          <w:p w14:paraId="0345E968">
            <w:pPr>
              <w:rPr>
                <w:color w:val="000000" w:themeColor="text1"/>
                <w14:textFill>
                  <w14:solidFill>
                    <w14:schemeClr w14:val="tx1"/>
                  </w14:solidFill>
                </w14:textFill>
              </w:rPr>
            </w:pPr>
            <w:r>
              <w:rPr>
                <w:rFonts w:hint="eastAsia"/>
                <w:color w:val="000000" w:themeColor="text1"/>
                <w14:textFill>
                  <w14:solidFill>
                    <w14:schemeClr w14:val="tx1"/>
                  </w14:solidFill>
                </w14:textFill>
              </w:rPr>
              <w:t>可抵扣亏损</w:t>
            </w:r>
          </w:p>
        </w:tc>
        <w:tc>
          <w:tcPr>
            <w:tcW w:w="1703" w:type="pct"/>
            <w:tcBorders>
              <w:top w:val="single" w:color="auto" w:sz="4" w:space="0"/>
              <w:left w:val="single" w:color="auto" w:sz="4" w:space="0"/>
              <w:bottom w:val="single" w:color="auto" w:sz="4" w:space="0"/>
              <w:right w:val="single" w:color="auto" w:sz="4" w:space="0"/>
            </w:tcBorders>
            <w:vAlign w:val="center"/>
          </w:tcPr>
          <w:p w14:paraId="0BB58190">
            <w:pPr>
              <w:jc w:val="right"/>
            </w:pPr>
            <w:r>
              <w:t>3,928,778,051.83</w:t>
            </w:r>
          </w:p>
        </w:tc>
        <w:tc>
          <w:tcPr>
            <w:tcW w:w="1701" w:type="pct"/>
            <w:tcBorders>
              <w:top w:val="single" w:color="auto" w:sz="4" w:space="0"/>
              <w:left w:val="single" w:color="auto" w:sz="4" w:space="0"/>
              <w:bottom w:val="single" w:color="auto" w:sz="4" w:space="0"/>
              <w:right w:val="single" w:color="auto" w:sz="4" w:space="0"/>
            </w:tcBorders>
            <w:vAlign w:val="center"/>
          </w:tcPr>
          <w:p w14:paraId="32959551">
            <w:pPr>
              <w:jc w:val="right"/>
            </w:pPr>
            <w:r>
              <w:t>3,057,647,660.38</w:t>
            </w:r>
          </w:p>
        </w:tc>
      </w:tr>
      <w:tr w14:paraId="1D7C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vAlign w:val="center"/>
          </w:tcPr>
          <w:p w14:paraId="6E0FFE9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703" w:type="pct"/>
            <w:tcBorders>
              <w:top w:val="single" w:color="auto" w:sz="4" w:space="0"/>
              <w:left w:val="single" w:color="auto" w:sz="4" w:space="0"/>
              <w:bottom w:val="single" w:color="auto" w:sz="4" w:space="0"/>
              <w:right w:val="single" w:color="auto" w:sz="4" w:space="0"/>
            </w:tcBorders>
            <w:vAlign w:val="center"/>
          </w:tcPr>
          <w:p w14:paraId="2DEDF529">
            <w:pPr>
              <w:jc w:val="right"/>
            </w:pPr>
            <w:r>
              <w:t>4,408,512,261.30</w:t>
            </w:r>
          </w:p>
        </w:tc>
        <w:tc>
          <w:tcPr>
            <w:tcW w:w="1701" w:type="pct"/>
            <w:tcBorders>
              <w:top w:val="single" w:color="auto" w:sz="4" w:space="0"/>
              <w:left w:val="single" w:color="auto" w:sz="4" w:space="0"/>
              <w:bottom w:val="single" w:color="auto" w:sz="4" w:space="0"/>
              <w:right w:val="single" w:color="auto" w:sz="4" w:space="0"/>
            </w:tcBorders>
            <w:vAlign w:val="center"/>
          </w:tcPr>
          <w:p w14:paraId="2248BFB9">
            <w:pPr>
              <w:jc w:val="right"/>
            </w:pPr>
            <w:r>
              <w:t>3,751,325,226.48</w:t>
            </w:r>
          </w:p>
        </w:tc>
      </w:tr>
    </w:tbl>
    <w:p w14:paraId="64201D62"/>
    <w:p w14:paraId="60545D36">
      <w:pPr>
        <w:pStyle w:val="5"/>
        <w:numPr>
          <w:ilvl w:val="0"/>
          <w:numId w:val="65"/>
        </w:numPr>
        <w:tabs>
          <w:tab w:val="left" w:pos="588"/>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未确认递延所得税资产的可抵扣亏损将于以下年度到期</w:t>
      </w:r>
    </w:p>
    <w:sdt>
      <w:sdtPr>
        <w:rPr>
          <w:color w:val="000000" w:themeColor="text1"/>
          <w14:textFill>
            <w14:solidFill>
              <w14:schemeClr w14:val="tx1"/>
            </w14:solidFill>
          </w14:textFill>
        </w:rPr>
        <w:alias w:val="是否适用：未确认递延所得税资产的可抵扣亏损将于以下年度到期[双击切换]"/>
        <w:tag w:val="_GBC_10d31911cedc4147b90ab71d35742bf4"/>
        <w:id w:val="695812985"/>
        <w:placeholder>
          <w:docPart w:val="GBC22222222222222222222222222222"/>
        </w:placeholder>
      </w:sdtPr>
      <w:sdtEndPr>
        <w:rPr>
          <w:color w:val="000000" w:themeColor="text1"/>
          <w14:textFill>
            <w14:solidFill>
              <w14:schemeClr w14:val="tx1"/>
            </w14:solidFill>
          </w14:textFill>
        </w:rPr>
      </w:sdtEndPr>
      <w:sdtContent>
        <w:p w14:paraId="206B3E4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62E2A5">
      <w:pPr>
        <w:ind w:right="57"/>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确认递延所得税资产的可抵扣亏损将于以下年度到期"/>
          <w:tag w:val="_GBC_e5ae9be2f02b49aa93ff11e0e7a11cca"/>
          <w:id w:val="-6008017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确认递延所得税资产的可抵扣亏损将于以下年度到期"/>
          <w:tag w:val="_GBC_83b0fc2196304484aa53ef2b9e2e191a"/>
          <w:id w:val="-35879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301"/>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2286"/>
        <w:gridCol w:w="2324"/>
        <w:gridCol w:w="2355"/>
      </w:tblGrid>
      <w:tr w14:paraId="2B00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10a470de2b84ef593de891faad46b6b"/>
            <w:id w:val="-1385474265"/>
          </w:sdtPr>
          <w:sdtContent>
            <w:tc>
              <w:tcPr>
                <w:tcW w:w="1152" w:type="pct"/>
                <w:tcBorders>
                  <w:top w:val="single" w:color="auto" w:sz="4" w:space="0"/>
                  <w:left w:val="single" w:color="auto" w:sz="4" w:space="0"/>
                  <w:bottom w:val="single" w:color="auto" w:sz="4" w:space="0"/>
                  <w:right w:val="single" w:color="auto" w:sz="4" w:space="0"/>
                </w:tcBorders>
                <w:vAlign w:val="center"/>
              </w:tcPr>
              <w:p w14:paraId="717290E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年份</w:t>
                </w:r>
              </w:p>
            </w:tc>
          </w:sdtContent>
        </w:sdt>
        <w:sdt>
          <w:sdtPr>
            <w:tag w:val="_PLD_a6335ab4fba14ab8946b823c64f03503"/>
            <w:id w:val="-1152748973"/>
          </w:sdtPr>
          <w:sdtContent>
            <w:tc>
              <w:tcPr>
                <w:tcW w:w="1263" w:type="pct"/>
                <w:tcBorders>
                  <w:top w:val="single" w:color="auto" w:sz="4" w:space="0"/>
                  <w:left w:val="single" w:color="auto" w:sz="4" w:space="0"/>
                  <w:bottom w:val="single" w:color="auto" w:sz="4" w:space="0"/>
                  <w:right w:val="single" w:color="auto" w:sz="4" w:space="0"/>
                </w:tcBorders>
                <w:vAlign w:val="center"/>
              </w:tcPr>
              <w:p w14:paraId="25C1A9C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期末金额</w:t>
                </w:r>
              </w:p>
            </w:tc>
          </w:sdtContent>
        </w:sdt>
        <w:sdt>
          <w:sdtPr>
            <w:tag w:val="_PLD_7582e6645cec4513a5606c104f2d83f1"/>
            <w:id w:val="1086495413"/>
          </w:sdtPr>
          <w:sdtContent>
            <w:tc>
              <w:tcPr>
                <w:tcW w:w="1284" w:type="pct"/>
                <w:tcBorders>
                  <w:top w:val="single" w:color="auto" w:sz="4" w:space="0"/>
                  <w:left w:val="single" w:color="auto" w:sz="4" w:space="0"/>
                  <w:bottom w:val="single" w:color="auto" w:sz="4" w:space="0"/>
                  <w:right w:val="single" w:color="auto" w:sz="4" w:space="0"/>
                </w:tcBorders>
                <w:vAlign w:val="center"/>
              </w:tcPr>
              <w:p w14:paraId="45BC311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期初金额</w:t>
                </w:r>
              </w:p>
            </w:tc>
          </w:sdtContent>
        </w:sdt>
        <w:sdt>
          <w:sdtPr>
            <w:tag w:val="_PLD_1a030fe5a0564bed845b9b81b2eda8b8"/>
            <w:id w:val="1672910055"/>
          </w:sdtPr>
          <w:sdtContent>
            <w:tc>
              <w:tcPr>
                <w:tcW w:w="1301" w:type="pct"/>
                <w:tcBorders>
                  <w:top w:val="single" w:color="auto" w:sz="4" w:space="0"/>
                  <w:left w:val="single" w:color="auto" w:sz="4" w:space="0"/>
                  <w:bottom w:val="single" w:color="auto" w:sz="4" w:space="0"/>
                  <w:right w:val="single" w:color="auto" w:sz="4" w:space="0"/>
                </w:tcBorders>
                <w:vAlign w:val="center"/>
              </w:tcPr>
              <w:p w14:paraId="5A2AD5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sdtContent>
        </w:sdt>
      </w:tr>
      <w:tr w14:paraId="54F1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14:paraId="6DDB1AE6">
            <w:r>
              <w:t>2025年</w:t>
            </w:r>
          </w:p>
        </w:tc>
        <w:tc>
          <w:tcPr>
            <w:tcW w:w="1263" w:type="pct"/>
            <w:tcBorders>
              <w:top w:val="single" w:color="auto" w:sz="4" w:space="0"/>
              <w:left w:val="single" w:color="auto" w:sz="4" w:space="0"/>
              <w:bottom w:val="single" w:color="auto" w:sz="4" w:space="0"/>
              <w:right w:val="single" w:color="auto" w:sz="4" w:space="0"/>
            </w:tcBorders>
            <w:vAlign w:val="center"/>
          </w:tcPr>
          <w:p w14:paraId="2F8E189A">
            <w:pPr>
              <w:jc w:val="right"/>
            </w:pPr>
            <w:r>
              <w:t>47,179,431.83</w:t>
            </w:r>
          </w:p>
        </w:tc>
        <w:tc>
          <w:tcPr>
            <w:tcW w:w="1284" w:type="pct"/>
            <w:tcBorders>
              <w:top w:val="single" w:color="auto" w:sz="4" w:space="0"/>
              <w:left w:val="single" w:color="auto" w:sz="4" w:space="0"/>
              <w:bottom w:val="single" w:color="auto" w:sz="4" w:space="0"/>
              <w:right w:val="single" w:color="auto" w:sz="4" w:space="0"/>
            </w:tcBorders>
          </w:tcPr>
          <w:p w14:paraId="7711D8D3">
            <w:pPr>
              <w:jc w:val="right"/>
            </w:pPr>
            <w:r>
              <w:t>48,971,185.52</w:t>
            </w:r>
          </w:p>
        </w:tc>
        <w:tc>
          <w:tcPr>
            <w:tcW w:w="1301" w:type="pct"/>
            <w:tcBorders>
              <w:top w:val="single" w:color="auto" w:sz="4" w:space="0"/>
              <w:left w:val="single" w:color="auto" w:sz="4" w:space="0"/>
              <w:bottom w:val="single" w:color="auto" w:sz="4" w:space="0"/>
              <w:right w:val="single" w:color="auto" w:sz="4" w:space="0"/>
            </w:tcBorders>
          </w:tcPr>
          <w:p w14:paraId="581650B6"/>
        </w:tc>
      </w:tr>
      <w:tr w14:paraId="2C1D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14:paraId="5A18D898">
            <w:r>
              <w:t>2026年</w:t>
            </w:r>
          </w:p>
        </w:tc>
        <w:tc>
          <w:tcPr>
            <w:tcW w:w="1263" w:type="pct"/>
            <w:tcBorders>
              <w:top w:val="single" w:color="auto" w:sz="4" w:space="0"/>
              <w:left w:val="single" w:color="auto" w:sz="4" w:space="0"/>
              <w:bottom w:val="single" w:color="auto" w:sz="4" w:space="0"/>
              <w:right w:val="single" w:color="auto" w:sz="4" w:space="0"/>
            </w:tcBorders>
            <w:vAlign w:val="center"/>
          </w:tcPr>
          <w:p w14:paraId="23CB7E8E">
            <w:pPr>
              <w:jc w:val="right"/>
            </w:pPr>
            <w:r>
              <w:t>267,167,272.56</w:t>
            </w:r>
          </w:p>
        </w:tc>
        <w:tc>
          <w:tcPr>
            <w:tcW w:w="1284" w:type="pct"/>
            <w:tcBorders>
              <w:top w:val="single" w:color="auto" w:sz="4" w:space="0"/>
              <w:left w:val="single" w:color="auto" w:sz="4" w:space="0"/>
              <w:bottom w:val="single" w:color="auto" w:sz="4" w:space="0"/>
              <w:right w:val="single" w:color="auto" w:sz="4" w:space="0"/>
            </w:tcBorders>
          </w:tcPr>
          <w:p w14:paraId="73A65604">
            <w:pPr>
              <w:jc w:val="right"/>
            </w:pPr>
            <w:r>
              <w:t>332,310,360.48</w:t>
            </w:r>
          </w:p>
        </w:tc>
        <w:tc>
          <w:tcPr>
            <w:tcW w:w="1301" w:type="pct"/>
            <w:tcBorders>
              <w:top w:val="single" w:color="auto" w:sz="4" w:space="0"/>
              <w:left w:val="single" w:color="auto" w:sz="4" w:space="0"/>
              <w:bottom w:val="single" w:color="auto" w:sz="4" w:space="0"/>
              <w:right w:val="single" w:color="auto" w:sz="4" w:space="0"/>
            </w:tcBorders>
          </w:tcPr>
          <w:p w14:paraId="4FFC7308"/>
        </w:tc>
      </w:tr>
      <w:tr w14:paraId="1342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14:paraId="57B94EA3">
            <w:r>
              <w:t>2027年</w:t>
            </w:r>
          </w:p>
        </w:tc>
        <w:tc>
          <w:tcPr>
            <w:tcW w:w="1263" w:type="pct"/>
            <w:tcBorders>
              <w:top w:val="single" w:color="auto" w:sz="4" w:space="0"/>
              <w:left w:val="single" w:color="auto" w:sz="4" w:space="0"/>
              <w:bottom w:val="single" w:color="auto" w:sz="4" w:space="0"/>
              <w:right w:val="single" w:color="auto" w:sz="4" w:space="0"/>
            </w:tcBorders>
            <w:vAlign w:val="center"/>
          </w:tcPr>
          <w:p w14:paraId="4E53AE9D">
            <w:pPr>
              <w:jc w:val="right"/>
            </w:pPr>
            <w:r>
              <w:t>327,414,549.93</w:t>
            </w:r>
          </w:p>
        </w:tc>
        <w:tc>
          <w:tcPr>
            <w:tcW w:w="1284" w:type="pct"/>
            <w:tcBorders>
              <w:top w:val="single" w:color="auto" w:sz="4" w:space="0"/>
              <w:left w:val="single" w:color="auto" w:sz="4" w:space="0"/>
              <w:bottom w:val="single" w:color="auto" w:sz="4" w:space="0"/>
              <w:right w:val="single" w:color="auto" w:sz="4" w:space="0"/>
            </w:tcBorders>
          </w:tcPr>
          <w:p w14:paraId="004BA940">
            <w:pPr>
              <w:jc w:val="right"/>
            </w:pPr>
            <w:r>
              <w:t>378,188,435.65</w:t>
            </w:r>
          </w:p>
        </w:tc>
        <w:tc>
          <w:tcPr>
            <w:tcW w:w="1301" w:type="pct"/>
            <w:tcBorders>
              <w:top w:val="single" w:color="auto" w:sz="4" w:space="0"/>
              <w:left w:val="single" w:color="auto" w:sz="4" w:space="0"/>
              <w:bottom w:val="single" w:color="auto" w:sz="4" w:space="0"/>
              <w:right w:val="single" w:color="auto" w:sz="4" w:space="0"/>
            </w:tcBorders>
          </w:tcPr>
          <w:p w14:paraId="05BFBDE7"/>
        </w:tc>
      </w:tr>
      <w:tr w14:paraId="2B89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14:paraId="1597B7A6">
            <w:r>
              <w:t>2028年</w:t>
            </w:r>
          </w:p>
        </w:tc>
        <w:tc>
          <w:tcPr>
            <w:tcW w:w="1263" w:type="pct"/>
            <w:tcBorders>
              <w:top w:val="single" w:color="auto" w:sz="4" w:space="0"/>
              <w:left w:val="single" w:color="auto" w:sz="4" w:space="0"/>
              <w:bottom w:val="single" w:color="auto" w:sz="4" w:space="0"/>
              <w:right w:val="single" w:color="auto" w:sz="4" w:space="0"/>
            </w:tcBorders>
            <w:vAlign w:val="center"/>
          </w:tcPr>
          <w:p w14:paraId="1F4A5B93">
            <w:pPr>
              <w:jc w:val="right"/>
            </w:pPr>
            <w:r>
              <w:t>979,636,467.30</w:t>
            </w:r>
          </w:p>
        </w:tc>
        <w:tc>
          <w:tcPr>
            <w:tcW w:w="1284" w:type="pct"/>
            <w:tcBorders>
              <w:top w:val="single" w:color="auto" w:sz="4" w:space="0"/>
              <w:left w:val="single" w:color="auto" w:sz="4" w:space="0"/>
              <w:bottom w:val="single" w:color="auto" w:sz="4" w:space="0"/>
              <w:right w:val="single" w:color="auto" w:sz="4" w:space="0"/>
            </w:tcBorders>
          </w:tcPr>
          <w:p w14:paraId="22CEBE3D">
            <w:pPr>
              <w:jc w:val="right"/>
            </w:pPr>
            <w:r>
              <w:t>1,084,256,282.07</w:t>
            </w:r>
          </w:p>
        </w:tc>
        <w:tc>
          <w:tcPr>
            <w:tcW w:w="1301" w:type="pct"/>
            <w:tcBorders>
              <w:top w:val="single" w:color="auto" w:sz="4" w:space="0"/>
              <w:left w:val="single" w:color="auto" w:sz="4" w:space="0"/>
              <w:bottom w:val="single" w:color="auto" w:sz="4" w:space="0"/>
              <w:right w:val="single" w:color="auto" w:sz="4" w:space="0"/>
            </w:tcBorders>
          </w:tcPr>
          <w:p w14:paraId="714A775E"/>
        </w:tc>
      </w:tr>
      <w:tr w14:paraId="37BF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14:paraId="59D9552A">
            <w:r>
              <w:t>2029年</w:t>
            </w:r>
          </w:p>
        </w:tc>
        <w:tc>
          <w:tcPr>
            <w:tcW w:w="1263" w:type="pct"/>
            <w:tcBorders>
              <w:top w:val="single" w:color="auto" w:sz="4" w:space="0"/>
              <w:left w:val="single" w:color="auto" w:sz="4" w:space="0"/>
              <w:bottom w:val="single" w:color="auto" w:sz="4" w:space="0"/>
              <w:right w:val="single" w:color="auto" w:sz="4" w:space="0"/>
            </w:tcBorders>
            <w:vAlign w:val="center"/>
          </w:tcPr>
          <w:p w14:paraId="2739BC9A">
            <w:pPr>
              <w:jc w:val="right"/>
            </w:pPr>
            <w:r>
              <w:t>795,780,326.49</w:t>
            </w:r>
          </w:p>
        </w:tc>
        <w:tc>
          <w:tcPr>
            <w:tcW w:w="1284" w:type="pct"/>
            <w:tcBorders>
              <w:top w:val="single" w:color="auto" w:sz="4" w:space="0"/>
              <w:left w:val="single" w:color="auto" w:sz="4" w:space="0"/>
              <w:bottom w:val="single" w:color="auto" w:sz="4" w:space="0"/>
              <w:right w:val="single" w:color="auto" w:sz="4" w:space="0"/>
            </w:tcBorders>
          </w:tcPr>
          <w:p w14:paraId="3A3FCE88">
            <w:pPr>
              <w:jc w:val="right"/>
            </w:pPr>
            <w:r>
              <w:t>1,213,921,396.66</w:t>
            </w:r>
          </w:p>
        </w:tc>
        <w:tc>
          <w:tcPr>
            <w:tcW w:w="1301" w:type="pct"/>
            <w:tcBorders>
              <w:top w:val="single" w:color="auto" w:sz="4" w:space="0"/>
              <w:left w:val="single" w:color="auto" w:sz="4" w:space="0"/>
              <w:bottom w:val="single" w:color="auto" w:sz="4" w:space="0"/>
              <w:right w:val="single" w:color="auto" w:sz="4" w:space="0"/>
            </w:tcBorders>
          </w:tcPr>
          <w:p w14:paraId="788E6158"/>
        </w:tc>
      </w:tr>
      <w:tr w14:paraId="3AD9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tcPr>
          <w:p w14:paraId="2EC595CB">
            <w:r>
              <w:t>2030年及以后到期</w:t>
            </w:r>
          </w:p>
        </w:tc>
        <w:tc>
          <w:tcPr>
            <w:tcW w:w="1263" w:type="pct"/>
            <w:tcBorders>
              <w:top w:val="single" w:color="auto" w:sz="4" w:space="0"/>
              <w:left w:val="single" w:color="auto" w:sz="4" w:space="0"/>
              <w:bottom w:val="single" w:color="auto" w:sz="4" w:space="0"/>
              <w:right w:val="single" w:color="auto" w:sz="4" w:space="0"/>
            </w:tcBorders>
            <w:vAlign w:val="center"/>
          </w:tcPr>
          <w:p w14:paraId="6A15998F">
            <w:pPr>
              <w:jc w:val="right"/>
            </w:pPr>
            <w:r>
              <w:t>1,511,600,003.72</w:t>
            </w:r>
          </w:p>
        </w:tc>
        <w:tc>
          <w:tcPr>
            <w:tcW w:w="1284" w:type="pct"/>
            <w:tcBorders>
              <w:top w:val="single" w:color="auto" w:sz="4" w:space="0"/>
              <w:left w:val="single" w:color="auto" w:sz="4" w:space="0"/>
              <w:bottom w:val="single" w:color="auto" w:sz="4" w:space="0"/>
              <w:right w:val="single" w:color="auto" w:sz="4" w:space="0"/>
            </w:tcBorders>
          </w:tcPr>
          <w:p w14:paraId="2E68020F">
            <w:pPr>
              <w:jc w:val="right"/>
            </w:pPr>
          </w:p>
        </w:tc>
        <w:tc>
          <w:tcPr>
            <w:tcW w:w="1301" w:type="pct"/>
            <w:tcBorders>
              <w:top w:val="single" w:color="auto" w:sz="4" w:space="0"/>
              <w:left w:val="single" w:color="auto" w:sz="4" w:space="0"/>
              <w:bottom w:val="single" w:color="auto" w:sz="4" w:space="0"/>
              <w:right w:val="single" w:color="auto" w:sz="4" w:space="0"/>
            </w:tcBorders>
          </w:tcPr>
          <w:p w14:paraId="6F58D17C"/>
        </w:tc>
      </w:tr>
      <w:tr w14:paraId="21CA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52" w:type="pct"/>
            <w:tcBorders>
              <w:top w:val="single" w:color="auto" w:sz="4" w:space="0"/>
              <w:left w:val="single" w:color="auto" w:sz="4" w:space="0"/>
              <w:bottom w:val="single" w:color="auto" w:sz="4" w:space="0"/>
              <w:right w:val="single" w:color="auto" w:sz="4" w:space="0"/>
            </w:tcBorders>
            <w:vAlign w:val="bottom"/>
          </w:tcPr>
          <w:p w14:paraId="638B078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63" w:type="pct"/>
            <w:tcBorders>
              <w:top w:val="single" w:color="auto" w:sz="4" w:space="0"/>
              <w:left w:val="single" w:color="auto" w:sz="4" w:space="0"/>
              <w:bottom w:val="single" w:color="auto" w:sz="4" w:space="0"/>
              <w:right w:val="single" w:color="auto" w:sz="4" w:space="0"/>
            </w:tcBorders>
            <w:vAlign w:val="center"/>
          </w:tcPr>
          <w:p w14:paraId="36CE53EE">
            <w:pPr>
              <w:jc w:val="right"/>
            </w:pPr>
            <w:r>
              <w:t>3,928,778,051.83</w:t>
            </w:r>
          </w:p>
        </w:tc>
        <w:tc>
          <w:tcPr>
            <w:tcW w:w="1284" w:type="pct"/>
            <w:tcBorders>
              <w:top w:val="single" w:color="auto" w:sz="4" w:space="0"/>
              <w:left w:val="single" w:color="auto" w:sz="4" w:space="0"/>
              <w:bottom w:val="single" w:color="auto" w:sz="4" w:space="0"/>
              <w:right w:val="single" w:color="auto" w:sz="4" w:space="0"/>
            </w:tcBorders>
            <w:vAlign w:val="center"/>
          </w:tcPr>
          <w:p w14:paraId="549B8F49">
            <w:pPr>
              <w:jc w:val="right"/>
            </w:pPr>
            <w:r>
              <w:t>3,057,647,660.38</w:t>
            </w:r>
          </w:p>
        </w:tc>
        <w:tc>
          <w:tcPr>
            <w:tcW w:w="1301" w:type="pct"/>
            <w:tcBorders>
              <w:top w:val="single" w:color="auto" w:sz="4" w:space="0"/>
              <w:left w:val="single" w:color="auto" w:sz="4" w:space="0"/>
              <w:bottom w:val="single" w:color="auto" w:sz="4" w:space="0"/>
              <w:right w:val="single" w:color="auto" w:sz="4" w:space="0"/>
            </w:tcBorders>
          </w:tcPr>
          <w:p w14:paraId="5B439FC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23943CC1">
      <w:r>
        <w:rPr>
          <w:rFonts w:hint="eastAsia"/>
        </w:rPr>
        <w:t>注：期初数2029年为2029年及以后到期。</w:t>
      </w:r>
    </w:p>
    <w:p w14:paraId="1665B9BE">
      <w:pPr>
        <w:rPr>
          <w:color w:val="000000" w:themeColor="text1"/>
          <w14:textFill>
            <w14:solidFill>
              <w14:schemeClr w14:val="tx1"/>
            </w14:solidFill>
          </w14:textFill>
        </w:rPr>
      </w:pPr>
    </w:p>
    <w:p w14:paraId="6C71F0F6">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递延所得税资产和递延所得税负债的说明[双击切换]"/>
        <w:tag w:val="_GBC_06478ceb6b7447a791a4a5cbf8cc7e95"/>
        <w:id w:val="-1012443370"/>
        <w:placeholder>
          <w:docPart w:val="GBC22222222222222222222222222222"/>
        </w:placeholder>
      </w:sdtPr>
      <w:sdtEndPr>
        <w:rPr>
          <w:color w:val="000000" w:themeColor="text1"/>
          <w14:textFill>
            <w14:solidFill>
              <w14:schemeClr w14:val="tx1"/>
            </w14:solidFill>
          </w14:textFill>
        </w:rPr>
      </w:sdtEndPr>
      <w:sdtContent>
        <w:p w14:paraId="66DF573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06CCE2A">
      <w:pPr>
        <w:rPr>
          <w:color w:val="000000" w:themeColor="text1"/>
          <w14:textFill>
            <w14:solidFill>
              <w14:schemeClr w14:val="tx1"/>
            </w14:solidFill>
          </w14:textFill>
        </w:rPr>
      </w:pPr>
    </w:p>
    <w:p w14:paraId="470FB507">
      <w:pPr>
        <w:pStyle w:val="4"/>
        <w:numPr>
          <w:ilvl w:val="0"/>
          <w:numId w:val="41"/>
        </w:numPr>
        <w:rPr>
          <w:color w:val="000000" w:themeColor="text1"/>
          <w:szCs w:val="21"/>
          <w14:textFill>
            <w14:solidFill>
              <w14:schemeClr w14:val="tx1"/>
            </w14:solidFill>
          </w14:textFill>
        </w:rPr>
      </w:pPr>
      <w:bookmarkStart w:id="302" w:name="_Hlk10535308"/>
      <w:r>
        <w:rPr>
          <w:color w:val="000000" w:themeColor="text1"/>
          <w:szCs w:val="21"/>
          <w14:textFill>
            <w14:solidFill>
              <w14:schemeClr w14:val="tx1"/>
            </w14:solidFill>
          </w14:textFill>
        </w:rPr>
        <w:t>其他非流动资产</w:t>
      </w:r>
    </w:p>
    <w:sdt>
      <w:sdtPr>
        <w:rPr>
          <w:color w:val="000000" w:themeColor="text1"/>
          <w14:textFill>
            <w14:solidFill>
              <w14:schemeClr w14:val="tx1"/>
            </w14:solidFill>
          </w14:textFill>
        </w:rPr>
        <w:alias w:val="是否适用：其他非流动资产[双击切换]"/>
        <w:tag w:val="_GBC_227882aeaa9b4aa98d6af8bcac2af7a5"/>
        <w:id w:val="1021897594"/>
        <w:placeholder>
          <w:docPart w:val="GBC22222222222222222222222222222"/>
        </w:placeholder>
      </w:sdtPr>
      <w:sdtEndPr>
        <w:rPr>
          <w:color w:val="000000" w:themeColor="text1"/>
          <w14:textFill>
            <w14:solidFill>
              <w14:schemeClr w14:val="tx1"/>
            </w14:solidFill>
          </w14:textFill>
        </w:rPr>
      </w:sdtEndPr>
      <w:sdtContent>
        <w:p w14:paraId="345B027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FCA4F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color w:val="000000" w:themeColor="text1"/>
            <w14:textFill>
              <w14:solidFill>
                <w14:schemeClr w14:val="tx1"/>
              </w14:solidFill>
            </w14:textFill>
          </w:rPr>
          <w:alias w:val="单位：财务附注：其他非流动资产"/>
          <w:tag w:val="_GBC_5fd172528c7e4c4c8619b250ae90cdb4"/>
          <w:id w:val="4179908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非流动资产"/>
          <w:tag w:val="_GBC_4cd5c26035ba4f7384dee597c98f0cb6"/>
          <w:id w:val="20562726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227"/>
        <w:gridCol w:w="1742"/>
        <w:gridCol w:w="972"/>
        <w:gridCol w:w="1742"/>
        <w:gridCol w:w="1365"/>
        <w:gridCol w:w="822"/>
        <w:gridCol w:w="1367"/>
      </w:tblGrid>
      <w:tr w14:paraId="726E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a0072e7adb6c49bb95cec91e0b7ec491"/>
            <w:id w:val="-1898584163"/>
          </w:sdtPr>
          <w:sdtContent>
            <w:tc>
              <w:tcPr>
                <w:tcW w:w="664" w:type="pct"/>
                <w:vMerge w:val="restart"/>
                <w:vAlign w:val="center"/>
              </w:tcPr>
              <w:p w14:paraId="21DCF84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9557fd4b49c84b3db8c9ae69c7346562"/>
            <w:id w:val="-814101028"/>
          </w:sdtPr>
          <w:sdtContent>
            <w:tc>
              <w:tcPr>
                <w:tcW w:w="2412" w:type="pct"/>
                <w:gridSpan w:val="3"/>
                <w:vAlign w:val="center"/>
              </w:tcPr>
              <w:p w14:paraId="241BE34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dad73a13c6c344aaa0bec642175f96c3"/>
            <w:id w:val="-399678293"/>
          </w:sdtPr>
          <w:sdtContent>
            <w:tc>
              <w:tcPr>
                <w:tcW w:w="1924" w:type="pct"/>
                <w:gridSpan w:val="3"/>
                <w:vAlign w:val="center"/>
              </w:tcPr>
              <w:p w14:paraId="4ED216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10B0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64" w:type="pct"/>
            <w:vMerge w:val="continue"/>
            <w:vAlign w:val="center"/>
          </w:tcPr>
          <w:p w14:paraId="76A06CC0">
            <w:pPr>
              <w:jc w:val="center"/>
              <w:rPr>
                <w:color w:val="000000" w:themeColor="text1"/>
                <w14:textFill>
                  <w14:solidFill>
                    <w14:schemeClr w14:val="tx1"/>
                  </w14:solidFill>
                </w14:textFill>
              </w:rPr>
            </w:pPr>
          </w:p>
        </w:tc>
        <w:tc>
          <w:tcPr>
            <w:tcW w:w="943" w:type="pct"/>
            <w:vAlign w:val="center"/>
          </w:tcPr>
          <w:sdt>
            <w:sdtPr>
              <w:tag w:val="_PLD_93d316b5ed8d45ea95cfce051b0f999d"/>
              <w:id w:val="1217011705"/>
            </w:sdtPr>
            <w:sdtContent>
              <w:p w14:paraId="1B678CC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sdtContent>
          </w:sdt>
        </w:tc>
        <w:tc>
          <w:tcPr>
            <w:tcW w:w="526" w:type="pct"/>
            <w:vAlign w:val="center"/>
          </w:tcPr>
          <w:sdt>
            <w:sdtPr>
              <w:tag w:val="_PLD_ce9573e9b47f4859912e77c530974f87"/>
              <w:id w:val="-663634478"/>
            </w:sdtPr>
            <w:sdtContent>
              <w:p w14:paraId="754B6CDE">
                <w:pPr>
                  <w:jc w:val="center"/>
                  <w:rPr>
                    <w:color w:val="000000" w:themeColor="text1"/>
                    <w14:textFill>
                      <w14:solidFill>
                        <w14:schemeClr w14:val="tx1"/>
                      </w14:solidFill>
                    </w14:textFill>
                  </w:rPr>
                </w:pPr>
                <w:r>
                  <w:rPr>
                    <w:color w:val="000000" w:themeColor="text1"/>
                    <w14:textFill>
                      <w14:solidFill>
                        <w14:schemeClr w14:val="tx1"/>
                      </w14:solidFill>
                    </w14:textFill>
                  </w:rPr>
                  <w:t>减值准备</w:t>
                </w:r>
              </w:p>
            </w:sdtContent>
          </w:sdt>
        </w:tc>
        <w:tc>
          <w:tcPr>
            <w:tcW w:w="943" w:type="pct"/>
            <w:vAlign w:val="center"/>
          </w:tcPr>
          <w:sdt>
            <w:sdtPr>
              <w:tag w:val="_PLD_4b72c2cb7df84a3a9384f2eaa1acaf3a"/>
              <w:id w:val="-1725907489"/>
            </w:sdtPr>
            <w:sdtContent>
              <w:p w14:paraId="32114504">
                <w:pPr>
                  <w:jc w:val="center"/>
                  <w:rPr>
                    <w:color w:val="000000" w:themeColor="text1"/>
                    <w14:textFill>
                      <w14:solidFill>
                        <w14:schemeClr w14:val="tx1"/>
                      </w14:solidFill>
                    </w14:textFill>
                  </w:rPr>
                </w:pPr>
                <w:r>
                  <w:rPr>
                    <w:color w:val="000000" w:themeColor="text1"/>
                    <w14:textFill>
                      <w14:solidFill>
                        <w14:schemeClr w14:val="tx1"/>
                      </w14:solidFill>
                    </w14:textFill>
                  </w:rPr>
                  <w:t>账面价值</w:t>
                </w:r>
              </w:p>
            </w:sdtContent>
          </w:sdt>
        </w:tc>
        <w:tc>
          <w:tcPr>
            <w:tcW w:w="739" w:type="pct"/>
            <w:vAlign w:val="center"/>
          </w:tcPr>
          <w:sdt>
            <w:sdtPr>
              <w:tag w:val="_PLD_31abd03025c54702bba8f28fbcd435be"/>
              <w:id w:val="-2140715644"/>
            </w:sdtPr>
            <w:sdtContent>
              <w:p w14:paraId="7628655B">
                <w:pPr>
                  <w:jc w:val="center"/>
                  <w:rPr>
                    <w:color w:val="000000" w:themeColor="text1"/>
                    <w14:textFill>
                      <w14:solidFill>
                        <w14:schemeClr w14:val="tx1"/>
                      </w14:solidFill>
                    </w14:textFill>
                  </w:rPr>
                </w:pPr>
                <w:r>
                  <w:rPr>
                    <w:color w:val="000000" w:themeColor="text1"/>
                    <w14:textFill>
                      <w14:solidFill>
                        <w14:schemeClr w14:val="tx1"/>
                      </w14:solidFill>
                    </w14:textFill>
                  </w:rPr>
                  <w:t>账面余额</w:t>
                </w:r>
              </w:p>
            </w:sdtContent>
          </w:sdt>
        </w:tc>
        <w:tc>
          <w:tcPr>
            <w:tcW w:w="445" w:type="pct"/>
            <w:vAlign w:val="center"/>
          </w:tcPr>
          <w:sdt>
            <w:sdtPr>
              <w:tag w:val="_PLD_5650816a035d4b9d999e9f87d1506d3b"/>
              <w:id w:val="512117195"/>
            </w:sdtPr>
            <w:sdtContent>
              <w:p w14:paraId="4A726592">
                <w:pPr>
                  <w:jc w:val="center"/>
                  <w:rPr>
                    <w:color w:val="000000" w:themeColor="text1"/>
                    <w14:textFill>
                      <w14:solidFill>
                        <w14:schemeClr w14:val="tx1"/>
                      </w14:solidFill>
                    </w14:textFill>
                  </w:rPr>
                </w:pPr>
                <w:r>
                  <w:rPr>
                    <w:color w:val="000000" w:themeColor="text1"/>
                    <w14:textFill>
                      <w14:solidFill>
                        <w14:schemeClr w14:val="tx1"/>
                      </w14:solidFill>
                    </w14:textFill>
                  </w:rPr>
                  <w:t>减值准备</w:t>
                </w:r>
              </w:p>
            </w:sdtContent>
          </w:sdt>
        </w:tc>
        <w:tc>
          <w:tcPr>
            <w:tcW w:w="739" w:type="pct"/>
            <w:vAlign w:val="center"/>
          </w:tcPr>
          <w:sdt>
            <w:sdtPr>
              <w:tag w:val="_PLD_76b67d2d1c1543c0b22ec33e5ae8e28a"/>
              <w:id w:val="1397557929"/>
            </w:sdtPr>
            <w:sdtContent>
              <w:p w14:paraId="07989E70">
                <w:pPr>
                  <w:jc w:val="center"/>
                  <w:rPr>
                    <w:color w:val="000000" w:themeColor="text1"/>
                    <w14:textFill>
                      <w14:solidFill>
                        <w14:schemeClr w14:val="tx1"/>
                      </w14:solidFill>
                    </w14:textFill>
                  </w:rPr>
                </w:pPr>
                <w:r>
                  <w:rPr>
                    <w:color w:val="000000" w:themeColor="text1"/>
                    <w14:textFill>
                      <w14:solidFill>
                        <w14:schemeClr w14:val="tx1"/>
                      </w14:solidFill>
                    </w14:textFill>
                  </w:rPr>
                  <w:t>账面价值</w:t>
                </w:r>
              </w:p>
            </w:sdtContent>
          </w:sdt>
        </w:tc>
      </w:tr>
      <w:tr w14:paraId="47D4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64" w:type="pct"/>
            <w:vAlign w:val="center"/>
          </w:tcPr>
          <w:p w14:paraId="581955EE">
            <w:pPr>
              <w:jc w:val="both"/>
            </w:pPr>
            <w:r>
              <w:rPr>
                <w:rFonts w:hint="eastAsia"/>
              </w:rPr>
              <w:t>定期存单及利息</w:t>
            </w:r>
          </w:p>
        </w:tc>
        <w:tc>
          <w:tcPr>
            <w:tcW w:w="943" w:type="pct"/>
            <w:vAlign w:val="center"/>
          </w:tcPr>
          <w:p w14:paraId="5F025FE7">
            <w:pPr>
              <w:jc w:val="right"/>
            </w:pPr>
            <w:r>
              <w:t>1,225,140,300.60</w:t>
            </w:r>
          </w:p>
        </w:tc>
        <w:tc>
          <w:tcPr>
            <w:tcW w:w="526" w:type="pct"/>
            <w:vAlign w:val="center"/>
          </w:tcPr>
          <w:p w14:paraId="792615F4">
            <w:pPr>
              <w:jc w:val="right"/>
            </w:pPr>
          </w:p>
        </w:tc>
        <w:tc>
          <w:tcPr>
            <w:tcW w:w="943" w:type="pct"/>
            <w:vAlign w:val="center"/>
          </w:tcPr>
          <w:p w14:paraId="45252734">
            <w:pPr>
              <w:jc w:val="right"/>
            </w:pPr>
            <w:r>
              <w:t>1,225,140,300.60</w:t>
            </w:r>
          </w:p>
        </w:tc>
        <w:tc>
          <w:tcPr>
            <w:tcW w:w="739" w:type="pct"/>
            <w:vAlign w:val="center"/>
          </w:tcPr>
          <w:p w14:paraId="3D5DCF95">
            <w:pPr>
              <w:jc w:val="right"/>
            </w:pPr>
          </w:p>
        </w:tc>
        <w:tc>
          <w:tcPr>
            <w:tcW w:w="445" w:type="pct"/>
            <w:vAlign w:val="center"/>
          </w:tcPr>
          <w:p w14:paraId="52F14ADD">
            <w:pPr>
              <w:jc w:val="right"/>
            </w:pPr>
          </w:p>
        </w:tc>
        <w:tc>
          <w:tcPr>
            <w:tcW w:w="739" w:type="pct"/>
            <w:vAlign w:val="center"/>
          </w:tcPr>
          <w:p w14:paraId="0DD1E1EC">
            <w:pPr>
              <w:jc w:val="right"/>
            </w:pPr>
          </w:p>
        </w:tc>
      </w:tr>
      <w:tr w14:paraId="3D4F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64" w:type="pct"/>
            <w:vAlign w:val="center"/>
          </w:tcPr>
          <w:p w14:paraId="23CA214A">
            <w:pPr>
              <w:jc w:val="both"/>
            </w:pPr>
            <w:r>
              <w:rPr>
                <w:rFonts w:hint="eastAsia"/>
              </w:rPr>
              <w:t>非流动资产预付款</w:t>
            </w:r>
          </w:p>
        </w:tc>
        <w:tc>
          <w:tcPr>
            <w:tcW w:w="943" w:type="pct"/>
            <w:vAlign w:val="center"/>
          </w:tcPr>
          <w:p w14:paraId="1A87332B">
            <w:pPr>
              <w:jc w:val="right"/>
            </w:pPr>
            <w:r>
              <w:t>7,278,963.71</w:t>
            </w:r>
          </w:p>
        </w:tc>
        <w:tc>
          <w:tcPr>
            <w:tcW w:w="526" w:type="pct"/>
            <w:vAlign w:val="center"/>
          </w:tcPr>
          <w:p w14:paraId="55030E4F">
            <w:pPr>
              <w:jc w:val="right"/>
            </w:pPr>
          </w:p>
        </w:tc>
        <w:tc>
          <w:tcPr>
            <w:tcW w:w="943" w:type="pct"/>
            <w:vAlign w:val="center"/>
          </w:tcPr>
          <w:p w14:paraId="5929C9D2">
            <w:pPr>
              <w:jc w:val="right"/>
            </w:pPr>
            <w:r>
              <w:t>7,278,963.71</w:t>
            </w:r>
          </w:p>
        </w:tc>
        <w:tc>
          <w:tcPr>
            <w:tcW w:w="739" w:type="pct"/>
            <w:vAlign w:val="center"/>
          </w:tcPr>
          <w:p w14:paraId="1FE1DAB3">
            <w:pPr>
              <w:jc w:val="right"/>
            </w:pPr>
            <w:r>
              <w:t>5,647,530.22</w:t>
            </w:r>
          </w:p>
        </w:tc>
        <w:tc>
          <w:tcPr>
            <w:tcW w:w="445" w:type="pct"/>
            <w:vAlign w:val="center"/>
          </w:tcPr>
          <w:p w14:paraId="11779ABE">
            <w:pPr>
              <w:jc w:val="right"/>
            </w:pPr>
          </w:p>
        </w:tc>
        <w:tc>
          <w:tcPr>
            <w:tcW w:w="739" w:type="pct"/>
            <w:vAlign w:val="center"/>
          </w:tcPr>
          <w:p w14:paraId="565F0D85">
            <w:pPr>
              <w:jc w:val="right"/>
            </w:pPr>
            <w:r>
              <w:t>5,647,530.22</w:t>
            </w:r>
          </w:p>
        </w:tc>
      </w:tr>
      <w:tr w14:paraId="7AB6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64" w:type="pct"/>
            <w:vAlign w:val="center"/>
          </w:tcPr>
          <w:p w14:paraId="5E47EF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43" w:type="pct"/>
            <w:vAlign w:val="center"/>
          </w:tcPr>
          <w:p w14:paraId="7945A1BE">
            <w:pPr>
              <w:jc w:val="right"/>
            </w:pPr>
            <w:r>
              <w:t>1,232,419,264.31</w:t>
            </w:r>
          </w:p>
        </w:tc>
        <w:tc>
          <w:tcPr>
            <w:tcW w:w="526" w:type="pct"/>
            <w:vAlign w:val="center"/>
          </w:tcPr>
          <w:p w14:paraId="53BD2A50">
            <w:pPr>
              <w:jc w:val="right"/>
            </w:pPr>
          </w:p>
        </w:tc>
        <w:tc>
          <w:tcPr>
            <w:tcW w:w="943" w:type="pct"/>
            <w:vAlign w:val="center"/>
          </w:tcPr>
          <w:p w14:paraId="5AD9544E">
            <w:pPr>
              <w:jc w:val="right"/>
            </w:pPr>
            <w:r>
              <w:t>1,232,419,264.31</w:t>
            </w:r>
          </w:p>
        </w:tc>
        <w:tc>
          <w:tcPr>
            <w:tcW w:w="739" w:type="pct"/>
            <w:vAlign w:val="center"/>
          </w:tcPr>
          <w:p w14:paraId="0F39378F">
            <w:pPr>
              <w:jc w:val="right"/>
            </w:pPr>
            <w:r>
              <w:t>5,647,530.22</w:t>
            </w:r>
          </w:p>
        </w:tc>
        <w:tc>
          <w:tcPr>
            <w:tcW w:w="445" w:type="pct"/>
            <w:vAlign w:val="center"/>
          </w:tcPr>
          <w:p w14:paraId="36F72D4D">
            <w:pPr>
              <w:jc w:val="right"/>
            </w:pPr>
          </w:p>
        </w:tc>
        <w:tc>
          <w:tcPr>
            <w:tcW w:w="739" w:type="pct"/>
            <w:vAlign w:val="center"/>
          </w:tcPr>
          <w:p w14:paraId="70A880BC">
            <w:pPr>
              <w:jc w:val="right"/>
            </w:pPr>
            <w:r>
              <w:t>5,647,530.22</w:t>
            </w:r>
          </w:p>
        </w:tc>
      </w:tr>
    </w:tbl>
    <w:p w14:paraId="394F4C4B">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其他长期资产的说明"/>
        <w:tag w:val="_GBC_c90d49970b64411f909938927f41ebe5"/>
        <w:id w:val="921530600"/>
        <w:placeholder>
          <w:docPart w:val="GBC22222222222222222222222222222"/>
        </w:placeholder>
      </w:sdtPr>
      <w:sdtEndPr>
        <w:rPr>
          <w:color w:val="000000" w:themeColor="text1"/>
          <w14:textFill>
            <w14:solidFill>
              <w14:schemeClr w14:val="tx1"/>
            </w14:solidFill>
          </w14:textFill>
        </w:rPr>
      </w:sdtEndPr>
      <w:sdtContent>
        <w:p w14:paraId="15975917">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p w14:paraId="09060F56">
          <w:pPr>
            <w:rPr>
              <w:color w:val="000000" w:themeColor="text1"/>
              <w14:textFill>
                <w14:solidFill>
                  <w14:schemeClr w14:val="tx1"/>
                </w14:solidFill>
              </w14:textFill>
            </w:rPr>
          </w:pPr>
        </w:p>
      </w:sdtContent>
    </w:sdt>
    <w:bookmarkEnd w:id="302"/>
    <w:p w14:paraId="6150F637">
      <w:pPr>
        <w:pStyle w:val="4"/>
        <w:numPr>
          <w:ilvl w:val="0"/>
          <w:numId w:val="41"/>
        </w:numPr>
        <w:rPr>
          <w:color w:val="000000" w:themeColor="text1"/>
          <w:szCs w:val="21"/>
          <w14:textFill>
            <w14:solidFill>
              <w14:schemeClr w14:val="tx1"/>
            </w14:solidFill>
          </w14:textFill>
        </w:rPr>
      </w:pPr>
      <w:bookmarkStart w:id="303" w:name="_Hlk167960140"/>
      <w:r>
        <w:rPr>
          <w:color w:val="000000" w:themeColor="text1"/>
          <w:szCs w:val="21"/>
          <w14:textFill>
            <w14:solidFill>
              <w14:schemeClr w14:val="tx1"/>
            </w14:solidFill>
          </w14:textFill>
        </w:rPr>
        <w:t>所有权或使用权受限资产</w:t>
      </w:r>
    </w:p>
    <w:sdt>
      <w:sdtPr>
        <w:rPr>
          <w:color w:val="000000" w:themeColor="text1"/>
          <w14:textFill>
            <w14:solidFill>
              <w14:schemeClr w14:val="tx1"/>
            </w14:solidFill>
          </w14:textFill>
        </w:rPr>
        <w:alias w:val="是否适用：所有权或使用权受到限制的资产[双击切换]"/>
        <w:tag w:val="_GBC_006357d26b6d46ec8496596e5de014f0"/>
        <w:id w:val="-888260654"/>
        <w:placeholder>
          <w:docPart w:val="GBC22222222222222222222222222222"/>
        </w:placeholder>
      </w:sdtPr>
      <w:sdtEndPr>
        <w:rPr>
          <w:color w:val="000000" w:themeColor="text1"/>
          <w14:textFill>
            <w14:solidFill>
              <w14:schemeClr w14:val="tx1"/>
            </w14:solidFill>
          </w14:textFill>
        </w:rPr>
      </w:sdtEndPr>
      <w:sdtContent>
        <w:p w14:paraId="7205589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1135192">
      <w:pPr>
        <w:pStyle w:val="68"/>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所有权或使用权受到限制的资产"/>
          <w:tag w:val="_GBC_a7102ff3db4e4d8a94bd9f34e41fd91f"/>
          <w:id w:val="-10490680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所有权或使用权受到限制的资产"/>
          <w:tag w:val="_GBC_95c4fec9be7647a5baa402b14dcb9f69"/>
          <w:id w:val="-15365726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63"/>
        <w:tblW w:w="935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948"/>
        <w:gridCol w:w="1492"/>
        <w:gridCol w:w="754"/>
        <w:gridCol w:w="1156"/>
        <w:gridCol w:w="958"/>
        <w:gridCol w:w="1483"/>
        <w:gridCol w:w="755"/>
        <w:gridCol w:w="1057"/>
      </w:tblGrid>
      <w:tr w14:paraId="15F6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pacing w:val="-10"/>
            </w:rPr>
            <w:tag w:val="_PLD_1faeb04f4bf14b349ad8c59d6667b0fb"/>
            <w:id w:val="-68808299"/>
          </w:sdtPr>
          <w:sdtEndPr>
            <w:rPr>
              <w:spacing w:val="-10"/>
            </w:rPr>
          </w:sdtEndPr>
          <w:sdtContent>
            <w:tc>
              <w:tcPr>
                <w:tcW w:w="753" w:type="dxa"/>
                <w:vMerge w:val="restart"/>
                <w:vAlign w:val="center"/>
              </w:tcPr>
              <w:p w14:paraId="3B69FDE4">
                <w:pPr>
                  <w:widowControl w:val="0"/>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项目</w:t>
                </w:r>
              </w:p>
            </w:tc>
          </w:sdtContent>
        </w:sdt>
        <w:sdt>
          <w:sdtPr>
            <w:rPr>
              <w:spacing w:val="-10"/>
            </w:rPr>
            <w:tag w:val="_PLD_c2f91c04994b44019d90769d6b563b17"/>
            <w:id w:val="-715114564"/>
          </w:sdtPr>
          <w:sdtEndPr>
            <w:rPr>
              <w:spacing w:val="-10"/>
            </w:rPr>
          </w:sdtEndPr>
          <w:sdtContent>
            <w:tc>
              <w:tcPr>
                <w:tcW w:w="4350" w:type="dxa"/>
                <w:gridSpan w:val="4"/>
                <w:vAlign w:val="center"/>
              </w:tcPr>
              <w:p w14:paraId="6928B891">
                <w:pPr>
                  <w:widowControl w:val="0"/>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期末</w:t>
                </w:r>
              </w:p>
            </w:tc>
          </w:sdtContent>
        </w:sdt>
        <w:sdt>
          <w:sdtPr>
            <w:rPr>
              <w:spacing w:val="-10"/>
            </w:rPr>
            <w:tag w:val="_PLD_a4db33e8a01e48af856e896d9a21aa2b"/>
            <w:id w:val="-2122217176"/>
          </w:sdtPr>
          <w:sdtEndPr>
            <w:rPr>
              <w:spacing w:val="-10"/>
            </w:rPr>
          </w:sdtEndPr>
          <w:sdtContent>
            <w:tc>
              <w:tcPr>
                <w:tcW w:w="4253" w:type="dxa"/>
                <w:gridSpan w:val="4"/>
                <w:vAlign w:val="center"/>
              </w:tcPr>
              <w:p w14:paraId="1F12CE76">
                <w:pPr>
                  <w:widowControl w:val="0"/>
                  <w:ind w:left="-53" w:leftChars="-25" w:right="-53" w:righ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期初</w:t>
                </w:r>
              </w:p>
            </w:tc>
          </w:sdtContent>
        </w:sdt>
      </w:tr>
      <w:tr w14:paraId="041C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53" w:type="dxa"/>
            <w:vMerge w:val="continue"/>
            <w:vAlign w:val="center"/>
          </w:tcPr>
          <w:p w14:paraId="1489F959">
            <w:pPr>
              <w:widowControl w:val="0"/>
              <w:ind w:left="-53" w:leftChars="-25" w:right="-53" w:rightChars="-25"/>
              <w:jc w:val="both"/>
              <w:rPr>
                <w:color w:val="000000" w:themeColor="text1"/>
                <w:spacing w:val="-10"/>
                <w14:textFill>
                  <w14:solidFill>
                    <w14:schemeClr w14:val="tx1"/>
                  </w14:solidFill>
                </w14:textFill>
              </w:rPr>
            </w:pPr>
          </w:p>
        </w:tc>
        <w:sdt>
          <w:sdtPr>
            <w:rPr>
              <w:spacing w:val="-10"/>
            </w:rPr>
            <w:tag w:val="_PLD_4ba4c960e2ab4b31a1704a41594547f5"/>
            <w:id w:val="445129951"/>
          </w:sdtPr>
          <w:sdtEndPr>
            <w:rPr>
              <w:spacing w:val="-10"/>
            </w:rPr>
          </w:sdtEndPr>
          <w:sdtContent>
            <w:tc>
              <w:tcPr>
                <w:tcW w:w="948" w:type="dxa"/>
                <w:vAlign w:val="center"/>
              </w:tcPr>
              <w:p w14:paraId="7F25D14F">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账面余额</w:t>
                </w:r>
              </w:p>
            </w:tc>
          </w:sdtContent>
        </w:sdt>
        <w:sdt>
          <w:sdtPr>
            <w:rPr>
              <w:spacing w:val="-10"/>
            </w:rPr>
            <w:tag w:val="_PLD_73e1cd74d6d14f48b88c0ac46580634a"/>
            <w:id w:val="-830364785"/>
          </w:sdtPr>
          <w:sdtEndPr>
            <w:rPr>
              <w:spacing w:val="-10"/>
            </w:rPr>
          </w:sdtEndPr>
          <w:sdtContent>
            <w:tc>
              <w:tcPr>
                <w:tcW w:w="1492" w:type="dxa"/>
                <w:vAlign w:val="center"/>
              </w:tcPr>
              <w:p w14:paraId="4D93E92C">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账面价值</w:t>
                </w:r>
              </w:p>
            </w:tc>
          </w:sdtContent>
        </w:sdt>
        <w:sdt>
          <w:sdtPr>
            <w:rPr>
              <w:spacing w:val="-10"/>
            </w:rPr>
            <w:tag w:val="_PLD_7e2b8d1452f04530979fb1795878387b"/>
            <w:id w:val="-130860196"/>
          </w:sdtPr>
          <w:sdtEndPr>
            <w:rPr>
              <w:spacing w:val="-10"/>
            </w:rPr>
          </w:sdtEndPr>
          <w:sdtContent>
            <w:tc>
              <w:tcPr>
                <w:tcW w:w="754" w:type="dxa"/>
                <w:vAlign w:val="center"/>
              </w:tcPr>
              <w:p w14:paraId="236D6A61">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受限类型</w:t>
                </w:r>
              </w:p>
            </w:tc>
          </w:sdtContent>
        </w:sdt>
        <w:sdt>
          <w:sdtPr>
            <w:rPr>
              <w:spacing w:val="-10"/>
            </w:rPr>
            <w:tag w:val="_PLD_85649273a58f4daebca471b337c689b7"/>
            <w:id w:val="-2069717495"/>
          </w:sdtPr>
          <w:sdtEndPr>
            <w:rPr>
              <w:spacing w:val="-10"/>
            </w:rPr>
          </w:sdtEndPr>
          <w:sdtContent>
            <w:tc>
              <w:tcPr>
                <w:tcW w:w="1156" w:type="dxa"/>
                <w:vAlign w:val="center"/>
              </w:tcPr>
              <w:p w14:paraId="7F1EE832">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受限情况</w:t>
                </w:r>
              </w:p>
            </w:tc>
          </w:sdtContent>
        </w:sdt>
        <w:sdt>
          <w:sdtPr>
            <w:rPr>
              <w:spacing w:val="-10"/>
            </w:rPr>
            <w:tag w:val="_PLD_185f68e2333346e5b0c53a9ec276e404"/>
            <w:id w:val="506340454"/>
          </w:sdtPr>
          <w:sdtEndPr>
            <w:rPr>
              <w:spacing w:val="-10"/>
            </w:rPr>
          </w:sdtEndPr>
          <w:sdtContent>
            <w:tc>
              <w:tcPr>
                <w:tcW w:w="958" w:type="dxa"/>
                <w:vAlign w:val="center"/>
              </w:tcPr>
              <w:p w14:paraId="7BC683CB">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账面余额</w:t>
                </w:r>
              </w:p>
            </w:tc>
          </w:sdtContent>
        </w:sdt>
        <w:sdt>
          <w:sdtPr>
            <w:rPr>
              <w:spacing w:val="-10"/>
            </w:rPr>
            <w:tag w:val="_PLD_c92ffe9b652b42a095b39310603e580a"/>
            <w:id w:val="-1406760048"/>
          </w:sdtPr>
          <w:sdtEndPr>
            <w:rPr>
              <w:spacing w:val="-10"/>
            </w:rPr>
          </w:sdtEndPr>
          <w:sdtContent>
            <w:tc>
              <w:tcPr>
                <w:tcW w:w="1483" w:type="dxa"/>
                <w:vAlign w:val="center"/>
              </w:tcPr>
              <w:p w14:paraId="3D01E22A">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账面价值</w:t>
                </w:r>
              </w:p>
            </w:tc>
          </w:sdtContent>
        </w:sdt>
        <w:sdt>
          <w:sdtPr>
            <w:rPr>
              <w:spacing w:val="-10"/>
            </w:rPr>
            <w:tag w:val="_PLD_8acb0a1b50e14924933495ec38dd30e1"/>
            <w:id w:val="-2082829033"/>
          </w:sdtPr>
          <w:sdtEndPr>
            <w:rPr>
              <w:spacing w:val="-10"/>
            </w:rPr>
          </w:sdtEndPr>
          <w:sdtContent>
            <w:tc>
              <w:tcPr>
                <w:tcW w:w="755" w:type="dxa"/>
                <w:vAlign w:val="center"/>
              </w:tcPr>
              <w:p w14:paraId="1051C370">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受限类型</w:t>
                </w:r>
              </w:p>
            </w:tc>
          </w:sdtContent>
        </w:sdt>
        <w:sdt>
          <w:sdtPr>
            <w:rPr>
              <w:spacing w:val="-10"/>
            </w:rPr>
            <w:tag w:val="_PLD_6297a0a81c884eab9519ec385b0b6dbe"/>
            <w:id w:val="66935658"/>
          </w:sdtPr>
          <w:sdtEndPr>
            <w:rPr>
              <w:spacing w:val="-10"/>
            </w:rPr>
          </w:sdtEndPr>
          <w:sdtContent>
            <w:tc>
              <w:tcPr>
                <w:tcW w:w="1057" w:type="dxa"/>
                <w:vAlign w:val="center"/>
              </w:tcPr>
              <w:p w14:paraId="14A8D1A6">
                <w:pPr>
                  <w:widowControl w:val="0"/>
                  <w:ind w:left="-53" w:leftChars="-25" w:right="-53" w:rightChars="-25"/>
                  <w:jc w:val="center"/>
                  <w:rPr>
                    <w:color w:val="000000" w:themeColor="text1"/>
                    <w:spacing w:val="-10"/>
                    <w14:textFill>
                      <w14:solidFill>
                        <w14:schemeClr w14:val="tx1"/>
                      </w14:solidFill>
                    </w14:textFill>
                  </w:rPr>
                </w:pPr>
                <w:r>
                  <w:rPr>
                    <w:color w:val="000000" w:themeColor="text1"/>
                    <w:spacing w:val="-10"/>
                    <w14:textFill>
                      <w14:solidFill>
                        <w14:schemeClr w14:val="tx1"/>
                      </w14:solidFill>
                    </w14:textFill>
                  </w:rPr>
                  <w:t>受限情况</w:t>
                </w:r>
              </w:p>
            </w:tc>
          </w:sdtContent>
        </w:sdt>
      </w:tr>
      <w:tr w14:paraId="529E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14:paraId="0321A7B8">
            <w:pPr>
              <w:widowControl w:val="0"/>
              <w:ind w:left="-53" w:leftChars="-25" w:right="-53" w:rightChars="-25"/>
              <w:jc w:val="center"/>
              <w:rPr>
                <w:spacing w:val="-10"/>
              </w:rPr>
            </w:pPr>
            <w:r>
              <w:rPr>
                <w:spacing w:val="-10"/>
              </w:rPr>
              <w:t>货币资金</w:t>
            </w:r>
          </w:p>
        </w:tc>
        <w:tc>
          <w:tcPr>
            <w:tcW w:w="948" w:type="dxa"/>
            <w:vAlign w:val="center"/>
          </w:tcPr>
          <w:p w14:paraId="3B1D5AFA">
            <w:pPr>
              <w:widowControl w:val="0"/>
              <w:ind w:left="-53" w:leftChars="-25" w:right="-53" w:rightChars="-25"/>
              <w:jc w:val="right"/>
              <w:rPr>
                <w:spacing w:val="-10"/>
              </w:rPr>
            </w:pPr>
          </w:p>
        </w:tc>
        <w:tc>
          <w:tcPr>
            <w:tcW w:w="1492" w:type="dxa"/>
            <w:vAlign w:val="center"/>
          </w:tcPr>
          <w:p w14:paraId="476E02B3">
            <w:pPr>
              <w:widowControl w:val="0"/>
              <w:ind w:left="-53" w:leftChars="-25" w:right="-53" w:rightChars="-25"/>
              <w:jc w:val="right"/>
              <w:rPr>
                <w:spacing w:val="-10"/>
              </w:rPr>
            </w:pPr>
            <w:r>
              <w:rPr>
                <w:spacing w:val="-10"/>
              </w:rPr>
              <w:t>1,337,418,935.01</w:t>
            </w:r>
          </w:p>
        </w:tc>
        <w:tc>
          <w:tcPr>
            <w:tcW w:w="754" w:type="dxa"/>
            <w:vAlign w:val="center"/>
          </w:tcPr>
          <w:p w14:paraId="4E9D6A77">
            <w:pPr>
              <w:widowControl w:val="0"/>
              <w:ind w:left="-53" w:leftChars="-25" w:right="-53" w:rightChars="-25"/>
              <w:jc w:val="center"/>
              <w:rPr>
                <w:spacing w:val="-10"/>
              </w:rPr>
            </w:pPr>
            <w:r>
              <w:rPr>
                <w:spacing w:val="-10"/>
              </w:rPr>
              <w:t>其他</w:t>
            </w:r>
          </w:p>
        </w:tc>
        <w:tc>
          <w:tcPr>
            <w:tcW w:w="1156" w:type="dxa"/>
            <w:vAlign w:val="center"/>
          </w:tcPr>
          <w:p w14:paraId="64DC7698">
            <w:pPr>
              <w:widowControl w:val="0"/>
              <w:ind w:left="-53" w:leftChars="-25" w:right="-53" w:rightChars="-25"/>
              <w:jc w:val="center"/>
              <w:rPr>
                <w:spacing w:val="-10"/>
              </w:rPr>
            </w:pPr>
            <w:r>
              <w:rPr>
                <w:spacing w:val="-10"/>
              </w:rPr>
              <w:t>冻结、保证金</w:t>
            </w:r>
          </w:p>
        </w:tc>
        <w:tc>
          <w:tcPr>
            <w:tcW w:w="958" w:type="dxa"/>
            <w:vAlign w:val="center"/>
          </w:tcPr>
          <w:p w14:paraId="4F2CF26E">
            <w:pPr>
              <w:widowControl w:val="0"/>
              <w:ind w:left="-53" w:leftChars="-25" w:right="-53" w:rightChars="-25"/>
              <w:jc w:val="right"/>
              <w:rPr>
                <w:spacing w:val="-10"/>
              </w:rPr>
            </w:pPr>
          </w:p>
        </w:tc>
        <w:tc>
          <w:tcPr>
            <w:tcW w:w="1483" w:type="dxa"/>
            <w:vAlign w:val="center"/>
          </w:tcPr>
          <w:p w14:paraId="46A9D151">
            <w:pPr>
              <w:widowControl w:val="0"/>
              <w:ind w:left="-53" w:leftChars="-25" w:right="-53" w:rightChars="-25"/>
              <w:jc w:val="right"/>
              <w:rPr>
                <w:spacing w:val="-10"/>
              </w:rPr>
            </w:pPr>
            <w:r>
              <w:rPr>
                <w:spacing w:val="-10"/>
              </w:rPr>
              <w:t>2,347,593,380.64</w:t>
            </w:r>
          </w:p>
        </w:tc>
        <w:tc>
          <w:tcPr>
            <w:tcW w:w="755" w:type="dxa"/>
            <w:vAlign w:val="center"/>
          </w:tcPr>
          <w:p w14:paraId="16C04293">
            <w:pPr>
              <w:widowControl w:val="0"/>
              <w:ind w:left="-53" w:leftChars="-25" w:right="-53" w:rightChars="-25"/>
              <w:jc w:val="center"/>
              <w:rPr>
                <w:spacing w:val="-10"/>
              </w:rPr>
            </w:pPr>
            <w:r>
              <w:rPr>
                <w:spacing w:val="-10"/>
              </w:rPr>
              <w:t>其他</w:t>
            </w:r>
          </w:p>
        </w:tc>
        <w:tc>
          <w:tcPr>
            <w:tcW w:w="1057" w:type="dxa"/>
            <w:vAlign w:val="center"/>
          </w:tcPr>
          <w:p w14:paraId="3F239E9C">
            <w:pPr>
              <w:widowControl w:val="0"/>
              <w:ind w:left="-53" w:leftChars="-25" w:right="-53" w:rightChars="-25"/>
              <w:jc w:val="center"/>
              <w:rPr>
                <w:spacing w:val="-10"/>
              </w:rPr>
            </w:pPr>
            <w:r>
              <w:rPr>
                <w:spacing w:val="-10"/>
              </w:rPr>
              <w:t>冻结、定期存款、保证金</w:t>
            </w:r>
          </w:p>
        </w:tc>
      </w:tr>
      <w:tr w14:paraId="2294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14:paraId="701609CE">
            <w:pPr>
              <w:widowControl w:val="0"/>
              <w:ind w:left="-53" w:leftChars="-25" w:right="-53" w:rightChars="-25"/>
              <w:jc w:val="center"/>
              <w:rPr>
                <w:spacing w:val="-10"/>
              </w:rPr>
            </w:pPr>
            <w:r>
              <w:rPr>
                <w:spacing w:val="-10"/>
              </w:rPr>
              <w:t>应收票据</w:t>
            </w:r>
          </w:p>
        </w:tc>
        <w:tc>
          <w:tcPr>
            <w:tcW w:w="948" w:type="dxa"/>
            <w:vAlign w:val="center"/>
          </w:tcPr>
          <w:p w14:paraId="102A645C">
            <w:pPr>
              <w:widowControl w:val="0"/>
              <w:ind w:left="-53" w:leftChars="-25" w:right="-53" w:rightChars="-25"/>
              <w:jc w:val="right"/>
              <w:rPr>
                <w:spacing w:val="-10"/>
              </w:rPr>
            </w:pPr>
          </w:p>
        </w:tc>
        <w:tc>
          <w:tcPr>
            <w:tcW w:w="1492" w:type="dxa"/>
            <w:vAlign w:val="center"/>
          </w:tcPr>
          <w:p w14:paraId="62EC5102">
            <w:pPr>
              <w:widowControl w:val="0"/>
              <w:ind w:left="-53" w:leftChars="-25" w:right="-53" w:rightChars="-25"/>
              <w:jc w:val="right"/>
              <w:rPr>
                <w:spacing w:val="-10"/>
              </w:rPr>
            </w:pPr>
            <w:r>
              <w:rPr>
                <w:spacing w:val="-10"/>
              </w:rPr>
              <w:t>37,799,162.67</w:t>
            </w:r>
          </w:p>
        </w:tc>
        <w:tc>
          <w:tcPr>
            <w:tcW w:w="754" w:type="dxa"/>
            <w:vAlign w:val="center"/>
          </w:tcPr>
          <w:p w14:paraId="1D8F783E">
            <w:pPr>
              <w:widowControl w:val="0"/>
              <w:ind w:left="-53" w:leftChars="-25" w:right="-53" w:rightChars="-25"/>
              <w:jc w:val="center"/>
              <w:rPr>
                <w:spacing w:val="-10"/>
              </w:rPr>
            </w:pPr>
            <w:r>
              <w:rPr>
                <w:spacing w:val="-10"/>
              </w:rPr>
              <w:t>质押</w:t>
            </w:r>
          </w:p>
        </w:tc>
        <w:tc>
          <w:tcPr>
            <w:tcW w:w="1156" w:type="dxa"/>
            <w:vAlign w:val="center"/>
          </w:tcPr>
          <w:p w14:paraId="3F8B6FC0">
            <w:pPr>
              <w:widowControl w:val="0"/>
              <w:ind w:left="-53" w:leftChars="-25" w:right="-53" w:rightChars="-25"/>
              <w:jc w:val="center"/>
              <w:rPr>
                <w:spacing w:val="-10"/>
              </w:rPr>
            </w:pPr>
            <w:r>
              <w:rPr>
                <w:spacing w:val="-10"/>
              </w:rPr>
              <w:t>为开具银行承兑汇票提供质押担保</w:t>
            </w:r>
          </w:p>
        </w:tc>
        <w:tc>
          <w:tcPr>
            <w:tcW w:w="958" w:type="dxa"/>
            <w:vAlign w:val="center"/>
          </w:tcPr>
          <w:p w14:paraId="236FF45C">
            <w:pPr>
              <w:widowControl w:val="0"/>
              <w:ind w:left="-53" w:leftChars="-25" w:right="-53" w:rightChars="-25"/>
              <w:jc w:val="right"/>
              <w:rPr>
                <w:spacing w:val="-10"/>
              </w:rPr>
            </w:pPr>
          </w:p>
        </w:tc>
        <w:tc>
          <w:tcPr>
            <w:tcW w:w="1483" w:type="dxa"/>
            <w:vAlign w:val="center"/>
          </w:tcPr>
          <w:p w14:paraId="537CDED4">
            <w:pPr>
              <w:widowControl w:val="0"/>
              <w:ind w:left="-53" w:leftChars="-25" w:right="-53" w:rightChars="-25"/>
              <w:jc w:val="right"/>
              <w:rPr>
                <w:spacing w:val="-10"/>
              </w:rPr>
            </w:pPr>
          </w:p>
        </w:tc>
        <w:tc>
          <w:tcPr>
            <w:tcW w:w="755" w:type="dxa"/>
            <w:vAlign w:val="center"/>
          </w:tcPr>
          <w:p w14:paraId="52EC2701">
            <w:pPr>
              <w:widowControl w:val="0"/>
              <w:ind w:left="-53" w:leftChars="-25" w:right="-53" w:rightChars="-25"/>
              <w:jc w:val="center"/>
              <w:rPr>
                <w:spacing w:val="-10"/>
              </w:rPr>
            </w:pPr>
          </w:p>
        </w:tc>
        <w:tc>
          <w:tcPr>
            <w:tcW w:w="1057" w:type="dxa"/>
            <w:vAlign w:val="center"/>
          </w:tcPr>
          <w:p w14:paraId="42B7B062">
            <w:pPr>
              <w:widowControl w:val="0"/>
              <w:ind w:left="-53" w:leftChars="-25" w:right="-53" w:rightChars="-25"/>
              <w:jc w:val="center"/>
              <w:rPr>
                <w:spacing w:val="-10"/>
              </w:rPr>
            </w:pPr>
          </w:p>
        </w:tc>
      </w:tr>
      <w:tr w14:paraId="7E94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14:paraId="43FE70DD">
            <w:pPr>
              <w:widowControl w:val="0"/>
              <w:ind w:left="-53" w:leftChars="-25" w:right="-53" w:rightChars="-25"/>
              <w:jc w:val="center"/>
              <w:rPr>
                <w:spacing w:val="-10"/>
              </w:rPr>
            </w:pPr>
            <w:r>
              <w:rPr>
                <w:rFonts w:hint="eastAsia"/>
                <w:spacing w:val="-10"/>
              </w:rPr>
              <w:t>应收款项融资</w:t>
            </w:r>
          </w:p>
        </w:tc>
        <w:tc>
          <w:tcPr>
            <w:tcW w:w="948" w:type="dxa"/>
            <w:vAlign w:val="center"/>
          </w:tcPr>
          <w:p w14:paraId="133CB6AA">
            <w:pPr>
              <w:widowControl w:val="0"/>
              <w:ind w:left="-53" w:leftChars="-25" w:right="-53" w:rightChars="-25"/>
              <w:jc w:val="right"/>
              <w:rPr>
                <w:spacing w:val="-10"/>
              </w:rPr>
            </w:pPr>
          </w:p>
        </w:tc>
        <w:tc>
          <w:tcPr>
            <w:tcW w:w="1492" w:type="dxa"/>
            <w:vAlign w:val="center"/>
          </w:tcPr>
          <w:p w14:paraId="1B384C36">
            <w:pPr>
              <w:widowControl w:val="0"/>
              <w:ind w:left="-53" w:leftChars="-25" w:right="-53" w:rightChars="-25"/>
              <w:jc w:val="right"/>
              <w:rPr>
                <w:spacing w:val="-10"/>
              </w:rPr>
            </w:pPr>
            <w:r>
              <w:rPr>
                <w:spacing w:val="-10"/>
              </w:rPr>
              <w:t>234,968,596.32</w:t>
            </w:r>
          </w:p>
        </w:tc>
        <w:tc>
          <w:tcPr>
            <w:tcW w:w="754" w:type="dxa"/>
            <w:vAlign w:val="center"/>
          </w:tcPr>
          <w:p w14:paraId="59D06CC9">
            <w:pPr>
              <w:widowControl w:val="0"/>
              <w:ind w:left="-53" w:leftChars="-25" w:right="-53" w:rightChars="-25"/>
              <w:jc w:val="center"/>
              <w:rPr>
                <w:spacing w:val="-10"/>
              </w:rPr>
            </w:pPr>
            <w:r>
              <w:rPr>
                <w:spacing w:val="-10"/>
              </w:rPr>
              <w:t>质押</w:t>
            </w:r>
          </w:p>
        </w:tc>
        <w:tc>
          <w:tcPr>
            <w:tcW w:w="1156" w:type="dxa"/>
            <w:vAlign w:val="center"/>
          </w:tcPr>
          <w:p w14:paraId="2BEA4B90">
            <w:pPr>
              <w:widowControl w:val="0"/>
              <w:ind w:left="-53" w:leftChars="-25" w:right="-53" w:rightChars="-25"/>
              <w:jc w:val="center"/>
              <w:rPr>
                <w:spacing w:val="-10"/>
              </w:rPr>
            </w:pPr>
            <w:r>
              <w:rPr>
                <w:spacing w:val="-10"/>
              </w:rPr>
              <w:t>为开具银行承兑汇票提供质押担保</w:t>
            </w:r>
          </w:p>
        </w:tc>
        <w:tc>
          <w:tcPr>
            <w:tcW w:w="958" w:type="dxa"/>
            <w:vAlign w:val="center"/>
          </w:tcPr>
          <w:p w14:paraId="5661A668">
            <w:pPr>
              <w:widowControl w:val="0"/>
              <w:ind w:left="-53" w:leftChars="-25" w:right="-53" w:rightChars="-25"/>
              <w:jc w:val="right"/>
              <w:rPr>
                <w:spacing w:val="-10"/>
              </w:rPr>
            </w:pPr>
          </w:p>
        </w:tc>
        <w:tc>
          <w:tcPr>
            <w:tcW w:w="1483" w:type="dxa"/>
            <w:vAlign w:val="center"/>
          </w:tcPr>
          <w:p w14:paraId="7B39CE7A">
            <w:pPr>
              <w:widowControl w:val="0"/>
              <w:ind w:left="-53" w:leftChars="-25" w:right="-53" w:rightChars="-25"/>
              <w:jc w:val="right"/>
              <w:rPr>
                <w:spacing w:val="-10"/>
              </w:rPr>
            </w:pPr>
          </w:p>
        </w:tc>
        <w:tc>
          <w:tcPr>
            <w:tcW w:w="755" w:type="dxa"/>
            <w:vAlign w:val="center"/>
          </w:tcPr>
          <w:p w14:paraId="73B31155">
            <w:pPr>
              <w:widowControl w:val="0"/>
              <w:ind w:left="-53" w:leftChars="-25" w:right="-53" w:rightChars="-25"/>
              <w:jc w:val="center"/>
              <w:rPr>
                <w:spacing w:val="-10"/>
              </w:rPr>
            </w:pPr>
          </w:p>
        </w:tc>
        <w:tc>
          <w:tcPr>
            <w:tcW w:w="1057" w:type="dxa"/>
            <w:vAlign w:val="center"/>
          </w:tcPr>
          <w:p w14:paraId="37ACE330">
            <w:pPr>
              <w:widowControl w:val="0"/>
              <w:ind w:left="-53" w:leftChars="-25" w:right="-53" w:rightChars="-25"/>
              <w:jc w:val="center"/>
              <w:rPr>
                <w:spacing w:val="-10"/>
              </w:rPr>
            </w:pPr>
          </w:p>
        </w:tc>
      </w:tr>
      <w:tr w14:paraId="67D7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14:paraId="17A16C21">
            <w:pPr>
              <w:widowControl w:val="0"/>
              <w:ind w:left="-53" w:leftChars="-25" w:right="-53" w:rightChars="-25"/>
              <w:jc w:val="center"/>
              <w:rPr>
                <w:spacing w:val="-10"/>
              </w:rPr>
            </w:pPr>
            <w:r>
              <w:rPr>
                <w:spacing w:val="-10"/>
              </w:rPr>
              <w:t>固定资产</w:t>
            </w:r>
          </w:p>
        </w:tc>
        <w:tc>
          <w:tcPr>
            <w:tcW w:w="948" w:type="dxa"/>
            <w:vAlign w:val="center"/>
          </w:tcPr>
          <w:p w14:paraId="05F87EDA">
            <w:pPr>
              <w:widowControl w:val="0"/>
              <w:ind w:left="-53" w:leftChars="-25" w:right="-53" w:rightChars="-25"/>
              <w:jc w:val="right"/>
              <w:rPr>
                <w:spacing w:val="-10"/>
              </w:rPr>
            </w:pPr>
          </w:p>
        </w:tc>
        <w:tc>
          <w:tcPr>
            <w:tcW w:w="1492" w:type="dxa"/>
            <w:vAlign w:val="center"/>
          </w:tcPr>
          <w:p w14:paraId="1AB6265E">
            <w:pPr>
              <w:widowControl w:val="0"/>
              <w:ind w:left="-53" w:leftChars="-25" w:right="-53" w:rightChars="-25"/>
              <w:jc w:val="right"/>
              <w:rPr>
                <w:spacing w:val="-10"/>
              </w:rPr>
            </w:pPr>
            <w:r>
              <w:rPr>
                <w:spacing w:val="-10"/>
              </w:rPr>
              <w:t>403,993,813.22</w:t>
            </w:r>
          </w:p>
        </w:tc>
        <w:tc>
          <w:tcPr>
            <w:tcW w:w="754" w:type="dxa"/>
            <w:vAlign w:val="center"/>
          </w:tcPr>
          <w:p w14:paraId="74BACA07">
            <w:pPr>
              <w:widowControl w:val="0"/>
              <w:ind w:left="-53" w:leftChars="-25" w:right="-53" w:rightChars="-25"/>
              <w:jc w:val="center"/>
              <w:rPr>
                <w:spacing w:val="-10"/>
              </w:rPr>
            </w:pPr>
            <w:r>
              <w:rPr>
                <w:spacing w:val="-10"/>
              </w:rPr>
              <w:t>抵押</w:t>
            </w:r>
          </w:p>
        </w:tc>
        <w:tc>
          <w:tcPr>
            <w:tcW w:w="1156" w:type="dxa"/>
            <w:vAlign w:val="center"/>
          </w:tcPr>
          <w:p w14:paraId="3085D4B8">
            <w:pPr>
              <w:widowControl w:val="0"/>
              <w:ind w:left="-53" w:leftChars="-25" w:right="-53" w:rightChars="-25"/>
              <w:jc w:val="center"/>
              <w:rPr>
                <w:spacing w:val="-10"/>
              </w:rPr>
            </w:pPr>
            <w:r>
              <w:rPr>
                <w:spacing w:val="-10"/>
              </w:rPr>
              <w:t>借款抵押</w:t>
            </w:r>
          </w:p>
        </w:tc>
        <w:tc>
          <w:tcPr>
            <w:tcW w:w="958" w:type="dxa"/>
            <w:vAlign w:val="center"/>
          </w:tcPr>
          <w:p w14:paraId="6DCAF218">
            <w:pPr>
              <w:widowControl w:val="0"/>
              <w:ind w:left="-53" w:leftChars="-25" w:right="-53" w:rightChars="-25"/>
              <w:jc w:val="right"/>
              <w:rPr>
                <w:spacing w:val="-10"/>
              </w:rPr>
            </w:pPr>
          </w:p>
        </w:tc>
        <w:tc>
          <w:tcPr>
            <w:tcW w:w="1483" w:type="dxa"/>
            <w:vAlign w:val="center"/>
          </w:tcPr>
          <w:p w14:paraId="309AEA57">
            <w:pPr>
              <w:widowControl w:val="0"/>
              <w:ind w:left="-53" w:leftChars="-25" w:right="-53" w:rightChars="-25"/>
              <w:jc w:val="right"/>
              <w:rPr>
                <w:spacing w:val="-10"/>
              </w:rPr>
            </w:pPr>
            <w:r>
              <w:rPr>
                <w:spacing w:val="-10"/>
              </w:rPr>
              <w:t>467,089,243.66</w:t>
            </w:r>
          </w:p>
        </w:tc>
        <w:tc>
          <w:tcPr>
            <w:tcW w:w="755" w:type="dxa"/>
            <w:vAlign w:val="center"/>
          </w:tcPr>
          <w:p w14:paraId="031E7123">
            <w:pPr>
              <w:widowControl w:val="0"/>
              <w:ind w:left="-53" w:leftChars="-25" w:right="-53" w:rightChars="-25"/>
              <w:jc w:val="center"/>
              <w:rPr>
                <w:spacing w:val="-10"/>
              </w:rPr>
            </w:pPr>
            <w:r>
              <w:rPr>
                <w:spacing w:val="-10"/>
              </w:rPr>
              <w:t>抵押</w:t>
            </w:r>
          </w:p>
        </w:tc>
        <w:tc>
          <w:tcPr>
            <w:tcW w:w="1057" w:type="dxa"/>
            <w:vAlign w:val="center"/>
          </w:tcPr>
          <w:p w14:paraId="3C9A7E74">
            <w:pPr>
              <w:widowControl w:val="0"/>
              <w:ind w:left="-53" w:leftChars="-25" w:right="-53" w:rightChars="-25"/>
              <w:jc w:val="center"/>
              <w:rPr>
                <w:spacing w:val="-10"/>
              </w:rPr>
            </w:pPr>
            <w:r>
              <w:rPr>
                <w:spacing w:val="-10"/>
              </w:rPr>
              <w:t>借款抵押</w:t>
            </w:r>
          </w:p>
        </w:tc>
      </w:tr>
      <w:tr w14:paraId="564D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tcBorders>
              <w:bottom w:val="single" w:color="auto" w:sz="4" w:space="0"/>
            </w:tcBorders>
            <w:vAlign w:val="center"/>
          </w:tcPr>
          <w:p w14:paraId="00972A89">
            <w:pPr>
              <w:widowControl w:val="0"/>
              <w:ind w:left="-53" w:leftChars="-25" w:right="-53" w:rightChars="-25"/>
              <w:jc w:val="center"/>
              <w:rPr>
                <w:spacing w:val="-10"/>
              </w:rPr>
            </w:pPr>
            <w:r>
              <w:rPr>
                <w:spacing w:val="-10"/>
              </w:rPr>
              <w:t>无形资产</w:t>
            </w:r>
          </w:p>
        </w:tc>
        <w:tc>
          <w:tcPr>
            <w:tcW w:w="948" w:type="dxa"/>
            <w:vAlign w:val="center"/>
          </w:tcPr>
          <w:p w14:paraId="79A363F9">
            <w:pPr>
              <w:widowControl w:val="0"/>
              <w:ind w:left="-53" w:leftChars="-25" w:right="-53" w:rightChars="-25"/>
              <w:jc w:val="right"/>
              <w:rPr>
                <w:spacing w:val="-10"/>
              </w:rPr>
            </w:pPr>
          </w:p>
        </w:tc>
        <w:tc>
          <w:tcPr>
            <w:tcW w:w="1492" w:type="dxa"/>
            <w:vAlign w:val="center"/>
          </w:tcPr>
          <w:p w14:paraId="7CF61913">
            <w:pPr>
              <w:widowControl w:val="0"/>
              <w:ind w:left="-53" w:leftChars="-25" w:right="-53" w:rightChars="-25"/>
              <w:jc w:val="right"/>
              <w:rPr>
                <w:spacing w:val="-10"/>
              </w:rPr>
            </w:pPr>
            <w:r>
              <w:rPr>
                <w:spacing w:val="-10"/>
              </w:rPr>
              <w:t>444,102,687.67</w:t>
            </w:r>
          </w:p>
        </w:tc>
        <w:tc>
          <w:tcPr>
            <w:tcW w:w="754" w:type="dxa"/>
            <w:vAlign w:val="center"/>
          </w:tcPr>
          <w:p w14:paraId="1F44F2E1">
            <w:pPr>
              <w:widowControl w:val="0"/>
              <w:ind w:left="-53" w:leftChars="-25" w:right="-53" w:rightChars="-25"/>
              <w:jc w:val="center"/>
              <w:rPr>
                <w:spacing w:val="-10"/>
              </w:rPr>
            </w:pPr>
            <w:r>
              <w:rPr>
                <w:spacing w:val="-10"/>
              </w:rPr>
              <w:t>抵押</w:t>
            </w:r>
          </w:p>
        </w:tc>
        <w:tc>
          <w:tcPr>
            <w:tcW w:w="1156" w:type="dxa"/>
            <w:vAlign w:val="center"/>
          </w:tcPr>
          <w:p w14:paraId="3BD6146E">
            <w:pPr>
              <w:widowControl w:val="0"/>
              <w:ind w:left="-53" w:leftChars="-25" w:right="-53" w:rightChars="-25"/>
              <w:jc w:val="center"/>
              <w:rPr>
                <w:spacing w:val="-10"/>
              </w:rPr>
            </w:pPr>
            <w:r>
              <w:rPr>
                <w:spacing w:val="-10"/>
              </w:rPr>
              <w:t>借款抵押</w:t>
            </w:r>
          </w:p>
        </w:tc>
        <w:tc>
          <w:tcPr>
            <w:tcW w:w="958" w:type="dxa"/>
            <w:vAlign w:val="center"/>
          </w:tcPr>
          <w:p w14:paraId="598767E8">
            <w:pPr>
              <w:widowControl w:val="0"/>
              <w:ind w:left="-53" w:leftChars="-25" w:right="-53" w:rightChars="-25"/>
              <w:jc w:val="right"/>
              <w:rPr>
                <w:spacing w:val="-10"/>
              </w:rPr>
            </w:pPr>
          </w:p>
        </w:tc>
        <w:tc>
          <w:tcPr>
            <w:tcW w:w="1483" w:type="dxa"/>
            <w:vAlign w:val="center"/>
          </w:tcPr>
          <w:p w14:paraId="10C10EB1">
            <w:pPr>
              <w:widowControl w:val="0"/>
              <w:ind w:left="-53" w:leftChars="-25" w:right="-53" w:rightChars="-25"/>
              <w:jc w:val="right"/>
              <w:rPr>
                <w:spacing w:val="-10"/>
              </w:rPr>
            </w:pPr>
            <w:r>
              <w:rPr>
                <w:spacing w:val="-10"/>
              </w:rPr>
              <w:t>450,185,419.31</w:t>
            </w:r>
          </w:p>
        </w:tc>
        <w:tc>
          <w:tcPr>
            <w:tcW w:w="755" w:type="dxa"/>
            <w:vAlign w:val="center"/>
          </w:tcPr>
          <w:p w14:paraId="7E302039">
            <w:pPr>
              <w:widowControl w:val="0"/>
              <w:ind w:left="-53" w:leftChars="-25" w:right="-53" w:rightChars="-25"/>
              <w:jc w:val="center"/>
              <w:rPr>
                <w:spacing w:val="-10"/>
              </w:rPr>
            </w:pPr>
            <w:r>
              <w:rPr>
                <w:spacing w:val="-10"/>
              </w:rPr>
              <w:t>抵押</w:t>
            </w:r>
          </w:p>
        </w:tc>
        <w:tc>
          <w:tcPr>
            <w:tcW w:w="1057" w:type="dxa"/>
            <w:vAlign w:val="center"/>
          </w:tcPr>
          <w:p w14:paraId="1CB487AD">
            <w:pPr>
              <w:widowControl w:val="0"/>
              <w:ind w:left="-53" w:leftChars="-25" w:right="-53" w:rightChars="-25"/>
              <w:jc w:val="center"/>
              <w:rPr>
                <w:spacing w:val="-10"/>
              </w:rPr>
            </w:pPr>
            <w:r>
              <w:rPr>
                <w:spacing w:val="-10"/>
              </w:rPr>
              <w:t>借款抵押</w:t>
            </w:r>
          </w:p>
        </w:tc>
      </w:tr>
      <w:tr w14:paraId="526B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14:paraId="79650260">
            <w:pPr>
              <w:widowControl w:val="0"/>
              <w:ind w:left="-53" w:leftChars="-25" w:right="-53" w:rightChars="-25"/>
              <w:jc w:val="center"/>
              <w:rPr>
                <w:spacing w:val="-10"/>
              </w:rPr>
            </w:pPr>
            <w:r>
              <w:rPr>
                <w:spacing w:val="-10"/>
              </w:rPr>
              <w:t>长期股权投资</w:t>
            </w:r>
          </w:p>
        </w:tc>
        <w:tc>
          <w:tcPr>
            <w:tcW w:w="948" w:type="dxa"/>
            <w:vAlign w:val="center"/>
          </w:tcPr>
          <w:p w14:paraId="35FE0BC9">
            <w:pPr>
              <w:widowControl w:val="0"/>
              <w:ind w:left="-53" w:leftChars="-25" w:right="-53" w:rightChars="-25"/>
              <w:jc w:val="right"/>
              <w:rPr>
                <w:spacing w:val="-10"/>
              </w:rPr>
            </w:pPr>
          </w:p>
        </w:tc>
        <w:tc>
          <w:tcPr>
            <w:tcW w:w="1492" w:type="dxa"/>
            <w:vAlign w:val="center"/>
          </w:tcPr>
          <w:p w14:paraId="70B579A2">
            <w:pPr>
              <w:widowControl w:val="0"/>
              <w:ind w:left="-53" w:leftChars="-25" w:right="-53" w:rightChars="-25"/>
              <w:jc w:val="right"/>
              <w:rPr>
                <w:spacing w:val="-10"/>
              </w:rPr>
            </w:pPr>
            <w:r>
              <w:rPr>
                <w:spacing w:val="-10"/>
              </w:rPr>
              <w:t>2,049,922,645.87</w:t>
            </w:r>
          </w:p>
        </w:tc>
        <w:tc>
          <w:tcPr>
            <w:tcW w:w="754" w:type="dxa"/>
            <w:vAlign w:val="center"/>
          </w:tcPr>
          <w:p w14:paraId="5FB12E0A">
            <w:pPr>
              <w:widowControl w:val="0"/>
              <w:ind w:left="-53" w:leftChars="-25" w:right="-53" w:rightChars="-25"/>
              <w:jc w:val="center"/>
              <w:rPr>
                <w:spacing w:val="-10"/>
              </w:rPr>
            </w:pPr>
            <w:r>
              <w:rPr>
                <w:spacing w:val="-10"/>
              </w:rPr>
              <w:t>质押</w:t>
            </w:r>
          </w:p>
        </w:tc>
        <w:tc>
          <w:tcPr>
            <w:tcW w:w="1156" w:type="dxa"/>
            <w:vAlign w:val="center"/>
          </w:tcPr>
          <w:p w14:paraId="0B7010F6">
            <w:pPr>
              <w:widowControl w:val="0"/>
              <w:ind w:left="-53" w:leftChars="-25" w:right="-53" w:rightChars="-25"/>
              <w:jc w:val="center"/>
              <w:rPr>
                <w:spacing w:val="-10"/>
              </w:rPr>
            </w:pPr>
            <w:r>
              <w:rPr>
                <w:spacing w:val="-10"/>
              </w:rPr>
              <w:t>借款质押</w:t>
            </w:r>
          </w:p>
        </w:tc>
        <w:tc>
          <w:tcPr>
            <w:tcW w:w="958" w:type="dxa"/>
            <w:vAlign w:val="center"/>
          </w:tcPr>
          <w:p w14:paraId="51FFEAA1">
            <w:pPr>
              <w:widowControl w:val="0"/>
              <w:ind w:left="-53" w:leftChars="-25" w:right="-53" w:rightChars="-25"/>
              <w:jc w:val="right"/>
              <w:rPr>
                <w:spacing w:val="-10"/>
              </w:rPr>
            </w:pPr>
          </w:p>
        </w:tc>
        <w:tc>
          <w:tcPr>
            <w:tcW w:w="1483" w:type="dxa"/>
            <w:vAlign w:val="center"/>
          </w:tcPr>
          <w:p w14:paraId="3B5DB075">
            <w:pPr>
              <w:widowControl w:val="0"/>
              <w:ind w:left="-53" w:leftChars="-25" w:right="-53" w:rightChars="-25"/>
              <w:jc w:val="right"/>
              <w:rPr>
                <w:spacing w:val="-10"/>
              </w:rPr>
            </w:pPr>
            <w:r>
              <w:rPr>
                <w:spacing w:val="-10"/>
              </w:rPr>
              <w:t>2,018,107,186.21</w:t>
            </w:r>
          </w:p>
        </w:tc>
        <w:tc>
          <w:tcPr>
            <w:tcW w:w="755" w:type="dxa"/>
            <w:vAlign w:val="center"/>
          </w:tcPr>
          <w:p w14:paraId="48C5D77B">
            <w:pPr>
              <w:widowControl w:val="0"/>
              <w:ind w:left="-53" w:leftChars="-25" w:right="-53" w:rightChars="-25"/>
              <w:jc w:val="center"/>
              <w:rPr>
                <w:spacing w:val="-10"/>
              </w:rPr>
            </w:pPr>
            <w:r>
              <w:rPr>
                <w:spacing w:val="-10"/>
              </w:rPr>
              <w:t>质押</w:t>
            </w:r>
          </w:p>
        </w:tc>
        <w:tc>
          <w:tcPr>
            <w:tcW w:w="1057" w:type="dxa"/>
            <w:vAlign w:val="center"/>
          </w:tcPr>
          <w:p w14:paraId="4EFF730F">
            <w:pPr>
              <w:widowControl w:val="0"/>
              <w:ind w:left="-53" w:leftChars="-25" w:right="-53" w:rightChars="-25"/>
              <w:jc w:val="center"/>
              <w:rPr>
                <w:spacing w:val="-10"/>
              </w:rPr>
            </w:pPr>
            <w:r>
              <w:rPr>
                <w:spacing w:val="-10"/>
              </w:rPr>
              <w:t>借款质押</w:t>
            </w:r>
          </w:p>
        </w:tc>
      </w:tr>
      <w:tr w14:paraId="63B3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14:paraId="72DC1536">
            <w:pPr>
              <w:widowControl w:val="0"/>
              <w:ind w:left="-53" w:leftChars="-25" w:right="-53" w:rightChars="-25"/>
              <w:jc w:val="center"/>
              <w:rPr>
                <w:spacing w:val="-10"/>
              </w:rPr>
            </w:pPr>
            <w:r>
              <w:rPr>
                <w:spacing w:val="-10"/>
              </w:rPr>
              <w:t>投资性房地产</w:t>
            </w:r>
          </w:p>
        </w:tc>
        <w:tc>
          <w:tcPr>
            <w:tcW w:w="948" w:type="dxa"/>
            <w:vAlign w:val="center"/>
          </w:tcPr>
          <w:p w14:paraId="765F2BEF">
            <w:pPr>
              <w:widowControl w:val="0"/>
              <w:ind w:left="-53" w:leftChars="-25" w:right="-53" w:rightChars="-25"/>
              <w:jc w:val="right"/>
              <w:rPr>
                <w:spacing w:val="-10"/>
              </w:rPr>
            </w:pPr>
          </w:p>
        </w:tc>
        <w:tc>
          <w:tcPr>
            <w:tcW w:w="1492" w:type="dxa"/>
            <w:vAlign w:val="center"/>
          </w:tcPr>
          <w:p w14:paraId="4CF75830">
            <w:pPr>
              <w:widowControl w:val="0"/>
              <w:ind w:left="-53" w:leftChars="-25" w:right="-53" w:rightChars="-25"/>
              <w:jc w:val="right"/>
              <w:rPr>
                <w:spacing w:val="-10"/>
              </w:rPr>
            </w:pPr>
            <w:r>
              <w:rPr>
                <w:spacing w:val="-10"/>
              </w:rPr>
              <w:t>2,608,517,076.28</w:t>
            </w:r>
          </w:p>
        </w:tc>
        <w:tc>
          <w:tcPr>
            <w:tcW w:w="754" w:type="dxa"/>
            <w:vAlign w:val="center"/>
          </w:tcPr>
          <w:p w14:paraId="7712E3DC">
            <w:pPr>
              <w:widowControl w:val="0"/>
              <w:ind w:left="-53" w:leftChars="-25" w:right="-53" w:rightChars="-25"/>
              <w:jc w:val="center"/>
              <w:rPr>
                <w:spacing w:val="-10"/>
              </w:rPr>
            </w:pPr>
            <w:r>
              <w:rPr>
                <w:spacing w:val="-10"/>
              </w:rPr>
              <w:t>抵押</w:t>
            </w:r>
          </w:p>
        </w:tc>
        <w:tc>
          <w:tcPr>
            <w:tcW w:w="1156" w:type="dxa"/>
            <w:vAlign w:val="center"/>
          </w:tcPr>
          <w:p w14:paraId="3D059FF8">
            <w:pPr>
              <w:widowControl w:val="0"/>
              <w:ind w:left="-53" w:leftChars="-25" w:right="-53" w:rightChars="-25"/>
              <w:jc w:val="center"/>
              <w:rPr>
                <w:spacing w:val="-10"/>
              </w:rPr>
            </w:pPr>
            <w:r>
              <w:rPr>
                <w:spacing w:val="-10"/>
              </w:rPr>
              <w:t>借款抵押</w:t>
            </w:r>
          </w:p>
        </w:tc>
        <w:tc>
          <w:tcPr>
            <w:tcW w:w="958" w:type="dxa"/>
            <w:vAlign w:val="center"/>
          </w:tcPr>
          <w:p w14:paraId="38C4FED2">
            <w:pPr>
              <w:widowControl w:val="0"/>
              <w:ind w:left="-53" w:leftChars="-25" w:right="-53" w:rightChars="-25"/>
              <w:jc w:val="right"/>
              <w:rPr>
                <w:spacing w:val="-10"/>
              </w:rPr>
            </w:pPr>
          </w:p>
        </w:tc>
        <w:tc>
          <w:tcPr>
            <w:tcW w:w="1483" w:type="dxa"/>
            <w:vAlign w:val="center"/>
          </w:tcPr>
          <w:p w14:paraId="2E0DEB6B">
            <w:pPr>
              <w:widowControl w:val="0"/>
              <w:ind w:left="-53" w:leftChars="-25" w:right="-53" w:rightChars="-25"/>
              <w:jc w:val="right"/>
              <w:rPr>
                <w:spacing w:val="-10"/>
              </w:rPr>
            </w:pPr>
            <w:r>
              <w:rPr>
                <w:spacing w:val="-10"/>
              </w:rPr>
              <w:t>2,664,074,200.00</w:t>
            </w:r>
          </w:p>
        </w:tc>
        <w:tc>
          <w:tcPr>
            <w:tcW w:w="755" w:type="dxa"/>
            <w:vAlign w:val="center"/>
          </w:tcPr>
          <w:p w14:paraId="25CC47FB">
            <w:pPr>
              <w:widowControl w:val="0"/>
              <w:ind w:left="-53" w:leftChars="-25" w:right="-53" w:rightChars="-25"/>
              <w:jc w:val="center"/>
              <w:rPr>
                <w:spacing w:val="-10"/>
              </w:rPr>
            </w:pPr>
            <w:r>
              <w:rPr>
                <w:spacing w:val="-10"/>
              </w:rPr>
              <w:t>抵押</w:t>
            </w:r>
          </w:p>
        </w:tc>
        <w:tc>
          <w:tcPr>
            <w:tcW w:w="1057" w:type="dxa"/>
            <w:vAlign w:val="center"/>
          </w:tcPr>
          <w:p w14:paraId="1C282173">
            <w:pPr>
              <w:widowControl w:val="0"/>
              <w:ind w:left="-53" w:leftChars="-25" w:right="-53" w:rightChars="-25"/>
              <w:jc w:val="center"/>
              <w:rPr>
                <w:spacing w:val="-10"/>
              </w:rPr>
            </w:pPr>
            <w:r>
              <w:rPr>
                <w:spacing w:val="-10"/>
              </w:rPr>
              <w:t>借款抵押</w:t>
            </w:r>
          </w:p>
        </w:tc>
      </w:tr>
      <w:tr w14:paraId="7DBA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Align w:val="center"/>
          </w:tcPr>
          <w:p w14:paraId="3E9D556C">
            <w:pPr>
              <w:widowControl w:val="0"/>
              <w:ind w:left="-53" w:leftChars="-25" w:right="-53" w:rightChars="-25"/>
              <w:jc w:val="center"/>
              <w:rPr>
                <w:spacing w:val="-10"/>
              </w:rPr>
            </w:pPr>
            <w:r>
              <w:rPr>
                <w:spacing w:val="-10"/>
              </w:rPr>
              <w:t>合计</w:t>
            </w:r>
          </w:p>
        </w:tc>
        <w:tc>
          <w:tcPr>
            <w:tcW w:w="948" w:type="dxa"/>
            <w:vAlign w:val="center"/>
          </w:tcPr>
          <w:p w14:paraId="10CAD02D">
            <w:pPr>
              <w:widowControl w:val="0"/>
              <w:ind w:left="-53" w:leftChars="-25" w:right="-53" w:rightChars="-25"/>
              <w:jc w:val="right"/>
              <w:rPr>
                <w:spacing w:val="-10"/>
              </w:rPr>
            </w:pPr>
          </w:p>
        </w:tc>
        <w:tc>
          <w:tcPr>
            <w:tcW w:w="1492" w:type="dxa"/>
            <w:vAlign w:val="center"/>
          </w:tcPr>
          <w:p w14:paraId="05DB20EF">
            <w:pPr>
              <w:widowControl w:val="0"/>
              <w:ind w:left="-53" w:leftChars="-25" w:right="-53" w:rightChars="-25"/>
              <w:jc w:val="right"/>
              <w:rPr>
                <w:spacing w:val="-10"/>
              </w:rPr>
            </w:pPr>
            <w:r>
              <w:rPr>
                <w:spacing w:val="-10"/>
              </w:rPr>
              <w:t>7,116,722,917.04</w:t>
            </w:r>
          </w:p>
        </w:tc>
        <w:tc>
          <w:tcPr>
            <w:tcW w:w="754" w:type="dxa"/>
            <w:vAlign w:val="center"/>
          </w:tcPr>
          <w:p w14:paraId="5BA7A012">
            <w:pPr>
              <w:widowControl w:val="0"/>
              <w:ind w:left="-53" w:leftChars="-25" w:right="-53" w:rightChars="-25"/>
              <w:jc w:val="center"/>
              <w:rPr>
                <w:spacing w:val="-10"/>
              </w:rPr>
            </w:pPr>
          </w:p>
        </w:tc>
        <w:tc>
          <w:tcPr>
            <w:tcW w:w="1156" w:type="dxa"/>
            <w:vAlign w:val="center"/>
          </w:tcPr>
          <w:p w14:paraId="298DA20C">
            <w:pPr>
              <w:widowControl w:val="0"/>
              <w:ind w:left="-53" w:leftChars="-25" w:right="-53" w:rightChars="-25"/>
              <w:jc w:val="center"/>
              <w:rPr>
                <w:spacing w:val="-10"/>
              </w:rPr>
            </w:pPr>
          </w:p>
        </w:tc>
        <w:tc>
          <w:tcPr>
            <w:tcW w:w="958" w:type="dxa"/>
            <w:vAlign w:val="center"/>
          </w:tcPr>
          <w:p w14:paraId="0ACB1966">
            <w:pPr>
              <w:widowControl w:val="0"/>
              <w:ind w:left="-53" w:leftChars="-25" w:right="-53" w:rightChars="-25"/>
              <w:jc w:val="right"/>
              <w:rPr>
                <w:spacing w:val="-10"/>
              </w:rPr>
            </w:pPr>
          </w:p>
        </w:tc>
        <w:tc>
          <w:tcPr>
            <w:tcW w:w="1483" w:type="dxa"/>
            <w:vAlign w:val="center"/>
          </w:tcPr>
          <w:p w14:paraId="6E7E47C7">
            <w:pPr>
              <w:widowControl w:val="0"/>
              <w:ind w:left="-53" w:leftChars="-25" w:right="-53" w:rightChars="-25"/>
              <w:jc w:val="right"/>
              <w:rPr>
                <w:spacing w:val="-10"/>
              </w:rPr>
            </w:pPr>
            <w:r>
              <w:rPr>
                <w:spacing w:val="-10"/>
              </w:rPr>
              <w:t>7,947,049,429.82</w:t>
            </w:r>
          </w:p>
        </w:tc>
        <w:tc>
          <w:tcPr>
            <w:tcW w:w="755" w:type="dxa"/>
            <w:vAlign w:val="center"/>
          </w:tcPr>
          <w:p w14:paraId="596E3BAA">
            <w:pPr>
              <w:widowControl w:val="0"/>
              <w:ind w:left="-53" w:leftChars="-25" w:right="-53" w:rightChars="-25"/>
              <w:jc w:val="center"/>
              <w:rPr>
                <w:spacing w:val="-10"/>
              </w:rPr>
            </w:pPr>
          </w:p>
        </w:tc>
        <w:tc>
          <w:tcPr>
            <w:tcW w:w="1057" w:type="dxa"/>
            <w:vAlign w:val="center"/>
          </w:tcPr>
          <w:p w14:paraId="19803367">
            <w:pPr>
              <w:widowControl w:val="0"/>
              <w:ind w:left="-53" w:leftChars="-25" w:right="-53" w:rightChars="-25"/>
              <w:jc w:val="center"/>
              <w:rPr>
                <w:spacing w:val="-10"/>
              </w:rPr>
            </w:pPr>
          </w:p>
        </w:tc>
      </w:tr>
    </w:tbl>
    <w:p w14:paraId="699C3E27"/>
    <w:p w14:paraId="22DCDA25">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所有权或使用权受到限制的资产的其他说明"/>
        <w:tag w:val="_GBC_571ebdda2c564d648db287965351cd50"/>
        <w:id w:val="-482386262"/>
        <w:placeholder>
          <w:docPart w:val="GBC22222222222222222222222222222"/>
        </w:placeholder>
      </w:sdtPr>
      <w:sdtEndPr>
        <w:rPr>
          <w:color w:val="000000" w:themeColor="text1"/>
          <w14:textFill>
            <w14:solidFill>
              <w14:schemeClr w14:val="tx1"/>
            </w14:solidFill>
          </w14:textFill>
        </w:rPr>
      </w:sdtEndPr>
      <w:sdtContent>
        <w:p w14:paraId="2C428714">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303"/>
    <w:p w14:paraId="1B2FB5E2">
      <w:pPr>
        <w:rPr>
          <w:color w:val="000000" w:themeColor="text1"/>
          <w14:textFill>
            <w14:solidFill>
              <w14:schemeClr w14:val="tx1"/>
            </w14:solidFill>
          </w14:textFill>
        </w:rPr>
      </w:pPr>
    </w:p>
    <w:p w14:paraId="7E33AE59">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短期借款</w:t>
      </w:r>
    </w:p>
    <w:p w14:paraId="2FF5CF26">
      <w:pPr>
        <w:pStyle w:val="5"/>
        <w:numPr>
          <w:ilvl w:val="0"/>
          <w:numId w:val="66"/>
        </w:numPr>
        <w:tabs>
          <w:tab w:val="left" w:pos="630"/>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短期借款分类</w:t>
      </w:r>
    </w:p>
    <w:sdt>
      <w:sdtPr>
        <w:rPr>
          <w:color w:val="000000" w:themeColor="text1"/>
          <w14:textFill>
            <w14:solidFill>
              <w14:schemeClr w14:val="tx1"/>
            </w14:solidFill>
          </w14:textFill>
        </w:rPr>
        <w:alias w:val="是否适用：短期借款分类[双击切换]"/>
        <w:tag w:val="_GBC_1074387a68b64f6b9270b522de53ad85"/>
        <w:id w:val="-356810630"/>
        <w:placeholder>
          <w:docPart w:val="GBC22222222222222222222222222222"/>
        </w:placeholder>
      </w:sdtPr>
      <w:sdtEndPr>
        <w:rPr>
          <w:color w:val="000000" w:themeColor="text1"/>
          <w14:textFill>
            <w14:solidFill>
              <w14:schemeClr w14:val="tx1"/>
            </w14:solidFill>
          </w14:textFill>
        </w:rPr>
      </w:sdtEndPr>
      <w:sdtContent>
        <w:p w14:paraId="1137235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16D68E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短期借款分类"/>
          <w:tag w:val="_GBC_f3353209b65c4921b63143340e11aac9"/>
          <w:id w:val="7737540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短期借款分类"/>
          <w:tag w:val="_GBC_b3a1802faad14eae96cfab316b25f639"/>
          <w:id w:val="10481922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69"/>
        <w:gridCol w:w="3004"/>
        <w:gridCol w:w="3020"/>
      </w:tblGrid>
      <w:tr w14:paraId="523A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3476605067da474199aa03dc83e3d88c"/>
            <w:id w:val="-1440743224"/>
          </w:sdtPr>
          <w:sdtContent>
            <w:tc>
              <w:tcPr>
                <w:tcW w:w="1613" w:type="pct"/>
                <w:vAlign w:val="center"/>
              </w:tcPr>
              <w:p w14:paraId="1C744EB7">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ccd6dc2751cc421e8a2f26f78a44b4c5"/>
            <w:id w:val="813769930"/>
          </w:sdtPr>
          <w:sdtContent>
            <w:tc>
              <w:tcPr>
                <w:tcW w:w="1689" w:type="pct"/>
                <w:vAlign w:val="center"/>
              </w:tcPr>
              <w:p w14:paraId="477A192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c16f582c583d4324abc605c4bc563081"/>
            <w:id w:val="-1679112230"/>
          </w:sdtPr>
          <w:sdtContent>
            <w:tc>
              <w:tcPr>
                <w:tcW w:w="1698" w:type="pct"/>
                <w:vAlign w:val="center"/>
              </w:tcPr>
              <w:p w14:paraId="44E792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1DE2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tcPr>
          <w:p w14:paraId="15403C3D">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质押借款</w:t>
            </w:r>
          </w:p>
        </w:tc>
        <w:tc>
          <w:tcPr>
            <w:tcW w:w="1689" w:type="pct"/>
            <w:vAlign w:val="center"/>
          </w:tcPr>
          <w:p w14:paraId="45DEF888">
            <w:pPr>
              <w:jc w:val="right"/>
            </w:pPr>
            <w:r>
              <w:t>50,000,000.00</w:t>
            </w:r>
          </w:p>
        </w:tc>
        <w:tc>
          <w:tcPr>
            <w:tcW w:w="1698" w:type="pct"/>
            <w:vAlign w:val="center"/>
          </w:tcPr>
          <w:p w14:paraId="10BE733D">
            <w:pPr>
              <w:jc w:val="right"/>
            </w:pPr>
            <w:r>
              <w:t>50,000,000.00</w:t>
            </w:r>
          </w:p>
        </w:tc>
      </w:tr>
      <w:tr w14:paraId="1D3F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tcPr>
          <w:p w14:paraId="1BFCABE9">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抵押借款</w:t>
            </w:r>
          </w:p>
        </w:tc>
        <w:tc>
          <w:tcPr>
            <w:tcW w:w="1689" w:type="pct"/>
            <w:vAlign w:val="center"/>
          </w:tcPr>
          <w:p w14:paraId="350CD49E">
            <w:pPr>
              <w:jc w:val="right"/>
            </w:pPr>
            <w:r>
              <w:t>300,258,333.33</w:t>
            </w:r>
          </w:p>
        </w:tc>
        <w:tc>
          <w:tcPr>
            <w:tcW w:w="1698" w:type="pct"/>
            <w:vAlign w:val="center"/>
          </w:tcPr>
          <w:p w14:paraId="23765001">
            <w:pPr>
              <w:jc w:val="right"/>
            </w:pPr>
            <w:r>
              <w:t>300,284,166.67</w:t>
            </w:r>
          </w:p>
        </w:tc>
      </w:tr>
      <w:tr w14:paraId="561F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tcPr>
          <w:p w14:paraId="7A61E335">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保证借款</w:t>
            </w:r>
          </w:p>
        </w:tc>
        <w:tc>
          <w:tcPr>
            <w:tcW w:w="1689" w:type="pct"/>
            <w:vAlign w:val="center"/>
          </w:tcPr>
          <w:p w14:paraId="17A570C3">
            <w:pPr>
              <w:jc w:val="right"/>
            </w:pPr>
            <w:r>
              <w:t>90,006,500.00</w:t>
            </w:r>
          </w:p>
        </w:tc>
        <w:tc>
          <w:tcPr>
            <w:tcW w:w="1698" w:type="pct"/>
            <w:vAlign w:val="center"/>
          </w:tcPr>
          <w:p w14:paraId="0832B441">
            <w:pPr>
              <w:jc w:val="right"/>
            </w:pPr>
            <w:r>
              <w:t>90,079,749.99</w:t>
            </w:r>
          </w:p>
        </w:tc>
      </w:tr>
      <w:tr w14:paraId="6118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tc>
          <w:tcPr>
            <w:tcW w:w="1613" w:type="pct"/>
          </w:tcPr>
          <w:p w14:paraId="32445448">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信用借款</w:t>
            </w:r>
          </w:p>
        </w:tc>
        <w:tc>
          <w:tcPr>
            <w:tcW w:w="1689" w:type="pct"/>
            <w:vAlign w:val="center"/>
          </w:tcPr>
          <w:p w14:paraId="50ADB3D6">
            <w:pPr>
              <w:jc w:val="right"/>
            </w:pPr>
            <w:r>
              <w:t>80,060,277.77</w:t>
            </w:r>
          </w:p>
        </w:tc>
        <w:tc>
          <w:tcPr>
            <w:tcW w:w="1698" w:type="pct"/>
            <w:vAlign w:val="center"/>
          </w:tcPr>
          <w:p w14:paraId="74C98B35">
            <w:pPr>
              <w:jc w:val="right"/>
            </w:pPr>
            <w:r>
              <w:t>177,056,305.56</w:t>
            </w:r>
          </w:p>
        </w:tc>
      </w:tr>
      <w:tr w14:paraId="01E0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3" w:type="pct"/>
            <w:vAlign w:val="center"/>
          </w:tcPr>
          <w:p w14:paraId="3C99B9A6">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89" w:type="pct"/>
            <w:vAlign w:val="center"/>
          </w:tcPr>
          <w:p w14:paraId="5195626A">
            <w:pPr>
              <w:jc w:val="right"/>
            </w:pPr>
            <w:r>
              <w:t>520,325,111.10</w:t>
            </w:r>
          </w:p>
        </w:tc>
        <w:tc>
          <w:tcPr>
            <w:tcW w:w="1698" w:type="pct"/>
            <w:vAlign w:val="center"/>
          </w:tcPr>
          <w:p w14:paraId="63AE8F0F">
            <w:pPr>
              <w:jc w:val="right"/>
            </w:pPr>
            <w:r>
              <w:t>617,420,222.22</w:t>
            </w:r>
          </w:p>
        </w:tc>
      </w:tr>
    </w:tbl>
    <w:p w14:paraId="2DE1D6F3">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短期借款分类的说明：</w:t>
      </w:r>
    </w:p>
    <w:sdt>
      <w:sdtPr>
        <w:rPr>
          <w:color w:val="000000" w:themeColor="text1"/>
          <w14:textFill>
            <w14:solidFill>
              <w14:schemeClr w14:val="tx1"/>
            </w14:solidFill>
          </w14:textFill>
        </w:rPr>
        <w:alias w:val="短期借款分类的说明"/>
        <w:tag w:val="_GBC_fc19e133dd4f4dbdb9d583e76175b714"/>
        <w:id w:val="1665505021"/>
        <w:placeholder>
          <w:docPart w:val="GBC22222222222222222222222222222"/>
        </w:placeholder>
      </w:sdtPr>
      <w:sdtEndPr>
        <w:rPr>
          <w:color w:val="000000" w:themeColor="text1"/>
          <w14:textFill>
            <w14:solidFill>
              <w14:schemeClr w14:val="tx1"/>
            </w14:solidFill>
          </w14:textFill>
        </w:rPr>
      </w:sdtEndPr>
      <w:sdtContent>
        <w:p w14:paraId="3CCE1813">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C76DB31">
      <w:pPr>
        <w:snapToGrid w:val="0"/>
        <w:spacing w:line="240" w:lineRule="atLeast"/>
        <w:ind w:right="-153" w:rightChars="-73"/>
        <w:rPr>
          <w:b/>
          <w:color w:val="000000" w:themeColor="text1"/>
          <w14:textFill>
            <w14:solidFill>
              <w14:schemeClr w14:val="tx1"/>
            </w14:solidFill>
          </w14:textFill>
        </w:rPr>
      </w:pPr>
    </w:p>
    <w:p w14:paraId="5A861ED1">
      <w:pPr>
        <w:pStyle w:val="5"/>
        <w:numPr>
          <w:ilvl w:val="0"/>
          <w:numId w:val="66"/>
        </w:numPr>
        <w:tabs>
          <w:tab w:val="left" w:pos="630"/>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已逾期未偿还的短期借款情况</w:t>
      </w:r>
    </w:p>
    <w:sdt>
      <w:sdtPr>
        <w:rPr>
          <w:color w:val="000000" w:themeColor="text1"/>
          <w14:textFill>
            <w14:solidFill>
              <w14:schemeClr w14:val="tx1"/>
            </w14:solidFill>
          </w14:textFill>
        </w:rPr>
        <w:alias w:val="是否适用：已逾期未偿还的短期借款情况[双击切换]"/>
        <w:tag w:val="_GBC_57f74ff95a304f19a7c06d7996fc30c7"/>
        <w:id w:val="-712884786"/>
        <w:placeholder>
          <w:docPart w:val="GBC22222222222222222222222222222"/>
        </w:placeholder>
      </w:sdtPr>
      <w:sdtEndPr>
        <w:rPr>
          <w:color w:val="000000" w:themeColor="text1"/>
          <w14:textFill>
            <w14:solidFill>
              <w14:schemeClr w14:val="tx1"/>
            </w14:solidFill>
          </w14:textFill>
        </w:rPr>
      </w:sdtEndPr>
      <w:sdtContent>
        <w:p w14:paraId="411F5DA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627F73">
      <w:pPr>
        <w:rPr>
          <w:color w:val="000000" w:themeColor="text1"/>
          <w14:textFill>
            <w14:solidFill>
              <w14:schemeClr w14:val="tx1"/>
            </w14:solidFill>
          </w14:textFill>
        </w:rPr>
      </w:pPr>
    </w:p>
    <w:p w14:paraId="72DB94C7">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短期借款的说明[双击切换]"/>
        <w:tag w:val="_GBC_663e3ee6df014147bb9c7daa18ccb062"/>
        <w:id w:val="1395848649"/>
        <w:placeholder>
          <w:docPart w:val="GBC22222222222222222222222222222"/>
        </w:placeholder>
      </w:sdtPr>
      <w:sdtEndPr>
        <w:rPr>
          <w:color w:val="000000" w:themeColor="text1"/>
          <w14:textFill>
            <w14:solidFill>
              <w14:schemeClr w14:val="tx1"/>
            </w14:solidFill>
          </w14:textFill>
        </w:rPr>
      </w:sdtEndPr>
      <w:sdtContent>
        <w:p w14:paraId="412F3F1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CF0F7B4">
      <w:pPr>
        <w:rPr>
          <w:color w:val="000000" w:themeColor="text1"/>
          <w14:textFill>
            <w14:solidFill>
              <w14:schemeClr w14:val="tx1"/>
            </w14:solidFill>
          </w14:textFill>
        </w:rPr>
      </w:pPr>
    </w:p>
    <w:p w14:paraId="1856D22C">
      <w:pPr>
        <w:pStyle w:val="4"/>
        <w:numPr>
          <w:ilvl w:val="0"/>
          <w:numId w:val="41"/>
        </w:numPr>
        <w:rPr>
          <w:color w:val="000000" w:themeColor="text1"/>
          <w:szCs w:val="21"/>
          <w14:textFill>
            <w14:solidFill>
              <w14:schemeClr w14:val="tx1"/>
            </w14:solidFill>
          </w14:textFill>
        </w:rPr>
      </w:pPr>
      <w:bookmarkStart w:id="304" w:name="_Hlk533422954"/>
      <w:bookmarkStart w:id="305" w:name="_Hlk533670147"/>
      <w:bookmarkStart w:id="306" w:name="_Hlk167960253"/>
      <w:r>
        <w:rPr>
          <w:color w:val="000000" w:themeColor="text1"/>
          <w:szCs w:val="21"/>
          <w14:textFill>
            <w14:solidFill>
              <w14:schemeClr w14:val="tx1"/>
            </w14:solidFill>
          </w14:textFill>
        </w:rPr>
        <w:t>交易性金融负债</w:t>
      </w:r>
    </w:p>
    <w:sdt>
      <w:sdtPr>
        <w:rPr>
          <w:color w:val="000000" w:themeColor="text1"/>
          <w14:textFill>
            <w14:solidFill>
              <w14:schemeClr w14:val="tx1"/>
            </w14:solidFill>
          </w14:textFill>
        </w:rPr>
        <w:alias w:val="是否适用：交易性金融负债[双击切换]"/>
        <w:tag w:val="_GBC_c80a748cb25743768dff0a872a281bca"/>
        <w:id w:val="-2099704048"/>
        <w:placeholder>
          <w:docPart w:val="GBC22222222222222222222222222222"/>
        </w:placeholder>
      </w:sdtPr>
      <w:sdtEndPr>
        <w:rPr>
          <w:color w:val="000000" w:themeColor="text1"/>
          <w14:textFill>
            <w14:solidFill>
              <w14:schemeClr w14:val="tx1"/>
            </w14:solidFill>
          </w14:textFill>
        </w:rPr>
      </w:sdtEndPr>
      <w:sdtContent>
        <w:p w14:paraId="11E12DC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A3E45BE">
      <w:pPr>
        <w:rPr>
          <w:color w:val="000000" w:themeColor="text1"/>
          <w14:textFill>
            <w14:solidFill>
              <w14:schemeClr w14:val="tx1"/>
            </w14:solidFill>
          </w14:textFill>
        </w:rPr>
      </w:pPr>
    </w:p>
    <w:p w14:paraId="6F0FF637">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r>
        <w:rPr>
          <w:rFonts w:hint="eastAsia"/>
          <w:color w:val="000000" w:themeColor="text1"/>
          <w14:textFill>
            <w14:solidFill>
              <w14:schemeClr w14:val="tx1"/>
            </w14:solidFill>
          </w14:textFill>
        </w:rPr>
        <w:t>：</w:t>
      </w:r>
    </w:p>
    <w:sdt>
      <w:sdtPr>
        <w:rPr>
          <w:color w:val="000000" w:themeColor="text1"/>
          <w14:textFill>
            <w14:solidFill>
              <w14:schemeClr w14:val="tx1"/>
            </w14:solidFill>
          </w14:textFill>
        </w:rPr>
        <w:alias w:val="是否适用：交易性金融负债的说明[双击切换]"/>
        <w:tag w:val="_GBC_692d0bb6340447f685684271256fa188"/>
        <w:id w:val="832191675"/>
        <w:placeholder>
          <w:docPart w:val="GBC22222222222222222222222222222"/>
        </w:placeholder>
      </w:sdtPr>
      <w:sdtEndPr>
        <w:rPr>
          <w:color w:val="000000" w:themeColor="text1"/>
          <w14:textFill>
            <w14:solidFill>
              <w14:schemeClr w14:val="tx1"/>
            </w14:solidFill>
          </w14:textFill>
        </w:rPr>
      </w:sdtEndPr>
      <w:sdtContent>
        <w:p w14:paraId="5A73461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2945D7">
      <w:pPr>
        <w:rPr>
          <w:color w:val="000000" w:themeColor="text1"/>
          <w14:textFill>
            <w14:solidFill>
              <w14:schemeClr w14:val="tx1"/>
            </w14:solidFill>
          </w14:textFill>
        </w:rPr>
      </w:pPr>
    </w:p>
    <w:bookmarkEnd w:id="304"/>
    <w:bookmarkEnd w:id="305"/>
    <w:bookmarkEnd w:id="306"/>
    <w:p w14:paraId="5109934F">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衍生金融负债</w:t>
      </w:r>
    </w:p>
    <w:sdt>
      <w:sdtPr>
        <w:rPr>
          <w:color w:val="000000" w:themeColor="text1"/>
          <w14:textFill>
            <w14:solidFill>
              <w14:schemeClr w14:val="tx1"/>
            </w14:solidFill>
          </w14:textFill>
        </w:rPr>
        <w:alias w:val="是否适用：衍生金融负债[双击切换]"/>
        <w:tag w:val="_GBC_3a60c0d3d0534eba80b93475b0a6411f"/>
        <w:id w:val="419221455"/>
        <w:placeholder>
          <w:docPart w:val="GBC22222222222222222222222222222"/>
        </w:placeholder>
      </w:sdtPr>
      <w:sdtEndPr>
        <w:rPr>
          <w:color w:val="000000" w:themeColor="text1"/>
          <w14:textFill>
            <w14:solidFill>
              <w14:schemeClr w14:val="tx1"/>
            </w14:solidFill>
          </w14:textFill>
        </w:rPr>
      </w:sdtEndPr>
      <w:sdtContent>
        <w:p w14:paraId="3A3A4A4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E2F747">
      <w:pPr>
        <w:rPr>
          <w:color w:val="000000" w:themeColor="text1"/>
          <w14:textFill>
            <w14:solidFill>
              <w14:schemeClr w14:val="tx1"/>
            </w14:solidFill>
          </w14:textFill>
        </w:rPr>
      </w:pPr>
    </w:p>
    <w:p w14:paraId="78835527">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应付票据</w:t>
      </w:r>
    </w:p>
    <w:sdt>
      <w:sdtPr>
        <w:rPr>
          <w:color w:val="000000" w:themeColor="text1"/>
          <w14:textFill>
            <w14:solidFill>
              <w14:schemeClr w14:val="tx1"/>
            </w14:solidFill>
          </w14:textFill>
        </w:rPr>
        <w:alias w:val="是否适用：应付票据[双击切换]"/>
        <w:tag w:val="_GBC_57c67181b34944e782b23a48b1843e8f"/>
        <w:id w:val="-1784791082"/>
        <w:lock w:val="contentLocked"/>
        <w:placeholder>
          <w:docPart w:val="GBC22222222222222222222222222222"/>
        </w:placeholder>
      </w:sdtPr>
      <w:sdtEndPr>
        <w:rPr>
          <w:color w:val="000000" w:themeColor="text1"/>
          <w14:textFill>
            <w14:solidFill>
              <w14:schemeClr w14:val="tx1"/>
            </w14:solidFill>
          </w14:textFill>
        </w:rPr>
      </w:sdtEndPr>
      <w:sdtContent>
        <w:p w14:paraId="4DB0596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CBA1DF">
      <w:pPr>
        <w:jc w:val="right"/>
        <w:rPr>
          <w:color w:val="000000" w:themeColor="text1"/>
          <w14:textFill>
            <w14:solidFill>
              <w14:schemeClr w14:val="tx1"/>
            </w14:solidFill>
          </w14:textFill>
        </w:rPr>
      </w:pPr>
      <w:bookmarkStart w:id="307" w:name="_Hlk167960344"/>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付票据"/>
          <w:tag w:val="_GBC_db69c246a0d14735805df636930e34ba"/>
          <w:id w:val="1467462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付票据"/>
          <w:tag w:val="_GBC_f734b21fc72c43feb20eaf84762dfd7f"/>
          <w:id w:val="16577333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310"/>
        <w:gridCol w:w="3338"/>
        <w:gridCol w:w="3245"/>
      </w:tblGrid>
      <w:tr w14:paraId="6342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faa4f5cfe5ae4b0a9c786ca922191e7e"/>
            <w:id w:val="1506486169"/>
          </w:sdtPr>
          <w:sdtContent>
            <w:tc>
              <w:tcPr>
                <w:tcW w:w="1299" w:type="pct"/>
                <w:vAlign w:val="center"/>
              </w:tcPr>
              <w:p w14:paraId="7B8D3723">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种类</w:t>
                </w:r>
              </w:p>
            </w:tc>
          </w:sdtContent>
        </w:sdt>
        <w:sdt>
          <w:sdtPr>
            <w:tag w:val="_PLD_b51f0f25994640289becfaca28eb1d5c"/>
            <w:id w:val="1738440746"/>
          </w:sdtPr>
          <w:sdtContent>
            <w:tc>
              <w:tcPr>
                <w:tcW w:w="1877" w:type="pct"/>
                <w:vAlign w:val="center"/>
              </w:tcPr>
              <w:p w14:paraId="2099082D">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996d96c1a15e479289fa9e0699e2822e"/>
            <w:id w:val="481814801"/>
          </w:sdtPr>
          <w:sdtContent>
            <w:tc>
              <w:tcPr>
                <w:tcW w:w="1824" w:type="pct"/>
                <w:vAlign w:val="center"/>
              </w:tcPr>
              <w:p w14:paraId="10DF6FC7">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484D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9" w:type="pct"/>
          </w:tcPr>
          <w:p w14:paraId="4BF1A1D4">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银行承兑汇票</w:t>
            </w:r>
          </w:p>
        </w:tc>
        <w:tc>
          <w:tcPr>
            <w:tcW w:w="1877" w:type="pct"/>
            <w:vAlign w:val="center"/>
          </w:tcPr>
          <w:p w14:paraId="418C66AA">
            <w:pPr>
              <w:jc w:val="right"/>
              <w:rPr>
                <w:color w:val="000000"/>
              </w:rPr>
            </w:pPr>
            <w:r>
              <w:rPr>
                <w:rFonts w:hint="eastAsia"/>
                <w:color w:val="000000"/>
              </w:rPr>
              <w:t>2,874,687,812.84</w:t>
            </w:r>
          </w:p>
        </w:tc>
        <w:tc>
          <w:tcPr>
            <w:tcW w:w="1824" w:type="pct"/>
            <w:vAlign w:val="center"/>
          </w:tcPr>
          <w:p w14:paraId="7CDE0CFC">
            <w:pPr>
              <w:jc w:val="right"/>
              <w:rPr>
                <w:color w:val="000000"/>
              </w:rPr>
            </w:pPr>
            <w:r>
              <w:rPr>
                <w:rFonts w:hint="eastAsia"/>
                <w:color w:val="000000"/>
              </w:rPr>
              <w:t>2,165,191,068.44</w:t>
            </w:r>
          </w:p>
        </w:tc>
      </w:tr>
      <w:tr w14:paraId="15E2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9" w:type="pct"/>
          </w:tcPr>
          <w:p w14:paraId="5DFE1937">
            <w:pPr>
              <w:jc w:val="center"/>
              <w:rPr>
                <w:color w:val="000000"/>
              </w:rPr>
            </w:pPr>
            <w:r>
              <w:rPr>
                <w:rFonts w:hint="eastAsia"/>
                <w:color w:val="000000"/>
              </w:rPr>
              <w:t>国内信用证</w:t>
            </w:r>
          </w:p>
        </w:tc>
        <w:tc>
          <w:tcPr>
            <w:tcW w:w="1877" w:type="pct"/>
            <w:vAlign w:val="center"/>
          </w:tcPr>
          <w:p w14:paraId="7E699D4F">
            <w:pPr>
              <w:jc w:val="right"/>
              <w:rPr>
                <w:color w:val="000000"/>
              </w:rPr>
            </w:pPr>
            <w:r>
              <w:rPr>
                <w:rFonts w:hint="eastAsia"/>
                <w:color w:val="000000"/>
              </w:rPr>
              <w:t>　</w:t>
            </w:r>
          </w:p>
        </w:tc>
        <w:tc>
          <w:tcPr>
            <w:tcW w:w="1824" w:type="pct"/>
            <w:vAlign w:val="center"/>
          </w:tcPr>
          <w:p w14:paraId="79C2074B">
            <w:pPr>
              <w:jc w:val="right"/>
              <w:rPr>
                <w:color w:val="000000"/>
              </w:rPr>
            </w:pPr>
            <w:r>
              <w:rPr>
                <w:rFonts w:hint="eastAsia"/>
                <w:color w:val="000000"/>
              </w:rPr>
              <w:t>50,000,000.00</w:t>
            </w:r>
          </w:p>
        </w:tc>
      </w:tr>
      <w:tr w14:paraId="241E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9" w:type="pct"/>
            <w:vAlign w:val="center"/>
          </w:tcPr>
          <w:p w14:paraId="1A7CA778">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877" w:type="pct"/>
            <w:vAlign w:val="center"/>
          </w:tcPr>
          <w:p w14:paraId="01E78A3A">
            <w:pPr>
              <w:jc w:val="right"/>
              <w:rPr>
                <w:rFonts w:eastAsia="等线" w:cs="Times New Roman"/>
                <w:color w:val="000000"/>
              </w:rPr>
            </w:pPr>
            <w:r>
              <w:rPr>
                <w:rFonts w:eastAsia="等线" w:cs="Times New Roman"/>
                <w:color w:val="000000"/>
              </w:rPr>
              <w:t>2,874,687,812.84</w:t>
            </w:r>
          </w:p>
        </w:tc>
        <w:tc>
          <w:tcPr>
            <w:tcW w:w="1824" w:type="pct"/>
            <w:vAlign w:val="center"/>
          </w:tcPr>
          <w:p w14:paraId="00085A04">
            <w:pPr>
              <w:jc w:val="right"/>
              <w:rPr>
                <w:rFonts w:eastAsia="等线" w:cs="Times New Roman"/>
                <w:color w:val="000000"/>
              </w:rPr>
            </w:pPr>
            <w:r>
              <w:rPr>
                <w:rFonts w:eastAsia="等线" w:cs="Times New Roman"/>
                <w:color w:val="000000"/>
              </w:rPr>
              <w:t>2,215,191,068.44</w:t>
            </w:r>
          </w:p>
        </w:tc>
      </w:tr>
    </w:tbl>
    <w:p w14:paraId="0BE4562D">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本期末已到期未支付的应付票据总额为</w:t>
      </w:r>
      <w:sdt>
        <w:sdtPr>
          <w:rPr>
            <w:rFonts w:hint="eastAsia"/>
            <w:color w:val="000000" w:themeColor="text1"/>
            <w14:textFill>
              <w14:solidFill>
                <w14:schemeClr w14:val="tx1"/>
              </w14:solidFill>
            </w14:textFill>
          </w:rPr>
          <w:alias w:val="已到期未支付的应付票据总额"/>
          <w:tag w:val="_GBC_c9651441e218453780f22db83f133e6a"/>
          <w:id w:val="-1829349512"/>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元。到期未付的原因是</w:t>
      </w:r>
      <w:sdt>
        <w:sdtPr>
          <w:rPr>
            <w:rFonts w:hint="eastAsia"/>
            <w:color w:val="000000" w:themeColor="text1"/>
            <w14:textFill>
              <w14:solidFill>
                <w14:schemeClr w14:val="tx1"/>
              </w14:solidFill>
            </w14:textFill>
          </w:rPr>
          <w:alias w:val="应付票据到期未付的原因"/>
          <w:tag w:val="_GBC_73acd2fa7a344753a71cf43e98373b73"/>
          <w:id w:val="-500035916"/>
          <w:placeholder>
            <w:docPart w:val="GBC22222222222222222222222222222"/>
          </w:placeholder>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065F2F26">
      <w:pPr>
        <w:snapToGrid w:val="0"/>
        <w:spacing w:line="240" w:lineRule="atLeast"/>
        <w:rPr>
          <w:color w:val="000000" w:themeColor="text1"/>
          <w14:textFill>
            <w14:solidFill>
              <w14:schemeClr w14:val="tx1"/>
            </w14:solidFill>
          </w14:textFill>
        </w:rPr>
      </w:pPr>
    </w:p>
    <w:bookmarkEnd w:id="307"/>
    <w:p w14:paraId="6E8B23D2">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应付账款</w:t>
      </w:r>
    </w:p>
    <w:p w14:paraId="3DB1839F">
      <w:pPr>
        <w:pStyle w:val="5"/>
        <w:numPr>
          <w:ilvl w:val="0"/>
          <w:numId w:val="67"/>
        </w:numPr>
        <w:tabs>
          <w:tab w:val="left" w:pos="588"/>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应付账款列示</w:t>
      </w:r>
    </w:p>
    <w:sdt>
      <w:sdtPr>
        <w:rPr>
          <w:color w:val="000000" w:themeColor="text1"/>
          <w14:textFill>
            <w14:solidFill>
              <w14:schemeClr w14:val="tx1"/>
            </w14:solidFill>
          </w14:textFill>
        </w:rPr>
        <w:alias w:val="是否适用：应付账款列示[双击切换]"/>
        <w:tag w:val="_GBC_8531771c226a4fb0b98e3cdaf7271c71"/>
        <w:id w:val="1615393670"/>
        <w:placeholder>
          <w:docPart w:val="GBC22222222222222222222222222222"/>
        </w:placeholder>
      </w:sdtPr>
      <w:sdtEndPr>
        <w:rPr>
          <w:color w:val="000000" w:themeColor="text1"/>
          <w14:textFill>
            <w14:solidFill>
              <w14:schemeClr w14:val="tx1"/>
            </w14:solidFill>
          </w14:textFill>
        </w:rPr>
      </w:sdtEndPr>
      <w:sdtContent>
        <w:p w14:paraId="5861EBB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387013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付账款情况"/>
          <w:tag w:val="_GBC_53c05e3ea1bb4f08bbe5cf204a0947b9"/>
          <w:id w:val="-12165759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付账款情况"/>
          <w:tag w:val="_GBC_e10cb0a664ca4400817c8a2bcf9247fc"/>
          <w:id w:val="-20437431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67"/>
        <w:gridCol w:w="3341"/>
      </w:tblGrid>
      <w:tr w14:paraId="4930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dae27caeee34d74add24cd985083c75"/>
            <w:id w:val="1494839251"/>
          </w:sdtPr>
          <w:sdtContent>
            <w:tc>
              <w:tcPr>
                <w:tcW w:w="1570" w:type="pct"/>
              </w:tcPr>
              <w:p w14:paraId="7FEB3C7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36ba417561e421ea02da8004fdf8b33"/>
            <w:id w:val="1251773100"/>
          </w:sdtPr>
          <w:sdtContent>
            <w:tc>
              <w:tcPr>
                <w:tcW w:w="1584" w:type="pct"/>
              </w:tcPr>
              <w:p w14:paraId="0D785B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bc4b311c1ee54bd48b7b2ba2ab79c364"/>
            <w:id w:val="1230195109"/>
          </w:sdtPr>
          <w:sdtContent>
            <w:tc>
              <w:tcPr>
                <w:tcW w:w="1846" w:type="pct"/>
              </w:tcPr>
              <w:p w14:paraId="260DC25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1C96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5FB55C44">
            <w:pPr>
              <w:jc w:val="center"/>
            </w:pPr>
            <w:r>
              <w:t>应付货款</w:t>
            </w:r>
          </w:p>
        </w:tc>
        <w:tc>
          <w:tcPr>
            <w:tcW w:w="1584" w:type="pct"/>
            <w:vAlign w:val="center"/>
          </w:tcPr>
          <w:p w14:paraId="018A19B0">
            <w:pPr>
              <w:jc w:val="right"/>
            </w:pPr>
            <w:r>
              <w:t>2,176,508,848.91</w:t>
            </w:r>
          </w:p>
        </w:tc>
        <w:tc>
          <w:tcPr>
            <w:tcW w:w="1846" w:type="pct"/>
            <w:vAlign w:val="center"/>
          </w:tcPr>
          <w:p w14:paraId="4A59C4D2">
            <w:pPr>
              <w:jc w:val="right"/>
            </w:pPr>
            <w:r>
              <w:t>2,363,536,085.63</w:t>
            </w:r>
          </w:p>
        </w:tc>
      </w:tr>
      <w:tr w14:paraId="2B98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6A325A9F">
            <w:pPr>
              <w:jc w:val="center"/>
            </w:pPr>
            <w:r>
              <w:t>应付工程设备款</w:t>
            </w:r>
          </w:p>
        </w:tc>
        <w:tc>
          <w:tcPr>
            <w:tcW w:w="1584" w:type="pct"/>
            <w:vAlign w:val="center"/>
          </w:tcPr>
          <w:p w14:paraId="35069A31">
            <w:pPr>
              <w:jc w:val="right"/>
            </w:pPr>
            <w:r>
              <w:t>88,617,050.51</w:t>
            </w:r>
          </w:p>
        </w:tc>
        <w:tc>
          <w:tcPr>
            <w:tcW w:w="1846" w:type="pct"/>
            <w:vAlign w:val="center"/>
          </w:tcPr>
          <w:p w14:paraId="3A7AB411">
            <w:pPr>
              <w:jc w:val="right"/>
            </w:pPr>
            <w:r>
              <w:t>111,858,901.07</w:t>
            </w:r>
          </w:p>
        </w:tc>
      </w:tr>
      <w:tr w14:paraId="79B3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574752E9">
            <w:pPr>
              <w:jc w:val="center"/>
            </w:pPr>
            <w:r>
              <w:t>应付服务款及其他</w:t>
            </w:r>
          </w:p>
        </w:tc>
        <w:tc>
          <w:tcPr>
            <w:tcW w:w="1584" w:type="pct"/>
            <w:vAlign w:val="center"/>
          </w:tcPr>
          <w:p w14:paraId="3A8628F3">
            <w:pPr>
              <w:jc w:val="right"/>
            </w:pPr>
            <w:r>
              <w:t>997,731,751.85</w:t>
            </w:r>
          </w:p>
        </w:tc>
        <w:tc>
          <w:tcPr>
            <w:tcW w:w="1846" w:type="pct"/>
            <w:vAlign w:val="center"/>
          </w:tcPr>
          <w:p w14:paraId="7D74F622">
            <w:pPr>
              <w:jc w:val="right"/>
            </w:pPr>
            <w:r>
              <w:t>988,349,730.61</w:t>
            </w:r>
          </w:p>
        </w:tc>
      </w:tr>
      <w:tr w14:paraId="55CE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Pr>
          <w:p w14:paraId="4752EF60">
            <w:pPr>
              <w:jc w:val="center"/>
            </w:pPr>
            <w:r>
              <w:rPr>
                <w:rFonts w:hint="eastAsia"/>
              </w:rPr>
              <w:t>合计</w:t>
            </w:r>
          </w:p>
        </w:tc>
        <w:tc>
          <w:tcPr>
            <w:tcW w:w="1584" w:type="pct"/>
            <w:vAlign w:val="center"/>
          </w:tcPr>
          <w:p w14:paraId="2F979C79">
            <w:pPr>
              <w:jc w:val="right"/>
            </w:pPr>
            <w:r>
              <w:t>3,262,857,651.27</w:t>
            </w:r>
          </w:p>
        </w:tc>
        <w:tc>
          <w:tcPr>
            <w:tcW w:w="1846" w:type="pct"/>
            <w:vAlign w:val="center"/>
          </w:tcPr>
          <w:p w14:paraId="31410403">
            <w:pPr>
              <w:jc w:val="right"/>
            </w:pPr>
            <w:r>
              <w:t>3,463,744,717.31</w:t>
            </w:r>
          </w:p>
        </w:tc>
      </w:tr>
    </w:tbl>
    <w:p w14:paraId="3228053A"/>
    <w:p w14:paraId="60E85515">
      <w:pPr>
        <w:pStyle w:val="5"/>
        <w:numPr>
          <w:ilvl w:val="0"/>
          <w:numId w:val="67"/>
        </w:numPr>
        <w:tabs>
          <w:tab w:val="left" w:pos="588"/>
        </w:tabs>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账龄超过1年或逾期的重要应付账款</w:t>
      </w:r>
    </w:p>
    <w:sdt>
      <w:sdtPr>
        <w:rPr>
          <w:color w:val="000000" w:themeColor="text1"/>
          <w14:textFill>
            <w14:solidFill>
              <w14:schemeClr w14:val="tx1"/>
            </w14:solidFill>
          </w14:textFill>
        </w:rPr>
        <w:alias w:val="是否适用：账龄超过1年的重要应付账款[双击切换]"/>
        <w:tag w:val="_GBC_02c6e7ed8ae149e8a09f5b80217deb89"/>
        <w:id w:val="-1691836143"/>
        <w:placeholder>
          <w:docPart w:val="GBC22222222222222222222222222222"/>
        </w:placeholder>
      </w:sdtPr>
      <w:sdtEndPr>
        <w:rPr>
          <w:color w:val="000000" w:themeColor="text1"/>
          <w14:textFill>
            <w14:solidFill>
              <w14:schemeClr w14:val="tx1"/>
            </w14:solidFill>
          </w14:textFill>
        </w:rPr>
      </w:sdtEndPr>
      <w:sdtContent>
        <w:p w14:paraId="608DC72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939355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的账龄超过1年的应付账款"/>
          <w:tag w:val="_GBC_4828fbb06386477f83dfc0c7b55875e7"/>
          <w:id w:val="17792896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的账龄超过1年的应付账款"/>
          <w:tag w:val="_GBC_56837a7d36f94902b75d8fe132af82b6"/>
          <w:id w:val="7213290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4"/>
        <w:gridCol w:w="1652"/>
        <w:gridCol w:w="1654"/>
        <w:gridCol w:w="1599"/>
      </w:tblGrid>
      <w:tr w14:paraId="0563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1272c72b1bc41e2a47d7fbfb0839e2b"/>
            <w:id w:val="1495072903"/>
          </w:sdtPr>
          <w:sdtContent>
            <w:tc>
              <w:tcPr>
                <w:tcW w:w="2290" w:type="pct"/>
                <w:vAlign w:val="center"/>
              </w:tcPr>
              <w:p w14:paraId="33491F3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41b9d7d7e0c84d6c9f8c3a0a59e37c14"/>
            <w:id w:val="-2048436211"/>
          </w:sdtPr>
          <w:sdtContent>
            <w:tc>
              <w:tcPr>
                <w:tcW w:w="913" w:type="pct"/>
                <w:vAlign w:val="center"/>
              </w:tcPr>
              <w:p w14:paraId="7DBDFC1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c>
          <w:tcPr>
            <w:tcW w:w="914" w:type="pct"/>
            <w:vAlign w:val="center"/>
          </w:tcPr>
          <w:p w14:paraId="1C0FB2B4">
            <w:pPr>
              <w:jc w:val="center"/>
            </w:pPr>
            <w:r>
              <w:rPr>
                <w:rFonts w:hint="eastAsia"/>
              </w:rPr>
              <w:t>其中账龄一年以下</w:t>
            </w:r>
          </w:p>
        </w:tc>
        <w:sdt>
          <w:sdtPr>
            <w:tag w:val="_PLD_49e0f43ba09d42649fabb4ecc22986ca"/>
            <w:id w:val="1027372570"/>
          </w:sdtPr>
          <w:sdtContent>
            <w:tc>
              <w:tcPr>
                <w:tcW w:w="883" w:type="pct"/>
                <w:vAlign w:val="center"/>
              </w:tcPr>
              <w:p w14:paraId="7600E29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未偿还或结转的原因</w:t>
                </w:r>
              </w:p>
            </w:tc>
          </w:sdtContent>
        </w:sdt>
      </w:tr>
      <w:tr w14:paraId="60C5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0" w:type="pct"/>
            <w:tcBorders>
              <w:bottom w:val="single" w:color="auto" w:sz="4" w:space="0"/>
            </w:tcBorders>
          </w:tcPr>
          <w:p w14:paraId="2537190D">
            <w:pPr>
              <w:jc w:val="center"/>
            </w:pPr>
            <w:r>
              <w:t>浙江吉智新能源汽车科技有限公司</w:t>
            </w:r>
          </w:p>
        </w:tc>
        <w:tc>
          <w:tcPr>
            <w:tcW w:w="913" w:type="pct"/>
          </w:tcPr>
          <w:p w14:paraId="74C9FC44">
            <w:pPr>
              <w:jc w:val="right"/>
            </w:pPr>
            <w:r>
              <w:t>426,183,116.41</w:t>
            </w:r>
          </w:p>
        </w:tc>
        <w:tc>
          <w:tcPr>
            <w:tcW w:w="914" w:type="pct"/>
          </w:tcPr>
          <w:p w14:paraId="06CAC804">
            <w:pPr>
              <w:jc w:val="right"/>
            </w:pPr>
            <w:r>
              <w:t>17,243,747.87</w:t>
            </w:r>
          </w:p>
        </w:tc>
        <w:tc>
          <w:tcPr>
            <w:tcW w:w="883" w:type="pct"/>
          </w:tcPr>
          <w:p w14:paraId="74D13BF8">
            <w:pPr>
              <w:jc w:val="center"/>
            </w:pPr>
            <w:r>
              <w:t>暂未支付</w:t>
            </w:r>
          </w:p>
        </w:tc>
      </w:tr>
      <w:tr w14:paraId="5C8C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0" w:type="pct"/>
            <w:tcBorders>
              <w:bottom w:val="single" w:color="auto" w:sz="4" w:space="0"/>
            </w:tcBorders>
          </w:tcPr>
          <w:p w14:paraId="61082109">
            <w:pPr>
              <w:jc w:val="center"/>
            </w:pPr>
            <w:r>
              <w:t>宁波吉利汽车研究开发有限公司</w:t>
            </w:r>
          </w:p>
        </w:tc>
        <w:tc>
          <w:tcPr>
            <w:tcW w:w="913" w:type="pct"/>
          </w:tcPr>
          <w:p w14:paraId="25E4F740">
            <w:pPr>
              <w:jc w:val="right"/>
            </w:pPr>
            <w:r>
              <w:t>77,150,950.20</w:t>
            </w:r>
          </w:p>
        </w:tc>
        <w:tc>
          <w:tcPr>
            <w:tcW w:w="914" w:type="pct"/>
          </w:tcPr>
          <w:p w14:paraId="1FB88835">
            <w:pPr>
              <w:jc w:val="right"/>
            </w:pPr>
            <w:r>
              <w:t>19,529,478.65</w:t>
            </w:r>
          </w:p>
        </w:tc>
        <w:tc>
          <w:tcPr>
            <w:tcW w:w="883" w:type="pct"/>
          </w:tcPr>
          <w:p w14:paraId="51E2E9AB">
            <w:pPr>
              <w:jc w:val="center"/>
            </w:pPr>
            <w:r>
              <w:t>暂未支付</w:t>
            </w:r>
          </w:p>
        </w:tc>
      </w:tr>
      <w:tr w14:paraId="295E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0" w:type="pct"/>
            <w:tcBorders>
              <w:bottom w:val="single" w:color="auto" w:sz="4" w:space="0"/>
            </w:tcBorders>
          </w:tcPr>
          <w:p w14:paraId="4D78F420">
            <w:pPr>
              <w:jc w:val="center"/>
            </w:pPr>
            <w:r>
              <w:t>合肥国轩高科动力能源有限公司</w:t>
            </w:r>
          </w:p>
        </w:tc>
        <w:tc>
          <w:tcPr>
            <w:tcW w:w="913" w:type="pct"/>
          </w:tcPr>
          <w:p w14:paraId="2B679584">
            <w:pPr>
              <w:jc w:val="right"/>
            </w:pPr>
            <w:r>
              <w:t>72,170,203.64</w:t>
            </w:r>
          </w:p>
        </w:tc>
        <w:tc>
          <w:tcPr>
            <w:tcW w:w="914" w:type="pct"/>
          </w:tcPr>
          <w:p w14:paraId="0A7326AD">
            <w:pPr>
              <w:jc w:val="right"/>
            </w:pPr>
            <w:r>
              <w:t>64,536,562.09</w:t>
            </w:r>
          </w:p>
        </w:tc>
        <w:tc>
          <w:tcPr>
            <w:tcW w:w="883" w:type="pct"/>
          </w:tcPr>
          <w:p w14:paraId="56F7D3E8">
            <w:pPr>
              <w:jc w:val="center"/>
            </w:pPr>
            <w:r>
              <w:t>暂未支付</w:t>
            </w:r>
          </w:p>
        </w:tc>
      </w:tr>
      <w:tr w14:paraId="2D81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0" w:type="pct"/>
            <w:tcBorders>
              <w:bottom w:val="single" w:color="auto" w:sz="4" w:space="0"/>
            </w:tcBorders>
          </w:tcPr>
          <w:p w14:paraId="66ED78FA">
            <w:pPr>
              <w:jc w:val="center"/>
            </w:pPr>
            <w:r>
              <w:t>河南五建第三建筑安装有限公司</w:t>
            </w:r>
          </w:p>
        </w:tc>
        <w:tc>
          <w:tcPr>
            <w:tcW w:w="913" w:type="pct"/>
          </w:tcPr>
          <w:p w14:paraId="722B3D38">
            <w:pPr>
              <w:jc w:val="right"/>
            </w:pPr>
            <w:r>
              <w:t>34,957,447.23</w:t>
            </w:r>
          </w:p>
        </w:tc>
        <w:tc>
          <w:tcPr>
            <w:tcW w:w="914" w:type="pct"/>
          </w:tcPr>
          <w:p w14:paraId="112F03E1">
            <w:pPr>
              <w:jc w:val="right"/>
            </w:pPr>
          </w:p>
        </w:tc>
        <w:tc>
          <w:tcPr>
            <w:tcW w:w="883" w:type="pct"/>
          </w:tcPr>
          <w:p w14:paraId="2CA32187">
            <w:pPr>
              <w:jc w:val="center"/>
            </w:pPr>
            <w:r>
              <w:t>暂未支付</w:t>
            </w:r>
          </w:p>
        </w:tc>
      </w:tr>
      <w:tr w14:paraId="4EF3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0" w:type="pct"/>
            <w:vAlign w:val="center"/>
          </w:tcPr>
          <w:p w14:paraId="5EA9B593">
            <w:pPr>
              <w:jc w:val="center"/>
            </w:pPr>
            <w:r>
              <w:rPr>
                <w:rFonts w:hint="eastAsia"/>
              </w:rPr>
              <w:t>合计</w:t>
            </w:r>
          </w:p>
        </w:tc>
        <w:tc>
          <w:tcPr>
            <w:tcW w:w="913" w:type="pct"/>
          </w:tcPr>
          <w:p w14:paraId="0F4C1030">
            <w:pPr>
              <w:jc w:val="right"/>
            </w:pPr>
            <w:r>
              <w:t>610,461,717.48</w:t>
            </w:r>
          </w:p>
        </w:tc>
        <w:tc>
          <w:tcPr>
            <w:tcW w:w="914" w:type="pct"/>
          </w:tcPr>
          <w:p w14:paraId="10F35099">
            <w:pPr>
              <w:jc w:val="right"/>
            </w:pPr>
            <w:r>
              <w:t>101,309,788.61</w:t>
            </w:r>
          </w:p>
        </w:tc>
        <w:tc>
          <w:tcPr>
            <w:tcW w:w="883" w:type="pct"/>
          </w:tcPr>
          <w:p w14:paraId="4561AB90">
            <w:pPr>
              <w:jc w:val="center"/>
            </w:pPr>
          </w:p>
        </w:tc>
      </w:tr>
    </w:tbl>
    <w:p w14:paraId="422AE061"/>
    <w:p w14:paraId="0278B34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付账款的其他说明[双击切换]"/>
        <w:tag w:val="_GBC_9a797e83ea1747e9aca4221e6cdfe89f"/>
        <w:id w:val="649787797"/>
        <w:placeholder>
          <w:docPart w:val="GBC22222222222222222222222222222"/>
        </w:placeholder>
      </w:sdtPr>
      <w:sdtEndPr>
        <w:rPr>
          <w:color w:val="000000" w:themeColor="text1"/>
          <w14:textFill>
            <w14:solidFill>
              <w14:schemeClr w14:val="tx1"/>
            </w14:solidFill>
          </w14:textFill>
        </w:rPr>
      </w:sdtEndPr>
      <w:sdtContent>
        <w:p w14:paraId="6388DD1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7986B34">
      <w:pPr>
        <w:snapToGrid w:val="0"/>
        <w:spacing w:line="240" w:lineRule="atLeast"/>
        <w:rPr>
          <w:color w:val="000000" w:themeColor="text1"/>
          <w14:textFill>
            <w14:solidFill>
              <w14:schemeClr w14:val="tx1"/>
            </w14:solidFill>
          </w14:textFill>
        </w:rPr>
      </w:pPr>
    </w:p>
    <w:p w14:paraId="0C61B5EC">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预收款项</w:t>
      </w:r>
    </w:p>
    <w:p w14:paraId="3FEDE024">
      <w:pPr>
        <w:pStyle w:val="5"/>
        <w:numPr>
          <w:ilvl w:val="0"/>
          <w:numId w:val="68"/>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预收账款项列示</w:t>
      </w:r>
    </w:p>
    <w:sdt>
      <w:sdtPr>
        <w:rPr>
          <w:color w:val="000000" w:themeColor="text1"/>
          <w14:textFill>
            <w14:solidFill>
              <w14:schemeClr w14:val="tx1"/>
            </w14:solidFill>
          </w14:textFill>
        </w:rPr>
        <w:alias w:val="是否适用：预收账款项列示[双击切换]"/>
        <w:tag w:val="_GBC_cf9ab7f5f12c4f788a9bbb6e3ef9c9de"/>
        <w:id w:val="713151366"/>
        <w:placeholder>
          <w:docPart w:val="GBC22222222222222222222222222222"/>
        </w:placeholder>
      </w:sdtPr>
      <w:sdtEndPr>
        <w:rPr>
          <w:color w:val="000000" w:themeColor="text1"/>
          <w14:textFill>
            <w14:solidFill>
              <w14:schemeClr w14:val="tx1"/>
            </w14:solidFill>
          </w14:textFill>
        </w:rPr>
      </w:sdtEndPr>
      <w:sdtContent>
        <w:p w14:paraId="6C387DA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80EA3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预收账款情况"/>
          <w:tag w:val="_GBC_f4564e0d7a8a4a9589aae9168c4c8fdb"/>
          <w:id w:val="794794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预收账款情况"/>
          <w:tag w:val="_GBC_e993db46bf3641c59c10bd3e14a930d9"/>
          <w:id w:val="-1875763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14:paraId="34BF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dd98b095374d108e2df93a96e434bb"/>
            <w:id w:val="895857609"/>
          </w:sdtPr>
          <w:sdtContent>
            <w:tc>
              <w:tcPr>
                <w:tcW w:w="1601" w:type="pct"/>
              </w:tcPr>
              <w:p w14:paraId="3473BE2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9fc077db74354318b54c7ec24cd1ce0c"/>
            <w:id w:val="-2106251338"/>
          </w:sdtPr>
          <w:sdtContent>
            <w:tc>
              <w:tcPr>
                <w:tcW w:w="1701" w:type="pct"/>
              </w:tcPr>
              <w:p w14:paraId="524EE06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aa9447699c054ad4b698586b835a3180"/>
            <w:id w:val="-885642109"/>
          </w:sdtPr>
          <w:sdtContent>
            <w:tc>
              <w:tcPr>
                <w:tcW w:w="1698" w:type="pct"/>
              </w:tcPr>
              <w:p w14:paraId="7C0C7BE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5A42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Pr>
          <w:p w14:paraId="61254342">
            <w:pPr>
              <w:jc w:val="center"/>
            </w:pPr>
            <w:r>
              <w:t>预收购房定金</w:t>
            </w:r>
          </w:p>
        </w:tc>
        <w:tc>
          <w:tcPr>
            <w:tcW w:w="1701" w:type="pct"/>
          </w:tcPr>
          <w:p w14:paraId="56B6E221">
            <w:pPr>
              <w:jc w:val="right"/>
            </w:pPr>
            <w:r>
              <w:t>21,194,864.62</w:t>
            </w:r>
          </w:p>
        </w:tc>
        <w:tc>
          <w:tcPr>
            <w:tcW w:w="1698" w:type="pct"/>
          </w:tcPr>
          <w:p w14:paraId="35AEECCB">
            <w:pPr>
              <w:jc w:val="right"/>
            </w:pPr>
            <w:r>
              <w:t>21,352,551.62</w:t>
            </w:r>
          </w:p>
        </w:tc>
      </w:tr>
      <w:tr w14:paraId="7F37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Pr>
          <w:p w14:paraId="7420F4D9">
            <w:pPr>
              <w:jc w:val="center"/>
            </w:pPr>
            <w:r>
              <w:t>预收租金</w:t>
            </w:r>
          </w:p>
        </w:tc>
        <w:tc>
          <w:tcPr>
            <w:tcW w:w="1701" w:type="pct"/>
          </w:tcPr>
          <w:p w14:paraId="7CC2B930">
            <w:pPr>
              <w:jc w:val="right"/>
            </w:pPr>
            <w:r>
              <w:t>5,140,175.37</w:t>
            </w:r>
          </w:p>
        </w:tc>
        <w:tc>
          <w:tcPr>
            <w:tcW w:w="1698" w:type="pct"/>
          </w:tcPr>
          <w:p w14:paraId="441313FB">
            <w:pPr>
              <w:jc w:val="right"/>
            </w:pPr>
            <w:r>
              <w:t>4,035,028.09</w:t>
            </w:r>
          </w:p>
        </w:tc>
      </w:tr>
      <w:tr w14:paraId="3279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Pr>
          <w:p w14:paraId="6988F88B">
            <w:pPr>
              <w:jc w:val="center"/>
            </w:pPr>
            <w:r>
              <w:rPr>
                <w:rFonts w:hint="eastAsia"/>
              </w:rPr>
              <w:t>合计</w:t>
            </w:r>
          </w:p>
        </w:tc>
        <w:tc>
          <w:tcPr>
            <w:tcW w:w="1701" w:type="pct"/>
          </w:tcPr>
          <w:p w14:paraId="69B8DA09">
            <w:pPr>
              <w:jc w:val="right"/>
            </w:pPr>
            <w:r>
              <w:t>26,335,039.99</w:t>
            </w:r>
          </w:p>
        </w:tc>
        <w:tc>
          <w:tcPr>
            <w:tcW w:w="1698" w:type="pct"/>
          </w:tcPr>
          <w:p w14:paraId="523A74B8">
            <w:pPr>
              <w:jc w:val="right"/>
            </w:pPr>
            <w:r>
              <w:t>25,387,579.71</w:t>
            </w:r>
          </w:p>
        </w:tc>
      </w:tr>
    </w:tbl>
    <w:p w14:paraId="285AA77B"/>
    <w:p w14:paraId="5270494B">
      <w:pPr>
        <w:pStyle w:val="5"/>
        <w:numPr>
          <w:ilvl w:val="0"/>
          <w:numId w:val="68"/>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账龄超过1年的重要预收款项</w:t>
      </w:r>
    </w:p>
    <w:sdt>
      <w:sdtPr>
        <w:rPr>
          <w:color w:val="000000" w:themeColor="text1"/>
          <w14:textFill>
            <w14:solidFill>
              <w14:schemeClr w14:val="tx1"/>
            </w14:solidFill>
          </w14:textFill>
        </w:rPr>
        <w:alias w:val="是否适用：账龄超过1年的重要预收款项[双击切换]"/>
        <w:tag w:val="_GBC_ae7ea5bab4b04b2cb170af5020f86302"/>
        <w:id w:val="-277180728"/>
        <w:placeholder>
          <w:docPart w:val="GBC22222222222222222222222222222"/>
        </w:placeholder>
      </w:sdtPr>
      <w:sdtEndPr>
        <w:rPr>
          <w:color w:val="000000" w:themeColor="text1"/>
          <w14:textFill>
            <w14:solidFill>
              <w14:schemeClr w14:val="tx1"/>
            </w14:solidFill>
          </w14:textFill>
        </w:rPr>
      </w:sdtEndPr>
      <w:sdtContent>
        <w:p w14:paraId="0BE7F41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5D0DE5">
      <w:pPr>
        <w:rPr>
          <w:rFonts w:cstheme="minorBidi"/>
          <w:color w:val="000000" w:themeColor="text1"/>
          <w14:textFill>
            <w14:solidFill>
              <w14:schemeClr w14:val="tx1"/>
            </w14:solidFill>
          </w14:textFill>
        </w:rPr>
      </w:pPr>
    </w:p>
    <w:p w14:paraId="4E18CB56">
      <w:pPr>
        <w:pStyle w:val="5"/>
        <w:numPr>
          <w:ilvl w:val="0"/>
          <w:numId w:val="68"/>
        </w:numPr>
        <w:rPr>
          <w:rFonts w:ascii="宋体" w:hAnsi="宋体"/>
          <w:color w:val="000000" w:themeColor="text1"/>
          <w:szCs w:val="21"/>
          <w14:textFill>
            <w14:solidFill>
              <w14:schemeClr w14:val="tx1"/>
            </w14:solidFill>
          </w14:textFill>
        </w:rPr>
      </w:pPr>
      <w:bookmarkStart w:id="308" w:name="_Hlk167960464"/>
      <w:r>
        <w:rPr>
          <w:rFonts w:hint="eastAsia" w:ascii="宋体" w:hAnsi="宋体"/>
          <w:color w:val="000000" w:themeColor="text1"/>
          <w:szCs w:val="21"/>
          <w14:textFill>
            <w14:solidFill>
              <w14:schemeClr w14:val="tx1"/>
            </w14:solidFill>
          </w14:textFill>
        </w:rPr>
        <w:t>报告期内账面价值发生重大变动的金额和原因</w:t>
      </w:r>
    </w:p>
    <w:sdt>
      <w:sdtPr>
        <w:rPr>
          <w:color w:val="000000" w:themeColor="text1"/>
          <w14:textFill>
            <w14:solidFill>
              <w14:schemeClr w14:val="tx1"/>
            </w14:solidFill>
          </w14:textFill>
        </w:rPr>
        <w:alias w:val="是否适用：预收款项账面价值发生重大变动的金额和原因?[双击切换]"/>
        <w:tag w:val="_GBC_e406dc580328407abd4af2aa60e13e28"/>
        <w:id w:val="-214976942"/>
        <w:placeholder>
          <w:docPart w:val="GBC22222222222222222222222222222"/>
        </w:placeholder>
      </w:sdtPr>
      <w:sdtEndPr>
        <w:rPr>
          <w:color w:val="000000" w:themeColor="text1"/>
          <w14:textFill>
            <w14:solidFill>
              <w14:schemeClr w14:val="tx1"/>
            </w14:solidFill>
          </w14:textFill>
        </w:rPr>
      </w:sdtEndPr>
      <w:sdtContent>
        <w:p w14:paraId="11FFEA2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5F6CCC">
      <w:pPr>
        <w:rPr>
          <w:color w:val="000000" w:themeColor="text1"/>
          <w14:textFill>
            <w14:solidFill>
              <w14:schemeClr w14:val="tx1"/>
            </w14:solidFill>
          </w14:textFill>
        </w:rPr>
      </w:pPr>
    </w:p>
    <w:bookmarkEnd w:id="308"/>
    <w:p w14:paraId="1A740B85">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预收账款的其他说明[双击切换]"/>
        <w:tag w:val="_GBC_f473b6b28a104ffc812e6da4cf5177e5"/>
        <w:id w:val="-555081316"/>
        <w:placeholder>
          <w:docPart w:val="GBC22222222222222222222222222222"/>
        </w:placeholder>
      </w:sdtPr>
      <w:sdtEndPr>
        <w:rPr>
          <w:color w:val="000000" w:themeColor="text1"/>
          <w14:textFill>
            <w14:solidFill>
              <w14:schemeClr w14:val="tx1"/>
            </w14:solidFill>
          </w14:textFill>
        </w:rPr>
      </w:sdtEndPr>
      <w:sdtContent>
        <w:p w14:paraId="4947B79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A4B1493">
      <w:pPr>
        <w:rPr>
          <w:color w:val="000000" w:themeColor="text1"/>
          <w14:textFill>
            <w14:solidFill>
              <w14:schemeClr w14:val="tx1"/>
            </w14:solidFill>
          </w14:textFill>
        </w:rPr>
      </w:pPr>
    </w:p>
    <w:p w14:paraId="2ECC91EB">
      <w:pPr>
        <w:pStyle w:val="4"/>
        <w:numPr>
          <w:ilvl w:val="0"/>
          <w:numId w:val="41"/>
        </w:numPr>
        <w:rPr>
          <w:color w:val="000000" w:themeColor="text1"/>
          <w:szCs w:val="21"/>
          <w14:textFill>
            <w14:solidFill>
              <w14:schemeClr w14:val="tx1"/>
            </w14:solidFill>
          </w14:textFill>
        </w:rPr>
      </w:pPr>
      <w:bookmarkStart w:id="309" w:name="_Hlk10535609"/>
      <w:r>
        <w:rPr>
          <w:color w:val="000000" w:themeColor="text1"/>
          <w:szCs w:val="21"/>
          <w14:textFill>
            <w14:solidFill>
              <w14:schemeClr w14:val="tx1"/>
            </w14:solidFill>
          </w14:textFill>
        </w:rPr>
        <w:t>合同负债</w:t>
      </w:r>
    </w:p>
    <w:p w14:paraId="577F1854">
      <w:pPr>
        <w:pStyle w:val="5"/>
        <w:numPr>
          <w:ilvl w:val="0"/>
          <w:numId w:val="6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合同负债情况</w:t>
      </w:r>
    </w:p>
    <w:sdt>
      <w:sdtPr>
        <w:rPr>
          <w:color w:val="000000" w:themeColor="text1"/>
          <w14:textFill>
            <w14:solidFill>
              <w14:schemeClr w14:val="tx1"/>
            </w14:solidFill>
          </w14:textFill>
        </w:rPr>
        <w:alias w:val="是否适用：合同负债情况[双击切换]"/>
        <w:tag w:val="_GBC_2b6238a8ea00438eab947f83a5f6451d"/>
        <w:id w:val="-1207178137"/>
        <w:placeholder>
          <w:docPart w:val="GBC22222222222222222222222222222"/>
        </w:placeholder>
      </w:sdtPr>
      <w:sdtEndPr>
        <w:rPr>
          <w:color w:val="000000" w:themeColor="text1"/>
          <w14:textFill>
            <w14:solidFill>
              <w14:schemeClr w14:val="tx1"/>
            </w14:solidFill>
          </w14:textFill>
        </w:rPr>
      </w:sdtEndPr>
      <w:sdtContent>
        <w:p w14:paraId="2A6C442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C612677">
      <w:pPr>
        <w:ind w:left="36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合同负债情况"/>
          <w:tag w:val="_GBC_0024c0ddc3514b009e8166b63dc10ae9"/>
          <w:id w:val="-14837722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合同负债情况"/>
          <w:tag w:val="_GBC_154d9411b9764a4f8e1412d0a22c8375"/>
          <w:id w:val="-20511399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309"/>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14:paraId="6948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c5e783ac966e416184ff57e436f98be2"/>
            <w:id w:val="-2138862790"/>
          </w:sdtPr>
          <w:sdtContent>
            <w:tc>
              <w:tcPr>
                <w:tcW w:w="1601" w:type="pct"/>
              </w:tcPr>
              <w:p w14:paraId="423615D5">
                <w:pPr>
                  <w:jc w:val="center"/>
                  <w:rPr>
                    <w:color w:val="000000" w:themeColor="text1"/>
                    <w14:textFill>
                      <w14:solidFill>
                        <w14:schemeClr w14:val="tx1"/>
                      </w14:solidFill>
                    </w14:textFill>
                  </w:rPr>
                </w:pPr>
                <w:bookmarkStart w:id="310" w:name="_Hlk167960548"/>
                <w:r>
                  <w:rPr>
                    <w:rFonts w:hint="eastAsia"/>
                    <w:color w:val="000000" w:themeColor="text1"/>
                    <w14:textFill>
                      <w14:solidFill>
                        <w14:schemeClr w14:val="tx1"/>
                      </w14:solidFill>
                    </w14:textFill>
                  </w:rPr>
                  <w:t>项目</w:t>
                </w:r>
              </w:p>
            </w:tc>
          </w:sdtContent>
        </w:sdt>
        <w:sdt>
          <w:sdtPr>
            <w:tag w:val="_PLD_a4f8a9567271447e9f7bc01f59c6eed6"/>
            <w:id w:val="2069989831"/>
          </w:sdtPr>
          <w:sdtContent>
            <w:tc>
              <w:tcPr>
                <w:tcW w:w="1701" w:type="pct"/>
                <w:vAlign w:val="center"/>
              </w:tcPr>
              <w:p w14:paraId="21AB9591">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b8f751ec83834a96b0e87c862d2ae80b"/>
            <w:id w:val="-4288942"/>
          </w:sdtPr>
          <w:sdtContent>
            <w:tc>
              <w:tcPr>
                <w:tcW w:w="1698" w:type="pct"/>
                <w:vAlign w:val="center"/>
              </w:tcPr>
              <w:p w14:paraId="68EBD333">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148B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Pr>
          <w:p w14:paraId="754DBA0D">
            <w:pPr>
              <w:jc w:val="center"/>
            </w:pPr>
            <w:r>
              <w:t>预收房款</w:t>
            </w:r>
          </w:p>
        </w:tc>
        <w:tc>
          <w:tcPr>
            <w:tcW w:w="1701" w:type="pct"/>
          </w:tcPr>
          <w:p w14:paraId="005A4A8B">
            <w:pPr>
              <w:jc w:val="right"/>
            </w:pPr>
            <w:r>
              <w:t>116,141,103.93</w:t>
            </w:r>
          </w:p>
        </w:tc>
        <w:tc>
          <w:tcPr>
            <w:tcW w:w="1698" w:type="pct"/>
          </w:tcPr>
          <w:p w14:paraId="18452A1B">
            <w:pPr>
              <w:jc w:val="right"/>
            </w:pPr>
            <w:r>
              <w:t>13,620,344.61</w:t>
            </w:r>
          </w:p>
        </w:tc>
      </w:tr>
      <w:tr w14:paraId="1DA0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Pr>
          <w:p w14:paraId="71841D2E">
            <w:pPr>
              <w:jc w:val="center"/>
            </w:pPr>
            <w:r>
              <w:t>预收货款</w:t>
            </w:r>
          </w:p>
        </w:tc>
        <w:tc>
          <w:tcPr>
            <w:tcW w:w="1701" w:type="pct"/>
          </w:tcPr>
          <w:p w14:paraId="1B8C8BF8">
            <w:pPr>
              <w:jc w:val="right"/>
            </w:pPr>
            <w:r>
              <w:t>374,696,107.38</w:t>
            </w:r>
          </w:p>
        </w:tc>
        <w:tc>
          <w:tcPr>
            <w:tcW w:w="1698" w:type="pct"/>
          </w:tcPr>
          <w:p w14:paraId="1CF5865D">
            <w:pPr>
              <w:jc w:val="right"/>
            </w:pPr>
            <w:r>
              <w:t>230,159,912.75</w:t>
            </w:r>
          </w:p>
        </w:tc>
      </w:tr>
      <w:tr w14:paraId="0ED7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Pr>
          <w:p w14:paraId="18331F47">
            <w:pPr>
              <w:jc w:val="center"/>
            </w:pPr>
            <w:r>
              <w:rPr>
                <w:rFonts w:hint="eastAsia"/>
              </w:rPr>
              <w:t>合计</w:t>
            </w:r>
          </w:p>
        </w:tc>
        <w:tc>
          <w:tcPr>
            <w:tcW w:w="1701" w:type="pct"/>
          </w:tcPr>
          <w:p w14:paraId="682F0F38">
            <w:pPr>
              <w:jc w:val="right"/>
            </w:pPr>
            <w:r>
              <w:t>490,837,211.31</w:t>
            </w:r>
          </w:p>
        </w:tc>
        <w:tc>
          <w:tcPr>
            <w:tcW w:w="1698" w:type="pct"/>
          </w:tcPr>
          <w:p w14:paraId="5708FEB0">
            <w:pPr>
              <w:jc w:val="right"/>
            </w:pPr>
            <w:r>
              <w:t>243,780,257.36</w:t>
            </w:r>
          </w:p>
        </w:tc>
      </w:tr>
    </w:tbl>
    <w:p w14:paraId="0528CD0A"/>
    <w:p w14:paraId="06159504">
      <w:pPr>
        <w:pStyle w:val="5"/>
        <w:numPr>
          <w:ilvl w:val="0"/>
          <w:numId w:val="6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账龄超过1年的重要合同负债</w:t>
      </w:r>
    </w:p>
    <w:sdt>
      <w:sdtPr>
        <w:rPr>
          <w:color w:val="000000" w:themeColor="text1"/>
          <w14:textFill>
            <w14:solidFill>
              <w14:schemeClr w14:val="tx1"/>
            </w14:solidFill>
          </w14:textFill>
        </w:rPr>
        <w:alias w:val="是否适用：账龄超过1年的重要合同负债明细[双击切换]"/>
        <w:tag w:val="_GBC_aef24e08ea524c9a9a25ec0e93c6c574"/>
        <w:id w:val="1277137448"/>
        <w:placeholder>
          <w:docPart w:val="GBC22222222222222222222222222222"/>
        </w:placeholder>
      </w:sdtPr>
      <w:sdtEndPr>
        <w:rPr>
          <w:color w:val="000000" w:themeColor="text1"/>
          <w14:textFill>
            <w14:solidFill>
              <w14:schemeClr w14:val="tx1"/>
            </w14:solidFill>
          </w14:textFill>
        </w:rPr>
      </w:sdtEndPr>
      <w:sdtContent>
        <w:p w14:paraId="55F871E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B2C0C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账龄超过2年的重要合同负债明细"/>
          <w:tag w:val="_GBC_053e1a97fea0488280aee989bba6e363"/>
          <w:id w:val="2033681765"/>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账龄超过3年的重要合同负债明细"/>
          <w:tag w:val="_GBC_52195bdb13b0483ba0133c69acccf3f0"/>
          <w:id w:val="-67402826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0"/>
        <w:gridCol w:w="1598"/>
        <w:gridCol w:w="2036"/>
        <w:gridCol w:w="2365"/>
      </w:tblGrid>
      <w:tr w14:paraId="781A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983e85101bf4be392ffaddbf00b542a"/>
            <w:id w:val="1841115849"/>
          </w:sdtPr>
          <w:sdtContent>
            <w:tc>
              <w:tcPr>
                <w:tcW w:w="1685" w:type="pct"/>
                <w:vAlign w:val="center"/>
              </w:tcPr>
              <w:p w14:paraId="4E77CF8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bc00cae273249b18efa889a4b2e726e"/>
            <w:id w:val="-1914539867"/>
          </w:sdtPr>
          <w:sdtContent>
            <w:tc>
              <w:tcPr>
                <w:tcW w:w="883" w:type="pct"/>
                <w:vAlign w:val="center"/>
              </w:tcPr>
              <w:p w14:paraId="65FD1B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c>
          <w:tcPr>
            <w:tcW w:w="1125" w:type="pct"/>
            <w:vAlign w:val="center"/>
          </w:tcPr>
          <w:p w14:paraId="3F187449">
            <w:pPr>
              <w:jc w:val="center"/>
            </w:pPr>
            <w:r>
              <w:rPr>
                <w:rFonts w:hint="eastAsia"/>
              </w:rPr>
              <w:t>其中账龄一年以下</w:t>
            </w:r>
          </w:p>
        </w:tc>
        <w:sdt>
          <w:sdtPr>
            <w:tag w:val="_PLD_357d74a4b9a84205bc2d12fa07d440ac"/>
            <w:id w:val="-1227066845"/>
          </w:sdtPr>
          <w:sdtContent>
            <w:tc>
              <w:tcPr>
                <w:tcW w:w="1307" w:type="pct"/>
                <w:vAlign w:val="center"/>
              </w:tcPr>
              <w:p w14:paraId="7227F86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未偿还或结转的原因</w:t>
                </w:r>
              </w:p>
            </w:tc>
          </w:sdtContent>
        </w:sdt>
      </w:tr>
      <w:tr w14:paraId="3E00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pct"/>
            <w:tcBorders>
              <w:bottom w:val="single" w:color="auto" w:sz="4" w:space="0"/>
            </w:tcBorders>
          </w:tcPr>
          <w:p w14:paraId="3D994289">
            <w:pPr>
              <w:jc w:val="center"/>
              <w:rPr>
                <w:rFonts w:ascii="宋体" w:hAnsi="宋体"/>
              </w:rPr>
            </w:pPr>
            <w:r>
              <w:rPr>
                <w:rFonts w:ascii="宋体" w:hAnsi="宋体"/>
              </w:rPr>
              <w:t>印尼PT.SINAR ARMADA   GLOBALINDO</w:t>
            </w:r>
          </w:p>
        </w:tc>
        <w:tc>
          <w:tcPr>
            <w:tcW w:w="883" w:type="pct"/>
            <w:vAlign w:val="center"/>
          </w:tcPr>
          <w:p w14:paraId="11C860FB">
            <w:pPr>
              <w:jc w:val="right"/>
            </w:pPr>
            <w:r>
              <w:t>30,000,000.00</w:t>
            </w:r>
          </w:p>
        </w:tc>
        <w:tc>
          <w:tcPr>
            <w:tcW w:w="1125" w:type="pct"/>
            <w:vAlign w:val="center"/>
          </w:tcPr>
          <w:p w14:paraId="18A167DB">
            <w:pPr>
              <w:jc w:val="right"/>
            </w:pPr>
            <w:r>
              <w:t>10,000,000.00</w:t>
            </w:r>
          </w:p>
        </w:tc>
        <w:tc>
          <w:tcPr>
            <w:tcW w:w="1307" w:type="pct"/>
            <w:vAlign w:val="center"/>
          </w:tcPr>
          <w:p w14:paraId="7474B482">
            <w:pPr>
              <w:jc w:val="center"/>
            </w:pPr>
            <w:r>
              <w:rPr>
                <w:rFonts w:hint="eastAsia"/>
              </w:rPr>
              <w:t>未到结算时间</w:t>
            </w:r>
          </w:p>
        </w:tc>
      </w:tr>
      <w:tr w14:paraId="107C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5" w:type="pct"/>
            <w:vAlign w:val="center"/>
          </w:tcPr>
          <w:p w14:paraId="47561A5A">
            <w:pPr>
              <w:jc w:val="center"/>
            </w:pPr>
            <w:r>
              <w:rPr>
                <w:rFonts w:hint="eastAsia"/>
              </w:rPr>
              <w:t>合计</w:t>
            </w:r>
          </w:p>
        </w:tc>
        <w:tc>
          <w:tcPr>
            <w:tcW w:w="883" w:type="pct"/>
            <w:vAlign w:val="center"/>
          </w:tcPr>
          <w:p w14:paraId="6AFDB614">
            <w:pPr>
              <w:jc w:val="right"/>
            </w:pPr>
            <w:r>
              <w:t>30,000,000.00</w:t>
            </w:r>
          </w:p>
        </w:tc>
        <w:tc>
          <w:tcPr>
            <w:tcW w:w="1125" w:type="pct"/>
            <w:vAlign w:val="center"/>
          </w:tcPr>
          <w:p w14:paraId="23691390">
            <w:pPr>
              <w:jc w:val="right"/>
            </w:pPr>
            <w:r>
              <w:t>10,000,000.00</w:t>
            </w:r>
          </w:p>
        </w:tc>
        <w:tc>
          <w:tcPr>
            <w:tcW w:w="1307" w:type="pct"/>
            <w:vAlign w:val="center"/>
          </w:tcPr>
          <w:p w14:paraId="7108CA40">
            <w:pPr>
              <w:jc w:val="right"/>
            </w:pPr>
          </w:p>
        </w:tc>
      </w:tr>
    </w:tbl>
    <w:p w14:paraId="419CFE51"/>
    <w:p w14:paraId="5B520020">
      <w:pPr>
        <w:rPr>
          <w:color w:val="000000" w:themeColor="text1"/>
          <w14:textFill>
            <w14:solidFill>
              <w14:schemeClr w14:val="tx1"/>
            </w14:solidFill>
          </w14:textFill>
        </w:rPr>
      </w:pPr>
    </w:p>
    <w:bookmarkEnd w:id="310"/>
    <w:p w14:paraId="1C5CD51B">
      <w:pPr>
        <w:pStyle w:val="5"/>
        <w:numPr>
          <w:ilvl w:val="0"/>
          <w:numId w:val="69"/>
        </w:numPr>
        <w:rPr>
          <w:rFonts w:ascii="宋体" w:hAnsi="宋体"/>
          <w:color w:val="000000" w:themeColor="text1"/>
          <w14:textFill>
            <w14:solidFill>
              <w14:schemeClr w14:val="tx1"/>
            </w14:solidFill>
          </w14:textFill>
        </w:rPr>
      </w:pPr>
      <w:bookmarkStart w:id="311" w:name="_Hlk10535674"/>
      <w:r>
        <w:rPr>
          <w:rFonts w:hint="eastAsia" w:ascii="宋体" w:hAnsi="宋体"/>
          <w:color w:val="000000" w:themeColor="text1"/>
          <w14:textFill>
            <w14:solidFill>
              <w14:schemeClr w14:val="tx1"/>
            </w14:solidFill>
          </w14:textFill>
        </w:rPr>
        <w:t>报告期内账面价值发生重大变动的金额和原因</w:t>
      </w:r>
    </w:p>
    <w:sdt>
      <w:sdtPr>
        <w:rPr>
          <w:color w:val="000000" w:themeColor="text1"/>
          <w14:textFill>
            <w14:solidFill>
              <w14:schemeClr w14:val="tx1"/>
            </w14:solidFill>
          </w14:textFill>
        </w:rPr>
        <w:alias w:val="是否适用：合同负债账面价值发生重大变动[双击切换]"/>
        <w:tag w:val="_GBC_18d9cdd7095d4bda8f22860c58746248"/>
        <w:id w:val="69012650"/>
        <w:placeholder>
          <w:docPart w:val="GBC22222222222222222222222222222"/>
        </w:placeholder>
      </w:sdtPr>
      <w:sdtEndPr>
        <w:rPr>
          <w:color w:val="000000" w:themeColor="text1"/>
          <w14:textFill>
            <w14:solidFill>
              <w14:schemeClr w14:val="tx1"/>
            </w14:solidFill>
          </w14:textFill>
        </w:rPr>
      </w:sdtEndPr>
      <w:sdtContent>
        <w:p w14:paraId="32C672A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963DDAC">
      <w:pPr>
        <w:rPr>
          <w:color w:val="000000" w:themeColor="text1"/>
          <w14:textFill>
            <w14:solidFill>
              <w14:schemeClr w14:val="tx1"/>
            </w14:solidFill>
          </w14:textFill>
        </w:rPr>
      </w:pPr>
    </w:p>
    <w:bookmarkEnd w:id="311"/>
    <w:p w14:paraId="2E08A732">
      <w:pPr>
        <w:rPr>
          <w:color w:val="000000" w:themeColor="text1"/>
          <w14:textFill>
            <w14:solidFill>
              <w14:schemeClr w14:val="tx1"/>
            </w14:solidFill>
          </w14:textFill>
        </w:rPr>
      </w:pPr>
      <w:bookmarkStart w:id="312" w:name="_Hlk10535687"/>
      <w:bookmarkStart w:id="313" w:name="_Hlk10535696"/>
      <w:r>
        <w:rPr>
          <w:rFonts w:hint="eastAsia"/>
          <w:color w:val="000000" w:themeColor="text1"/>
          <w14:textFill>
            <w14:solidFill>
              <w14:schemeClr w14:val="tx1"/>
            </w14:solidFill>
          </w14:textFill>
        </w:rPr>
        <w:t>其他说明：</w:t>
      </w:r>
      <w:bookmarkEnd w:id="312"/>
    </w:p>
    <w:sdt>
      <w:sdtPr>
        <w:rPr>
          <w:color w:val="000000" w:themeColor="text1"/>
          <w14:textFill>
            <w14:solidFill>
              <w14:schemeClr w14:val="tx1"/>
            </w14:solidFill>
          </w14:textFill>
        </w:rPr>
        <w:alias w:val="是否适用：合同负债其他说明[双击切换]"/>
        <w:tag w:val="_GBC_f73cf097b72042508657c656d4dc0c08"/>
        <w:id w:val="502319797"/>
        <w:placeholder>
          <w:docPart w:val="GBC22222222222222222222222222222"/>
        </w:placeholder>
      </w:sdtPr>
      <w:sdtEndPr>
        <w:rPr>
          <w:color w:val="000000" w:themeColor="text1"/>
          <w14:textFill>
            <w14:solidFill>
              <w14:schemeClr w14:val="tx1"/>
            </w14:solidFill>
          </w14:textFill>
        </w:rPr>
      </w:sdtEndPr>
      <w:sdtContent>
        <w:p w14:paraId="4A6BC9C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13"/>
    <w:p w14:paraId="4EDFB25C">
      <w:pPr>
        <w:rPr>
          <w:color w:val="000000" w:themeColor="text1"/>
          <w14:textFill>
            <w14:solidFill>
              <w14:schemeClr w14:val="tx1"/>
            </w14:solidFill>
          </w14:textFill>
        </w:rPr>
      </w:pPr>
    </w:p>
    <w:p w14:paraId="082BBE32">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应付职工薪酬</w:t>
      </w:r>
    </w:p>
    <w:p w14:paraId="449A35F2">
      <w:pPr>
        <w:pStyle w:val="5"/>
        <w:numPr>
          <w:ilvl w:val="0"/>
          <w:numId w:val="7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应付职工薪酬列示</w:t>
      </w:r>
    </w:p>
    <w:sdt>
      <w:sdtPr>
        <w:rPr>
          <w:color w:val="000000" w:themeColor="text1"/>
          <w14:textFill>
            <w14:solidFill>
              <w14:schemeClr w14:val="tx1"/>
            </w14:solidFill>
          </w14:textFill>
        </w:rPr>
        <w:alias w:val="是否适用：应付职工薪酬列示[双击切换]"/>
        <w:tag w:val="_GBC_88faccc480a843dca589c1af0d3fee37"/>
        <w:id w:val="-193382993"/>
        <w:placeholder>
          <w:docPart w:val="GBC22222222222222222222222222222"/>
        </w:placeholder>
      </w:sdtPr>
      <w:sdtEndPr>
        <w:rPr>
          <w:color w:val="000000" w:themeColor="text1"/>
          <w14:textFill>
            <w14:solidFill>
              <w14:schemeClr w14:val="tx1"/>
            </w14:solidFill>
          </w14:textFill>
        </w:rPr>
      </w:sdtEndPr>
      <w:sdtContent>
        <w:p w14:paraId="3AD6913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346193">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付职工薪酬"/>
          <w:tag w:val="_GBC_5c4cdcd7cd924c4ca8e87f806bc459b0"/>
          <w:id w:val="-11615388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付职工薪酬"/>
          <w:tag w:val="_GBC_1b7f0fd0ca54470ca12f1037c092be9a"/>
          <w:id w:val="-12273032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1602"/>
        <w:gridCol w:w="1607"/>
        <w:gridCol w:w="1610"/>
        <w:gridCol w:w="1618"/>
      </w:tblGrid>
      <w:tr w14:paraId="2D75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81bea2acb8f49ac9b4cfc92cd4a426e"/>
            <w:id w:val="2037308260"/>
          </w:sdtPr>
          <w:sdtContent>
            <w:tc>
              <w:tcPr>
                <w:tcW w:w="1443" w:type="pct"/>
                <w:vAlign w:val="center"/>
              </w:tcPr>
              <w:p w14:paraId="2C59DC1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ff27c0f5bcb94d9b932762b91edf2ff1"/>
            <w:id w:val="-117845972"/>
          </w:sdtPr>
          <w:sdtContent>
            <w:tc>
              <w:tcPr>
                <w:tcW w:w="885" w:type="pct"/>
                <w:vAlign w:val="center"/>
              </w:tcPr>
              <w:p w14:paraId="4367E9D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7274636f27ae4e048ade60bfddaa8164"/>
            <w:id w:val="-1868745008"/>
          </w:sdtPr>
          <w:sdtContent>
            <w:tc>
              <w:tcPr>
                <w:tcW w:w="888" w:type="pct"/>
                <w:vAlign w:val="center"/>
              </w:tcPr>
              <w:p w14:paraId="0509CDF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07ae572963de436aa2308d649a28c23b"/>
            <w:id w:val="381301281"/>
          </w:sdtPr>
          <w:sdtContent>
            <w:tc>
              <w:tcPr>
                <w:tcW w:w="890" w:type="pct"/>
                <w:vAlign w:val="center"/>
              </w:tcPr>
              <w:p w14:paraId="48D173B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27069329d7654e34bc45ca7dee532204"/>
            <w:id w:val="2071685130"/>
          </w:sdtPr>
          <w:sdtContent>
            <w:tc>
              <w:tcPr>
                <w:tcW w:w="894" w:type="pct"/>
                <w:vAlign w:val="center"/>
              </w:tcPr>
              <w:p w14:paraId="42BEBEF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3EF5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Pr>
          <w:p w14:paraId="49580B9C">
            <w:pPr>
              <w:rPr>
                <w:color w:val="000000" w:themeColor="text1"/>
                <w14:textFill>
                  <w14:solidFill>
                    <w14:schemeClr w14:val="tx1"/>
                  </w14:solidFill>
                </w14:textFill>
              </w:rPr>
            </w:pPr>
            <w:r>
              <w:rPr>
                <w:rFonts w:hint="eastAsia"/>
                <w:color w:val="000000" w:themeColor="text1"/>
                <w14:textFill>
                  <w14:solidFill>
                    <w14:schemeClr w14:val="tx1"/>
                  </w14:solidFill>
                </w14:textFill>
              </w:rPr>
              <w:t>一、短期薪酬</w:t>
            </w:r>
          </w:p>
        </w:tc>
        <w:tc>
          <w:tcPr>
            <w:tcW w:w="885" w:type="pct"/>
            <w:vAlign w:val="center"/>
          </w:tcPr>
          <w:p w14:paraId="74125717">
            <w:pPr>
              <w:jc w:val="right"/>
              <w:rPr>
                <w:rFonts w:eastAsia="等线" w:cs="Times New Roman"/>
                <w:color w:val="000000"/>
              </w:rPr>
            </w:pPr>
            <w:r>
              <w:rPr>
                <w:rFonts w:eastAsia="等线" w:cs="Times New Roman"/>
                <w:color w:val="000000"/>
              </w:rPr>
              <w:t xml:space="preserve">75,625,008.05 </w:t>
            </w:r>
          </w:p>
        </w:tc>
        <w:tc>
          <w:tcPr>
            <w:tcW w:w="888" w:type="pct"/>
            <w:vAlign w:val="center"/>
          </w:tcPr>
          <w:p w14:paraId="58005783">
            <w:pPr>
              <w:jc w:val="right"/>
              <w:rPr>
                <w:rFonts w:eastAsia="等线" w:cs="Times New Roman"/>
                <w:color w:val="000000"/>
              </w:rPr>
            </w:pPr>
            <w:r>
              <w:rPr>
                <w:rFonts w:eastAsia="等线" w:cs="Times New Roman"/>
                <w:color w:val="000000"/>
              </w:rPr>
              <w:t xml:space="preserve">427,843,075.48 </w:t>
            </w:r>
          </w:p>
        </w:tc>
        <w:tc>
          <w:tcPr>
            <w:tcW w:w="890" w:type="pct"/>
            <w:vAlign w:val="center"/>
          </w:tcPr>
          <w:p w14:paraId="03A07D97">
            <w:pPr>
              <w:jc w:val="right"/>
              <w:rPr>
                <w:rFonts w:eastAsia="等线" w:cs="Times New Roman"/>
                <w:color w:val="000000"/>
              </w:rPr>
            </w:pPr>
            <w:r>
              <w:rPr>
                <w:rFonts w:eastAsia="等线" w:cs="Times New Roman"/>
                <w:color w:val="000000"/>
              </w:rPr>
              <w:t xml:space="preserve">393,381,132.29 </w:t>
            </w:r>
          </w:p>
        </w:tc>
        <w:tc>
          <w:tcPr>
            <w:tcW w:w="894" w:type="pct"/>
            <w:vAlign w:val="center"/>
          </w:tcPr>
          <w:p w14:paraId="0582C18E">
            <w:pPr>
              <w:jc w:val="right"/>
              <w:rPr>
                <w:rFonts w:eastAsia="等线" w:cs="Times New Roman"/>
                <w:color w:val="000000"/>
              </w:rPr>
            </w:pPr>
            <w:r>
              <w:rPr>
                <w:rFonts w:eastAsia="等线" w:cs="Times New Roman"/>
                <w:color w:val="000000"/>
              </w:rPr>
              <w:t xml:space="preserve">110,086,951.24 </w:t>
            </w:r>
          </w:p>
        </w:tc>
      </w:tr>
      <w:tr w14:paraId="663E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Pr>
          <w:p w14:paraId="55824332">
            <w:pPr>
              <w:rPr>
                <w:color w:val="000000" w:themeColor="text1"/>
                <w14:textFill>
                  <w14:solidFill>
                    <w14:schemeClr w14:val="tx1"/>
                  </w14:solidFill>
                </w14:textFill>
              </w:rPr>
            </w:pPr>
            <w:r>
              <w:rPr>
                <w:rFonts w:hint="eastAsia"/>
                <w:color w:val="000000" w:themeColor="text1"/>
                <w14:textFill>
                  <w14:solidFill>
                    <w14:schemeClr w14:val="tx1"/>
                  </w14:solidFill>
                </w14:textFill>
              </w:rPr>
              <w:t>二、离职后福利-设定提存计划</w:t>
            </w:r>
          </w:p>
        </w:tc>
        <w:tc>
          <w:tcPr>
            <w:tcW w:w="885" w:type="pct"/>
            <w:vAlign w:val="center"/>
          </w:tcPr>
          <w:p w14:paraId="2B5F8A94">
            <w:pPr>
              <w:jc w:val="right"/>
              <w:rPr>
                <w:rFonts w:eastAsia="等线" w:cs="Times New Roman"/>
                <w:color w:val="000000"/>
              </w:rPr>
            </w:pPr>
            <w:r>
              <w:rPr>
                <w:rFonts w:eastAsia="等线" w:cs="Times New Roman"/>
                <w:color w:val="000000"/>
              </w:rPr>
              <w:t xml:space="preserve">480,895.95 </w:t>
            </w:r>
          </w:p>
        </w:tc>
        <w:tc>
          <w:tcPr>
            <w:tcW w:w="888" w:type="pct"/>
            <w:vAlign w:val="center"/>
          </w:tcPr>
          <w:p w14:paraId="07B73BF5">
            <w:pPr>
              <w:jc w:val="right"/>
              <w:rPr>
                <w:rFonts w:eastAsia="等线" w:cs="Times New Roman"/>
                <w:color w:val="000000"/>
              </w:rPr>
            </w:pPr>
            <w:r>
              <w:rPr>
                <w:rFonts w:eastAsia="等线" w:cs="Times New Roman"/>
                <w:color w:val="000000"/>
              </w:rPr>
              <w:t xml:space="preserve">28,143,619.12 </w:t>
            </w:r>
          </w:p>
        </w:tc>
        <w:tc>
          <w:tcPr>
            <w:tcW w:w="890" w:type="pct"/>
            <w:vAlign w:val="center"/>
          </w:tcPr>
          <w:p w14:paraId="759DCD05">
            <w:pPr>
              <w:jc w:val="right"/>
              <w:rPr>
                <w:rFonts w:eastAsia="等线" w:cs="Times New Roman"/>
                <w:color w:val="000000"/>
              </w:rPr>
            </w:pPr>
            <w:r>
              <w:rPr>
                <w:rFonts w:eastAsia="等线" w:cs="Times New Roman"/>
                <w:color w:val="000000"/>
              </w:rPr>
              <w:t xml:space="preserve">27,147,796.49 </w:t>
            </w:r>
          </w:p>
        </w:tc>
        <w:tc>
          <w:tcPr>
            <w:tcW w:w="894" w:type="pct"/>
            <w:vAlign w:val="center"/>
          </w:tcPr>
          <w:p w14:paraId="23273AE7">
            <w:pPr>
              <w:jc w:val="right"/>
              <w:rPr>
                <w:rFonts w:eastAsia="等线" w:cs="Times New Roman"/>
                <w:color w:val="000000"/>
              </w:rPr>
            </w:pPr>
            <w:r>
              <w:rPr>
                <w:rFonts w:eastAsia="等线" w:cs="Times New Roman"/>
                <w:color w:val="000000"/>
              </w:rPr>
              <w:t xml:space="preserve">1,476,718.58 </w:t>
            </w:r>
          </w:p>
        </w:tc>
      </w:tr>
      <w:tr w14:paraId="224F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Pr>
          <w:p w14:paraId="11E69207">
            <w:pPr>
              <w:rPr>
                <w:color w:val="000000" w:themeColor="text1"/>
                <w14:textFill>
                  <w14:solidFill>
                    <w14:schemeClr w14:val="tx1"/>
                  </w14:solidFill>
                </w14:textFill>
              </w:rPr>
            </w:pPr>
            <w:r>
              <w:rPr>
                <w:rFonts w:hint="eastAsia"/>
                <w:color w:val="000000" w:themeColor="text1"/>
                <w14:textFill>
                  <w14:solidFill>
                    <w14:schemeClr w14:val="tx1"/>
                  </w14:solidFill>
                </w14:textFill>
              </w:rPr>
              <w:t>三、辞退福利</w:t>
            </w:r>
          </w:p>
        </w:tc>
        <w:tc>
          <w:tcPr>
            <w:tcW w:w="885" w:type="pct"/>
            <w:vAlign w:val="center"/>
          </w:tcPr>
          <w:p w14:paraId="07558A34">
            <w:pPr>
              <w:jc w:val="right"/>
              <w:rPr>
                <w:rFonts w:eastAsia="等线" w:cs="Times New Roman"/>
                <w:color w:val="000000"/>
              </w:rPr>
            </w:pPr>
            <w:r>
              <w:rPr>
                <w:rFonts w:eastAsia="等线" w:cs="Times New Roman"/>
                <w:color w:val="000000"/>
              </w:rPr>
              <w:t>　</w:t>
            </w:r>
          </w:p>
        </w:tc>
        <w:tc>
          <w:tcPr>
            <w:tcW w:w="888" w:type="pct"/>
            <w:vAlign w:val="center"/>
          </w:tcPr>
          <w:p w14:paraId="73B33F8A">
            <w:pPr>
              <w:jc w:val="right"/>
              <w:rPr>
                <w:rFonts w:eastAsia="等线" w:cs="Times New Roman"/>
                <w:color w:val="000000"/>
              </w:rPr>
            </w:pPr>
            <w:r>
              <w:rPr>
                <w:rFonts w:eastAsia="等线" w:cs="Times New Roman"/>
                <w:color w:val="000000"/>
              </w:rPr>
              <w:t xml:space="preserve">1,904,956.32 </w:t>
            </w:r>
          </w:p>
        </w:tc>
        <w:tc>
          <w:tcPr>
            <w:tcW w:w="890" w:type="pct"/>
            <w:vAlign w:val="center"/>
          </w:tcPr>
          <w:p w14:paraId="2BE3AA43">
            <w:pPr>
              <w:jc w:val="right"/>
              <w:rPr>
                <w:rFonts w:eastAsia="等线" w:cs="Times New Roman"/>
                <w:color w:val="000000"/>
              </w:rPr>
            </w:pPr>
            <w:r>
              <w:rPr>
                <w:rFonts w:eastAsia="等线" w:cs="Times New Roman"/>
                <w:color w:val="000000"/>
              </w:rPr>
              <w:t xml:space="preserve">1,789,956.32 </w:t>
            </w:r>
          </w:p>
        </w:tc>
        <w:tc>
          <w:tcPr>
            <w:tcW w:w="894" w:type="pct"/>
            <w:vAlign w:val="center"/>
          </w:tcPr>
          <w:p w14:paraId="7C8B2E37">
            <w:pPr>
              <w:jc w:val="right"/>
              <w:rPr>
                <w:rFonts w:eastAsia="等线" w:cs="Times New Roman"/>
                <w:color w:val="000000"/>
              </w:rPr>
            </w:pPr>
            <w:r>
              <w:rPr>
                <w:rFonts w:eastAsia="等线" w:cs="Times New Roman"/>
                <w:color w:val="000000"/>
              </w:rPr>
              <w:t xml:space="preserve">115,000.00 </w:t>
            </w:r>
          </w:p>
        </w:tc>
      </w:tr>
      <w:tr w14:paraId="594E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vAlign w:val="center"/>
          </w:tcPr>
          <w:p w14:paraId="64441E3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885" w:type="pct"/>
            <w:vAlign w:val="center"/>
          </w:tcPr>
          <w:p w14:paraId="5F749E10">
            <w:pPr>
              <w:jc w:val="right"/>
              <w:rPr>
                <w:rFonts w:eastAsia="等线" w:cs="Times New Roman"/>
                <w:color w:val="000000"/>
              </w:rPr>
            </w:pPr>
            <w:r>
              <w:rPr>
                <w:rFonts w:eastAsia="等线" w:cs="Times New Roman"/>
                <w:color w:val="000000"/>
              </w:rPr>
              <w:t xml:space="preserve">76,105,904.00 </w:t>
            </w:r>
          </w:p>
        </w:tc>
        <w:tc>
          <w:tcPr>
            <w:tcW w:w="888" w:type="pct"/>
            <w:vAlign w:val="center"/>
          </w:tcPr>
          <w:p w14:paraId="3D4EF5F0">
            <w:pPr>
              <w:jc w:val="right"/>
              <w:rPr>
                <w:rFonts w:eastAsia="等线" w:cs="Times New Roman"/>
                <w:color w:val="000000"/>
              </w:rPr>
            </w:pPr>
            <w:r>
              <w:rPr>
                <w:rFonts w:eastAsia="等线" w:cs="Times New Roman"/>
                <w:color w:val="000000"/>
              </w:rPr>
              <w:t xml:space="preserve">457,891,650.92 </w:t>
            </w:r>
          </w:p>
        </w:tc>
        <w:tc>
          <w:tcPr>
            <w:tcW w:w="890" w:type="pct"/>
            <w:vAlign w:val="center"/>
          </w:tcPr>
          <w:p w14:paraId="3BC5231C">
            <w:pPr>
              <w:jc w:val="right"/>
              <w:rPr>
                <w:rFonts w:eastAsia="等线" w:cs="Times New Roman"/>
                <w:color w:val="000000"/>
              </w:rPr>
            </w:pPr>
            <w:r>
              <w:rPr>
                <w:rFonts w:eastAsia="等线" w:cs="Times New Roman"/>
                <w:color w:val="000000"/>
              </w:rPr>
              <w:t xml:space="preserve">422,318,885.10 </w:t>
            </w:r>
          </w:p>
        </w:tc>
        <w:tc>
          <w:tcPr>
            <w:tcW w:w="894" w:type="pct"/>
            <w:vAlign w:val="center"/>
          </w:tcPr>
          <w:p w14:paraId="1B3E9FCF">
            <w:pPr>
              <w:jc w:val="right"/>
              <w:rPr>
                <w:rFonts w:eastAsia="等线" w:cs="Times New Roman"/>
                <w:color w:val="000000"/>
              </w:rPr>
            </w:pPr>
            <w:r>
              <w:rPr>
                <w:rFonts w:eastAsia="等线" w:cs="Times New Roman"/>
                <w:color w:val="000000"/>
              </w:rPr>
              <w:t xml:space="preserve">111,678,669.82 </w:t>
            </w:r>
          </w:p>
        </w:tc>
      </w:tr>
    </w:tbl>
    <w:p w14:paraId="0EB44AE7">
      <w:pPr>
        <w:rPr>
          <w:color w:val="000000" w:themeColor="text1"/>
          <w14:textFill>
            <w14:solidFill>
              <w14:schemeClr w14:val="tx1"/>
            </w14:solidFill>
          </w14:textFill>
        </w:rPr>
      </w:pPr>
    </w:p>
    <w:p w14:paraId="5042FDA6">
      <w:pPr>
        <w:pStyle w:val="5"/>
        <w:numPr>
          <w:ilvl w:val="0"/>
          <w:numId w:val="7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短期薪酬列示</w:t>
      </w:r>
    </w:p>
    <w:sdt>
      <w:sdtPr>
        <w:rPr>
          <w:color w:val="000000" w:themeColor="text1"/>
          <w14:textFill>
            <w14:solidFill>
              <w14:schemeClr w14:val="tx1"/>
            </w14:solidFill>
          </w14:textFill>
        </w:rPr>
        <w:alias w:val="是否适用：短期薪酬列示[双击切换]"/>
        <w:tag w:val="_GBC_fe9cc4ffdf524f4695448b31c76167ce"/>
        <w:id w:val="-1755577778"/>
        <w:placeholder>
          <w:docPart w:val="GBC22222222222222222222222222222"/>
        </w:placeholder>
      </w:sdtPr>
      <w:sdtEndPr>
        <w:rPr>
          <w:color w:val="000000" w:themeColor="text1"/>
          <w14:textFill>
            <w14:solidFill>
              <w14:schemeClr w14:val="tx1"/>
            </w14:solidFill>
          </w14:textFill>
        </w:rPr>
      </w:sdtEndPr>
      <w:sdtContent>
        <w:p w14:paraId="30D4B67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65968E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短期薪酬"/>
          <w:tag w:val="_GBC_f5a2a934147944d68f11ca2bcce4d80f"/>
          <w:id w:val="-13415476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短期薪酬"/>
          <w:tag w:val="_GBC_ded097d86a7d48b8a8b1d9689a73bd5d"/>
          <w:id w:val="6588841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1612"/>
        <w:gridCol w:w="1595"/>
        <w:gridCol w:w="1609"/>
        <w:gridCol w:w="1619"/>
      </w:tblGrid>
      <w:tr w14:paraId="26F2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b5378bc64e24511ae79d643c80f9c98"/>
            <w:id w:val="1420292378"/>
          </w:sdtPr>
          <w:sdtContent>
            <w:tc>
              <w:tcPr>
                <w:tcW w:w="1444" w:type="pct"/>
                <w:tcBorders>
                  <w:top w:val="single" w:color="auto" w:sz="4" w:space="0"/>
                  <w:left w:val="single" w:color="auto" w:sz="4" w:space="0"/>
                  <w:bottom w:val="single" w:color="auto" w:sz="4" w:space="0"/>
                  <w:right w:val="single" w:color="auto" w:sz="4" w:space="0"/>
                </w:tcBorders>
                <w:vAlign w:val="center"/>
              </w:tcPr>
              <w:p w14:paraId="718ADF32">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0144fa4bad154236aa75e1dcc0a89e56"/>
            <w:id w:val="-600874150"/>
          </w:sdtPr>
          <w:sdtContent>
            <w:tc>
              <w:tcPr>
                <w:tcW w:w="891" w:type="pct"/>
                <w:tcBorders>
                  <w:top w:val="single" w:color="auto" w:sz="4" w:space="0"/>
                  <w:left w:val="single" w:color="auto" w:sz="4" w:space="0"/>
                  <w:bottom w:val="single" w:color="auto" w:sz="4" w:space="0"/>
                  <w:right w:val="single" w:color="auto" w:sz="4" w:space="0"/>
                </w:tcBorders>
                <w:vAlign w:val="center"/>
              </w:tcPr>
              <w:p w14:paraId="0DBD0A69">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2d15a4a9e10b4386a7ed67bc2137e04a"/>
            <w:id w:val="-573125498"/>
          </w:sdtPr>
          <w:sdtContent>
            <w:tc>
              <w:tcPr>
                <w:tcW w:w="881" w:type="pct"/>
                <w:tcBorders>
                  <w:top w:val="single" w:color="auto" w:sz="4" w:space="0"/>
                  <w:left w:val="single" w:color="auto" w:sz="4" w:space="0"/>
                  <w:bottom w:val="single" w:color="auto" w:sz="4" w:space="0"/>
                  <w:right w:val="single" w:color="auto" w:sz="4" w:space="0"/>
                </w:tcBorders>
                <w:vAlign w:val="center"/>
              </w:tcPr>
              <w:p w14:paraId="2ED8D20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12a2bbefe0874cde83fdb77f4a4158a1"/>
            <w:id w:val="-1714028488"/>
          </w:sdtPr>
          <w:sdtContent>
            <w:tc>
              <w:tcPr>
                <w:tcW w:w="889" w:type="pct"/>
                <w:tcBorders>
                  <w:top w:val="single" w:color="auto" w:sz="4" w:space="0"/>
                  <w:left w:val="single" w:color="auto" w:sz="4" w:space="0"/>
                  <w:bottom w:val="single" w:color="auto" w:sz="4" w:space="0"/>
                  <w:right w:val="single" w:color="auto" w:sz="4" w:space="0"/>
                </w:tcBorders>
                <w:vAlign w:val="center"/>
              </w:tcPr>
              <w:p w14:paraId="4224A5AA">
                <w:pPr>
                  <w:jc w:val="center"/>
                  <w:rPr>
                    <w:color w:val="000000" w:themeColor="text1"/>
                    <w14:textFill>
                      <w14:solidFill>
                        <w14:schemeClr w14:val="tx1"/>
                      </w14:solidFill>
                    </w14:textFill>
                  </w:rPr>
                </w:pPr>
                <w:r>
                  <w:rPr>
                    <w:color w:val="000000" w:themeColor="text1"/>
                    <w14:textFill>
                      <w14:solidFill>
                        <w14:schemeClr w14:val="tx1"/>
                      </w14:solidFill>
                    </w14:textFill>
                  </w:rPr>
                  <w:t>本期减少</w:t>
                </w:r>
              </w:p>
            </w:tc>
          </w:sdtContent>
        </w:sdt>
        <w:sdt>
          <w:sdtPr>
            <w:tag w:val="_PLD_190d6bcbbde148ffb48f230c6d9d7186"/>
            <w:id w:val="-1140492861"/>
          </w:sdtPr>
          <w:sdtContent>
            <w:tc>
              <w:tcPr>
                <w:tcW w:w="895" w:type="pct"/>
                <w:tcBorders>
                  <w:top w:val="single" w:color="auto" w:sz="4" w:space="0"/>
                  <w:left w:val="single" w:color="auto" w:sz="4" w:space="0"/>
                  <w:bottom w:val="single" w:color="auto" w:sz="4" w:space="0"/>
                  <w:right w:val="single" w:color="auto" w:sz="4" w:space="0"/>
                </w:tcBorders>
                <w:vAlign w:val="center"/>
              </w:tcPr>
              <w:p w14:paraId="0F78DC14">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3DE8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2CF2F7D1">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一、工资、奖金、津贴和补贴</w:t>
            </w:r>
          </w:p>
        </w:tc>
        <w:tc>
          <w:tcPr>
            <w:tcW w:w="891" w:type="pct"/>
            <w:tcBorders>
              <w:top w:val="single" w:color="auto" w:sz="4" w:space="0"/>
              <w:left w:val="single" w:color="auto" w:sz="4" w:space="0"/>
              <w:bottom w:val="single" w:color="auto" w:sz="4" w:space="0"/>
              <w:right w:val="single" w:color="auto" w:sz="4" w:space="0"/>
            </w:tcBorders>
            <w:vAlign w:val="center"/>
          </w:tcPr>
          <w:p w14:paraId="151F8EA1">
            <w:pPr>
              <w:jc w:val="right"/>
              <w:rPr>
                <w:rFonts w:eastAsia="等线" w:cs="Times New Roman"/>
                <w:color w:val="000000"/>
              </w:rPr>
            </w:pPr>
            <w:r>
              <w:rPr>
                <w:rFonts w:eastAsia="等线" w:cs="Times New Roman"/>
                <w:color w:val="000000"/>
              </w:rPr>
              <w:t xml:space="preserve">74,369,459.87 </w:t>
            </w:r>
          </w:p>
        </w:tc>
        <w:tc>
          <w:tcPr>
            <w:tcW w:w="881" w:type="pct"/>
            <w:tcBorders>
              <w:top w:val="single" w:color="auto" w:sz="4" w:space="0"/>
              <w:left w:val="single" w:color="auto" w:sz="4" w:space="0"/>
              <w:bottom w:val="single" w:color="auto" w:sz="4" w:space="0"/>
              <w:right w:val="single" w:color="auto" w:sz="4" w:space="0"/>
            </w:tcBorders>
            <w:vAlign w:val="center"/>
          </w:tcPr>
          <w:p w14:paraId="4C512918">
            <w:pPr>
              <w:jc w:val="right"/>
              <w:rPr>
                <w:rFonts w:eastAsia="等线" w:cs="Times New Roman"/>
                <w:color w:val="000000"/>
              </w:rPr>
            </w:pPr>
            <w:r>
              <w:rPr>
                <w:rFonts w:eastAsia="等线" w:cs="Times New Roman"/>
                <w:color w:val="000000"/>
              </w:rPr>
              <w:t xml:space="preserve">387,690,330.38 </w:t>
            </w:r>
          </w:p>
        </w:tc>
        <w:tc>
          <w:tcPr>
            <w:tcW w:w="889" w:type="pct"/>
            <w:tcBorders>
              <w:top w:val="single" w:color="auto" w:sz="4" w:space="0"/>
              <w:left w:val="single" w:color="auto" w:sz="4" w:space="0"/>
              <w:bottom w:val="single" w:color="auto" w:sz="4" w:space="0"/>
              <w:right w:val="single" w:color="auto" w:sz="4" w:space="0"/>
            </w:tcBorders>
            <w:vAlign w:val="center"/>
          </w:tcPr>
          <w:p w14:paraId="12B5154B">
            <w:pPr>
              <w:jc w:val="right"/>
              <w:rPr>
                <w:rFonts w:eastAsia="等线" w:cs="Times New Roman"/>
                <w:color w:val="000000"/>
              </w:rPr>
            </w:pPr>
            <w:r>
              <w:rPr>
                <w:rFonts w:eastAsia="等线" w:cs="Times New Roman"/>
                <w:color w:val="000000"/>
              </w:rPr>
              <w:t xml:space="preserve">353,907,526.76 </w:t>
            </w:r>
          </w:p>
        </w:tc>
        <w:tc>
          <w:tcPr>
            <w:tcW w:w="895" w:type="pct"/>
            <w:tcBorders>
              <w:top w:val="single" w:color="auto" w:sz="4" w:space="0"/>
              <w:left w:val="single" w:color="auto" w:sz="4" w:space="0"/>
              <w:bottom w:val="single" w:color="auto" w:sz="4" w:space="0"/>
              <w:right w:val="single" w:color="auto" w:sz="4" w:space="0"/>
            </w:tcBorders>
            <w:vAlign w:val="center"/>
          </w:tcPr>
          <w:p w14:paraId="0728E4EC">
            <w:pPr>
              <w:jc w:val="right"/>
              <w:rPr>
                <w:rFonts w:eastAsia="等线" w:cs="Times New Roman"/>
                <w:color w:val="000000"/>
              </w:rPr>
            </w:pPr>
            <w:r>
              <w:rPr>
                <w:rFonts w:eastAsia="等线" w:cs="Times New Roman"/>
                <w:color w:val="000000"/>
              </w:rPr>
              <w:t xml:space="preserve">108,152,263.49 </w:t>
            </w:r>
          </w:p>
        </w:tc>
      </w:tr>
      <w:tr w14:paraId="6633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55391263">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二、职工福利费</w:t>
            </w:r>
          </w:p>
        </w:tc>
        <w:tc>
          <w:tcPr>
            <w:tcW w:w="891" w:type="pct"/>
            <w:tcBorders>
              <w:top w:val="single" w:color="auto" w:sz="4" w:space="0"/>
              <w:left w:val="single" w:color="auto" w:sz="4" w:space="0"/>
              <w:bottom w:val="single" w:color="auto" w:sz="4" w:space="0"/>
              <w:right w:val="single" w:color="auto" w:sz="4" w:space="0"/>
            </w:tcBorders>
            <w:vAlign w:val="center"/>
          </w:tcPr>
          <w:p w14:paraId="6D2A4117">
            <w:pPr>
              <w:jc w:val="right"/>
              <w:rPr>
                <w:rFonts w:eastAsia="等线" w:cs="Times New Roman"/>
                <w:color w:val="000000"/>
              </w:rPr>
            </w:pPr>
            <w:r>
              <w:rPr>
                <w:rFonts w:eastAsia="等线" w:cs="Times New Roman"/>
                <w:color w:val="000000"/>
              </w:rPr>
              <w:t xml:space="preserve">766,837.87 </w:t>
            </w:r>
          </w:p>
        </w:tc>
        <w:tc>
          <w:tcPr>
            <w:tcW w:w="881" w:type="pct"/>
            <w:tcBorders>
              <w:top w:val="single" w:color="auto" w:sz="4" w:space="0"/>
              <w:left w:val="single" w:color="auto" w:sz="4" w:space="0"/>
              <w:bottom w:val="single" w:color="auto" w:sz="4" w:space="0"/>
              <w:right w:val="single" w:color="auto" w:sz="4" w:space="0"/>
            </w:tcBorders>
            <w:vAlign w:val="center"/>
          </w:tcPr>
          <w:p w14:paraId="005B7E7E">
            <w:pPr>
              <w:jc w:val="right"/>
              <w:rPr>
                <w:rFonts w:eastAsia="等线" w:cs="Times New Roman"/>
                <w:color w:val="000000"/>
              </w:rPr>
            </w:pPr>
            <w:r>
              <w:rPr>
                <w:rFonts w:eastAsia="等线" w:cs="Times New Roman"/>
                <w:color w:val="000000"/>
              </w:rPr>
              <w:t xml:space="preserve">4,080,915.12 </w:t>
            </w:r>
          </w:p>
        </w:tc>
        <w:tc>
          <w:tcPr>
            <w:tcW w:w="889" w:type="pct"/>
            <w:tcBorders>
              <w:top w:val="single" w:color="auto" w:sz="4" w:space="0"/>
              <w:left w:val="single" w:color="auto" w:sz="4" w:space="0"/>
              <w:bottom w:val="single" w:color="auto" w:sz="4" w:space="0"/>
              <w:right w:val="single" w:color="auto" w:sz="4" w:space="0"/>
            </w:tcBorders>
            <w:vAlign w:val="center"/>
          </w:tcPr>
          <w:p w14:paraId="69BAB48E">
            <w:pPr>
              <w:jc w:val="right"/>
              <w:rPr>
                <w:rFonts w:eastAsia="等线" w:cs="Times New Roman"/>
                <w:color w:val="000000"/>
              </w:rPr>
            </w:pPr>
            <w:r>
              <w:rPr>
                <w:rFonts w:eastAsia="等线" w:cs="Times New Roman"/>
                <w:color w:val="000000"/>
              </w:rPr>
              <w:t xml:space="preserve">4,585,396.89 </w:t>
            </w:r>
          </w:p>
        </w:tc>
        <w:tc>
          <w:tcPr>
            <w:tcW w:w="895" w:type="pct"/>
            <w:tcBorders>
              <w:top w:val="single" w:color="auto" w:sz="4" w:space="0"/>
              <w:left w:val="single" w:color="auto" w:sz="4" w:space="0"/>
              <w:bottom w:val="single" w:color="auto" w:sz="4" w:space="0"/>
              <w:right w:val="single" w:color="auto" w:sz="4" w:space="0"/>
            </w:tcBorders>
            <w:vAlign w:val="center"/>
          </w:tcPr>
          <w:p w14:paraId="5E85C370">
            <w:pPr>
              <w:jc w:val="right"/>
              <w:rPr>
                <w:rFonts w:eastAsia="等线" w:cs="Times New Roman"/>
                <w:color w:val="000000"/>
              </w:rPr>
            </w:pPr>
            <w:r>
              <w:rPr>
                <w:rFonts w:eastAsia="等线" w:cs="Times New Roman"/>
                <w:color w:val="000000"/>
              </w:rPr>
              <w:t xml:space="preserve">262,356.10 </w:t>
            </w:r>
          </w:p>
        </w:tc>
      </w:tr>
      <w:tr w14:paraId="705A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629E8B72">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三、社会保险费</w:t>
            </w:r>
          </w:p>
        </w:tc>
        <w:tc>
          <w:tcPr>
            <w:tcW w:w="891" w:type="pct"/>
            <w:tcBorders>
              <w:top w:val="single" w:color="auto" w:sz="4" w:space="0"/>
              <w:left w:val="single" w:color="auto" w:sz="4" w:space="0"/>
              <w:bottom w:val="single" w:color="auto" w:sz="4" w:space="0"/>
              <w:right w:val="single" w:color="auto" w:sz="4" w:space="0"/>
            </w:tcBorders>
            <w:vAlign w:val="center"/>
          </w:tcPr>
          <w:p w14:paraId="1F82F21D">
            <w:pPr>
              <w:jc w:val="right"/>
              <w:rPr>
                <w:rFonts w:eastAsia="等线" w:cs="Times New Roman"/>
                <w:color w:val="000000"/>
              </w:rPr>
            </w:pPr>
            <w:r>
              <w:rPr>
                <w:rFonts w:eastAsia="等线" w:cs="Times New Roman"/>
                <w:color w:val="000000"/>
              </w:rPr>
              <w:t xml:space="preserve">296,359.64 </w:t>
            </w:r>
          </w:p>
        </w:tc>
        <w:tc>
          <w:tcPr>
            <w:tcW w:w="881" w:type="pct"/>
            <w:tcBorders>
              <w:top w:val="single" w:color="auto" w:sz="4" w:space="0"/>
              <w:left w:val="single" w:color="auto" w:sz="4" w:space="0"/>
              <w:bottom w:val="single" w:color="auto" w:sz="4" w:space="0"/>
              <w:right w:val="single" w:color="auto" w:sz="4" w:space="0"/>
            </w:tcBorders>
            <w:vAlign w:val="center"/>
          </w:tcPr>
          <w:p w14:paraId="26437784">
            <w:pPr>
              <w:jc w:val="right"/>
              <w:rPr>
                <w:rFonts w:eastAsia="等线" w:cs="Times New Roman"/>
                <w:color w:val="000000"/>
              </w:rPr>
            </w:pPr>
            <w:r>
              <w:rPr>
                <w:rFonts w:eastAsia="等线" w:cs="Times New Roman"/>
                <w:color w:val="000000"/>
              </w:rPr>
              <w:t xml:space="preserve">19,486,532.82 </w:t>
            </w:r>
          </w:p>
        </w:tc>
        <w:tc>
          <w:tcPr>
            <w:tcW w:w="889" w:type="pct"/>
            <w:tcBorders>
              <w:top w:val="single" w:color="auto" w:sz="4" w:space="0"/>
              <w:left w:val="single" w:color="auto" w:sz="4" w:space="0"/>
              <w:bottom w:val="single" w:color="auto" w:sz="4" w:space="0"/>
              <w:right w:val="single" w:color="auto" w:sz="4" w:space="0"/>
            </w:tcBorders>
            <w:vAlign w:val="center"/>
          </w:tcPr>
          <w:p w14:paraId="75B40AAC">
            <w:pPr>
              <w:jc w:val="right"/>
              <w:rPr>
                <w:rFonts w:eastAsia="等线" w:cs="Times New Roman"/>
                <w:color w:val="000000"/>
              </w:rPr>
            </w:pPr>
            <w:r>
              <w:rPr>
                <w:rFonts w:eastAsia="等线" w:cs="Times New Roman"/>
                <w:color w:val="000000"/>
              </w:rPr>
              <w:t xml:space="preserve">18,956,611.57 </w:t>
            </w:r>
          </w:p>
        </w:tc>
        <w:tc>
          <w:tcPr>
            <w:tcW w:w="895" w:type="pct"/>
            <w:tcBorders>
              <w:top w:val="single" w:color="auto" w:sz="4" w:space="0"/>
              <w:left w:val="single" w:color="auto" w:sz="4" w:space="0"/>
              <w:bottom w:val="single" w:color="auto" w:sz="4" w:space="0"/>
              <w:right w:val="single" w:color="auto" w:sz="4" w:space="0"/>
            </w:tcBorders>
            <w:vAlign w:val="center"/>
          </w:tcPr>
          <w:p w14:paraId="6EE4CBCA">
            <w:pPr>
              <w:jc w:val="right"/>
              <w:rPr>
                <w:rFonts w:eastAsia="等线" w:cs="Times New Roman"/>
                <w:color w:val="000000"/>
              </w:rPr>
            </w:pPr>
            <w:r>
              <w:rPr>
                <w:rFonts w:eastAsia="等线" w:cs="Times New Roman"/>
                <w:color w:val="000000"/>
              </w:rPr>
              <w:t xml:space="preserve">826,280.89 </w:t>
            </w:r>
          </w:p>
        </w:tc>
      </w:tr>
      <w:tr w14:paraId="5737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516F7F75">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医疗保险费</w:t>
            </w:r>
          </w:p>
        </w:tc>
        <w:tc>
          <w:tcPr>
            <w:tcW w:w="891" w:type="pct"/>
            <w:tcBorders>
              <w:top w:val="single" w:color="auto" w:sz="4" w:space="0"/>
              <w:left w:val="single" w:color="auto" w:sz="4" w:space="0"/>
              <w:bottom w:val="single" w:color="auto" w:sz="4" w:space="0"/>
              <w:right w:val="single" w:color="auto" w:sz="4" w:space="0"/>
            </w:tcBorders>
            <w:vAlign w:val="center"/>
          </w:tcPr>
          <w:p w14:paraId="6DCF8EEA">
            <w:pPr>
              <w:jc w:val="right"/>
              <w:rPr>
                <w:rFonts w:eastAsia="等线" w:cs="Times New Roman"/>
                <w:color w:val="000000"/>
              </w:rPr>
            </w:pPr>
            <w:r>
              <w:rPr>
                <w:rFonts w:eastAsia="等线" w:cs="Times New Roman"/>
                <w:color w:val="000000"/>
              </w:rPr>
              <w:t xml:space="preserve">290,007.84 </w:t>
            </w:r>
          </w:p>
        </w:tc>
        <w:tc>
          <w:tcPr>
            <w:tcW w:w="881" w:type="pct"/>
            <w:tcBorders>
              <w:top w:val="single" w:color="auto" w:sz="4" w:space="0"/>
              <w:left w:val="single" w:color="auto" w:sz="4" w:space="0"/>
              <w:bottom w:val="single" w:color="auto" w:sz="4" w:space="0"/>
              <w:right w:val="single" w:color="auto" w:sz="4" w:space="0"/>
            </w:tcBorders>
            <w:vAlign w:val="center"/>
          </w:tcPr>
          <w:p w14:paraId="20B7C9A5">
            <w:pPr>
              <w:jc w:val="right"/>
              <w:rPr>
                <w:rFonts w:eastAsia="等线" w:cs="Times New Roman"/>
                <w:color w:val="000000"/>
              </w:rPr>
            </w:pPr>
            <w:r>
              <w:rPr>
                <w:rFonts w:eastAsia="等线" w:cs="Times New Roman"/>
                <w:color w:val="000000"/>
              </w:rPr>
              <w:t xml:space="preserve">18,128,902.55 </w:t>
            </w:r>
          </w:p>
        </w:tc>
        <w:tc>
          <w:tcPr>
            <w:tcW w:w="889" w:type="pct"/>
            <w:tcBorders>
              <w:top w:val="single" w:color="auto" w:sz="4" w:space="0"/>
              <w:left w:val="single" w:color="auto" w:sz="4" w:space="0"/>
              <w:bottom w:val="single" w:color="auto" w:sz="4" w:space="0"/>
              <w:right w:val="single" w:color="auto" w:sz="4" w:space="0"/>
            </w:tcBorders>
            <w:vAlign w:val="center"/>
          </w:tcPr>
          <w:p w14:paraId="55587C42">
            <w:pPr>
              <w:jc w:val="right"/>
              <w:rPr>
                <w:rFonts w:eastAsia="等线" w:cs="Times New Roman"/>
                <w:color w:val="000000"/>
              </w:rPr>
            </w:pPr>
            <w:r>
              <w:rPr>
                <w:rFonts w:eastAsia="等线" w:cs="Times New Roman"/>
                <w:color w:val="000000"/>
              </w:rPr>
              <w:t xml:space="preserve">17,626,127.01 </w:t>
            </w:r>
          </w:p>
        </w:tc>
        <w:tc>
          <w:tcPr>
            <w:tcW w:w="895" w:type="pct"/>
            <w:tcBorders>
              <w:top w:val="single" w:color="auto" w:sz="4" w:space="0"/>
              <w:left w:val="single" w:color="auto" w:sz="4" w:space="0"/>
              <w:bottom w:val="single" w:color="auto" w:sz="4" w:space="0"/>
              <w:right w:val="single" w:color="auto" w:sz="4" w:space="0"/>
            </w:tcBorders>
            <w:vAlign w:val="center"/>
          </w:tcPr>
          <w:p w14:paraId="13F00BD2">
            <w:pPr>
              <w:jc w:val="right"/>
              <w:rPr>
                <w:rFonts w:eastAsia="等线" w:cs="Times New Roman"/>
                <w:color w:val="000000"/>
              </w:rPr>
            </w:pPr>
            <w:r>
              <w:rPr>
                <w:rFonts w:eastAsia="等线" w:cs="Times New Roman"/>
                <w:color w:val="000000"/>
              </w:rPr>
              <w:t xml:space="preserve">792,783.38 </w:t>
            </w:r>
          </w:p>
        </w:tc>
      </w:tr>
      <w:tr w14:paraId="66BB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46B98902">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工伤保险费</w:t>
            </w:r>
          </w:p>
        </w:tc>
        <w:tc>
          <w:tcPr>
            <w:tcW w:w="891" w:type="pct"/>
            <w:tcBorders>
              <w:top w:val="single" w:color="auto" w:sz="4" w:space="0"/>
              <w:left w:val="single" w:color="auto" w:sz="4" w:space="0"/>
              <w:bottom w:val="single" w:color="auto" w:sz="4" w:space="0"/>
              <w:right w:val="single" w:color="auto" w:sz="4" w:space="0"/>
            </w:tcBorders>
            <w:vAlign w:val="center"/>
          </w:tcPr>
          <w:p w14:paraId="473078AA">
            <w:pPr>
              <w:jc w:val="right"/>
              <w:rPr>
                <w:rFonts w:eastAsia="等线" w:cs="Times New Roman"/>
                <w:color w:val="000000"/>
              </w:rPr>
            </w:pPr>
            <w:r>
              <w:rPr>
                <w:rFonts w:eastAsia="等线" w:cs="Times New Roman"/>
                <w:color w:val="000000"/>
              </w:rPr>
              <w:t xml:space="preserve">6,156.63 </w:t>
            </w:r>
          </w:p>
        </w:tc>
        <w:tc>
          <w:tcPr>
            <w:tcW w:w="881" w:type="pct"/>
            <w:tcBorders>
              <w:top w:val="single" w:color="auto" w:sz="4" w:space="0"/>
              <w:left w:val="single" w:color="auto" w:sz="4" w:space="0"/>
              <w:bottom w:val="single" w:color="auto" w:sz="4" w:space="0"/>
              <w:right w:val="single" w:color="auto" w:sz="4" w:space="0"/>
            </w:tcBorders>
            <w:vAlign w:val="center"/>
          </w:tcPr>
          <w:p w14:paraId="3FDFD900">
            <w:pPr>
              <w:jc w:val="right"/>
              <w:rPr>
                <w:rFonts w:eastAsia="等线" w:cs="Times New Roman"/>
                <w:color w:val="000000"/>
              </w:rPr>
            </w:pPr>
            <w:r>
              <w:rPr>
                <w:rFonts w:eastAsia="等线" w:cs="Times New Roman"/>
                <w:color w:val="000000"/>
              </w:rPr>
              <w:t xml:space="preserve">1,356,639.98 </w:t>
            </w:r>
          </w:p>
        </w:tc>
        <w:tc>
          <w:tcPr>
            <w:tcW w:w="889" w:type="pct"/>
            <w:tcBorders>
              <w:top w:val="single" w:color="auto" w:sz="4" w:space="0"/>
              <w:left w:val="single" w:color="auto" w:sz="4" w:space="0"/>
              <w:bottom w:val="single" w:color="auto" w:sz="4" w:space="0"/>
              <w:right w:val="single" w:color="auto" w:sz="4" w:space="0"/>
            </w:tcBorders>
            <w:vAlign w:val="center"/>
          </w:tcPr>
          <w:p w14:paraId="5277BD14">
            <w:pPr>
              <w:jc w:val="right"/>
              <w:rPr>
                <w:rFonts w:eastAsia="等线" w:cs="Times New Roman"/>
                <w:color w:val="000000"/>
              </w:rPr>
            </w:pPr>
            <w:r>
              <w:rPr>
                <w:rFonts w:eastAsia="等线" w:cs="Times New Roman"/>
                <w:color w:val="000000"/>
              </w:rPr>
              <w:t xml:space="preserve">1,329,299.10 </w:t>
            </w:r>
          </w:p>
        </w:tc>
        <w:tc>
          <w:tcPr>
            <w:tcW w:w="895" w:type="pct"/>
            <w:tcBorders>
              <w:top w:val="single" w:color="auto" w:sz="4" w:space="0"/>
              <w:left w:val="single" w:color="auto" w:sz="4" w:space="0"/>
              <w:bottom w:val="single" w:color="auto" w:sz="4" w:space="0"/>
              <w:right w:val="single" w:color="auto" w:sz="4" w:space="0"/>
            </w:tcBorders>
            <w:vAlign w:val="center"/>
          </w:tcPr>
          <w:p w14:paraId="5021A35D">
            <w:pPr>
              <w:jc w:val="right"/>
              <w:rPr>
                <w:rFonts w:eastAsia="等线" w:cs="Times New Roman"/>
                <w:color w:val="000000"/>
              </w:rPr>
            </w:pPr>
            <w:r>
              <w:rPr>
                <w:rFonts w:eastAsia="等线" w:cs="Times New Roman"/>
                <w:color w:val="000000"/>
              </w:rPr>
              <w:t xml:space="preserve">33,497.51 </w:t>
            </w:r>
          </w:p>
        </w:tc>
      </w:tr>
      <w:tr w14:paraId="14FD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35376CEA">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生育保险费</w:t>
            </w:r>
          </w:p>
        </w:tc>
        <w:tc>
          <w:tcPr>
            <w:tcW w:w="891" w:type="pct"/>
            <w:tcBorders>
              <w:top w:val="single" w:color="auto" w:sz="4" w:space="0"/>
              <w:left w:val="single" w:color="auto" w:sz="4" w:space="0"/>
              <w:bottom w:val="single" w:color="auto" w:sz="4" w:space="0"/>
              <w:right w:val="single" w:color="auto" w:sz="4" w:space="0"/>
            </w:tcBorders>
            <w:vAlign w:val="center"/>
          </w:tcPr>
          <w:p w14:paraId="6EF73623">
            <w:pPr>
              <w:jc w:val="right"/>
              <w:rPr>
                <w:rFonts w:eastAsia="等线" w:cs="Times New Roman"/>
                <w:color w:val="000000"/>
              </w:rPr>
            </w:pPr>
            <w:r>
              <w:rPr>
                <w:rFonts w:eastAsia="等线" w:cs="Times New Roman"/>
                <w:color w:val="000000"/>
              </w:rPr>
              <w:t xml:space="preserve">195.17 </w:t>
            </w:r>
          </w:p>
        </w:tc>
        <w:tc>
          <w:tcPr>
            <w:tcW w:w="881" w:type="pct"/>
            <w:tcBorders>
              <w:top w:val="single" w:color="auto" w:sz="4" w:space="0"/>
              <w:left w:val="single" w:color="auto" w:sz="4" w:space="0"/>
              <w:bottom w:val="single" w:color="auto" w:sz="4" w:space="0"/>
              <w:right w:val="single" w:color="auto" w:sz="4" w:space="0"/>
            </w:tcBorders>
            <w:vAlign w:val="center"/>
          </w:tcPr>
          <w:p w14:paraId="630AD5A6">
            <w:pPr>
              <w:jc w:val="right"/>
              <w:rPr>
                <w:rFonts w:eastAsia="等线" w:cs="Times New Roman"/>
                <w:color w:val="000000"/>
              </w:rPr>
            </w:pPr>
            <w:r>
              <w:rPr>
                <w:rFonts w:eastAsia="等线" w:cs="Times New Roman"/>
                <w:color w:val="000000"/>
              </w:rPr>
              <w:t xml:space="preserve">990.29 </w:t>
            </w:r>
          </w:p>
        </w:tc>
        <w:tc>
          <w:tcPr>
            <w:tcW w:w="889" w:type="pct"/>
            <w:tcBorders>
              <w:top w:val="single" w:color="auto" w:sz="4" w:space="0"/>
              <w:left w:val="single" w:color="auto" w:sz="4" w:space="0"/>
              <w:bottom w:val="single" w:color="auto" w:sz="4" w:space="0"/>
              <w:right w:val="single" w:color="auto" w:sz="4" w:space="0"/>
            </w:tcBorders>
            <w:vAlign w:val="center"/>
          </w:tcPr>
          <w:p w14:paraId="34F54781">
            <w:pPr>
              <w:jc w:val="right"/>
              <w:rPr>
                <w:rFonts w:eastAsia="等线" w:cs="Times New Roman"/>
                <w:color w:val="000000"/>
              </w:rPr>
            </w:pPr>
            <w:r>
              <w:rPr>
                <w:rFonts w:eastAsia="等线" w:cs="Times New Roman"/>
                <w:color w:val="000000"/>
              </w:rPr>
              <w:t xml:space="preserve">1,185.46 </w:t>
            </w:r>
          </w:p>
        </w:tc>
        <w:tc>
          <w:tcPr>
            <w:tcW w:w="895" w:type="pct"/>
            <w:tcBorders>
              <w:top w:val="single" w:color="auto" w:sz="4" w:space="0"/>
              <w:left w:val="single" w:color="auto" w:sz="4" w:space="0"/>
              <w:bottom w:val="single" w:color="auto" w:sz="4" w:space="0"/>
              <w:right w:val="single" w:color="auto" w:sz="4" w:space="0"/>
            </w:tcBorders>
            <w:vAlign w:val="center"/>
          </w:tcPr>
          <w:p w14:paraId="20EF2807">
            <w:pPr>
              <w:jc w:val="right"/>
              <w:rPr>
                <w:rFonts w:eastAsia="等线" w:cs="Times New Roman"/>
                <w:color w:val="000000"/>
              </w:rPr>
            </w:pPr>
            <w:r>
              <w:rPr>
                <w:rFonts w:eastAsia="等线" w:cs="Times New Roman"/>
                <w:color w:val="000000"/>
              </w:rPr>
              <w:t xml:space="preserve">                               </w:t>
            </w:r>
          </w:p>
        </w:tc>
      </w:tr>
      <w:tr w14:paraId="6800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52E51BCD">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四、住房公积金</w:t>
            </w:r>
          </w:p>
        </w:tc>
        <w:tc>
          <w:tcPr>
            <w:tcW w:w="891" w:type="pct"/>
            <w:tcBorders>
              <w:top w:val="single" w:color="auto" w:sz="4" w:space="0"/>
              <w:left w:val="single" w:color="auto" w:sz="4" w:space="0"/>
              <w:bottom w:val="single" w:color="auto" w:sz="4" w:space="0"/>
              <w:right w:val="single" w:color="auto" w:sz="4" w:space="0"/>
            </w:tcBorders>
            <w:vAlign w:val="center"/>
          </w:tcPr>
          <w:p w14:paraId="19390FFB">
            <w:pPr>
              <w:jc w:val="right"/>
              <w:rPr>
                <w:rFonts w:eastAsia="等线" w:cs="Times New Roman"/>
                <w:color w:val="000000"/>
              </w:rPr>
            </w:pPr>
          </w:p>
        </w:tc>
        <w:tc>
          <w:tcPr>
            <w:tcW w:w="881" w:type="pct"/>
            <w:tcBorders>
              <w:top w:val="single" w:color="auto" w:sz="4" w:space="0"/>
              <w:left w:val="single" w:color="auto" w:sz="4" w:space="0"/>
              <w:bottom w:val="single" w:color="auto" w:sz="4" w:space="0"/>
              <w:right w:val="single" w:color="auto" w:sz="4" w:space="0"/>
            </w:tcBorders>
            <w:vAlign w:val="center"/>
          </w:tcPr>
          <w:p w14:paraId="122AED3F">
            <w:pPr>
              <w:jc w:val="right"/>
              <w:rPr>
                <w:rFonts w:eastAsia="等线" w:cs="Times New Roman"/>
                <w:color w:val="000000"/>
              </w:rPr>
            </w:pPr>
            <w:r>
              <w:rPr>
                <w:rFonts w:eastAsia="等线" w:cs="Times New Roman"/>
                <w:color w:val="000000"/>
              </w:rPr>
              <w:t xml:space="preserve">16,277,252.87 </w:t>
            </w:r>
          </w:p>
        </w:tc>
        <w:tc>
          <w:tcPr>
            <w:tcW w:w="889" w:type="pct"/>
            <w:tcBorders>
              <w:top w:val="single" w:color="auto" w:sz="4" w:space="0"/>
              <w:left w:val="single" w:color="auto" w:sz="4" w:space="0"/>
              <w:bottom w:val="single" w:color="auto" w:sz="4" w:space="0"/>
              <w:right w:val="single" w:color="auto" w:sz="4" w:space="0"/>
            </w:tcBorders>
            <w:vAlign w:val="center"/>
          </w:tcPr>
          <w:p w14:paraId="3A19985B">
            <w:pPr>
              <w:jc w:val="right"/>
              <w:rPr>
                <w:rFonts w:eastAsia="等线" w:cs="Times New Roman"/>
                <w:color w:val="000000"/>
              </w:rPr>
            </w:pPr>
            <w:r>
              <w:rPr>
                <w:rFonts w:eastAsia="等线" w:cs="Times New Roman"/>
                <w:color w:val="000000"/>
              </w:rPr>
              <w:t xml:space="preserve">15,622,253.78 </w:t>
            </w:r>
          </w:p>
        </w:tc>
        <w:tc>
          <w:tcPr>
            <w:tcW w:w="895" w:type="pct"/>
            <w:tcBorders>
              <w:top w:val="single" w:color="auto" w:sz="4" w:space="0"/>
              <w:left w:val="single" w:color="auto" w:sz="4" w:space="0"/>
              <w:bottom w:val="single" w:color="auto" w:sz="4" w:space="0"/>
              <w:right w:val="single" w:color="auto" w:sz="4" w:space="0"/>
            </w:tcBorders>
            <w:vAlign w:val="center"/>
          </w:tcPr>
          <w:p w14:paraId="519ECDE0">
            <w:pPr>
              <w:jc w:val="right"/>
              <w:rPr>
                <w:rFonts w:eastAsia="等线" w:cs="Times New Roman"/>
                <w:color w:val="000000"/>
              </w:rPr>
            </w:pPr>
            <w:r>
              <w:rPr>
                <w:rFonts w:eastAsia="等线" w:cs="Times New Roman"/>
                <w:color w:val="000000"/>
              </w:rPr>
              <w:t xml:space="preserve">654,999.09 </w:t>
            </w:r>
          </w:p>
        </w:tc>
      </w:tr>
      <w:tr w14:paraId="58D3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tcPr>
          <w:p w14:paraId="42935E22">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五、工会经费和职工教育经费</w:t>
            </w:r>
          </w:p>
        </w:tc>
        <w:tc>
          <w:tcPr>
            <w:tcW w:w="891" w:type="pct"/>
            <w:tcBorders>
              <w:top w:val="single" w:color="auto" w:sz="4" w:space="0"/>
              <w:left w:val="single" w:color="auto" w:sz="4" w:space="0"/>
              <w:bottom w:val="single" w:color="auto" w:sz="4" w:space="0"/>
              <w:right w:val="single" w:color="auto" w:sz="4" w:space="0"/>
            </w:tcBorders>
            <w:vAlign w:val="center"/>
          </w:tcPr>
          <w:p w14:paraId="5D92188B">
            <w:pPr>
              <w:jc w:val="right"/>
              <w:rPr>
                <w:rFonts w:eastAsia="等线" w:cs="Times New Roman"/>
                <w:color w:val="000000"/>
              </w:rPr>
            </w:pPr>
            <w:r>
              <w:rPr>
                <w:rFonts w:eastAsia="等线" w:cs="Times New Roman"/>
                <w:color w:val="000000"/>
              </w:rPr>
              <w:t xml:space="preserve">192,350.67 </w:t>
            </w:r>
          </w:p>
        </w:tc>
        <w:tc>
          <w:tcPr>
            <w:tcW w:w="881" w:type="pct"/>
            <w:tcBorders>
              <w:top w:val="single" w:color="auto" w:sz="4" w:space="0"/>
              <w:left w:val="single" w:color="auto" w:sz="4" w:space="0"/>
              <w:bottom w:val="single" w:color="auto" w:sz="4" w:space="0"/>
              <w:right w:val="single" w:color="auto" w:sz="4" w:space="0"/>
            </w:tcBorders>
            <w:vAlign w:val="center"/>
          </w:tcPr>
          <w:p w14:paraId="0B6CCE83">
            <w:pPr>
              <w:jc w:val="right"/>
              <w:rPr>
                <w:rFonts w:eastAsia="等线" w:cs="Times New Roman"/>
                <w:color w:val="000000"/>
              </w:rPr>
            </w:pPr>
            <w:r>
              <w:rPr>
                <w:rFonts w:eastAsia="等线" w:cs="Times New Roman"/>
                <w:color w:val="000000"/>
              </w:rPr>
              <w:t xml:space="preserve">308,044.29 </w:t>
            </w:r>
          </w:p>
        </w:tc>
        <w:tc>
          <w:tcPr>
            <w:tcW w:w="889" w:type="pct"/>
            <w:tcBorders>
              <w:top w:val="single" w:color="auto" w:sz="4" w:space="0"/>
              <w:left w:val="single" w:color="auto" w:sz="4" w:space="0"/>
              <w:bottom w:val="single" w:color="auto" w:sz="4" w:space="0"/>
              <w:right w:val="single" w:color="auto" w:sz="4" w:space="0"/>
            </w:tcBorders>
            <w:vAlign w:val="center"/>
          </w:tcPr>
          <w:p w14:paraId="10EF3EB6">
            <w:pPr>
              <w:jc w:val="right"/>
              <w:rPr>
                <w:rFonts w:eastAsia="等线" w:cs="Times New Roman"/>
                <w:color w:val="000000"/>
              </w:rPr>
            </w:pPr>
            <w:r>
              <w:rPr>
                <w:rFonts w:eastAsia="等线" w:cs="Times New Roman"/>
                <w:color w:val="000000"/>
              </w:rPr>
              <w:t xml:space="preserve">309,343.29 </w:t>
            </w:r>
          </w:p>
        </w:tc>
        <w:tc>
          <w:tcPr>
            <w:tcW w:w="895" w:type="pct"/>
            <w:tcBorders>
              <w:top w:val="single" w:color="auto" w:sz="4" w:space="0"/>
              <w:left w:val="single" w:color="auto" w:sz="4" w:space="0"/>
              <w:bottom w:val="single" w:color="auto" w:sz="4" w:space="0"/>
              <w:right w:val="single" w:color="auto" w:sz="4" w:space="0"/>
            </w:tcBorders>
            <w:vAlign w:val="center"/>
          </w:tcPr>
          <w:p w14:paraId="26AD22E7">
            <w:pPr>
              <w:jc w:val="right"/>
              <w:rPr>
                <w:rFonts w:eastAsia="等线" w:cs="Times New Roman"/>
                <w:color w:val="000000"/>
              </w:rPr>
            </w:pPr>
            <w:r>
              <w:rPr>
                <w:rFonts w:eastAsia="等线" w:cs="Times New Roman"/>
                <w:color w:val="000000"/>
              </w:rPr>
              <w:t xml:space="preserve">191,051.67 </w:t>
            </w:r>
          </w:p>
        </w:tc>
      </w:tr>
      <w:tr w14:paraId="76D3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vAlign w:val="center"/>
          </w:tcPr>
          <w:p w14:paraId="7E020BF0">
            <w:pPr>
              <w:autoSpaceDE w:val="0"/>
              <w:autoSpaceDN w:val="0"/>
              <w:adjustRightInd w:val="0"/>
            </w:pPr>
            <w:r>
              <w:t>六、其他短期薪酬</w:t>
            </w:r>
          </w:p>
        </w:tc>
        <w:tc>
          <w:tcPr>
            <w:tcW w:w="891" w:type="pct"/>
            <w:tcBorders>
              <w:top w:val="single" w:color="auto" w:sz="4" w:space="0"/>
              <w:left w:val="single" w:color="auto" w:sz="4" w:space="0"/>
              <w:bottom w:val="single" w:color="auto" w:sz="4" w:space="0"/>
              <w:right w:val="single" w:color="auto" w:sz="4" w:space="0"/>
            </w:tcBorders>
            <w:vAlign w:val="center"/>
          </w:tcPr>
          <w:p w14:paraId="15331CAC">
            <w:pPr>
              <w:jc w:val="right"/>
              <w:rPr>
                <w:rFonts w:eastAsia="等线" w:cs="Times New Roman"/>
              </w:rPr>
            </w:pPr>
            <w:r>
              <w:rPr>
                <w:rFonts w:eastAsia="等线" w:cs="Times New Roman"/>
                <w:color w:val="000000"/>
              </w:rPr>
              <w:t>　</w:t>
            </w:r>
          </w:p>
        </w:tc>
        <w:tc>
          <w:tcPr>
            <w:tcW w:w="881" w:type="pct"/>
            <w:tcBorders>
              <w:top w:val="single" w:color="auto" w:sz="4" w:space="0"/>
              <w:left w:val="single" w:color="auto" w:sz="4" w:space="0"/>
              <w:bottom w:val="single" w:color="auto" w:sz="4" w:space="0"/>
              <w:right w:val="single" w:color="auto" w:sz="4" w:space="0"/>
            </w:tcBorders>
            <w:vAlign w:val="center"/>
          </w:tcPr>
          <w:p w14:paraId="751050B0">
            <w:pPr>
              <w:jc w:val="right"/>
              <w:rPr>
                <w:rFonts w:eastAsia="等线" w:cs="Times New Roman"/>
              </w:rPr>
            </w:pPr>
            <w:r>
              <w:rPr>
                <w:rFonts w:eastAsia="等线" w:cs="Times New Roman"/>
                <w:color w:val="000000"/>
              </w:rPr>
              <w:t>　</w:t>
            </w:r>
          </w:p>
        </w:tc>
        <w:tc>
          <w:tcPr>
            <w:tcW w:w="889" w:type="pct"/>
            <w:tcBorders>
              <w:top w:val="single" w:color="auto" w:sz="4" w:space="0"/>
              <w:left w:val="single" w:color="auto" w:sz="4" w:space="0"/>
              <w:bottom w:val="single" w:color="auto" w:sz="4" w:space="0"/>
              <w:right w:val="single" w:color="auto" w:sz="4" w:space="0"/>
            </w:tcBorders>
            <w:vAlign w:val="center"/>
          </w:tcPr>
          <w:p w14:paraId="3353799D">
            <w:pPr>
              <w:jc w:val="right"/>
              <w:rPr>
                <w:rFonts w:eastAsia="等线" w:cs="Times New Roman"/>
              </w:rPr>
            </w:pPr>
            <w:r>
              <w:rPr>
                <w:rFonts w:eastAsia="等线" w:cs="Times New Roman"/>
                <w:color w:val="000000"/>
              </w:rPr>
              <w:t>　</w:t>
            </w:r>
          </w:p>
        </w:tc>
        <w:tc>
          <w:tcPr>
            <w:tcW w:w="895" w:type="pct"/>
            <w:tcBorders>
              <w:top w:val="single" w:color="auto" w:sz="4" w:space="0"/>
              <w:left w:val="single" w:color="auto" w:sz="4" w:space="0"/>
              <w:bottom w:val="single" w:color="auto" w:sz="4" w:space="0"/>
              <w:right w:val="single" w:color="auto" w:sz="4" w:space="0"/>
            </w:tcBorders>
            <w:vAlign w:val="center"/>
          </w:tcPr>
          <w:p w14:paraId="44B60FC0">
            <w:pPr>
              <w:jc w:val="right"/>
              <w:rPr>
                <w:rFonts w:eastAsia="等线" w:cs="Times New Roman"/>
              </w:rPr>
            </w:pPr>
            <w:r>
              <w:rPr>
                <w:rFonts w:eastAsia="等线" w:cs="Times New Roman"/>
                <w:color w:val="000000"/>
              </w:rPr>
              <w:t>　</w:t>
            </w:r>
          </w:p>
        </w:tc>
      </w:tr>
      <w:tr w14:paraId="7D2D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pct"/>
            <w:tcBorders>
              <w:top w:val="single" w:color="auto" w:sz="4" w:space="0"/>
              <w:left w:val="single" w:color="auto" w:sz="4" w:space="0"/>
              <w:bottom w:val="single" w:color="auto" w:sz="4" w:space="0"/>
              <w:right w:val="single" w:color="auto" w:sz="4" w:space="0"/>
            </w:tcBorders>
            <w:vAlign w:val="center"/>
          </w:tcPr>
          <w:p w14:paraId="7C51C1D7">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891" w:type="pct"/>
            <w:tcBorders>
              <w:top w:val="single" w:color="auto" w:sz="4" w:space="0"/>
              <w:left w:val="single" w:color="auto" w:sz="4" w:space="0"/>
              <w:bottom w:val="single" w:color="auto" w:sz="4" w:space="0"/>
              <w:right w:val="single" w:color="auto" w:sz="4" w:space="0"/>
            </w:tcBorders>
            <w:vAlign w:val="center"/>
          </w:tcPr>
          <w:p w14:paraId="0EC866F9">
            <w:pPr>
              <w:jc w:val="right"/>
              <w:rPr>
                <w:rFonts w:eastAsia="等线" w:cs="Times New Roman"/>
                <w:color w:val="000000"/>
              </w:rPr>
            </w:pPr>
            <w:r>
              <w:rPr>
                <w:rFonts w:eastAsia="等线" w:cs="Times New Roman"/>
                <w:color w:val="000000"/>
              </w:rPr>
              <w:t xml:space="preserve">75,625,008.05 </w:t>
            </w:r>
          </w:p>
        </w:tc>
        <w:tc>
          <w:tcPr>
            <w:tcW w:w="881" w:type="pct"/>
            <w:tcBorders>
              <w:top w:val="single" w:color="auto" w:sz="4" w:space="0"/>
              <w:left w:val="single" w:color="auto" w:sz="4" w:space="0"/>
              <w:bottom w:val="single" w:color="auto" w:sz="4" w:space="0"/>
              <w:right w:val="single" w:color="auto" w:sz="4" w:space="0"/>
            </w:tcBorders>
            <w:vAlign w:val="center"/>
          </w:tcPr>
          <w:p w14:paraId="31C42BD8">
            <w:pPr>
              <w:jc w:val="right"/>
              <w:rPr>
                <w:rFonts w:eastAsia="等线" w:cs="Times New Roman"/>
                <w:color w:val="000000"/>
              </w:rPr>
            </w:pPr>
            <w:r>
              <w:rPr>
                <w:rFonts w:eastAsia="等线" w:cs="Times New Roman"/>
                <w:color w:val="000000"/>
              </w:rPr>
              <w:t xml:space="preserve">427,843,075.48 </w:t>
            </w:r>
          </w:p>
        </w:tc>
        <w:tc>
          <w:tcPr>
            <w:tcW w:w="889" w:type="pct"/>
            <w:tcBorders>
              <w:top w:val="single" w:color="auto" w:sz="4" w:space="0"/>
              <w:left w:val="single" w:color="auto" w:sz="4" w:space="0"/>
              <w:bottom w:val="single" w:color="auto" w:sz="4" w:space="0"/>
              <w:right w:val="single" w:color="auto" w:sz="4" w:space="0"/>
            </w:tcBorders>
            <w:vAlign w:val="center"/>
          </w:tcPr>
          <w:p w14:paraId="0A12F65B">
            <w:pPr>
              <w:jc w:val="right"/>
              <w:rPr>
                <w:rFonts w:eastAsia="等线" w:cs="Times New Roman"/>
                <w:color w:val="000000"/>
              </w:rPr>
            </w:pPr>
            <w:r>
              <w:rPr>
                <w:rFonts w:eastAsia="等线" w:cs="Times New Roman"/>
                <w:color w:val="000000"/>
              </w:rPr>
              <w:t xml:space="preserve">393,381,132.29 </w:t>
            </w:r>
          </w:p>
        </w:tc>
        <w:tc>
          <w:tcPr>
            <w:tcW w:w="895" w:type="pct"/>
            <w:tcBorders>
              <w:top w:val="single" w:color="auto" w:sz="4" w:space="0"/>
              <w:left w:val="single" w:color="auto" w:sz="4" w:space="0"/>
              <w:bottom w:val="single" w:color="auto" w:sz="4" w:space="0"/>
              <w:right w:val="single" w:color="auto" w:sz="4" w:space="0"/>
            </w:tcBorders>
            <w:vAlign w:val="center"/>
          </w:tcPr>
          <w:p w14:paraId="473062BD">
            <w:pPr>
              <w:jc w:val="right"/>
              <w:rPr>
                <w:rFonts w:eastAsia="等线" w:cs="Times New Roman"/>
                <w:color w:val="000000"/>
              </w:rPr>
            </w:pPr>
            <w:r>
              <w:rPr>
                <w:rFonts w:eastAsia="等线" w:cs="Times New Roman"/>
                <w:color w:val="000000"/>
              </w:rPr>
              <w:t xml:space="preserve">110,086,951.24 </w:t>
            </w:r>
          </w:p>
        </w:tc>
      </w:tr>
    </w:tbl>
    <w:p w14:paraId="548ABA0F"/>
    <w:p w14:paraId="79A0DCD1">
      <w:pPr>
        <w:pStyle w:val="5"/>
        <w:numPr>
          <w:ilvl w:val="0"/>
          <w:numId w:val="7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设定提存计划列示</w:t>
      </w:r>
    </w:p>
    <w:sdt>
      <w:sdtPr>
        <w:rPr>
          <w:color w:val="000000" w:themeColor="text1"/>
          <w14:textFill>
            <w14:solidFill>
              <w14:schemeClr w14:val="tx1"/>
            </w14:solidFill>
          </w14:textFill>
        </w:rPr>
        <w:alias w:val="是否适用：设定提存计划列示[双击切换]"/>
        <w:tag w:val="_GBC_107b7eec6d75473e8809e93d01e00021"/>
        <w:id w:val="-1309466982"/>
        <w:placeholder>
          <w:docPart w:val="GBC22222222222222222222222222222"/>
        </w:placeholder>
      </w:sdtPr>
      <w:sdtEndPr>
        <w:rPr>
          <w:color w:val="000000" w:themeColor="text1"/>
          <w14:textFill>
            <w14:solidFill>
              <w14:schemeClr w14:val="tx1"/>
            </w14:solidFill>
          </w14:textFill>
        </w:rPr>
      </w:sdtEndPr>
      <w:sdtContent>
        <w:p w14:paraId="220D163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0CBE4A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设定提存计划列示"/>
          <w:tag w:val="_GBC_744d8f829e6040c78616ef1951ef7e59"/>
          <w:id w:val="13912334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设定提存计划列示"/>
          <w:tag w:val="_GBC_433e4a4ae9d648a2973673cbec959f23"/>
          <w:id w:val="8438248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1624"/>
        <w:gridCol w:w="1609"/>
        <w:gridCol w:w="1638"/>
        <w:gridCol w:w="1593"/>
      </w:tblGrid>
      <w:tr w14:paraId="7D00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8a9011ca6bd4cc895a50279da6547e9"/>
            <w:id w:val="1658179789"/>
          </w:sdtPr>
          <w:sdtContent>
            <w:tc>
              <w:tcPr>
                <w:tcW w:w="1429" w:type="pct"/>
                <w:vAlign w:val="center"/>
              </w:tcPr>
              <w:p w14:paraId="17055C0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b9ecea0e08e4c1bb5fe2474183a8480"/>
            <w:id w:val="-1100179886"/>
          </w:sdtPr>
          <w:sdtContent>
            <w:tc>
              <w:tcPr>
                <w:tcW w:w="897" w:type="pct"/>
                <w:vAlign w:val="center"/>
              </w:tcPr>
              <w:p w14:paraId="1F1654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11b6b53867b44c92b19ef791cad0c8c4"/>
            <w:id w:val="864490338"/>
          </w:sdtPr>
          <w:sdtContent>
            <w:tc>
              <w:tcPr>
                <w:tcW w:w="889" w:type="pct"/>
                <w:vAlign w:val="center"/>
              </w:tcPr>
              <w:p w14:paraId="79BB10B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c2cbd009dd4248ceb9040da5fc326084"/>
            <w:id w:val="-629931146"/>
          </w:sdtPr>
          <w:sdtContent>
            <w:tc>
              <w:tcPr>
                <w:tcW w:w="905" w:type="pct"/>
                <w:vAlign w:val="center"/>
              </w:tcPr>
              <w:p w14:paraId="4A1804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0ded00fbf217420ebfe8ace86c12086d"/>
            <w:id w:val="349308092"/>
          </w:sdtPr>
          <w:sdtContent>
            <w:tc>
              <w:tcPr>
                <w:tcW w:w="880" w:type="pct"/>
                <w:vAlign w:val="center"/>
              </w:tcPr>
              <w:p w14:paraId="11EAB7F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749B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tcPr>
          <w:p w14:paraId="38D975B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1、基本养老保险</w:t>
            </w:r>
          </w:p>
        </w:tc>
        <w:tc>
          <w:tcPr>
            <w:tcW w:w="897" w:type="pct"/>
            <w:vAlign w:val="center"/>
          </w:tcPr>
          <w:p w14:paraId="5FB3340D">
            <w:pPr>
              <w:jc w:val="right"/>
              <w:rPr>
                <w:rFonts w:eastAsia="等线" w:cs="Times New Roman"/>
                <w:color w:val="000000"/>
              </w:rPr>
            </w:pPr>
            <w:r>
              <w:rPr>
                <w:rFonts w:eastAsia="等线" w:cs="Times New Roman"/>
                <w:color w:val="000000"/>
              </w:rPr>
              <w:t xml:space="preserve">465,495.84 </w:t>
            </w:r>
          </w:p>
        </w:tc>
        <w:tc>
          <w:tcPr>
            <w:tcW w:w="889" w:type="pct"/>
            <w:vAlign w:val="center"/>
          </w:tcPr>
          <w:p w14:paraId="77098B28">
            <w:pPr>
              <w:jc w:val="right"/>
              <w:rPr>
                <w:rFonts w:eastAsia="等线" w:cs="Times New Roman"/>
                <w:color w:val="000000"/>
              </w:rPr>
            </w:pPr>
            <w:r>
              <w:rPr>
                <w:rFonts w:eastAsia="等线" w:cs="Times New Roman"/>
                <w:color w:val="000000"/>
              </w:rPr>
              <w:t xml:space="preserve">27,160,602.39 </w:t>
            </w:r>
          </w:p>
        </w:tc>
        <w:tc>
          <w:tcPr>
            <w:tcW w:w="905" w:type="pct"/>
            <w:vAlign w:val="center"/>
          </w:tcPr>
          <w:p w14:paraId="61FE591F">
            <w:pPr>
              <w:jc w:val="right"/>
              <w:rPr>
                <w:rFonts w:eastAsia="等线" w:cs="Times New Roman"/>
                <w:color w:val="000000"/>
              </w:rPr>
            </w:pPr>
            <w:r>
              <w:rPr>
                <w:rFonts w:eastAsia="等线" w:cs="Times New Roman"/>
                <w:color w:val="000000"/>
              </w:rPr>
              <w:t xml:space="preserve">26,212,214.87 </w:t>
            </w:r>
          </w:p>
        </w:tc>
        <w:tc>
          <w:tcPr>
            <w:tcW w:w="880" w:type="pct"/>
            <w:vAlign w:val="center"/>
          </w:tcPr>
          <w:p w14:paraId="0D024D54">
            <w:pPr>
              <w:jc w:val="right"/>
              <w:rPr>
                <w:rFonts w:eastAsia="等线" w:cs="Times New Roman"/>
                <w:color w:val="000000"/>
              </w:rPr>
            </w:pPr>
            <w:r>
              <w:rPr>
                <w:rFonts w:eastAsia="等线" w:cs="Times New Roman"/>
                <w:color w:val="000000"/>
              </w:rPr>
              <w:t xml:space="preserve">1,413,883.36 </w:t>
            </w:r>
          </w:p>
        </w:tc>
      </w:tr>
      <w:tr w14:paraId="1EB7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tcPr>
          <w:p w14:paraId="30A394F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2、失业保险费</w:t>
            </w:r>
          </w:p>
        </w:tc>
        <w:tc>
          <w:tcPr>
            <w:tcW w:w="897" w:type="pct"/>
            <w:vAlign w:val="center"/>
          </w:tcPr>
          <w:p w14:paraId="43AE73B2">
            <w:pPr>
              <w:jc w:val="right"/>
              <w:rPr>
                <w:rFonts w:eastAsia="等线" w:cs="Times New Roman"/>
                <w:color w:val="000000"/>
              </w:rPr>
            </w:pPr>
            <w:r>
              <w:rPr>
                <w:rFonts w:eastAsia="等线" w:cs="Times New Roman"/>
                <w:color w:val="000000"/>
              </w:rPr>
              <w:t xml:space="preserve">15,400.11 </w:t>
            </w:r>
          </w:p>
        </w:tc>
        <w:tc>
          <w:tcPr>
            <w:tcW w:w="889" w:type="pct"/>
            <w:vAlign w:val="center"/>
          </w:tcPr>
          <w:p w14:paraId="4333A211">
            <w:pPr>
              <w:jc w:val="right"/>
              <w:rPr>
                <w:rFonts w:eastAsia="等线" w:cs="Times New Roman"/>
                <w:color w:val="000000"/>
              </w:rPr>
            </w:pPr>
            <w:r>
              <w:rPr>
                <w:rFonts w:eastAsia="等线" w:cs="Times New Roman"/>
                <w:color w:val="000000"/>
              </w:rPr>
              <w:t xml:space="preserve">983,016.73 </w:t>
            </w:r>
          </w:p>
        </w:tc>
        <w:tc>
          <w:tcPr>
            <w:tcW w:w="905" w:type="pct"/>
            <w:vAlign w:val="center"/>
          </w:tcPr>
          <w:p w14:paraId="6FEA6857">
            <w:pPr>
              <w:jc w:val="right"/>
              <w:rPr>
                <w:rFonts w:eastAsia="等线" w:cs="Times New Roman"/>
                <w:color w:val="000000"/>
              </w:rPr>
            </w:pPr>
            <w:r>
              <w:rPr>
                <w:rFonts w:eastAsia="等线" w:cs="Times New Roman"/>
                <w:color w:val="000000"/>
              </w:rPr>
              <w:t xml:space="preserve">935,581.62 </w:t>
            </w:r>
          </w:p>
        </w:tc>
        <w:tc>
          <w:tcPr>
            <w:tcW w:w="880" w:type="pct"/>
            <w:vAlign w:val="center"/>
          </w:tcPr>
          <w:p w14:paraId="3548F852">
            <w:pPr>
              <w:jc w:val="right"/>
              <w:rPr>
                <w:rFonts w:eastAsia="等线" w:cs="Times New Roman"/>
                <w:color w:val="000000"/>
              </w:rPr>
            </w:pPr>
            <w:r>
              <w:rPr>
                <w:rFonts w:eastAsia="等线" w:cs="Times New Roman"/>
                <w:color w:val="000000"/>
              </w:rPr>
              <w:t xml:space="preserve">62,835.22 </w:t>
            </w:r>
          </w:p>
        </w:tc>
      </w:tr>
      <w:tr w14:paraId="7C86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vAlign w:val="center"/>
          </w:tcPr>
          <w:p w14:paraId="40FC2FE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897" w:type="pct"/>
            <w:vAlign w:val="center"/>
          </w:tcPr>
          <w:p w14:paraId="6391D8AF">
            <w:pPr>
              <w:jc w:val="right"/>
              <w:rPr>
                <w:rFonts w:eastAsia="等线" w:cs="Times New Roman"/>
                <w:color w:val="000000"/>
              </w:rPr>
            </w:pPr>
            <w:r>
              <w:rPr>
                <w:rFonts w:eastAsia="等线" w:cs="Times New Roman"/>
                <w:color w:val="000000"/>
              </w:rPr>
              <w:t xml:space="preserve">480,895.95 </w:t>
            </w:r>
          </w:p>
        </w:tc>
        <w:tc>
          <w:tcPr>
            <w:tcW w:w="889" w:type="pct"/>
            <w:vAlign w:val="center"/>
          </w:tcPr>
          <w:p w14:paraId="63F6AB6F">
            <w:pPr>
              <w:jc w:val="right"/>
              <w:rPr>
                <w:rFonts w:eastAsia="等线" w:cs="Times New Roman"/>
                <w:color w:val="000000"/>
              </w:rPr>
            </w:pPr>
            <w:r>
              <w:rPr>
                <w:rFonts w:eastAsia="等线" w:cs="Times New Roman"/>
                <w:color w:val="000000"/>
              </w:rPr>
              <w:t xml:space="preserve">28,143,619.12 </w:t>
            </w:r>
          </w:p>
        </w:tc>
        <w:tc>
          <w:tcPr>
            <w:tcW w:w="905" w:type="pct"/>
            <w:vAlign w:val="center"/>
          </w:tcPr>
          <w:p w14:paraId="4E961A79">
            <w:pPr>
              <w:jc w:val="right"/>
              <w:rPr>
                <w:rFonts w:eastAsia="等线" w:cs="Times New Roman"/>
                <w:color w:val="000000"/>
              </w:rPr>
            </w:pPr>
            <w:r>
              <w:rPr>
                <w:rFonts w:eastAsia="等线" w:cs="Times New Roman"/>
                <w:color w:val="000000"/>
              </w:rPr>
              <w:t xml:space="preserve">27,147,796.49 </w:t>
            </w:r>
          </w:p>
        </w:tc>
        <w:tc>
          <w:tcPr>
            <w:tcW w:w="880" w:type="pct"/>
            <w:vAlign w:val="center"/>
          </w:tcPr>
          <w:p w14:paraId="411A17DA">
            <w:pPr>
              <w:jc w:val="right"/>
              <w:rPr>
                <w:rFonts w:eastAsia="等线" w:cs="Times New Roman"/>
                <w:color w:val="000000"/>
              </w:rPr>
            </w:pPr>
            <w:r>
              <w:rPr>
                <w:rFonts w:eastAsia="等线" w:cs="Times New Roman"/>
                <w:color w:val="000000"/>
              </w:rPr>
              <w:t xml:space="preserve">1,476,718.58 </w:t>
            </w:r>
          </w:p>
        </w:tc>
      </w:tr>
    </w:tbl>
    <w:p w14:paraId="45BC1DE1">
      <w:pPr>
        <w:autoSpaceDE w:val="0"/>
        <w:autoSpaceDN w:val="0"/>
        <w:adjustRightInd w:val="0"/>
        <w:rPr>
          <w:color w:val="000000" w:themeColor="text1"/>
          <w14:textFill>
            <w14:solidFill>
              <w14:schemeClr w14:val="tx1"/>
            </w14:solidFill>
          </w14:textFill>
        </w:rPr>
      </w:pPr>
    </w:p>
    <w:p w14:paraId="09D12753">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付职工薪酬的说明[双击切换]"/>
        <w:tag w:val="_GBC_f41ecc08d4994ba99707111806caa376"/>
        <w:id w:val="-300150605"/>
        <w:placeholder>
          <w:docPart w:val="GBC22222222222222222222222222222"/>
        </w:placeholder>
      </w:sdtPr>
      <w:sdtEndPr>
        <w:rPr>
          <w:color w:val="000000" w:themeColor="text1"/>
          <w14:textFill>
            <w14:solidFill>
              <w14:schemeClr w14:val="tx1"/>
            </w14:solidFill>
          </w14:textFill>
        </w:rPr>
      </w:sdtEndPr>
      <w:sdtContent>
        <w:p w14:paraId="1FD7EA69">
          <w:pPr>
            <w:autoSpaceDE w:val="0"/>
            <w:autoSpaceDN w:val="0"/>
            <w:adjustRightInd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3678B20">
      <w:pPr>
        <w:autoSpaceDE w:val="0"/>
        <w:autoSpaceDN w:val="0"/>
        <w:adjustRightInd w:val="0"/>
        <w:rPr>
          <w:color w:val="000000" w:themeColor="text1"/>
          <w14:textFill>
            <w14:solidFill>
              <w14:schemeClr w14:val="tx1"/>
            </w14:solidFill>
          </w14:textFill>
        </w:rPr>
      </w:pPr>
    </w:p>
    <w:p w14:paraId="23F232F4">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应交税费</w:t>
      </w:r>
    </w:p>
    <w:sdt>
      <w:sdtPr>
        <w:rPr>
          <w:color w:val="000000" w:themeColor="text1"/>
          <w14:textFill>
            <w14:solidFill>
              <w14:schemeClr w14:val="tx1"/>
            </w14:solidFill>
          </w14:textFill>
        </w:rPr>
        <w:alias w:val="是否适用：应交税费[双击切换]"/>
        <w:tag w:val="_GBC_e7e2664720b9408384c5d3cd6d97c132"/>
        <w:id w:val="-525561768"/>
        <w:placeholder>
          <w:docPart w:val="GBC22222222222222222222222222222"/>
        </w:placeholder>
      </w:sdtPr>
      <w:sdtEndPr>
        <w:rPr>
          <w:color w:val="000000" w:themeColor="text1"/>
          <w14:textFill>
            <w14:solidFill>
              <w14:schemeClr w14:val="tx1"/>
            </w14:solidFill>
          </w14:textFill>
        </w:rPr>
      </w:sdtEndPr>
      <w:sdtContent>
        <w:p w14:paraId="3CFB043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E1EA5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交税费"/>
          <w:tag w:val="_GBC_a6162c9f021640929018406be611b834"/>
          <w:id w:val="-2749526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交税费"/>
          <w:tag w:val="_GBC_d787fa1c70604797889c69c4c364e711"/>
          <w:id w:val="-15365054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980"/>
        <w:gridCol w:w="2955"/>
        <w:gridCol w:w="2960"/>
      </w:tblGrid>
      <w:tr w14:paraId="6EC3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ab0019be2d10489d885d15626d85168f"/>
            <w:id w:val="382534535"/>
          </w:sdtPr>
          <w:sdtContent>
            <w:tc>
              <w:tcPr>
                <w:tcW w:w="1675" w:type="pct"/>
                <w:vAlign w:val="center"/>
              </w:tcPr>
              <w:p w14:paraId="05C007F3">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4d086e8f4e004ee3aa116a5d10a7ecbd"/>
            <w:id w:val="-1378000791"/>
          </w:sdtPr>
          <w:sdtContent>
            <w:tc>
              <w:tcPr>
                <w:tcW w:w="1661" w:type="pct"/>
                <w:vAlign w:val="center"/>
              </w:tcPr>
              <w:p w14:paraId="672AFE6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8b866f731e474c6ebfb67cd903ab95c8"/>
            <w:id w:val="-304703239"/>
          </w:sdtPr>
          <w:sdtContent>
            <w:tc>
              <w:tcPr>
                <w:tcW w:w="1664" w:type="pct"/>
                <w:vAlign w:val="center"/>
              </w:tcPr>
              <w:p w14:paraId="64D8431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17D7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2BF2586B">
            <w:pPr>
              <w:ind w:right="105"/>
              <w:jc w:val="center"/>
            </w:pPr>
            <w:r>
              <w:rPr>
                <w:rFonts w:hint="eastAsia"/>
              </w:rPr>
              <w:t>增值税</w:t>
            </w:r>
          </w:p>
        </w:tc>
        <w:tc>
          <w:tcPr>
            <w:tcW w:w="1661" w:type="pct"/>
          </w:tcPr>
          <w:p w14:paraId="640331BE">
            <w:pPr>
              <w:ind w:right="73"/>
              <w:jc w:val="right"/>
            </w:pPr>
            <w:r>
              <w:t>3,110,845.63</w:t>
            </w:r>
          </w:p>
        </w:tc>
        <w:tc>
          <w:tcPr>
            <w:tcW w:w="1664" w:type="pct"/>
          </w:tcPr>
          <w:p w14:paraId="01F1BC1F">
            <w:pPr>
              <w:jc w:val="right"/>
            </w:pPr>
            <w:r>
              <w:t>53,637,367.52</w:t>
            </w:r>
          </w:p>
        </w:tc>
      </w:tr>
      <w:tr w14:paraId="35A7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05189D6E">
            <w:pPr>
              <w:ind w:right="105"/>
              <w:jc w:val="center"/>
            </w:pPr>
            <w:r>
              <w:rPr>
                <w:rFonts w:hint="eastAsia"/>
              </w:rPr>
              <w:t>消费税</w:t>
            </w:r>
          </w:p>
        </w:tc>
        <w:tc>
          <w:tcPr>
            <w:tcW w:w="1661" w:type="pct"/>
          </w:tcPr>
          <w:p w14:paraId="146CD9DA">
            <w:pPr>
              <w:ind w:right="73"/>
              <w:jc w:val="right"/>
            </w:pPr>
            <w:r>
              <w:t>12,413,188.75</w:t>
            </w:r>
          </w:p>
        </w:tc>
        <w:tc>
          <w:tcPr>
            <w:tcW w:w="1664" w:type="pct"/>
          </w:tcPr>
          <w:p w14:paraId="4B632C5D">
            <w:pPr>
              <w:jc w:val="right"/>
            </w:pPr>
            <w:r>
              <w:t>13,554,968.54</w:t>
            </w:r>
          </w:p>
        </w:tc>
      </w:tr>
      <w:tr w14:paraId="52E5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08211525">
            <w:pPr>
              <w:ind w:right="105"/>
              <w:jc w:val="center"/>
            </w:pPr>
            <w:r>
              <w:rPr>
                <w:rFonts w:hint="eastAsia"/>
              </w:rPr>
              <w:t>企业所得税</w:t>
            </w:r>
          </w:p>
        </w:tc>
        <w:tc>
          <w:tcPr>
            <w:tcW w:w="1661" w:type="pct"/>
          </w:tcPr>
          <w:p w14:paraId="496D1EED">
            <w:pPr>
              <w:ind w:right="73"/>
              <w:jc w:val="right"/>
            </w:pPr>
            <w:r>
              <w:t>2,548,222.03</w:t>
            </w:r>
          </w:p>
        </w:tc>
        <w:tc>
          <w:tcPr>
            <w:tcW w:w="1664" w:type="pct"/>
          </w:tcPr>
          <w:p w14:paraId="6F4DC328">
            <w:pPr>
              <w:jc w:val="right"/>
            </w:pPr>
            <w:r>
              <w:t>5,176,728.43</w:t>
            </w:r>
          </w:p>
        </w:tc>
      </w:tr>
      <w:tr w14:paraId="0BFE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063D06B1">
            <w:pPr>
              <w:ind w:right="105"/>
              <w:jc w:val="center"/>
            </w:pPr>
            <w:r>
              <w:rPr>
                <w:rFonts w:hint="eastAsia"/>
              </w:rPr>
              <w:t>房产税</w:t>
            </w:r>
          </w:p>
        </w:tc>
        <w:tc>
          <w:tcPr>
            <w:tcW w:w="1661" w:type="pct"/>
          </w:tcPr>
          <w:p w14:paraId="38618A94">
            <w:pPr>
              <w:ind w:right="73"/>
              <w:jc w:val="right"/>
            </w:pPr>
            <w:r>
              <w:t>2,934,973.62</w:t>
            </w:r>
          </w:p>
        </w:tc>
        <w:tc>
          <w:tcPr>
            <w:tcW w:w="1664" w:type="pct"/>
          </w:tcPr>
          <w:p w14:paraId="588D6B65">
            <w:pPr>
              <w:jc w:val="right"/>
            </w:pPr>
            <w:r>
              <w:t>3,788,795.89</w:t>
            </w:r>
          </w:p>
        </w:tc>
      </w:tr>
      <w:tr w14:paraId="321F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588889B0">
            <w:pPr>
              <w:ind w:right="105"/>
              <w:jc w:val="center"/>
            </w:pPr>
            <w:r>
              <w:rPr>
                <w:rFonts w:hint="eastAsia"/>
              </w:rPr>
              <w:t>个人所得税</w:t>
            </w:r>
          </w:p>
        </w:tc>
        <w:tc>
          <w:tcPr>
            <w:tcW w:w="1661" w:type="pct"/>
          </w:tcPr>
          <w:p w14:paraId="2ED31E85">
            <w:pPr>
              <w:ind w:right="73"/>
              <w:jc w:val="right"/>
            </w:pPr>
            <w:r>
              <w:t>1,820,479.63</w:t>
            </w:r>
          </w:p>
        </w:tc>
        <w:tc>
          <w:tcPr>
            <w:tcW w:w="1664" w:type="pct"/>
          </w:tcPr>
          <w:p w14:paraId="28144B84">
            <w:pPr>
              <w:jc w:val="right"/>
            </w:pPr>
            <w:r>
              <w:t>2,749,538.38</w:t>
            </w:r>
          </w:p>
        </w:tc>
      </w:tr>
      <w:tr w14:paraId="5CAE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20483DED">
            <w:pPr>
              <w:ind w:right="105"/>
              <w:jc w:val="center"/>
            </w:pPr>
            <w:r>
              <w:rPr>
                <w:rFonts w:hint="eastAsia"/>
              </w:rPr>
              <w:t>城市维护建设税</w:t>
            </w:r>
          </w:p>
        </w:tc>
        <w:tc>
          <w:tcPr>
            <w:tcW w:w="1661" w:type="pct"/>
          </w:tcPr>
          <w:p w14:paraId="6AA9C320">
            <w:pPr>
              <w:ind w:right="73"/>
              <w:jc w:val="right"/>
            </w:pPr>
            <w:r>
              <w:t>992,754.08</w:t>
            </w:r>
          </w:p>
        </w:tc>
        <w:tc>
          <w:tcPr>
            <w:tcW w:w="1664" w:type="pct"/>
          </w:tcPr>
          <w:p w14:paraId="2E020538">
            <w:pPr>
              <w:jc w:val="right"/>
            </w:pPr>
            <w:r>
              <w:t>1,052,990.26</w:t>
            </w:r>
          </w:p>
        </w:tc>
      </w:tr>
      <w:tr w14:paraId="530B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11A2A4FB">
            <w:pPr>
              <w:ind w:right="105"/>
              <w:jc w:val="center"/>
            </w:pPr>
            <w:r>
              <w:t>教育费附加</w:t>
            </w:r>
          </w:p>
        </w:tc>
        <w:tc>
          <w:tcPr>
            <w:tcW w:w="1661" w:type="pct"/>
          </w:tcPr>
          <w:p w14:paraId="4FECC5E3">
            <w:pPr>
              <w:ind w:right="73"/>
              <w:jc w:val="right"/>
            </w:pPr>
            <w:r>
              <w:t>428,945.29</w:t>
            </w:r>
          </w:p>
        </w:tc>
        <w:tc>
          <w:tcPr>
            <w:tcW w:w="1664" w:type="pct"/>
          </w:tcPr>
          <w:p w14:paraId="462D5C7D">
            <w:pPr>
              <w:jc w:val="right"/>
            </w:pPr>
            <w:r>
              <w:t>431,469.20</w:t>
            </w:r>
          </w:p>
        </w:tc>
      </w:tr>
      <w:tr w14:paraId="62E6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52282C14">
            <w:pPr>
              <w:ind w:right="105"/>
              <w:jc w:val="center"/>
            </w:pPr>
            <w:r>
              <w:t>土地使用税</w:t>
            </w:r>
          </w:p>
        </w:tc>
        <w:tc>
          <w:tcPr>
            <w:tcW w:w="1661" w:type="pct"/>
          </w:tcPr>
          <w:p w14:paraId="5DFC185F">
            <w:pPr>
              <w:ind w:right="73"/>
              <w:jc w:val="right"/>
            </w:pPr>
            <w:r>
              <w:t>914,511.48</w:t>
            </w:r>
          </w:p>
        </w:tc>
        <w:tc>
          <w:tcPr>
            <w:tcW w:w="1664" w:type="pct"/>
          </w:tcPr>
          <w:p w14:paraId="7FF1D758">
            <w:pPr>
              <w:jc w:val="right"/>
            </w:pPr>
            <w:r>
              <w:t>353,905.50</w:t>
            </w:r>
          </w:p>
        </w:tc>
      </w:tr>
      <w:tr w14:paraId="1D2A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256E97B9">
            <w:pPr>
              <w:ind w:right="105"/>
              <w:jc w:val="center"/>
            </w:pPr>
            <w:r>
              <w:t>地方教育费附加</w:t>
            </w:r>
          </w:p>
        </w:tc>
        <w:tc>
          <w:tcPr>
            <w:tcW w:w="1661" w:type="pct"/>
          </w:tcPr>
          <w:p w14:paraId="04CD32BF">
            <w:pPr>
              <w:ind w:right="73"/>
              <w:jc w:val="right"/>
            </w:pPr>
            <w:r>
              <w:t>283,464.28</w:t>
            </w:r>
          </w:p>
        </w:tc>
        <w:tc>
          <w:tcPr>
            <w:tcW w:w="1664" w:type="pct"/>
          </w:tcPr>
          <w:p w14:paraId="60A1EF98">
            <w:pPr>
              <w:jc w:val="right"/>
            </w:pPr>
            <w:r>
              <w:t>320,796.61</w:t>
            </w:r>
          </w:p>
        </w:tc>
      </w:tr>
      <w:tr w14:paraId="04B4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14:paraId="306DF31E">
            <w:pPr>
              <w:ind w:right="105"/>
              <w:jc w:val="center"/>
            </w:pPr>
            <w:r>
              <w:t>其他</w:t>
            </w:r>
          </w:p>
        </w:tc>
        <w:tc>
          <w:tcPr>
            <w:tcW w:w="1661" w:type="pct"/>
          </w:tcPr>
          <w:p w14:paraId="78AA2259">
            <w:pPr>
              <w:ind w:right="73"/>
              <w:jc w:val="right"/>
            </w:pPr>
            <w:r>
              <w:t>2,303,122.96</w:t>
            </w:r>
          </w:p>
        </w:tc>
        <w:tc>
          <w:tcPr>
            <w:tcW w:w="1664" w:type="pct"/>
          </w:tcPr>
          <w:p w14:paraId="5F96C3A8">
            <w:pPr>
              <w:jc w:val="right"/>
            </w:pPr>
            <w:r>
              <w:t>2,693,752.02</w:t>
            </w:r>
          </w:p>
        </w:tc>
      </w:tr>
      <w:tr w14:paraId="3586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vAlign w:val="center"/>
          </w:tcPr>
          <w:p w14:paraId="393A47DB">
            <w:pPr>
              <w:ind w:right="105"/>
              <w:jc w:val="center"/>
            </w:pPr>
            <w:r>
              <w:rPr>
                <w:rFonts w:hint="eastAsia"/>
              </w:rPr>
              <w:t>合计</w:t>
            </w:r>
          </w:p>
        </w:tc>
        <w:tc>
          <w:tcPr>
            <w:tcW w:w="1661" w:type="pct"/>
          </w:tcPr>
          <w:p w14:paraId="5861AA50">
            <w:pPr>
              <w:ind w:right="73"/>
              <w:jc w:val="right"/>
            </w:pPr>
            <w:r>
              <w:t>27,750,507.75</w:t>
            </w:r>
          </w:p>
        </w:tc>
        <w:tc>
          <w:tcPr>
            <w:tcW w:w="1664" w:type="pct"/>
          </w:tcPr>
          <w:p w14:paraId="795F4B14">
            <w:pPr>
              <w:jc w:val="right"/>
            </w:pPr>
            <w:r>
              <w:t>83,760,312.35</w:t>
            </w:r>
          </w:p>
        </w:tc>
      </w:tr>
    </w:tbl>
    <w:p w14:paraId="5A981783"/>
    <w:p w14:paraId="1EE566C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应交税金的说明"/>
        <w:tag w:val="_GBC_fb59f8f9de2d41c3aaf0dc3b0970dd91"/>
        <w:id w:val="-618149897"/>
        <w:placeholder>
          <w:docPart w:val="GBC22222222222222222222222222222"/>
        </w:placeholder>
      </w:sdtPr>
      <w:sdtEndPr>
        <w:rPr>
          <w:color w:val="000000" w:themeColor="text1"/>
          <w14:textFill>
            <w14:solidFill>
              <w14:schemeClr w14:val="tx1"/>
            </w14:solidFill>
          </w14:textFill>
        </w:rPr>
      </w:sdtEndPr>
      <w:sdtContent>
        <w:p w14:paraId="0B67140D">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6F00B56">
      <w:pPr>
        <w:rPr>
          <w:color w:val="000000" w:themeColor="text1"/>
          <w14:textFill>
            <w14:solidFill>
              <w14:schemeClr w14:val="tx1"/>
            </w14:solidFill>
          </w14:textFill>
        </w:rPr>
      </w:pPr>
    </w:p>
    <w:p w14:paraId="4B7852C9">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其他应付款</w:t>
      </w:r>
    </w:p>
    <w:p w14:paraId="05EFA3FC">
      <w:pPr>
        <w:pStyle w:val="5"/>
        <w:numPr>
          <w:ilvl w:val="0"/>
          <w:numId w:val="71"/>
        </w:numPr>
        <w:ind w:left="425" w:hanging="425"/>
        <w:rPr>
          <w:color w:val="000000" w:themeColor="text1"/>
          <w14:textFill>
            <w14:solidFill>
              <w14:schemeClr w14:val="tx1"/>
            </w14:solidFill>
          </w14:textFill>
        </w:rPr>
      </w:pPr>
      <w:bookmarkStart w:id="314" w:name="_Hlk167960650"/>
      <w:r>
        <w:rPr>
          <w:rFonts w:hint="eastAsia"/>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其他应付款分类列示[双击切换]"/>
        <w:tag w:val="_GBC_5827d75493f041f68356cdf43e4b0e52"/>
        <w:id w:val="-1410610831"/>
        <w:placeholder>
          <w:docPart w:val="GBC22222222222222222222222222222"/>
        </w:placeholder>
      </w:sdtPr>
      <w:sdtEndPr>
        <w:rPr>
          <w:color w:val="000000" w:themeColor="text1"/>
          <w14:textFill>
            <w14:solidFill>
              <w14:schemeClr w14:val="tx1"/>
            </w14:solidFill>
          </w14:textFill>
        </w:rPr>
      </w:sdtEndPr>
      <w:sdtContent>
        <w:p w14:paraId="1F73D46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0098E7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其他应付款分类列示"/>
          <w:tag w:val="_GBC_2c430d2cae634c2e8376192a2b4c05d5"/>
          <w:id w:val="14623885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其他应付款分类列示"/>
          <w:tag w:val="_GBC_ac9f03788d1745f8afc5195f61ce7b16"/>
          <w:id w:val="943790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14:paraId="721B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47406e2caa94b57a871517659cf9c0e"/>
            <w:id w:val="-2022773638"/>
          </w:sdtPr>
          <w:sdtContent>
            <w:tc>
              <w:tcPr>
                <w:tcW w:w="1828" w:type="pct"/>
                <w:vAlign w:val="center"/>
              </w:tcPr>
              <w:p w14:paraId="494DC632">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719b36c588443f38353aada8839625f"/>
            <w:id w:val="1633834538"/>
          </w:sdtPr>
          <w:sdtContent>
            <w:tc>
              <w:tcPr>
                <w:tcW w:w="1582" w:type="pct"/>
                <w:vAlign w:val="center"/>
              </w:tcPr>
              <w:p w14:paraId="2D15932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bc6045ff64f3481da65c0cff41edd1d0"/>
            <w:id w:val="-386723258"/>
          </w:sdtPr>
          <w:sdtContent>
            <w:tc>
              <w:tcPr>
                <w:tcW w:w="1590" w:type="pct"/>
                <w:vAlign w:val="center"/>
              </w:tcPr>
              <w:p w14:paraId="78397C9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4BB6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4AD6298F">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应付利息</w:t>
            </w:r>
          </w:p>
        </w:tc>
        <w:tc>
          <w:tcPr>
            <w:tcW w:w="1582" w:type="pct"/>
            <w:vAlign w:val="center"/>
          </w:tcPr>
          <w:p w14:paraId="5754F252">
            <w:pPr>
              <w:jc w:val="right"/>
            </w:pPr>
            <w:r>
              <w:t>2,233,814.64</w:t>
            </w:r>
          </w:p>
        </w:tc>
        <w:tc>
          <w:tcPr>
            <w:tcW w:w="1590" w:type="pct"/>
            <w:vAlign w:val="center"/>
          </w:tcPr>
          <w:p w14:paraId="2477F4F9">
            <w:pPr>
              <w:jc w:val="right"/>
            </w:pPr>
            <w:r>
              <w:t>2,073,383.31</w:t>
            </w:r>
          </w:p>
        </w:tc>
      </w:tr>
      <w:tr w14:paraId="22D9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238FC191">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应付股利</w:t>
            </w:r>
          </w:p>
        </w:tc>
        <w:tc>
          <w:tcPr>
            <w:tcW w:w="1582" w:type="pct"/>
            <w:vAlign w:val="center"/>
          </w:tcPr>
          <w:p w14:paraId="381767FA">
            <w:pPr>
              <w:jc w:val="right"/>
            </w:pPr>
          </w:p>
        </w:tc>
        <w:tc>
          <w:tcPr>
            <w:tcW w:w="1590" w:type="pct"/>
            <w:vAlign w:val="center"/>
          </w:tcPr>
          <w:p w14:paraId="2190864B">
            <w:pPr>
              <w:jc w:val="right"/>
              <w:rPr>
                <w:rFonts w:eastAsia="Times New Roman" w:cs="Times New Roman"/>
                <w:sz w:val="20"/>
                <w:szCs w:val="20"/>
              </w:rPr>
            </w:pPr>
          </w:p>
        </w:tc>
      </w:tr>
      <w:tr w14:paraId="6C5B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1F42CCE4">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其他应付款</w:t>
            </w:r>
          </w:p>
        </w:tc>
        <w:tc>
          <w:tcPr>
            <w:tcW w:w="1582" w:type="pct"/>
            <w:vAlign w:val="center"/>
          </w:tcPr>
          <w:p w14:paraId="26D19269">
            <w:pPr>
              <w:jc w:val="right"/>
              <w:rPr>
                <w:rFonts w:ascii="宋体" w:hAnsi="宋体"/>
                <w:sz w:val="24"/>
                <w:szCs w:val="24"/>
              </w:rPr>
            </w:pPr>
            <w:r>
              <w:t>1,055,596,265.78</w:t>
            </w:r>
          </w:p>
        </w:tc>
        <w:tc>
          <w:tcPr>
            <w:tcW w:w="1590" w:type="pct"/>
            <w:vAlign w:val="center"/>
          </w:tcPr>
          <w:p w14:paraId="1DA73933">
            <w:pPr>
              <w:jc w:val="right"/>
            </w:pPr>
            <w:r>
              <w:t>1,058,806,583.64</w:t>
            </w:r>
          </w:p>
        </w:tc>
      </w:tr>
      <w:tr w14:paraId="290B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8" w:type="pct"/>
          </w:tcPr>
          <w:p w14:paraId="0840A149">
            <w:pPr>
              <w:tabs>
                <w:tab w:val="right" w:pos="3690"/>
                <w:tab w:val="right" w:pos="5130"/>
                <w:tab w:val="right" w:pos="6030"/>
                <w:tab w:val="right" w:pos="7650"/>
                <w:tab w:val="right" w:pos="9270"/>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582" w:type="pct"/>
            <w:vAlign w:val="center"/>
          </w:tcPr>
          <w:p w14:paraId="0B9C062B">
            <w:pPr>
              <w:jc w:val="right"/>
            </w:pPr>
            <w:r>
              <w:t>1,057,830,080.42</w:t>
            </w:r>
          </w:p>
        </w:tc>
        <w:tc>
          <w:tcPr>
            <w:tcW w:w="1590" w:type="pct"/>
            <w:vAlign w:val="center"/>
          </w:tcPr>
          <w:p w14:paraId="29B81F09">
            <w:pPr>
              <w:jc w:val="right"/>
            </w:pPr>
            <w:r>
              <w:t>1,060,879,966.95</w:t>
            </w:r>
          </w:p>
        </w:tc>
      </w:tr>
    </w:tbl>
    <w:p w14:paraId="7C4D3031">
      <w:pPr>
        <w:rPr>
          <w:color w:val="000000" w:themeColor="text1"/>
          <w14:textFill>
            <w14:solidFill>
              <w14:schemeClr w14:val="tx1"/>
            </w14:solidFill>
          </w14:textFill>
        </w:rPr>
      </w:pPr>
      <w:r>
        <w:rPr>
          <w:rFonts w:hint="eastAsia"/>
          <w:color w:val="000000" w:themeColor="text1"/>
          <w14:textFill>
            <w14:solidFill>
              <w14:schemeClr w14:val="tx1"/>
            </w14:solidFill>
          </w14:textFill>
        </w:rPr>
        <w:t>注：上表中其他应付款指扣除应付利息、应付股利后的其他应付款。</w:t>
      </w:r>
    </w:p>
    <w:p w14:paraId="625BCD15">
      <w:pPr>
        <w:rPr>
          <w:color w:val="000000" w:themeColor="text1"/>
          <w14:textFill>
            <w14:solidFill>
              <w14:schemeClr w14:val="tx1"/>
            </w14:solidFill>
          </w14:textFill>
        </w:rPr>
      </w:pPr>
    </w:p>
    <w:bookmarkEnd w:id="314"/>
    <w:p w14:paraId="366A9F3E">
      <w:pPr>
        <w:pStyle w:val="5"/>
        <w:numPr>
          <w:ilvl w:val="0"/>
          <w:numId w:val="71"/>
        </w:numPr>
        <w:ind w:left="425" w:hanging="425"/>
        <w:rPr>
          <w:color w:val="000000" w:themeColor="text1"/>
          <w14:textFill>
            <w14:solidFill>
              <w14:schemeClr w14:val="tx1"/>
            </w14:solidFill>
          </w14:textFill>
        </w:rPr>
      </w:pPr>
      <w:bookmarkStart w:id="315" w:name="_Hlk10536047"/>
      <w:r>
        <w:rPr>
          <w:rFonts w:hint="eastAsia"/>
          <w:color w:val="000000" w:themeColor="text1"/>
          <w14:textFill>
            <w14:solidFill>
              <w14:schemeClr w14:val="tx1"/>
            </w14:solidFill>
          </w14:textFill>
        </w:rPr>
        <w:t>应付利息</w:t>
      </w:r>
    </w:p>
    <w:sdt>
      <w:sdtPr>
        <w:rPr>
          <w:color w:val="000000" w:themeColor="text1"/>
          <w14:textFill>
            <w14:solidFill>
              <w14:schemeClr w14:val="tx1"/>
            </w14:solidFill>
          </w14:textFill>
        </w:rPr>
        <w:alias w:val="是否适用：应付利息[双击切换]"/>
        <w:tag w:val="_GBC_9058c1c6b0a94f6a8c531ec2dbd35706"/>
        <w:id w:val="1623571438"/>
        <w:placeholder>
          <w:docPart w:val="GBC22222222222222222222222222222"/>
        </w:placeholder>
      </w:sdtPr>
      <w:sdtEndPr>
        <w:rPr>
          <w:color w:val="000000" w:themeColor="text1"/>
          <w14:textFill>
            <w14:solidFill>
              <w14:schemeClr w14:val="tx1"/>
            </w14:solidFill>
          </w14:textFill>
        </w:rPr>
      </w:sdtEndPr>
      <w:sdtContent>
        <w:p w14:paraId="6F88D88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0E714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应付利息"/>
          <w:tag w:val="_GBC_e9907c009de64097a89479217dbdc838"/>
          <w:id w:val="-123777708"/>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应付利息"/>
          <w:tag w:val="_GBC_228df0cb4ea54d139c46410a0dcee74f"/>
          <w:id w:val="-76498874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0"/>
        <w:gridCol w:w="2564"/>
        <w:gridCol w:w="2565"/>
      </w:tblGrid>
      <w:tr w14:paraId="3680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d292d41e49846139b4ab78a4f19d473"/>
            <w:id w:val="-849870735"/>
          </w:sdtPr>
          <w:sdtContent>
            <w:tc>
              <w:tcPr>
                <w:tcW w:w="2166" w:type="pct"/>
                <w:tcBorders>
                  <w:top w:val="single" w:color="auto" w:sz="4" w:space="0"/>
                  <w:left w:val="single" w:color="auto" w:sz="4" w:space="0"/>
                  <w:bottom w:val="single" w:color="auto" w:sz="4" w:space="0"/>
                  <w:right w:val="single" w:color="auto" w:sz="4" w:space="0"/>
                </w:tcBorders>
                <w:vAlign w:val="bottom"/>
              </w:tcPr>
              <w:p w14:paraId="0496B469">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c7e9f13ec1e438b94631b9105180a42"/>
            <w:id w:val="1045022260"/>
          </w:sdtPr>
          <w:sdtContent>
            <w:tc>
              <w:tcPr>
                <w:tcW w:w="1417" w:type="pct"/>
                <w:tcBorders>
                  <w:top w:val="single" w:color="auto" w:sz="4" w:space="0"/>
                  <w:left w:val="single" w:color="auto" w:sz="4" w:space="0"/>
                  <w:bottom w:val="single" w:color="auto" w:sz="4" w:space="0"/>
                  <w:right w:val="single" w:color="auto" w:sz="4" w:space="0"/>
                </w:tcBorders>
                <w:vAlign w:val="bottom"/>
              </w:tcPr>
              <w:p w14:paraId="7FE2B18B">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d562962f373f4d1588c525f99393fe5a"/>
            <w:id w:val="371660576"/>
          </w:sdtPr>
          <w:sdtContent>
            <w:tc>
              <w:tcPr>
                <w:tcW w:w="1417" w:type="pct"/>
                <w:tcBorders>
                  <w:top w:val="single" w:color="auto" w:sz="4" w:space="0"/>
                  <w:left w:val="single" w:color="auto" w:sz="4" w:space="0"/>
                  <w:bottom w:val="single" w:color="auto" w:sz="4" w:space="0"/>
                  <w:right w:val="single" w:color="auto" w:sz="4" w:space="0"/>
                </w:tcBorders>
                <w:vAlign w:val="bottom"/>
              </w:tcPr>
              <w:p w14:paraId="7C33B357">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0FA1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pct"/>
            <w:tcBorders>
              <w:top w:val="single" w:color="auto" w:sz="4" w:space="0"/>
              <w:left w:val="single" w:color="auto" w:sz="4" w:space="0"/>
              <w:bottom w:val="single" w:color="auto" w:sz="4" w:space="0"/>
              <w:right w:val="single" w:color="auto" w:sz="4" w:space="0"/>
            </w:tcBorders>
          </w:tcPr>
          <w:p w14:paraId="20F234AC">
            <w:r>
              <w:t>河南省树民动力机械制造有限公司</w:t>
            </w:r>
          </w:p>
        </w:tc>
        <w:tc>
          <w:tcPr>
            <w:tcW w:w="1417" w:type="pct"/>
            <w:tcBorders>
              <w:top w:val="single" w:color="auto" w:sz="4" w:space="0"/>
              <w:left w:val="single" w:color="auto" w:sz="4" w:space="0"/>
              <w:bottom w:val="single" w:color="auto" w:sz="4" w:space="0"/>
              <w:right w:val="single" w:color="auto" w:sz="4" w:space="0"/>
            </w:tcBorders>
          </w:tcPr>
          <w:p w14:paraId="072C5197">
            <w:pPr>
              <w:jc w:val="right"/>
            </w:pPr>
            <w:r>
              <w:t>807,448.86</w:t>
            </w:r>
          </w:p>
        </w:tc>
        <w:tc>
          <w:tcPr>
            <w:tcW w:w="1417" w:type="pct"/>
            <w:tcBorders>
              <w:top w:val="single" w:color="auto" w:sz="4" w:space="0"/>
              <w:left w:val="single" w:color="auto" w:sz="4" w:space="0"/>
              <w:bottom w:val="single" w:color="auto" w:sz="4" w:space="0"/>
              <w:right w:val="single" w:color="auto" w:sz="4" w:space="0"/>
            </w:tcBorders>
          </w:tcPr>
          <w:p w14:paraId="2ECF535A">
            <w:pPr>
              <w:jc w:val="right"/>
            </w:pPr>
            <w:r>
              <w:t>647,017.53</w:t>
            </w:r>
          </w:p>
        </w:tc>
      </w:tr>
      <w:tr w14:paraId="1BE7D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pct"/>
            <w:tcBorders>
              <w:top w:val="single" w:color="auto" w:sz="4" w:space="0"/>
              <w:left w:val="single" w:color="auto" w:sz="4" w:space="0"/>
              <w:bottom w:val="single" w:color="auto" w:sz="4" w:space="0"/>
              <w:right w:val="single" w:color="auto" w:sz="4" w:space="0"/>
            </w:tcBorders>
          </w:tcPr>
          <w:p w14:paraId="00179C58">
            <w:r>
              <w:t>河南五建第三建筑安装有限公司</w:t>
            </w:r>
          </w:p>
        </w:tc>
        <w:tc>
          <w:tcPr>
            <w:tcW w:w="1417" w:type="pct"/>
            <w:tcBorders>
              <w:top w:val="single" w:color="auto" w:sz="4" w:space="0"/>
              <w:left w:val="single" w:color="auto" w:sz="4" w:space="0"/>
              <w:bottom w:val="single" w:color="auto" w:sz="4" w:space="0"/>
              <w:right w:val="single" w:color="auto" w:sz="4" w:space="0"/>
            </w:tcBorders>
          </w:tcPr>
          <w:p w14:paraId="0F1B235E">
            <w:pPr>
              <w:jc w:val="right"/>
            </w:pPr>
            <w:r>
              <w:t>1,426,365.78</w:t>
            </w:r>
          </w:p>
        </w:tc>
        <w:tc>
          <w:tcPr>
            <w:tcW w:w="1417" w:type="pct"/>
            <w:tcBorders>
              <w:top w:val="single" w:color="auto" w:sz="4" w:space="0"/>
              <w:left w:val="single" w:color="auto" w:sz="4" w:space="0"/>
              <w:bottom w:val="single" w:color="auto" w:sz="4" w:space="0"/>
              <w:right w:val="single" w:color="auto" w:sz="4" w:space="0"/>
            </w:tcBorders>
          </w:tcPr>
          <w:p w14:paraId="39F55112">
            <w:pPr>
              <w:jc w:val="right"/>
            </w:pPr>
            <w:r>
              <w:t>1,426,365.78</w:t>
            </w:r>
          </w:p>
        </w:tc>
      </w:tr>
      <w:tr w14:paraId="3D78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6" w:type="pct"/>
            <w:tcBorders>
              <w:top w:val="single" w:color="auto" w:sz="4" w:space="0"/>
              <w:left w:val="single" w:color="auto" w:sz="4" w:space="0"/>
              <w:bottom w:val="single" w:color="auto" w:sz="4" w:space="0"/>
              <w:right w:val="single" w:color="auto" w:sz="4" w:space="0"/>
            </w:tcBorders>
          </w:tcPr>
          <w:p w14:paraId="471612FC">
            <w:pPr>
              <w:jc w:val="center"/>
            </w:pPr>
            <w:r>
              <w:rPr>
                <w:rFonts w:hint="eastAsia"/>
              </w:rPr>
              <w:t>合计</w:t>
            </w:r>
          </w:p>
        </w:tc>
        <w:tc>
          <w:tcPr>
            <w:tcW w:w="1417" w:type="pct"/>
            <w:tcBorders>
              <w:top w:val="single" w:color="auto" w:sz="4" w:space="0"/>
              <w:left w:val="single" w:color="auto" w:sz="4" w:space="0"/>
              <w:bottom w:val="single" w:color="auto" w:sz="4" w:space="0"/>
              <w:right w:val="single" w:color="auto" w:sz="4" w:space="0"/>
            </w:tcBorders>
          </w:tcPr>
          <w:p w14:paraId="688DF7CE">
            <w:pPr>
              <w:jc w:val="right"/>
            </w:pPr>
            <w:r>
              <w:t>2,233,814.64</w:t>
            </w:r>
          </w:p>
        </w:tc>
        <w:tc>
          <w:tcPr>
            <w:tcW w:w="1417" w:type="pct"/>
            <w:tcBorders>
              <w:top w:val="single" w:color="auto" w:sz="4" w:space="0"/>
              <w:left w:val="single" w:color="auto" w:sz="4" w:space="0"/>
              <w:bottom w:val="single" w:color="auto" w:sz="4" w:space="0"/>
              <w:right w:val="single" w:color="auto" w:sz="4" w:space="0"/>
            </w:tcBorders>
          </w:tcPr>
          <w:p w14:paraId="250E8992">
            <w:pPr>
              <w:jc w:val="right"/>
            </w:pPr>
            <w:r>
              <w:t>2,073,383.31</w:t>
            </w:r>
          </w:p>
        </w:tc>
      </w:tr>
    </w:tbl>
    <w:p w14:paraId="2C18863E"/>
    <w:p w14:paraId="2D59C89E">
      <w:pPr>
        <w:rPr>
          <w:color w:val="000000" w:themeColor="text1"/>
          <w14:textFill>
            <w14:solidFill>
              <w14:schemeClr w14:val="tx1"/>
            </w14:solidFill>
          </w14:textFill>
        </w:rPr>
      </w:pPr>
      <w:r>
        <w:rPr>
          <w:rFonts w:hint="eastAsia"/>
          <w:color w:val="000000" w:themeColor="text1"/>
          <w14:textFill>
            <w14:solidFill>
              <w14:schemeClr w14:val="tx1"/>
            </w14:solidFill>
          </w14:textFill>
        </w:rPr>
        <w:t>逾期的重要应付利息：</w:t>
      </w:r>
    </w:p>
    <w:sdt>
      <w:sdtPr>
        <w:rPr>
          <w:color w:val="000000" w:themeColor="text1"/>
          <w14:textFill>
            <w14:solidFill>
              <w14:schemeClr w14:val="tx1"/>
            </w14:solidFill>
          </w14:textFill>
        </w:rPr>
        <w:alias w:val="是否适用：重要的已逾期未支付的利息情况[双击切换]"/>
        <w:tag w:val="_GBC_467048e0118b400abf781e8a74db94e2"/>
        <w:id w:val="1642082976"/>
      </w:sdtPr>
      <w:sdtEndPr>
        <w:rPr>
          <w:color w:val="000000" w:themeColor="text1"/>
          <w14:textFill>
            <w14:solidFill>
              <w14:schemeClr w14:val="tx1"/>
            </w14:solidFill>
          </w14:textFill>
        </w:rPr>
      </w:sdtEndPr>
      <w:sdtContent>
        <w:p w14:paraId="7B15A98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D30CA3E">
      <w:pPr>
        <w:rPr>
          <w:color w:val="000000" w:themeColor="text1"/>
          <w14:textFill>
            <w14:solidFill>
              <w14:schemeClr w14:val="tx1"/>
            </w14:solidFill>
          </w14:textFill>
        </w:rPr>
      </w:pPr>
    </w:p>
    <w:p w14:paraId="7A51A800">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付利息说明[双击切换]"/>
        <w:tag w:val="_GBC_7fa89c7d8b4b40bb9885811bf3463d04"/>
        <w:id w:val="1698886693"/>
      </w:sdtPr>
      <w:sdtEndPr>
        <w:rPr>
          <w:color w:val="000000" w:themeColor="text1"/>
          <w14:textFill>
            <w14:solidFill>
              <w14:schemeClr w14:val="tx1"/>
            </w14:solidFill>
          </w14:textFill>
        </w:rPr>
      </w:sdtEndPr>
      <w:sdtContent>
        <w:p w14:paraId="021266F4">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9E04E6">
      <w:pPr>
        <w:rPr>
          <w:color w:val="000000" w:themeColor="text1"/>
          <w14:textFill>
            <w14:solidFill>
              <w14:schemeClr w14:val="tx1"/>
            </w14:solidFill>
          </w14:textFill>
        </w:rPr>
      </w:pPr>
    </w:p>
    <w:bookmarkEnd w:id="315"/>
    <w:p w14:paraId="199DA043">
      <w:pPr>
        <w:pStyle w:val="5"/>
        <w:numPr>
          <w:ilvl w:val="0"/>
          <w:numId w:val="71"/>
        </w:numPr>
        <w:ind w:left="425" w:hanging="425"/>
        <w:rPr>
          <w:color w:val="000000" w:themeColor="text1"/>
          <w14:textFill>
            <w14:solidFill>
              <w14:schemeClr w14:val="tx1"/>
            </w14:solidFill>
          </w14:textFill>
        </w:rPr>
      </w:pPr>
      <w:bookmarkStart w:id="316" w:name="_Hlk10536068"/>
      <w:bookmarkStart w:id="317" w:name="_Hlk10536082"/>
      <w:r>
        <w:rPr>
          <w:rFonts w:hint="eastAsia"/>
          <w:color w:val="000000" w:themeColor="text1"/>
          <w14:textFill>
            <w14:solidFill>
              <w14:schemeClr w14:val="tx1"/>
            </w14:solidFill>
          </w14:textFill>
        </w:rPr>
        <w:t>应付股利</w:t>
      </w:r>
      <w:bookmarkEnd w:id="316"/>
    </w:p>
    <w:sdt>
      <w:sdtPr>
        <w:rPr>
          <w:color w:val="000000" w:themeColor="text1"/>
          <w14:textFill>
            <w14:solidFill>
              <w14:schemeClr w14:val="tx1"/>
            </w14:solidFill>
          </w14:textFill>
        </w:rPr>
        <w:alias w:val="是否适用：应付股利[双击切换]"/>
        <w:tag w:val="_GBC_09dc75ba10d44acfb18b03320a40e4c5"/>
        <w:id w:val="-1518384523"/>
        <w:placeholder>
          <w:docPart w:val="GBC22222222222222222222222222222"/>
        </w:placeholder>
      </w:sdtPr>
      <w:sdtEndPr>
        <w:rPr>
          <w:color w:val="000000" w:themeColor="text1"/>
          <w14:textFill>
            <w14:solidFill>
              <w14:schemeClr w14:val="tx1"/>
            </w14:solidFill>
          </w14:textFill>
        </w:rPr>
      </w:sdtEndPr>
      <w:sdtContent>
        <w:p w14:paraId="2D5084C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17"/>
    <w:p w14:paraId="42BFC431">
      <w:pPr>
        <w:rPr>
          <w:color w:val="000000" w:themeColor="text1"/>
          <w14:textFill>
            <w14:solidFill>
              <w14:schemeClr w14:val="tx1"/>
            </w14:solidFill>
          </w14:textFill>
        </w:rPr>
      </w:pPr>
    </w:p>
    <w:p w14:paraId="0A797622">
      <w:pPr>
        <w:pStyle w:val="5"/>
        <w:numPr>
          <w:ilvl w:val="0"/>
          <w:numId w:val="71"/>
        </w:numPr>
        <w:ind w:left="425" w:hanging="425"/>
        <w:rPr>
          <w:color w:val="000000" w:themeColor="text1"/>
          <w14:textFill>
            <w14:solidFill>
              <w14:schemeClr w14:val="tx1"/>
            </w14:solidFill>
          </w14:textFill>
        </w:rPr>
      </w:pPr>
      <w:bookmarkStart w:id="318" w:name="_Hlk10536163"/>
      <w:r>
        <w:rPr>
          <w:rFonts w:hint="eastAsia"/>
          <w:color w:val="000000" w:themeColor="text1"/>
          <w14:textFill>
            <w14:solidFill>
              <w14:schemeClr w14:val="tx1"/>
            </w14:solidFill>
          </w14:textFill>
        </w:rPr>
        <w:t>其他应付款</w:t>
      </w:r>
    </w:p>
    <w:p w14:paraId="1770B642">
      <w:pPr>
        <w:rPr>
          <w:color w:val="000000" w:themeColor="text1"/>
          <w14:textFill>
            <w14:solidFill>
              <w14:schemeClr w14:val="tx1"/>
            </w14:solidFill>
          </w14:textFill>
        </w:rPr>
      </w:pPr>
      <w:r>
        <w:rPr>
          <w:rFonts w:hint="eastAsia"/>
          <w:color w:val="000000" w:themeColor="text1"/>
          <w14:textFill>
            <w14:solidFill>
              <w14:schemeClr w14:val="tx1"/>
            </w14:solidFill>
          </w14:textFill>
        </w:rPr>
        <w:t>按款项性质列示其他应付款</w:t>
      </w:r>
    </w:p>
    <w:sdt>
      <w:sdtPr>
        <w:rPr>
          <w:color w:val="000000" w:themeColor="text1"/>
          <w14:textFill>
            <w14:solidFill>
              <w14:schemeClr w14:val="tx1"/>
            </w14:solidFill>
          </w14:textFill>
        </w:rPr>
        <w:alias w:val="是否适用：按款项性质列示其他应付款[双击切换]"/>
        <w:tag w:val="_GBC_a099ebd596de4984814ff6b49af92e86"/>
        <w:id w:val="-952856765"/>
        <w:placeholder>
          <w:docPart w:val="GBC22222222222222222222222222222"/>
        </w:placeholder>
      </w:sdtPr>
      <w:sdtEndPr>
        <w:rPr>
          <w:color w:val="000000" w:themeColor="text1"/>
          <w14:textFill>
            <w14:solidFill>
              <w14:schemeClr w14:val="tx1"/>
            </w14:solidFill>
          </w14:textFill>
        </w:rPr>
      </w:sdtEndPr>
      <w:sdtContent>
        <w:p w14:paraId="15555B4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9FBE0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应付款情况"/>
          <w:tag w:val="_GBC_781a05c0c742470b88557fa8878adf9c"/>
          <w:id w:val="14354771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应付款情况"/>
          <w:tag w:val="_GBC_19bba6af93f1445cbfdc13ddfb71a0ea"/>
          <w:id w:val="7278847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3"/>
        <w:gridCol w:w="2999"/>
        <w:gridCol w:w="3127"/>
      </w:tblGrid>
      <w:tr w14:paraId="3604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991c4118c8d4069811e5f758978143f"/>
            <w:id w:val="1808597828"/>
          </w:sdtPr>
          <w:sdtContent>
            <w:tc>
              <w:tcPr>
                <w:tcW w:w="1615" w:type="pct"/>
              </w:tcPr>
              <w:p w14:paraId="3A49173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c1bcea3523f040f08da3a1bd0d135ad5"/>
            <w:id w:val="-1677718830"/>
          </w:sdtPr>
          <w:sdtContent>
            <w:tc>
              <w:tcPr>
                <w:tcW w:w="1657" w:type="pct"/>
              </w:tcPr>
              <w:p w14:paraId="2D5E98D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b89663858245498c995c58e2bab384aa"/>
            <w:id w:val="1799182639"/>
          </w:sdtPr>
          <w:sdtContent>
            <w:tc>
              <w:tcPr>
                <w:tcW w:w="1728" w:type="pct"/>
              </w:tcPr>
              <w:p w14:paraId="4CDD8AA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429E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6929B53A">
            <w:pPr>
              <w:jc w:val="center"/>
            </w:pPr>
            <w:r>
              <w:t>往来款</w:t>
            </w:r>
          </w:p>
        </w:tc>
        <w:tc>
          <w:tcPr>
            <w:tcW w:w="1657" w:type="pct"/>
            <w:vAlign w:val="center"/>
          </w:tcPr>
          <w:p w14:paraId="51CC6B8E">
            <w:pPr>
              <w:jc w:val="right"/>
            </w:pPr>
            <w:r>
              <w:t>578,789,398.01</w:t>
            </w:r>
          </w:p>
        </w:tc>
        <w:tc>
          <w:tcPr>
            <w:tcW w:w="1728" w:type="pct"/>
            <w:vAlign w:val="center"/>
          </w:tcPr>
          <w:p w14:paraId="73CB10D4">
            <w:pPr>
              <w:jc w:val="right"/>
            </w:pPr>
            <w:r>
              <w:t>608,856,979.14</w:t>
            </w:r>
          </w:p>
        </w:tc>
      </w:tr>
      <w:tr w14:paraId="7BF2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0BA78F51">
            <w:pPr>
              <w:jc w:val="center"/>
            </w:pPr>
            <w:r>
              <w:t>押金及保证金</w:t>
            </w:r>
          </w:p>
        </w:tc>
        <w:tc>
          <w:tcPr>
            <w:tcW w:w="1657" w:type="pct"/>
            <w:vAlign w:val="center"/>
          </w:tcPr>
          <w:p w14:paraId="1D19F825">
            <w:pPr>
              <w:jc w:val="right"/>
            </w:pPr>
            <w:r>
              <w:t>244,625,138.34</w:t>
            </w:r>
          </w:p>
        </w:tc>
        <w:tc>
          <w:tcPr>
            <w:tcW w:w="1728" w:type="pct"/>
            <w:vAlign w:val="center"/>
          </w:tcPr>
          <w:p w14:paraId="2F7B9177">
            <w:pPr>
              <w:jc w:val="right"/>
            </w:pPr>
            <w:r>
              <w:t>238,892,678.82</w:t>
            </w:r>
          </w:p>
        </w:tc>
      </w:tr>
      <w:tr w14:paraId="1964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4CC42F87">
            <w:pPr>
              <w:jc w:val="center"/>
            </w:pPr>
            <w:r>
              <w:t>预提费用</w:t>
            </w:r>
          </w:p>
        </w:tc>
        <w:tc>
          <w:tcPr>
            <w:tcW w:w="1657" w:type="pct"/>
            <w:vAlign w:val="center"/>
          </w:tcPr>
          <w:p w14:paraId="51A96EC4">
            <w:pPr>
              <w:jc w:val="right"/>
            </w:pPr>
            <w:r>
              <w:t>158,214,002.91</w:t>
            </w:r>
          </w:p>
        </w:tc>
        <w:tc>
          <w:tcPr>
            <w:tcW w:w="1728" w:type="pct"/>
            <w:vAlign w:val="center"/>
          </w:tcPr>
          <w:p w14:paraId="114AD396">
            <w:pPr>
              <w:jc w:val="right"/>
            </w:pPr>
            <w:r>
              <w:t>138,589,117.64</w:t>
            </w:r>
          </w:p>
        </w:tc>
      </w:tr>
      <w:tr w14:paraId="54A1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1E3CEA29">
            <w:pPr>
              <w:jc w:val="center"/>
            </w:pPr>
            <w:r>
              <w:t>应付股权回购款</w:t>
            </w:r>
          </w:p>
        </w:tc>
        <w:tc>
          <w:tcPr>
            <w:tcW w:w="1657" w:type="pct"/>
            <w:vAlign w:val="center"/>
          </w:tcPr>
          <w:p w14:paraId="2BEB320C">
            <w:pPr>
              <w:jc w:val="right"/>
            </w:pPr>
            <w:r>
              <w:t>135,780.00</w:t>
            </w:r>
          </w:p>
        </w:tc>
        <w:tc>
          <w:tcPr>
            <w:tcW w:w="1728" w:type="pct"/>
            <w:vAlign w:val="center"/>
          </w:tcPr>
          <w:p w14:paraId="291240A6">
            <w:pPr>
              <w:jc w:val="right"/>
            </w:pPr>
            <w:r>
              <w:t>135,780.00</w:t>
            </w:r>
          </w:p>
        </w:tc>
      </w:tr>
      <w:tr w14:paraId="441B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0D224BD5">
            <w:pPr>
              <w:jc w:val="center"/>
            </w:pPr>
            <w:r>
              <w:t>资金拆借</w:t>
            </w:r>
          </w:p>
        </w:tc>
        <w:tc>
          <w:tcPr>
            <w:tcW w:w="1657" w:type="pct"/>
            <w:vAlign w:val="center"/>
          </w:tcPr>
          <w:p w14:paraId="3D7D8667">
            <w:pPr>
              <w:jc w:val="right"/>
            </w:pPr>
            <w:r>
              <w:t>14,725,039.46</w:t>
            </w:r>
          </w:p>
        </w:tc>
        <w:tc>
          <w:tcPr>
            <w:tcW w:w="1728" w:type="pct"/>
            <w:vAlign w:val="center"/>
          </w:tcPr>
          <w:p w14:paraId="6D643808">
            <w:pPr>
              <w:jc w:val="right"/>
            </w:pPr>
            <w:r>
              <w:t>17,729,039.46</w:t>
            </w:r>
          </w:p>
        </w:tc>
      </w:tr>
      <w:tr w14:paraId="7BF3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43A73D5C">
            <w:pPr>
              <w:jc w:val="center"/>
            </w:pPr>
            <w:r>
              <w:t>其他</w:t>
            </w:r>
          </w:p>
        </w:tc>
        <w:tc>
          <w:tcPr>
            <w:tcW w:w="1657" w:type="pct"/>
            <w:vAlign w:val="center"/>
          </w:tcPr>
          <w:p w14:paraId="655F7AE8">
            <w:pPr>
              <w:jc w:val="right"/>
            </w:pPr>
            <w:r>
              <w:t>59,106,907.06</w:t>
            </w:r>
          </w:p>
        </w:tc>
        <w:tc>
          <w:tcPr>
            <w:tcW w:w="1728" w:type="pct"/>
            <w:vAlign w:val="center"/>
          </w:tcPr>
          <w:p w14:paraId="4D7781C5">
            <w:pPr>
              <w:jc w:val="right"/>
            </w:pPr>
            <w:r>
              <w:t>54,602,988.58</w:t>
            </w:r>
          </w:p>
        </w:tc>
      </w:tr>
      <w:tr w14:paraId="3148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tcPr>
          <w:p w14:paraId="0EEED73C">
            <w:pPr>
              <w:jc w:val="center"/>
            </w:pPr>
            <w:r>
              <w:rPr>
                <w:rFonts w:hint="eastAsia"/>
              </w:rPr>
              <w:t>合计</w:t>
            </w:r>
          </w:p>
        </w:tc>
        <w:tc>
          <w:tcPr>
            <w:tcW w:w="1657" w:type="pct"/>
            <w:vAlign w:val="center"/>
          </w:tcPr>
          <w:p w14:paraId="0091A356">
            <w:pPr>
              <w:jc w:val="right"/>
            </w:pPr>
            <w:r>
              <w:t>1,055,596,265.78</w:t>
            </w:r>
          </w:p>
        </w:tc>
        <w:tc>
          <w:tcPr>
            <w:tcW w:w="1728" w:type="pct"/>
            <w:vAlign w:val="center"/>
          </w:tcPr>
          <w:p w14:paraId="64BB09E3">
            <w:pPr>
              <w:jc w:val="right"/>
            </w:pPr>
            <w:r>
              <w:t>1,058,806,583.64</w:t>
            </w:r>
          </w:p>
        </w:tc>
      </w:tr>
    </w:tbl>
    <w:p w14:paraId="06ABDF3A"/>
    <w:p w14:paraId="431A8E4F">
      <w:pPr>
        <w:rPr>
          <w:color w:val="000000" w:themeColor="text1"/>
          <w14:textFill>
            <w14:solidFill>
              <w14:schemeClr w14:val="tx1"/>
            </w14:solidFill>
          </w14:textFill>
        </w:rPr>
      </w:pPr>
      <w:r>
        <w:rPr>
          <w:rFonts w:hint="eastAsia"/>
          <w:color w:val="000000" w:themeColor="text1"/>
          <w14:textFill>
            <w14:solidFill>
              <w14:schemeClr w14:val="tx1"/>
            </w14:solidFill>
          </w14:textFill>
        </w:rPr>
        <w:t>账龄超过</w:t>
      </w:r>
      <w:r>
        <w:rPr>
          <w:color w:val="000000" w:themeColor="text1"/>
          <w14:textFill>
            <w14:solidFill>
              <w14:schemeClr w14:val="tx1"/>
            </w14:solidFill>
          </w14:textFill>
        </w:rPr>
        <w:t>1年</w:t>
      </w:r>
      <w:r>
        <w:rPr>
          <w:rFonts w:hint="eastAsia"/>
          <w:color w:val="000000" w:themeColor="text1"/>
          <w14:textFill>
            <w14:solidFill>
              <w14:schemeClr w14:val="tx1"/>
            </w14:solidFill>
          </w14:textFill>
        </w:rPr>
        <w:t>或逾期</w:t>
      </w:r>
      <w:r>
        <w:rPr>
          <w:color w:val="000000" w:themeColor="text1"/>
          <w14:textFill>
            <w14:solidFill>
              <w14:schemeClr w14:val="tx1"/>
            </w14:solidFill>
          </w14:textFill>
        </w:rPr>
        <w:t>的重要其他应付款</w:t>
      </w:r>
    </w:p>
    <w:p w14:paraId="69B0E002">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账龄超过1年的重要其他应付款[双击切换]"/>
          <w:tag w:val="_GBC_484cd63ee8b54a41978c822ae4ec5689"/>
          <w:id w:val="-1438436880"/>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66F9A58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账龄超过1年的重要其他应付款"/>
          <w:tag w:val="_GBC_70627db7610a4aaf857bc90322d6cdfe"/>
          <w:id w:val="5612164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账龄超过1年的重要其他应付款"/>
          <w:tag w:val="_GBC_8ef8bcf4c1a64fecb8d1bc26dcf905d1"/>
          <w:id w:val="-16247577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5"/>
        <w:gridCol w:w="1871"/>
        <w:gridCol w:w="3113"/>
      </w:tblGrid>
      <w:tr w14:paraId="728D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tag w:val="_PLD_a2b3ff41455140df9be8564e6380c550"/>
            <w:id w:val="-169327870"/>
          </w:sdtPr>
          <w:sdtContent>
            <w:tc>
              <w:tcPr>
                <w:tcW w:w="2246" w:type="pct"/>
                <w:vAlign w:val="center"/>
              </w:tcPr>
              <w:p w14:paraId="67E7A9B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96da55b57ef4b128b17e8730df5f38e"/>
            <w:id w:val="-153837835"/>
          </w:sdtPr>
          <w:sdtContent>
            <w:tc>
              <w:tcPr>
                <w:tcW w:w="1034" w:type="pct"/>
                <w:vAlign w:val="center"/>
              </w:tcPr>
              <w:p w14:paraId="1A263AA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a0a7c81595d2416d898e57939ff78dd7"/>
            <w:id w:val="-2067784487"/>
          </w:sdtPr>
          <w:sdtContent>
            <w:tc>
              <w:tcPr>
                <w:tcW w:w="1720" w:type="pct"/>
                <w:vAlign w:val="center"/>
              </w:tcPr>
              <w:p w14:paraId="474841C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未偿还或结转的原因</w:t>
                </w:r>
              </w:p>
            </w:tc>
          </w:sdtContent>
        </w:sdt>
      </w:tr>
      <w:tr w14:paraId="1507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Borders>
              <w:bottom w:val="single" w:color="auto" w:sz="4" w:space="0"/>
            </w:tcBorders>
          </w:tcPr>
          <w:p w14:paraId="5236EBFE">
            <w:pPr>
              <w:jc w:val="center"/>
            </w:pPr>
            <w:r>
              <w:t>上海远星寰宇房地产集团有限公司</w:t>
            </w:r>
          </w:p>
        </w:tc>
        <w:tc>
          <w:tcPr>
            <w:tcW w:w="1034" w:type="pct"/>
          </w:tcPr>
          <w:p w14:paraId="1029BA93">
            <w:pPr>
              <w:jc w:val="right"/>
            </w:pPr>
            <w:r>
              <w:t>91,144,310.46</w:t>
            </w:r>
          </w:p>
        </w:tc>
        <w:tc>
          <w:tcPr>
            <w:tcW w:w="1720" w:type="pct"/>
          </w:tcPr>
          <w:p w14:paraId="3533379E">
            <w:pPr>
              <w:jc w:val="center"/>
            </w:pPr>
            <w:r>
              <w:t>前股东关联方往来款</w:t>
            </w:r>
          </w:p>
        </w:tc>
      </w:tr>
      <w:tr w14:paraId="1FD7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Borders>
              <w:bottom w:val="single" w:color="auto" w:sz="4" w:space="0"/>
            </w:tcBorders>
          </w:tcPr>
          <w:p w14:paraId="03529B70">
            <w:pPr>
              <w:jc w:val="center"/>
            </w:pPr>
            <w:r>
              <w:t>重庆竹心投资有限公司</w:t>
            </w:r>
          </w:p>
        </w:tc>
        <w:tc>
          <w:tcPr>
            <w:tcW w:w="1034" w:type="pct"/>
          </w:tcPr>
          <w:p w14:paraId="45C02E0F">
            <w:pPr>
              <w:jc w:val="right"/>
            </w:pPr>
            <w:r>
              <w:t>88,811,344.34</w:t>
            </w:r>
          </w:p>
        </w:tc>
        <w:tc>
          <w:tcPr>
            <w:tcW w:w="1720" w:type="pct"/>
          </w:tcPr>
          <w:p w14:paraId="1D06E184">
            <w:pPr>
              <w:jc w:val="center"/>
            </w:pPr>
            <w:r>
              <w:t>股东往来款</w:t>
            </w:r>
          </w:p>
        </w:tc>
      </w:tr>
      <w:tr w14:paraId="047A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Borders>
              <w:bottom w:val="single" w:color="auto" w:sz="4" w:space="0"/>
            </w:tcBorders>
          </w:tcPr>
          <w:p w14:paraId="4BC2A3D0">
            <w:pPr>
              <w:jc w:val="center"/>
            </w:pPr>
            <w:r>
              <w:t>上海睿茜企业管理有限公司</w:t>
            </w:r>
          </w:p>
        </w:tc>
        <w:tc>
          <w:tcPr>
            <w:tcW w:w="1034" w:type="pct"/>
          </w:tcPr>
          <w:p w14:paraId="2A11D6F0">
            <w:pPr>
              <w:jc w:val="right"/>
            </w:pPr>
            <w:r>
              <w:t>74,484,040.60</w:t>
            </w:r>
          </w:p>
        </w:tc>
        <w:tc>
          <w:tcPr>
            <w:tcW w:w="1720" w:type="pct"/>
          </w:tcPr>
          <w:p w14:paraId="606C9238">
            <w:pPr>
              <w:jc w:val="center"/>
            </w:pPr>
            <w:r>
              <w:t>前股东关联方往来款</w:t>
            </w:r>
          </w:p>
        </w:tc>
      </w:tr>
      <w:tr w14:paraId="68BA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Borders>
              <w:bottom w:val="single" w:color="auto" w:sz="4" w:space="0"/>
            </w:tcBorders>
          </w:tcPr>
          <w:p w14:paraId="30D55BE5">
            <w:pPr>
              <w:jc w:val="center"/>
            </w:pPr>
            <w:r>
              <w:t>重庆力帆红星商业管理有限公司</w:t>
            </w:r>
          </w:p>
        </w:tc>
        <w:tc>
          <w:tcPr>
            <w:tcW w:w="1034" w:type="pct"/>
          </w:tcPr>
          <w:p w14:paraId="1D665792">
            <w:pPr>
              <w:jc w:val="right"/>
            </w:pPr>
            <w:r>
              <w:t>69,891,222.08</w:t>
            </w:r>
          </w:p>
        </w:tc>
        <w:tc>
          <w:tcPr>
            <w:tcW w:w="1720" w:type="pct"/>
          </w:tcPr>
          <w:p w14:paraId="6AD2DDDC">
            <w:pPr>
              <w:jc w:val="center"/>
            </w:pPr>
            <w:r>
              <w:t>关联方往来款</w:t>
            </w:r>
          </w:p>
        </w:tc>
      </w:tr>
      <w:tr w14:paraId="1954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Borders>
              <w:bottom w:val="single" w:color="auto" w:sz="4" w:space="0"/>
            </w:tcBorders>
          </w:tcPr>
          <w:p w14:paraId="439CD965">
            <w:pPr>
              <w:jc w:val="center"/>
            </w:pPr>
            <w:r>
              <w:t>重庆星远房地产开发有限公司</w:t>
            </w:r>
          </w:p>
        </w:tc>
        <w:tc>
          <w:tcPr>
            <w:tcW w:w="1034" w:type="pct"/>
          </w:tcPr>
          <w:p w14:paraId="75D7B709">
            <w:pPr>
              <w:jc w:val="right"/>
            </w:pPr>
            <w:r>
              <w:t>54,850,000.00</w:t>
            </w:r>
          </w:p>
        </w:tc>
        <w:tc>
          <w:tcPr>
            <w:tcW w:w="1720" w:type="pct"/>
          </w:tcPr>
          <w:p w14:paraId="741875C3">
            <w:pPr>
              <w:jc w:val="center"/>
            </w:pPr>
            <w:r>
              <w:t>前股东关联方往来款</w:t>
            </w:r>
          </w:p>
        </w:tc>
      </w:tr>
      <w:tr w14:paraId="30FA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Borders>
              <w:bottom w:val="single" w:color="auto" w:sz="4" w:space="0"/>
            </w:tcBorders>
          </w:tcPr>
          <w:p w14:paraId="0C8621ED">
            <w:pPr>
              <w:jc w:val="center"/>
            </w:pPr>
            <w:r>
              <w:t>力帆融资租赁（上海）有限公司</w:t>
            </w:r>
          </w:p>
        </w:tc>
        <w:tc>
          <w:tcPr>
            <w:tcW w:w="1034" w:type="pct"/>
          </w:tcPr>
          <w:p w14:paraId="556523F7">
            <w:pPr>
              <w:jc w:val="right"/>
            </w:pPr>
            <w:r>
              <w:t>42,630,000.00</w:t>
            </w:r>
          </w:p>
        </w:tc>
        <w:tc>
          <w:tcPr>
            <w:tcW w:w="1720" w:type="pct"/>
          </w:tcPr>
          <w:p w14:paraId="5096E00E">
            <w:pPr>
              <w:jc w:val="center"/>
            </w:pPr>
            <w:r>
              <w:t>关联方往来款</w:t>
            </w:r>
          </w:p>
        </w:tc>
      </w:tr>
      <w:tr w14:paraId="584B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tcBorders>
              <w:bottom w:val="single" w:color="auto" w:sz="4" w:space="0"/>
            </w:tcBorders>
          </w:tcPr>
          <w:p w14:paraId="30D42C98">
            <w:pPr>
              <w:jc w:val="center"/>
            </w:pPr>
            <w:r>
              <w:t>重庆远洋红星企业发展有限公司</w:t>
            </w:r>
          </w:p>
        </w:tc>
        <w:tc>
          <w:tcPr>
            <w:tcW w:w="1034" w:type="pct"/>
          </w:tcPr>
          <w:p w14:paraId="1E2CD882">
            <w:pPr>
              <w:jc w:val="right"/>
            </w:pPr>
            <w:r>
              <w:t>36,518,009.81</w:t>
            </w:r>
          </w:p>
        </w:tc>
        <w:tc>
          <w:tcPr>
            <w:tcW w:w="1720" w:type="pct"/>
          </w:tcPr>
          <w:p w14:paraId="5D8F1869">
            <w:pPr>
              <w:jc w:val="center"/>
            </w:pPr>
            <w:r>
              <w:t>前股东关联方往来款</w:t>
            </w:r>
          </w:p>
        </w:tc>
      </w:tr>
      <w:tr w14:paraId="6D97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vAlign w:val="center"/>
          </w:tcPr>
          <w:p w14:paraId="06848B2C">
            <w:pPr>
              <w:jc w:val="center"/>
            </w:pPr>
            <w:r>
              <w:rPr>
                <w:rFonts w:hint="eastAsia"/>
              </w:rPr>
              <w:t>合计</w:t>
            </w:r>
          </w:p>
        </w:tc>
        <w:tc>
          <w:tcPr>
            <w:tcW w:w="1034" w:type="pct"/>
          </w:tcPr>
          <w:p w14:paraId="762A7309">
            <w:pPr>
              <w:jc w:val="right"/>
            </w:pPr>
            <w:r>
              <w:t>458,328,927.29</w:t>
            </w:r>
          </w:p>
        </w:tc>
        <w:tc>
          <w:tcPr>
            <w:tcW w:w="1720" w:type="pct"/>
          </w:tcPr>
          <w:p w14:paraId="724CD613">
            <w:pPr>
              <w:jc w:val="center"/>
            </w:pPr>
          </w:p>
        </w:tc>
      </w:tr>
    </w:tbl>
    <w:p w14:paraId="0F266B90"/>
    <w:p w14:paraId="59E1394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其他应付款的其他说明[双击切换]"/>
        <w:tag w:val="_GBC_c968ec386e144657884a6b5b483acbfd"/>
        <w:id w:val="-81532447"/>
        <w:placeholder>
          <w:docPart w:val="GBC22222222222222222222222222222"/>
        </w:placeholder>
      </w:sdtPr>
      <w:sdtEndPr>
        <w:rPr>
          <w:color w:val="000000" w:themeColor="text1"/>
          <w14:textFill>
            <w14:solidFill>
              <w14:schemeClr w14:val="tx1"/>
            </w14:solidFill>
          </w14:textFill>
        </w:rPr>
      </w:sdtEndPr>
      <w:sdtContent>
        <w:p w14:paraId="2C154F0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18"/>
    <w:p w14:paraId="008AE1D8">
      <w:pPr>
        <w:rPr>
          <w:color w:val="000000" w:themeColor="text1"/>
          <w14:textFill>
            <w14:solidFill>
              <w14:schemeClr w14:val="tx1"/>
            </w14:solidFill>
          </w14:textFill>
        </w:rPr>
      </w:pPr>
    </w:p>
    <w:p w14:paraId="50AA4ADB">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持有待售负债</w:t>
      </w:r>
    </w:p>
    <w:sdt>
      <w:sdtPr>
        <w:rPr>
          <w:color w:val="000000" w:themeColor="text1"/>
          <w14:textFill>
            <w14:solidFill>
              <w14:schemeClr w14:val="tx1"/>
            </w14:solidFill>
          </w14:textFill>
        </w:rPr>
        <w:alias w:val="是否适用：划分为持有待售的负债[双击切换]"/>
        <w:tag w:val="_GBC_039b9e06b132407a89f578be468d6ec8"/>
        <w:id w:val="-720894644"/>
        <w:placeholder>
          <w:docPart w:val="GBC22222222222222222222222222222"/>
        </w:placeholder>
      </w:sdtPr>
      <w:sdtEndPr>
        <w:rPr>
          <w:color w:val="000000" w:themeColor="text1"/>
          <w14:textFill>
            <w14:solidFill>
              <w14:schemeClr w14:val="tx1"/>
            </w14:solidFill>
          </w14:textFill>
        </w:rPr>
      </w:sdtEndPr>
      <w:sdtContent>
        <w:p w14:paraId="362E5B4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25CD15">
      <w:pPr>
        <w:rPr>
          <w:color w:val="000000" w:themeColor="text1"/>
          <w14:textFill>
            <w14:solidFill>
              <w14:schemeClr w14:val="tx1"/>
            </w14:solidFill>
          </w14:textFill>
        </w:rPr>
      </w:pPr>
    </w:p>
    <w:p w14:paraId="4F95D501">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1年内到期的非流动负债</w:t>
      </w:r>
    </w:p>
    <w:sdt>
      <w:sdtPr>
        <w:rPr>
          <w:color w:val="000000" w:themeColor="text1"/>
          <w14:textFill>
            <w14:solidFill>
              <w14:schemeClr w14:val="tx1"/>
            </w14:solidFill>
          </w14:textFill>
        </w:rPr>
        <w:alias w:val="是否适用：1年内到期的非流动负债[双击切换]"/>
        <w:tag w:val="_GBC_9b606bc3f0cf4f77be9b0f299d212c73"/>
        <w:id w:val="-2139016010"/>
        <w:placeholder>
          <w:docPart w:val="GBC22222222222222222222222222222"/>
        </w:placeholder>
      </w:sdtPr>
      <w:sdtEndPr>
        <w:rPr>
          <w:color w:val="000000" w:themeColor="text1"/>
          <w14:textFill>
            <w14:solidFill>
              <w14:schemeClr w14:val="tx1"/>
            </w14:solidFill>
          </w14:textFill>
        </w:rPr>
      </w:sdtEndPr>
      <w:sdtContent>
        <w:p w14:paraId="3273621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EA379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1年内到期的非流动负债情况"/>
          <w:tag w:val="_GBC_7bad01766fa0485ea9c16109704ff32e"/>
          <w:id w:val="17878487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1年内到期的非流动负债情况"/>
          <w:tag w:val="_GBC_25aa805434d340a6ade79870522c9640"/>
          <w:id w:val="11163285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37"/>
        <w:gridCol w:w="3104"/>
      </w:tblGrid>
      <w:tr w14:paraId="177E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2815b84ebe4a1e94909ee96ec31ac1"/>
            <w:id w:val="1276823645"/>
          </w:sdtPr>
          <w:sdtContent>
            <w:tc>
              <w:tcPr>
                <w:tcW w:w="1607" w:type="pct"/>
              </w:tcPr>
              <w:p w14:paraId="20BED8F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b7abcf611bc4296ad7bd9c8177202e0"/>
            <w:id w:val="-326432949"/>
          </w:sdtPr>
          <w:sdtContent>
            <w:tc>
              <w:tcPr>
                <w:tcW w:w="1678" w:type="pct"/>
              </w:tcPr>
              <w:p w14:paraId="32F54AC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371959274ef4493ca1fe426c930e0bf2"/>
            <w:id w:val="1588349774"/>
          </w:sdtPr>
          <w:sdtContent>
            <w:tc>
              <w:tcPr>
                <w:tcW w:w="1715" w:type="pct"/>
              </w:tcPr>
              <w:p w14:paraId="0AED8BC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23AD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Pr>
          <w:p w14:paraId="068B76D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1年内到期的长期借款</w:t>
            </w:r>
          </w:p>
        </w:tc>
        <w:tc>
          <w:tcPr>
            <w:tcW w:w="1678" w:type="pct"/>
            <w:vAlign w:val="center"/>
          </w:tcPr>
          <w:p w14:paraId="215DA2DC">
            <w:pPr>
              <w:jc w:val="right"/>
              <w:rPr>
                <w:rFonts w:eastAsia="等线" w:cs="Times New Roman"/>
                <w:color w:val="000000"/>
              </w:rPr>
            </w:pPr>
            <w:r>
              <w:rPr>
                <w:rFonts w:eastAsia="等线" w:cs="Times New Roman"/>
                <w:color w:val="000000"/>
              </w:rPr>
              <w:t xml:space="preserve">533,540,819.30 </w:t>
            </w:r>
          </w:p>
        </w:tc>
        <w:tc>
          <w:tcPr>
            <w:tcW w:w="1715" w:type="pct"/>
            <w:vAlign w:val="center"/>
          </w:tcPr>
          <w:p w14:paraId="058EFAAC">
            <w:pPr>
              <w:jc w:val="right"/>
              <w:rPr>
                <w:rFonts w:eastAsia="等线" w:cs="Times New Roman"/>
                <w:color w:val="000000"/>
              </w:rPr>
            </w:pPr>
            <w:r>
              <w:rPr>
                <w:rFonts w:eastAsia="等线" w:cs="Times New Roman"/>
                <w:color w:val="000000"/>
              </w:rPr>
              <w:t xml:space="preserve">578,519,025.90 </w:t>
            </w:r>
          </w:p>
        </w:tc>
      </w:tr>
      <w:tr w14:paraId="18D0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Pr>
          <w:p w14:paraId="33B96E3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1年内到期的租赁负债</w:t>
            </w:r>
          </w:p>
        </w:tc>
        <w:tc>
          <w:tcPr>
            <w:tcW w:w="1678" w:type="pct"/>
            <w:vAlign w:val="center"/>
          </w:tcPr>
          <w:p w14:paraId="4A9A2808">
            <w:pPr>
              <w:jc w:val="right"/>
              <w:rPr>
                <w:rFonts w:eastAsia="等线" w:cs="Times New Roman"/>
                <w:color w:val="000000"/>
              </w:rPr>
            </w:pPr>
            <w:r>
              <w:rPr>
                <w:rFonts w:eastAsia="等线" w:cs="Times New Roman"/>
                <w:color w:val="000000"/>
              </w:rPr>
              <w:t xml:space="preserve">755,179.53 </w:t>
            </w:r>
          </w:p>
        </w:tc>
        <w:tc>
          <w:tcPr>
            <w:tcW w:w="1715" w:type="pct"/>
            <w:vAlign w:val="center"/>
          </w:tcPr>
          <w:p w14:paraId="477C5A1B">
            <w:pPr>
              <w:jc w:val="right"/>
              <w:rPr>
                <w:rFonts w:eastAsia="等线" w:cs="Times New Roman"/>
                <w:color w:val="000000"/>
              </w:rPr>
            </w:pPr>
            <w:r>
              <w:rPr>
                <w:rFonts w:eastAsia="等线" w:cs="Times New Roman"/>
                <w:color w:val="000000"/>
              </w:rPr>
              <w:t xml:space="preserve">812,383.52 </w:t>
            </w:r>
          </w:p>
        </w:tc>
      </w:tr>
      <w:tr w14:paraId="4D3A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Pr>
          <w:p w14:paraId="05D6A05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78" w:type="pct"/>
            <w:vAlign w:val="center"/>
          </w:tcPr>
          <w:p w14:paraId="585460EF">
            <w:pPr>
              <w:jc w:val="right"/>
              <w:rPr>
                <w:rFonts w:eastAsia="等线" w:cs="Times New Roman"/>
                <w:color w:val="000000"/>
              </w:rPr>
            </w:pPr>
            <w:r>
              <w:rPr>
                <w:rFonts w:eastAsia="等线" w:cs="Times New Roman"/>
                <w:color w:val="000000"/>
              </w:rPr>
              <w:t xml:space="preserve">534,295,998.83 </w:t>
            </w:r>
          </w:p>
        </w:tc>
        <w:tc>
          <w:tcPr>
            <w:tcW w:w="1715" w:type="pct"/>
            <w:vAlign w:val="center"/>
          </w:tcPr>
          <w:p w14:paraId="75703E9D">
            <w:pPr>
              <w:jc w:val="right"/>
              <w:rPr>
                <w:rFonts w:eastAsia="等线" w:cs="Times New Roman"/>
                <w:color w:val="000000"/>
              </w:rPr>
            </w:pPr>
            <w:r>
              <w:rPr>
                <w:rFonts w:eastAsia="等线" w:cs="Times New Roman"/>
                <w:color w:val="000000"/>
              </w:rPr>
              <w:t xml:space="preserve">579,331,409.42 </w:t>
            </w:r>
          </w:p>
        </w:tc>
      </w:tr>
    </w:tbl>
    <w:p w14:paraId="1A71322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1年内到期的非流动负债说明"/>
        <w:tag w:val="_GBC_ae2cc1bff1994660ac9e57279493bfe6"/>
        <w:id w:val="1183253513"/>
        <w:placeholder>
          <w:docPart w:val="GBC22222222222222222222222222222"/>
        </w:placeholder>
      </w:sdtPr>
      <w:sdtEndPr>
        <w:rPr>
          <w:color w:val="000000" w:themeColor="text1"/>
          <w14:textFill>
            <w14:solidFill>
              <w14:schemeClr w14:val="tx1"/>
            </w14:solidFill>
          </w14:textFill>
        </w:rPr>
      </w:sdtEndPr>
      <w:sdtContent>
        <w:p w14:paraId="1BCCD53F">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7A63E27">
      <w:pPr>
        <w:rPr>
          <w:color w:val="000000" w:themeColor="text1"/>
          <w14:textFill>
            <w14:solidFill>
              <w14:schemeClr w14:val="tx1"/>
            </w14:solidFill>
          </w14:textFill>
        </w:rPr>
      </w:pPr>
    </w:p>
    <w:p w14:paraId="460E120C">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其他流动负债</w:t>
      </w:r>
      <w:bookmarkStart w:id="319" w:name="_Hlk10536328"/>
    </w:p>
    <w:sdt>
      <w:sdtPr>
        <w:rPr>
          <w:rFonts w:hint="eastAsia"/>
          <w:color w:val="000000" w:themeColor="text1"/>
          <w14:textFill>
            <w14:solidFill>
              <w14:schemeClr w14:val="tx1"/>
            </w14:solidFill>
          </w14:textFill>
        </w:rPr>
        <w:alias w:val="是否适用：其他流动负债情况 [双击切换]"/>
        <w:tag w:val="_GBC_80907e3e53c44260b850f42646eb3d63"/>
        <w:id w:val="641937224"/>
        <w:lock w:val="contentLocked"/>
        <w:placeholder>
          <w:docPart w:val="GBC22222222222222222222222222222"/>
        </w:placeholder>
      </w:sdtPr>
      <w:sdtEndPr>
        <w:rPr>
          <w:rFonts w:hint="eastAsia"/>
          <w:color w:val="000000" w:themeColor="text1"/>
          <w14:textFill>
            <w14:solidFill>
              <w14:schemeClr w14:val="tx1"/>
            </w14:solidFill>
          </w14:textFill>
        </w:rPr>
      </w:sdtEndPr>
      <w:sdtContent>
        <w:p w14:paraId="77B40C9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BE00B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流动负债"/>
          <w:tag w:val="_GBC_6d31349460124941a4929421727aab0e"/>
          <w:id w:val="9074989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流动负债"/>
          <w:tag w:val="_GBC_7d8c93066ac541859a45d371953d3cdc"/>
          <w:id w:val="-18546396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0"/>
        <w:gridCol w:w="2564"/>
        <w:gridCol w:w="2565"/>
      </w:tblGrid>
      <w:tr w14:paraId="3BDC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8fb682e3d6ad4a60b648ec38137fbf9d"/>
            <w:id w:val="-1165011475"/>
          </w:sdtPr>
          <w:sdtContent>
            <w:tc>
              <w:tcPr>
                <w:tcW w:w="2166" w:type="pct"/>
                <w:tcBorders>
                  <w:top w:val="single" w:color="auto" w:sz="4" w:space="0"/>
                  <w:left w:val="single" w:color="auto" w:sz="4" w:space="0"/>
                  <w:bottom w:val="single" w:color="auto" w:sz="4" w:space="0"/>
                  <w:right w:val="single" w:color="auto" w:sz="4" w:space="0"/>
                </w:tcBorders>
                <w:vAlign w:val="bottom"/>
              </w:tcPr>
              <w:p w14:paraId="6B1BEAD7">
                <w:pPr>
                  <w:tabs>
                    <w:tab w:val="right" w:pos="3690"/>
                    <w:tab w:val="right" w:pos="5130"/>
                    <w:tab w:val="right" w:pos="6030"/>
                    <w:tab w:val="right" w:pos="7650"/>
                    <w:tab w:val="right" w:pos="9270"/>
                  </w:tabs>
                  <w:snapToGrid w:val="0"/>
                  <w:ind w:left="-109" w:leftChars="-52"/>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0c0b762dc58f486f9f736b7ace21e9a0"/>
            <w:id w:val="-966969634"/>
          </w:sdtPr>
          <w:sdtContent>
            <w:tc>
              <w:tcPr>
                <w:tcW w:w="1417" w:type="pct"/>
                <w:tcBorders>
                  <w:top w:val="single" w:color="auto" w:sz="4" w:space="0"/>
                  <w:left w:val="single" w:color="auto" w:sz="4" w:space="0"/>
                  <w:bottom w:val="single" w:color="auto" w:sz="4" w:space="0"/>
                  <w:right w:val="single" w:color="auto" w:sz="4" w:space="0"/>
                </w:tcBorders>
              </w:tcPr>
              <w:p w14:paraId="29D5A3DC">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942d693f41424f82b813e282a8210643"/>
            <w:id w:val="675073723"/>
          </w:sdtPr>
          <w:sdtContent>
            <w:tc>
              <w:tcPr>
                <w:tcW w:w="1417" w:type="pct"/>
                <w:tcBorders>
                  <w:top w:val="single" w:color="auto" w:sz="4" w:space="0"/>
                  <w:left w:val="single" w:color="auto" w:sz="4" w:space="0"/>
                  <w:bottom w:val="single" w:color="auto" w:sz="4" w:space="0"/>
                  <w:right w:val="single" w:color="auto" w:sz="4" w:space="0"/>
                </w:tcBorders>
              </w:tcPr>
              <w:p w14:paraId="2830B248">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4F48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6" w:type="pct"/>
            <w:tcBorders>
              <w:top w:val="single" w:color="auto" w:sz="4" w:space="0"/>
              <w:left w:val="single" w:color="auto" w:sz="4" w:space="0"/>
              <w:bottom w:val="single" w:color="auto" w:sz="4" w:space="0"/>
              <w:right w:val="single" w:color="auto" w:sz="4" w:space="0"/>
            </w:tcBorders>
            <w:vAlign w:val="center"/>
          </w:tcPr>
          <w:p w14:paraId="36984A59">
            <w:pPr>
              <w:jc w:val="center"/>
              <w:rPr>
                <w:color w:val="000000"/>
              </w:rPr>
            </w:pPr>
            <w:r>
              <w:rPr>
                <w:rFonts w:hint="eastAsia"/>
                <w:color w:val="000000"/>
              </w:rPr>
              <w:t>待转销项税</w:t>
            </w:r>
          </w:p>
        </w:tc>
        <w:tc>
          <w:tcPr>
            <w:tcW w:w="1417" w:type="pct"/>
            <w:tcBorders>
              <w:top w:val="single" w:color="auto" w:sz="4" w:space="0"/>
              <w:left w:val="single" w:color="auto" w:sz="4" w:space="0"/>
              <w:bottom w:val="single" w:color="auto" w:sz="4" w:space="0"/>
              <w:right w:val="single" w:color="auto" w:sz="4" w:space="0"/>
            </w:tcBorders>
            <w:vAlign w:val="center"/>
          </w:tcPr>
          <w:p w14:paraId="7628F73B">
            <w:pPr>
              <w:jc w:val="right"/>
            </w:pPr>
            <w:r>
              <w:t>32,561,775.57</w:t>
            </w:r>
          </w:p>
        </w:tc>
        <w:tc>
          <w:tcPr>
            <w:tcW w:w="1417" w:type="pct"/>
            <w:tcBorders>
              <w:top w:val="single" w:color="auto" w:sz="4" w:space="0"/>
              <w:left w:val="single" w:color="auto" w:sz="4" w:space="0"/>
              <w:bottom w:val="single" w:color="auto" w:sz="4" w:space="0"/>
              <w:right w:val="single" w:color="auto" w:sz="4" w:space="0"/>
            </w:tcBorders>
            <w:vAlign w:val="center"/>
          </w:tcPr>
          <w:p w14:paraId="7F653CAC">
            <w:pPr>
              <w:jc w:val="right"/>
            </w:pPr>
            <w:r>
              <w:t>11,055,796.01</w:t>
            </w:r>
          </w:p>
        </w:tc>
      </w:tr>
      <w:tr w14:paraId="73FD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6" w:type="pct"/>
            <w:tcBorders>
              <w:top w:val="single" w:color="auto" w:sz="4" w:space="0"/>
              <w:left w:val="single" w:color="auto" w:sz="4" w:space="0"/>
              <w:bottom w:val="single" w:color="auto" w:sz="4" w:space="0"/>
              <w:right w:val="single" w:color="auto" w:sz="4" w:space="0"/>
            </w:tcBorders>
            <w:vAlign w:val="center"/>
          </w:tcPr>
          <w:p w14:paraId="4ECDAE4E">
            <w:pPr>
              <w:jc w:val="center"/>
              <w:rPr>
                <w:rFonts w:ascii="宋体" w:hAnsi="宋体"/>
                <w:color w:val="000000"/>
              </w:rPr>
            </w:pPr>
            <w:r>
              <w:rPr>
                <w:rFonts w:hint="eastAsia"/>
                <w:color w:val="000000"/>
              </w:rPr>
              <w:t>已背书未到期票据未终止确认金额</w:t>
            </w:r>
          </w:p>
        </w:tc>
        <w:tc>
          <w:tcPr>
            <w:tcW w:w="1417" w:type="pct"/>
            <w:tcBorders>
              <w:top w:val="single" w:color="auto" w:sz="4" w:space="0"/>
              <w:left w:val="single" w:color="auto" w:sz="4" w:space="0"/>
              <w:bottom w:val="single" w:color="auto" w:sz="4" w:space="0"/>
              <w:right w:val="single" w:color="auto" w:sz="4" w:space="0"/>
            </w:tcBorders>
            <w:vAlign w:val="center"/>
          </w:tcPr>
          <w:p w14:paraId="1F4B1BEA">
            <w:pPr>
              <w:jc w:val="right"/>
            </w:pPr>
            <w:r>
              <w:t>122,892,628.35</w:t>
            </w:r>
          </w:p>
        </w:tc>
        <w:tc>
          <w:tcPr>
            <w:tcW w:w="1417" w:type="pct"/>
            <w:tcBorders>
              <w:top w:val="single" w:color="auto" w:sz="4" w:space="0"/>
              <w:left w:val="single" w:color="auto" w:sz="4" w:space="0"/>
              <w:bottom w:val="single" w:color="auto" w:sz="4" w:space="0"/>
              <w:right w:val="single" w:color="auto" w:sz="4" w:space="0"/>
            </w:tcBorders>
            <w:vAlign w:val="center"/>
          </w:tcPr>
          <w:p w14:paraId="7522A5C2">
            <w:pPr>
              <w:jc w:val="right"/>
            </w:pPr>
            <w:r>
              <w:t>131,711,307.40</w:t>
            </w:r>
          </w:p>
        </w:tc>
      </w:tr>
      <w:tr w14:paraId="2A8F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6" w:type="pct"/>
            <w:tcBorders>
              <w:top w:val="single" w:color="auto" w:sz="4" w:space="0"/>
              <w:left w:val="single" w:color="auto" w:sz="4" w:space="0"/>
              <w:bottom w:val="single" w:color="auto" w:sz="4" w:space="0"/>
              <w:right w:val="single" w:color="auto" w:sz="4" w:space="0"/>
            </w:tcBorders>
          </w:tcPr>
          <w:p w14:paraId="7634CD8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17" w:type="pct"/>
            <w:tcBorders>
              <w:top w:val="single" w:color="auto" w:sz="4" w:space="0"/>
              <w:left w:val="single" w:color="auto" w:sz="4" w:space="0"/>
              <w:bottom w:val="single" w:color="auto" w:sz="4" w:space="0"/>
              <w:right w:val="single" w:color="auto" w:sz="4" w:space="0"/>
            </w:tcBorders>
            <w:vAlign w:val="center"/>
          </w:tcPr>
          <w:p w14:paraId="1A0B657B">
            <w:pPr>
              <w:jc w:val="right"/>
            </w:pPr>
            <w:r>
              <w:t>155,454,403.92</w:t>
            </w:r>
          </w:p>
        </w:tc>
        <w:tc>
          <w:tcPr>
            <w:tcW w:w="1417" w:type="pct"/>
            <w:tcBorders>
              <w:top w:val="single" w:color="auto" w:sz="4" w:space="0"/>
              <w:left w:val="single" w:color="auto" w:sz="4" w:space="0"/>
              <w:bottom w:val="single" w:color="auto" w:sz="4" w:space="0"/>
              <w:right w:val="single" w:color="auto" w:sz="4" w:space="0"/>
            </w:tcBorders>
            <w:vAlign w:val="center"/>
          </w:tcPr>
          <w:p w14:paraId="0358FECB">
            <w:pPr>
              <w:jc w:val="right"/>
            </w:pPr>
            <w:r>
              <w:t>142,767,103.41</w:t>
            </w:r>
          </w:p>
        </w:tc>
      </w:tr>
    </w:tbl>
    <w:p w14:paraId="43EC6369">
      <w:pPr>
        <w:rPr>
          <w:color w:val="000000" w:themeColor="text1"/>
          <w14:textFill>
            <w14:solidFill>
              <w14:schemeClr w14:val="tx1"/>
            </w14:solidFill>
          </w14:textFill>
        </w:rPr>
      </w:pPr>
    </w:p>
    <w:bookmarkEnd w:id="319"/>
    <w:p w14:paraId="2B21460A">
      <w:pPr>
        <w:rPr>
          <w:color w:val="000000" w:themeColor="text1"/>
          <w14:textFill>
            <w14:solidFill>
              <w14:schemeClr w14:val="tx1"/>
            </w14:solidFill>
          </w14:textFill>
        </w:rPr>
      </w:pPr>
      <w:bookmarkStart w:id="320" w:name="_Hlk167968687"/>
      <w:r>
        <w:rPr>
          <w:rFonts w:hint="eastAsia"/>
          <w:color w:val="000000" w:themeColor="text1"/>
          <w14:textFill>
            <w14:solidFill>
              <w14:schemeClr w14:val="tx1"/>
            </w14:solidFill>
          </w14:textFill>
        </w:rPr>
        <w:t>短期</w:t>
      </w:r>
      <w:r>
        <w:rPr>
          <w:color w:val="000000" w:themeColor="text1"/>
          <w14:textFill>
            <w14:solidFill>
              <w14:schemeClr w14:val="tx1"/>
            </w14:solidFill>
          </w14:textFill>
        </w:rPr>
        <w:t>应付债券的增减变动</w:t>
      </w:r>
      <w:r>
        <w:rPr>
          <w:rFonts w:hint="eastAsia"/>
          <w:color w:val="000000" w:themeColor="text1"/>
          <w14:textFill>
            <w14:solidFill>
              <w14:schemeClr w14:val="tx1"/>
            </w14:solidFill>
          </w14:textFill>
        </w:rPr>
        <w:t>：</w:t>
      </w:r>
    </w:p>
    <w:sdt>
      <w:sdtPr>
        <w:rPr>
          <w:color w:val="000000" w:themeColor="text1"/>
          <w14:textFill>
            <w14:solidFill>
              <w14:schemeClr w14:val="tx1"/>
            </w14:solidFill>
          </w14:textFill>
        </w:rPr>
        <w:alias w:val="是否适用：短期应付债券的增减变动[双击切换]"/>
        <w:tag w:val="_GBC_564144f89f7f4019bdcd86b0e624bfee"/>
        <w:id w:val="967329024"/>
        <w:placeholder>
          <w:docPart w:val="GBC22222222222222222222222222222"/>
        </w:placeholder>
      </w:sdtPr>
      <w:sdtEndPr>
        <w:rPr>
          <w:color w:val="000000" w:themeColor="text1"/>
          <w14:textFill>
            <w14:solidFill>
              <w14:schemeClr w14:val="tx1"/>
            </w14:solidFill>
          </w14:textFill>
        </w:rPr>
      </w:sdtEndPr>
      <w:sdtContent>
        <w:p w14:paraId="35D9B00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1D6B37A">
      <w:pPr>
        <w:rPr>
          <w:rFonts w:cstheme="minorBidi"/>
          <w:color w:val="000000" w:themeColor="text1"/>
          <w:kern w:val="2"/>
          <w14:textFill>
            <w14:solidFill>
              <w14:schemeClr w14:val="tx1"/>
            </w14:solidFill>
          </w14:textFill>
        </w:rPr>
      </w:pPr>
    </w:p>
    <w:bookmarkEnd w:id="320"/>
    <w:p w14:paraId="47E1C558">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其他流动负债说明[双击切换]"/>
        <w:tag w:val="_GBC_6ebc9e220fb04ea584ed56f756d92d59"/>
        <w:id w:val="1473870334"/>
        <w:placeholder>
          <w:docPart w:val="GBC22222222222222222222222222222"/>
        </w:placeholder>
      </w:sdtPr>
      <w:sdtEndPr>
        <w:rPr>
          <w:color w:val="000000" w:themeColor="text1"/>
          <w14:textFill>
            <w14:solidFill>
              <w14:schemeClr w14:val="tx1"/>
            </w14:solidFill>
          </w14:textFill>
        </w:rPr>
      </w:sdtEndPr>
      <w:sdtContent>
        <w:p w14:paraId="0465C0F3">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C9B1F7A">
      <w:pPr>
        <w:rPr>
          <w:color w:val="000000" w:themeColor="text1"/>
          <w14:textFill>
            <w14:solidFill>
              <w14:schemeClr w14:val="tx1"/>
            </w14:solidFill>
          </w14:textFill>
        </w:rPr>
      </w:pPr>
    </w:p>
    <w:p w14:paraId="4C3366CA">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长期借款</w:t>
      </w:r>
    </w:p>
    <w:p w14:paraId="6B414012">
      <w:pPr>
        <w:pStyle w:val="5"/>
        <w:numPr>
          <w:ilvl w:val="0"/>
          <w:numId w:val="72"/>
        </w:numPr>
        <w:tabs>
          <w:tab w:val="left" w:pos="630"/>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长期借款分类</w:t>
      </w:r>
    </w:p>
    <w:sdt>
      <w:sdtPr>
        <w:rPr>
          <w:color w:val="000000" w:themeColor="text1"/>
          <w14:textFill>
            <w14:solidFill>
              <w14:schemeClr w14:val="tx1"/>
            </w14:solidFill>
          </w14:textFill>
        </w:rPr>
        <w:alias w:val="是否适用：长期借款分类[双击切换]"/>
        <w:tag w:val="_GBC_6ef43a5268e7491db189883a31952469"/>
        <w:id w:val="1486203019"/>
        <w:placeholder>
          <w:docPart w:val="GBC22222222222222222222222222222"/>
        </w:placeholder>
      </w:sdtPr>
      <w:sdtEndPr>
        <w:rPr>
          <w:color w:val="000000" w:themeColor="text1"/>
          <w14:textFill>
            <w14:solidFill>
              <w14:schemeClr w14:val="tx1"/>
            </w14:solidFill>
          </w14:textFill>
        </w:rPr>
      </w:sdtEndPr>
      <w:sdtContent>
        <w:p w14:paraId="5291326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B3783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长期借款分类"/>
          <w:tag w:val="_GBC_146f044f7fd14a45bf9247f0af389a14"/>
          <w:id w:val="11067789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长期借款分类"/>
          <w:tag w:val="_GBC_7570ad6f1fd04c3d939be649ce4cfc30"/>
          <w:id w:val="-136868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4425"/>
        <w:gridCol w:w="2234"/>
        <w:gridCol w:w="2234"/>
      </w:tblGrid>
      <w:tr w14:paraId="0083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3ee60507a6384334b819485e73faa1f4"/>
            <w:id w:val="-1822041027"/>
          </w:sdtPr>
          <w:sdtContent>
            <w:tc>
              <w:tcPr>
                <w:tcW w:w="2488" w:type="pct"/>
              </w:tcPr>
              <w:p w14:paraId="7C97234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2a4fabfb296457384b1523a60233642"/>
            <w:id w:val="2045182159"/>
          </w:sdtPr>
          <w:sdtContent>
            <w:tc>
              <w:tcPr>
                <w:tcW w:w="1256" w:type="pct"/>
              </w:tcPr>
              <w:p w14:paraId="1FA99F4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aab598d4b37f4953a2ee9b7475cb43e6"/>
            <w:id w:val="1354151503"/>
          </w:sdtPr>
          <w:sdtContent>
            <w:tc>
              <w:tcPr>
                <w:tcW w:w="1256" w:type="pct"/>
              </w:tcPr>
              <w:p w14:paraId="61A6624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757C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488" w:type="pct"/>
          </w:tcPr>
          <w:p w14:paraId="2E54F990">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质押借款</w:t>
            </w:r>
          </w:p>
        </w:tc>
        <w:tc>
          <w:tcPr>
            <w:tcW w:w="1256" w:type="pct"/>
            <w:vAlign w:val="center"/>
          </w:tcPr>
          <w:p w14:paraId="0D35D563">
            <w:pPr>
              <w:jc w:val="right"/>
              <w:rPr>
                <w:color w:val="000000"/>
              </w:rPr>
            </w:pPr>
            <w:r>
              <w:rPr>
                <w:rFonts w:hint="eastAsia"/>
                <w:color w:val="000000"/>
              </w:rPr>
              <w:t>217,156,075.63</w:t>
            </w:r>
          </w:p>
        </w:tc>
        <w:tc>
          <w:tcPr>
            <w:tcW w:w="1256" w:type="pct"/>
            <w:vAlign w:val="center"/>
          </w:tcPr>
          <w:p w14:paraId="015E0254">
            <w:pPr>
              <w:jc w:val="right"/>
              <w:rPr>
                <w:rFonts w:eastAsia="等线" w:cs="Times New Roman"/>
                <w:color w:val="000000"/>
              </w:rPr>
            </w:pPr>
            <w:r>
              <w:rPr>
                <w:rFonts w:eastAsia="等线" w:cs="Times New Roman"/>
                <w:color w:val="000000"/>
              </w:rPr>
              <w:t xml:space="preserve">206,500,000.00 </w:t>
            </w:r>
          </w:p>
        </w:tc>
      </w:tr>
      <w:tr w14:paraId="309E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488" w:type="pct"/>
          </w:tcPr>
          <w:p w14:paraId="418D02AB">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抵押借款</w:t>
            </w:r>
          </w:p>
        </w:tc>
        <w:tc>
          <w:tcPr>
            <w:tcW w:w="1256" w:type="pct"/>
            <w:vAlign w:val="center"/>
          </w:tcPr>
          <w:p w14:paraId="4BBDCF30">
            <w:pPr>
              <w:jc w:val="right"/>
              <w:rPr>
                <w:rFonts w:ascii="宋体" w:hAnsi="宋体"/>
                <w:color w:val="000000"/>
              </w:rPr>
            </w:pPr>
            <w:r>
              <w:rPr>
                <w:rFonts w:hint="eastAsia"/>
                <w:color w:val="000000"/>
              </w:rPr>
              <w:t>991,006,292.22</w:t>
            </w:r>
          </w:p>
        </w:tc>
        <w:tc>
          <w:tcPr>
            <w:tcW w:w="1256" w:type="pct"/>
            <w:vAlign w:val="center"/>
          </w:tcPr>
          <w:p w14:paraId="5468EE46">
            <w:pPr>
              <w:jc w:val="right"/>
              <w:rPr>
                <w:rFonts w:eastAsia="等线" w:cs="Times New Roman"/>
                <w:color w:val="000000"/>
              </w:rPr>
            </w:pPr>
            <w:r>
              <w:rPr>
                <w:rFonts w:eastAsia="等线" w:cs="Times New Roman"/>
                <w:color w:val="000000"/>
              </w:rPr>
              <w:t xml:space="preserve">1,138,321,328.66 </w:t>
            </w:r>
          </w:p>
        </w:tc>
      </w:tr>
      <w:tr w14:paraId="1D21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488" w:type="pct"/>
          </w:tcPr>
          <w:p w14:paraId="59C044E1">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保证借款</w:t>
            </w:r>
          </w:p>
        </w:tc>
        <w:tc>
          <w:tcPr>
            <w:tcW w:w="1256" w:type="pct"/>
            <w:vAlign w:val="center"/>
          </w:tcPr>
          <w:p w14:paraId="39E366D4">
            <w:pPr>
              <w:jc w:val="right"/>
              <w:rPr>
                <w:rFonts w:ascii="宋体" w:hAnsi="宋体"/>
                <w:color w:val="000000"/>
              </w:rPr>
            </w:pPr>
          </w:p>
        </w:tc>
        <w:tc>
          <w:tcPr>
            <w:tcW w:w="1256" w:type="pct"/>
            <w:vAlign w:val="center"/>
          </w:tcPr>
          <w:p w14:paraId="775678F6">
            <w:pPr>
              <w:jc w:val="right"/>
              <w:rPr>
                <w:rFonts w:eastAsia="等线" w:cs="Times New Roman"/>
                <w:color w:val="000000"/>
              </w:rPr>
            </w:pPr>
            <w:r>
              <w:rPr>
                <w:rFonts w:eastAsia="等线" w:cs="Times New Roman"/>
                <w:color w:val="000000"/>
              </w:rPr>
              <w:t xml:space="preserve">2,968,095.86 </w:t>
            </w:r>
          </w:p>
        </w:tc>
      </w:tr>
      <w:tr w14:paraId="3E55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488" w:type="pct"/>
          </w:tcPr>
          <w:p w14:paraId="4804B884">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信用借款</w:t>
            </w:r>
          </w:p>
        </w:tc>
        <w:tc>
          <w:tcPr>
            <w:tcW w:w="1256" w:type="pct"/>
            <w:vAlign w:val="center"/>
          </w:tcPr>
          <w:p w14:paraId="1D9A5E3A">
            <w:pPr>
              <w:jc w:val="right"/>
              <w:rPr>
                <w:rFonts w:ascii="宋体" w:hAnsi="宋体"/>
                <w:color w:val="000000"/>
              </w:rPr>
            </w:pPr>
            <w:r>
              <w:rPr>
                <w:rFonts w:hint="eastAsia"/>
                <w:color w:val="000000"/>
              </w:rPr>
              <w:t>45,000,000.00</w:t>
            </w:r>
          </w:p>
        </w:tc>
        <w:tc>
          <w:tcPr>
            <w:tcW w:w="1256" w:type="pct"/>
            <w:vAlign w:val="center"/>
          </w:tcPr>
          <w:p w14:paraId="2EA5E72E">
            <w:pPr>
              <w:jc w:val="right"/>
              <w:rPr>
                <w:rFonts w:eastAsia="等线" w:cs="Times New Roman"/>
                <w:color w:val="000000"/>
              </w:rPr>
            </w:pPr>
            <w:r>
              <w:rPr>
                <w:rFonts w:eastAsia="等线" w:cs="Times New Roman"/>
                <w:color w:val="000000"/>
              </w:rPr>
              <w:t xml:space="preserve">49,882,522.72 </w:t>
            </w:r>
          </w:p>
        </w:tc>
      </w:tr>
      <w:tr w14:paraId="77ED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488" w:type="pct"/>
          </w:tcPr>
          <w:p w14:paraId="7B1ED947">
            <w:pPr>
              <w:autoSpaceDE w:val="0"/>
              <w:autoSpaceDN w:val="0"/>
              <w:adjustRightInd w:val="0"/>
              <w:snapToGrid w:val="0"/>
              <w:jc w:val="center"/>
            </w:pPr>
            <w:r>
              <w:t>未到期应付利息</w:t>
            </w:r>
          </w:p>
        </w:tc>
        <w:tc>
          <w:tcPr>
            <w:tcW w:w="1256" w:type="pct"/>
            <w:vAlign w:val="center"/>
          </w:tcPr>
          <w:p w14:paraId="17FCE49D">
            <w:pPr>
              <w:jc w:val="right"/>
              <w:rPr>
                <w:rFonts w:ascii="宋体" w:hAnsi="宋体"/>
                <w:color w:val="000000"/>
              </w:rPr>
            </w:pPr>
            <w:r>
              <w:rPr>
                <w:rFonts w:hint="eastAsia"/>
                <w:color w:val="000000"/>
              </w:rPr>
              <w:t>8,341,875.81</w:t>
            </w:r>
          </w:p>
        </w:tc>
        <w:tc>
          <w:tcPr>
            <w:tcW w:w="1256" w:type="pct"/>
            <w:vAlign w:val="center"/>
          </w:tcPr>
          <w:p w14:paraId="59346C95">
            <w:pPr>
              <w:jc w:val="right"/>
              <w:rPr>
                <w:rFonts w:eastAsia="等线" w:cs="Times New Roman"/>
                <w:color w:val="000000"/>
              </w:rPr>
            </w:pPr>
            <w:r>
              <w:rPr>
                <w:rFonts w:eastAsia="等线" w:cs="Times New Roman"/>
                <w:color w:val="000000"/>
              </w:rPr>
              <w:t xml:space="preserve">1,778,328.65 </w:t>
            </w:r>
          </w:p>
        </w:tc>
      </w:tr>
      <w:tr w14:paraId="24DC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488" w:type="pct"/>
          </w:tcPr>
          <w:p w14:paraId="1074FF10">
            <w:pPr>
              <w:autoSpaceDE w:val="0"/>
              <w:autoSpaceDN w:val="0"/>
              <w:adjustRightInd w:val="0"/>
              <w:snapToGrid w:val="0"/>
              <w:jc w:val="center"/>
            </w:pPr>
            <w:r>
              <w:t>减：一年内到期的长期借款及未到期应付利息</w:t>
            </w:r>
          </w:p>
        </w:tc>
        <w:tc>
          <w:tcPr>
            <w:tcW w:w="1256" w:type="pct"/>
            <w:vAlign w:val="center"/>
          </w:tcPr>
          <w:p w14:paraId="6C60A437">
            <w:pPr>
              <w:jc w:val="right"/>
              <w:rPr>
                <w:rFonts w:ascii="宋体" w:hAnsi="宋体"/>
                <w:color w:val="000000"/>
              </w:rPr>
            </w:pPr>
            <w:r>
              <w:rPr>
                <w:rFonts w:hint="eastAsia"/>
                <w:color w:val="000000"/>
              </w:rPr>
              <w:t>533,540,819.30</w:t>
            </w:r>
          </w:p>
        </w:tc>
        <w:tc>
          <w:tcPr>
            <w:tcW w:w="1256" w:type="pct"/>
            <w:vAlign w:val="center"/>
          </w:tcPr>
          <w:p w14:paraId="2819A5BE">
            <w:pPr>
              <w:jc w:val="right"/>
              <w:rPr>
                <w:rFonts w:eastAsia="等线" w:cs="Times New Roman"/>
                <w:color w:val="000000"/>
              </w:rPr>
            </w:pPr>
            <w:r>
              <w:rPr>
                <w:rFonts w:eastAsia="等线" w:cs="Times New Roman"/>
                <w:color w:val="000000"/>
              </w:rPr>
              <w:t xml:space="preserve">578,519,025.90 </w:t>
            </w:r>
          </w:p>
        </w:tc>
      </w:tr>
      <w:tr w14:paraId="4D74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2488" w:type="pct"/>
            <w:vAlign w:val="center"/>
          </w:tcPr>
          <w:p w14:paraId="710F5BBD">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56" w:type="pct"/>
            <w:vAlign w:val="center"/>
          </w:tcPr>
          <w:p w14:paraId="5EE25BFA">
            <w:pPr>
              <w:jc w:val="right"/>
              <w:rPr>
                <w:rFonts w:ascii="宋体" w:hAnsi="宋体"/>
                <w:color w:val="000000"/>
              </w:rPr>
            </w:pPr>
            <w:r>
              <w:rPr>
                <w:rFonts w:hint="eastAsia"/>
                <w:color w:val="000000"/>
              </w:rPr>
              <w:t>727,963,424.36</w:t>
            </w:r>
          </w:p>
        </w:tc>
        <w:tc>
          <w:tcPr>
            <w:tcW w:w="1256" w:type="pct"/>
            <w:vAlign w:val="center"/>
          </w:tcPr>
          <w:p w14:paraId="769F35AD">
            <w:pPr>
              <w:jc w:val="right"/>
              <w:rPr>
                <w:rFonts w:eastAsia="等线" w:cs="Times New Roman"/>
                <w:color w:val="000000"/>
              </w:rPr>
            </w:pPr>
            <w:r>
              <w:rPr>
                <w:rFonts w:eastAsia="等线" w:cs="Times New Roman"/>
                <w:color w:val="000000"/>
              </w:rPr>
              <w:t xml:space="preserve"> 820,931,249.99 </w:t>
            </w:r>
          </w:p>
        </w:tc>
      </w:tr>
    </w:tbl>
    <w:p w14:paraId="0F22028F"/>
    <w:p w14:paraId="08224526">
      <w:pPr>
        <w:snapToGrid w:val="0"/>
        <w:spacing w:before="60" w:after="60"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长期借款分类的说明：</w:t>
      </w:r>
    </w:p>
    <w:sdt>
      <w:sdtPr>
        <w:rPr>
          <w:color w:val="000000" w:themeColor="text1"/>
          <w14:textFill>
            <w14:solidFill>
              <w14:schemeClr w14:val="tx1"/>
            </w14:solidFill>
          </w14:textFill>
        </w:rPr>
        <w:alias w:val="长期借款分类的说明"/>
        <w:tag w:val="_GBC_c93626a5eade42f48eca926da85f3afb"/>
        <w:id w:val="1298346605"/>
        <w:placeholder>
          <w:docPart w:val="GBC22222222222222222222222222222"/>
        </w:placeholder>
      </w:sdtPr>
      <w:sdtEndPr>
        <w:rPr>
          <w:color w:val="000000" w:themeColor="text1"/>
          <w14:textFill>
            <w14:solidFill>
              <w14:schemeClr w14:val="tx1"/>
            </w14:solidFill>
          </w14:textFill>
        </w:rPr>
      </w:sdtEndPr>
      <w:sdtContent>
        <w:p w14:paraId="599E554F">
          <w:pPr>
            <w:snapToGrid w:val="0"/>
            <w:rPr>
              <w:rFonts w:cstheme="minorBidi"/>
              <w:color w:val="000000" w:themeColor="text1"/>
              <w:kern w:val="2"/>
              <w14:textFill>
                <w14:solidFill>
                  <w14:schemeClr w14:val="tx1"/>
                </w14:solidFill>
              </w14:textFill>
            </w:rPr>
          </w:pPr>
          <w:r>
            <w:rPr>
              <w:rFonts w:hint="eastAsia"/>
              <w:color w:val="000000" w:themeColor="text1"/>
              <w14:textFill>
                <w14:solidFill>
                  <w14:schemeClr w14:val="tx1"/>
                </w14:solidFill>
              </w14:textFill>
            </w:rPr>
            <w:t>无</w:t>
          </w:r>
        </w:p>
      </w:sdtContent>
    </w:sdt>
    <w:p w14:paraId="39A7F023">
      <w:pPr>
        <w:snapToGrid w:val="0"/>
        <w:rPr>
          <w:rFonts w:cstheme="minorBidi"/>
          <w:color w:val="000000" w:themeColor="text1"/>
          <w:kern w:val="2"/>
          <w14:textFill>
            <w14:solidFill>
              <w14:schemeClr w14:val="tx1"/>
            </w14:solidFill>
          </w14:textFill>
        </w:rPr>
      </w:pPr>
    </w:p>
    <w:p w14:paraId="1005C6DA">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r>
        <w:rPr>
          <w:color w:val="000000" w:themeColor="text1"/>
          <w14:textFill>
            <w14:solidFill>
              <w14:schemeClr w14:val="tx1"/>
            </w14:solidFill>
          </w14:textFill>
        </w:rPr>
        <w:t xml:space="preserve"> </w:t>
      </w:r>
    </w:p>
    <w:sdt>
      <w:sdtPr>
        <w:rPr>
          <w:color w:val="000000" w:themeColor="text1"/>
          <w14:textFill>
            <w14:solidFill>
              <w14:schemeClr w14:val="tx1"/>
            </w14:solidFill>
          </w14:textFill>
        </w:rPr>
        <w:alias w:val="是否适用：长期借款的说明[双击切换]"/>
        <w:tag w:val="_GBC_1dc67be6516c4de3956a80023674c75a"/>
        <w:id w:val="-942599570"/>
        <w:placeholder>
          <w:docPart w:val="GBC22222222222222222222222222222"/>
        </w:placeholder>
      </w:sdtPr>
      <w:sdtEndPr>
        <w:rPr>
          <w:color w:val="000000" w:themeColor="text1"/>
          <w14:textFill>
            <w14:solidFill>
              <w14:schemeClr w14:val="tx1"/>
            </w14:solidFill>
          </w14:textFill>
        </w:rPr>
      </w:sdtEndPr>
      <w:sdtContent>
        <w:p w14:paraId="0CECD956">
          <w:pPr>
            <w:snapToGrid w:val="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1602ECB">
      <w:pPr>
        <w:rPr>
          <w:color w:val="000000" w:themeColor="text1"/>
          <w14:textFill>
            <w14:solidFill>
              <w14:schemeClr w14:val="tx1"/>
            </w14:solidFill>
          </w14:textFill>
        </w:rPr>
      </w:pPr>
    </w:p>
    <w:p w14:paraId="0EE37AC7">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应付债券</w:t>
      </w:r>
    </w:p>
    <w:p w14:paraId="1B16F371">
      <w:pPr>
        <w:pStyle w:val="5"/>
        <w:numPr>
          <w:ilvl w:val="0"/>
          <w:numId w:val="73"/>
        </w:numPr>
        <w:tabs>
          <w:tab w:val="left" w:pos="67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应付</w:t>
      </w:r>
      <w:r>
        <w:rPr>
          <w:rFonts w:hint="eastAsia" w:ascii="宋体" w:hAnsi="宋体"/>
          <w:color w:val="000000" w:themeColor="text1"/>
          <w:szCs w:val="21"/>
          <w14:textFill>
            <w14:solidFill>
              <w14:schemeClr w14:val="tx1"/>
            </w14:solidFill>
          </w14:textFill>
        </w:rPr>
        <w:t>债券</w:t>
      </w:r>
    </w:p>
    <w:sdt>
      <w:sdtPr>
        <w:rPr>
          <w:rFonts w:hint="eastAsia"/>
          <w:color w:val="000000" w:themeColor="text1"/>
          <w14:textFill>
            <w14:solidFill>
              <w14:schemeClr w14:val="tx1"/>
            </w14:solidFill>
          </w14:textFill>
        </w:rPr>
        <w:alias w:val="是否适用：应付债券[双击切换]"/>
        <w:tag w:val="_GBC_b07c291c892844efaca56bc1d52b1566"/>
        <w:id w:val="1623497095"/>
        <w:placeholder>
          <w:docPart w:val="GBC22222222222222222222222222222"/>
        </w:placeholder>
      </w:sdtPr>
      <w:sdtEndPr>
        <w:rPr>
          <w:rFonts w:hint="eastAsia"/>
          <w:color w:val="000000" w:themeColor="text1"/>
          <w14:textFill>
            <w14:solidFill>
              <w14:schemeClr w14:val="tx1"/>
            </w14:solidFill>
          </w14:textFill>
        </w:rPr>
      </w:sdtEndPr>
      <w:sdtContent>
        <w:p w14:paraId="6368FAB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CE9A9B4">
      <w:pPr>
        <w:rPr>
          <w:color w:val="000000" w:themeColor="text1"/>
          <w14:textFill>
            <w14:solidFill>
              <w14:schemeClr w14:val="tx1"/>
            </w14:solidFill>
          </w14:textFill>
        </w:rPr>
      </w:pPr>
    </w:p>
    <w:p w14:paraId="021D5B63">
      <w:pPr>
        <w:pStyle w:val="5"/>
        <w:numPr>
          <w:ilvl w:val="0"/>
          <w:numId w:val="73"/>
        </w:numPr>
        <w:tabs>
          <w:tab w:val="left" w:pos="672"/>
        </w:tabs>
        <w:rPr>
          <w:rFonts w:ascii="宋体" w:hAnsi="宋体"/>
          <w:color w:val="000000" w:themeColor="text1"/>
          <w14:textFill>
            <w14:solidFill>
              <w14:schemeClr w14:val="tx1"/>
            </w14:solidFill>
          </w14:textFill>
        </w:rPr>
      </w:pPr>
      <w:bookmarkStart w:id="321" w:name="_Hlk167968813"/>
      <w:bookmarkStart w:id="322" w:name="OLE_LINK18"/>
      <w:bookmarkStart w:id="323" w:name="OLE_LINK16"/>
      <w:r>
        <w:rPr>
          <w:rFonts w:hint="eastAsia" w:ascii="宋体" w:hAnsi="宋体"/>
          <w:color w:val="000000" w:themeColor="text1"/>
          <w14:textFill>
            <w14:solidFill>
              <w14:schemeClr w14:val="tx1"/>
            </w14:solidFill>
          </w14:textFill>
        </w:rPr>
        <w:t>应付债券的具体情况：（不包括划分为金融负债的优先股、永续债等其他金融工具）</w:t>
      </w:r>
    </w:p>
    <w:sdt>
      <w:sdtPr>
        <w:rPr>
          <w:color w:val="000000" w:themeColor="text1"/>
          <w14:textFill>
            <w14:solidFill>
              <w14:schemeClr w14:val="tx1"/>
            </w14:solidFill>
          </w14:textFill>
        </w:rPr>
        <w:alias w:val="是否适用：应付债券的增减变动[双击切换]"/>
        <w:tag w:val="_GBC_6610dc08d094426e9d4fdad85eee6da2"/>
        <w:id w:val="1000167640"/>
        <w:placeholder>
          <w:docPart w:val="GBC22222222222222222222222222222"/>
        </w:placeholder>
      </w:sdtPr>
      <w:sdtEndPr>
        <w:rPr>
          <w:color w:val="000000" w:themeColor="text1"/>
          <w14:textFill>
            <w14:solidFill>
              <w14:schemeClr w14:val="tx1"/>
            </w14:solidFill>
          </w14:textFill>
        </w:rPr>
      </w:sdtEndPr>
      <w:sdtContent>
        <w:p w14:paraId="5C4AD47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784BBB0">
      <w:pPr>
        <w:rPr>
          <w:rFonts w:cstheme="minorBidi"/>
          <w:color w:val="000000" w:themeColor="text1"/>
          <w14:textFill>
            <w14:solidFill>
              <w14:schemeClr w14:val="tx1"/>
            </w14:solidFill>
          </w14:textFill>
        </w:rPr>
      </w:pPr>
    </w:p>
    <w:p w14:paraId="43F47C7E">
      <w:pPr>
        <w:pStyle w:val="5"/>
        <w:numPr>
          <w:ilvl w:val="0"/>
          <w:numId w:val="73"/>
        </w:numPr>
        <w:tabs>
          <w:tab w:val="left" w:pos="67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可转换公司债券的说明</w:t>
      </w:r>
    </w:p>
    <w:sdt>
      <w:sdtPr>
        <w:rPr>
          <w:rFonts w:hint="eastAsia"/>
          <w:color w:val="000000" w:themeColor="text1"/>
          <w14:textFill>
            <w14:solidFill>
              <w14:schemeClr w14:val="tx1"/>
            </w14:solidFill>
          </w14:textFill>
        </w:rPr>
        <w:alias w:val="是否适用：可转换公司债券的转股条件、转股时间说明[双击切换]"/>
        <w:tag w:val="_GBC_ef63fc1297374c8b97a48c0c89422e8a"/>
        <w:id w:val="-1588836433"/>
        <w:placeholder>
          <w:docPart w:val="GBC22222222222222222222222222222"/>
        </w:placeholder>
      </w:sdtPr>
      <w:sdtEndPr>
        <w:rPr>
          <w:rFonts w:hint="eastAsia"/>
          <w:color w:val="000000" w:themeColor="text1"/>
          <w14:textFill>
            <w14:solidFill>
              <w14:schemeClr w14:val="tx1"/>
            </w14:solidFill>
          </w14:textFill>
        </w:rPr>
      </w:sdtEndPr>
      <w:sdtContent>
        <w:p w14:paraId="31F471D6">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47883CA">
      <w:pPr>
        <w:spacing w:before="60" w:after="60"/>
        <w:rPr>
          <w:color w:val="000000" w:themeColor="text1"/>
          <w14:textFill>
            <w14:solidFill>
              <w14:schemeClr w14:val="tx1"/>
            </w14:solidFill>
          </w14:textFill>
        </w:rPr>
      </w:pPr>
    </w:p>
    <w:p w14:paraId="3266D5DA">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转股权会计处理及判断依据</w:t>
      </w:r>
    </w:p>
    <w:sdt>
      <w:sdtPr>
        <w:rPr>
          <w:color w:val="000000" w:themeColor="text1"/>
          <w14:textFill>
            <w14:solidFill>
              <w14:schemeClr w14:val="tx1"/>
            </w14:solidFill>
          </w14:textFill>
        </w:rPr>
        <w:alias w:val="是否适用：转股权会计处理及判断依据[双击切换]"/>
        <w:tag w:val="_GBC_d91e0305ad39444cb4fea2f3671f7083"/>
        <w:id w:val="1718854767"/>
        <w:placeholder>
          <w:docPart w:val="GBC22222222222222222222222222222"/>
        </w:placeholder>
      </w:sdtPr>
      <w:sdtEndPr>
        <w:rPr>
          <w:color w:val="000000" w:themeColor="text1"/>
          <w14:textFill>
            <w14:solidFill>
              <w14:schemeClr w14:val="tx1"/>
            </w14:solidFill>
          </w14:textFill>
        </w:rPr>
      </w:sdtEndPr>
      <w:sdtContent>
        <w:p w14:paraId="744E1FFF">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16A11C">
      <w:pPr>
        <w:rPr>
          <w:color w:val="000000" w:themeColor="text1"/>
          <w14:textFill>
            <w14:solidFill>
              <w14:schemeClr w14:val="tx1"/>
            </w14:solidFill>
          </w14:textFill>
        </w:rPr>
      </w:pPr>
    </w:p>
    <w:bookmarkEnd w:id="321"/>
    <w:p w14:paraId="01D6EDBF">
      <w:pPr>
        <w:pStyle w:val="5"/>
        <w:numPr>
          <w:ilvl w:val="0"/>
          <w:numId w:val="73"/>
        </w:numPr>
        <w:tabs>
          <w:tab w:val="left" w:pos="67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划分为金融负债的其他金融工具说明</w:t>
      </w:r>
    </w:p>
    <w:p w14:paraId="0E4683C3">
      <w:pPr>
        <w:rPr>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期末发行在外的优先股、永续债等其他金融工具基本情况</w:t>
      </w:r>
    </w:p>
    <w:sdt>
      <w:sdtPr>
        <w:rPr>
          <w:color w:val="000000" w:themeColor="text1"/>
          <w14:textFill>
            <w14:solidFill>
              <w14:schemeClr w14:val="tx1"/>
            </w14:solidFill>
          </w14:textFill>
        </w:rPr>
        <w:alias w:val="是否适用：划分为金融负债的其他金融工具说明[双击切换]"/>
        <w:tag w:val="_GBC_61542231aba54618ab4bd6d781bfab05"/>
        <w:id w:val="-1943296122"/>
        <w:placeholder>
          <w:docPart w:val="GBC22222222222222222222222222222"/>
        </w:placeholder>
      </w:sdtPr>
      <w:sdtEndPr>
        <w:rPr>
          <w:color w:val="000000" w:themeColor="text1"/>
          <w14:textFill>
            <w14:solidFill>
              <w14:schemeClr w14:val="tx1"/>
            </w14:solidFill>
          </w14:textFill>
        </w:rPr>
      </w:sdtEndPr>
      <w:sdtContent>
        <w:p w14:paraId="7CAAF82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E80A41A">
      <w:pPr>
        <w:rPr>
          <w:color w:val="000000" w:themeColor="text1"/>
          <w14:textFill>
            <w14:solidFill>
              <w14:schemeClr w14:val="tx1"/>
            </w14:solidFill>
          </w14:textFill>
        </w:rPr>
      </w:pPr>
    </w:p>
    <w:p w14:paraId="057D58D0">
      <w:pPr>
        <w:rPr>
          <w:color w:val="000000" w:themeColor="text1"/>
          <w14:textFill>
            <w14:solidFill>
              <w14:schemeClr w14:val="tx1"/>
            </w14:solidFill>
          </w14:textFill>
        </w:rPr>
      </w:pPr>
      <w:r>
        <w:rPr>
          <w:rFonts w:hint="eastAsia"/>
          <w:color w:val="000000" w:themeColor="text1"/>
          <w14:textFill>
            <w14:solidFill>
              <w14:schemeClr w14:val="tx1"/>
            </w14:solidFill>
          </w14:textFill>
        </w:rPr>
        <w:t>期末发行在外的优先股、永续债等金融工具变动情况表</w:t>
      </w:r>
    </w:p>
    <w:sdt>
      <w:sdtPr>
        <w:rPr>
          <w:color w:val="000000" w:themeColor="text1"/>
          <w14:textFill>
            <w14:solidFill>
              <w14:schemeClr w14:val="tx1"/>
            </w14:solidFill>
          </w14:textFill>
        </w:rPr>
        <w:alias w:val="是否适用：期末发行在外的优先股、永续债等金融工具变动情况表_应付债券[双击切换]"/>
        <w:tag w:val="_GBC_4cf6ed9dc37d42fc946f2268e90eee97"/>
        <w:id w:val="746927157"/>
        <w:placeholder>
          <w:docPart w:val="GBC22222222222222222222222222222"/>
        </w:placeholder>
      </w:sdtPr>
      <w:sdtEndPr>
        <w:rPr>
          <w:color w:val="000000" w:themeColor="text1"/>
          <w14:textFill>
            <w14:solidFill>
              <w14:schemeClr w14:val="tx1"/>
            </w14:solidFill>
          </w14:textFill>
        </w:rPr>
      </w:sdtEndPr>
      <w:sdtContent>
        <w:p w14:paraId="69D6375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22"/>
    <w:bookmarkEnd w:id="323"/>
    <w:p w14:paraId="178DDB3B">
      <w:pPr>
        <w:rPr>
          <w:color w:val="000000" w:themeColor="text1"/>
          <w14:textFill>
            <w14:solidFill>
              <w14:schemeClr w14:val="tx1"/>
            </w14:solidFill>
          </w14:textFill>
        </w:rPr>
      </w:pPr>
    </w:p>
    <w:p w14:paraId="5FC37677">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其他金融工具划分为金融负债的依据说明</w:t>
      </w:r>
    </w:p>
    <w:sdt>
      <w:sdtPr>
        <w:rPr>
          <w:color w:val="000000" w:themeColor="text1"/>
          <w14:textFill>
            <w14:solidFill>
              <w14:schemeClr w14:val="tx1"/>
            </w14:solidFill>
          </w14:textFill>
        </w:rPr>
        <w:alias w:val="是否适用：其他金融工具划分为金融负债的依据说明[双击切换]"/>
        <w:tag w:val="_GBC_aec0ba7f99624a559a5f92bcd8e57e4f"/>
        <w:id w:val="649340877"/>
        <w:placeholder>
          <w:docPart w:val="GBC22222222222222222222222222222"/>
        </w:placeholder>
      </w:sdtPr>
      <w:sdtEndPr>
        <w:rPr>
          <w:color w:val="000000" w:themeColor="text1"/>
          <w14:textFill>
            <w14:solidFill>
              <w14:schemeClr w14:val="tx1"/>
            </w14:solidFill>
          </w14:textFill>
        </w:rPr>
      </w:sdtEndPr>
      <w:sdtContent>
        <w:p w14:paraId="610C7361">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40570F2">
      <w:pPr>
        <w:rPr>
          <w:color w:val="000000" w:themeColor="text1"/>
          <w14:textFill>
            <w14:solidFill>
              <w14:schemeClr w14:val="tx1"/>
            </w14:solidFill>
          </w14:textFill>
        </w:rPr>
      </w:pPr>
    </w:p>
    <w:p w14:paraId="015E4D60">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应付债券的其他说明[双击切换]"/>
        <w:tag w:val="_GBC_34ea80305b6a4fafaf2943f684877d08"/>
        <w:id w:val="994762895"/>
        <w:placeholder>
          <w:docPart w:val="GBC22222222222222222222222222222"/>
        </w:placeholder>
      </w:sdtPr>
      <w:sdtEndPr>
        <w:rPr>
          <w:color w:val="000000" w:themeColor="text1"/>
          <w14:textFill>
            <w14:solidFill>
              <w14:schemeClr w14:val="tx1"/>
            </w14:solidFill>
          </w14:textFill>
        </w:rPr>
      </w:sdtEndPr>
      <w:sdtContent>
        <w:p w14:paraId="47332349">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3ADB070">
      <w:pPr>
        <w:rPr>
          <w:color w:val="000000" w:themeColor="text1"/>
          <w14:textFill>
            <w14:solidFill>
              <w14:schemeClr w14:val="tx1"/>
            </w14:solidFill>
          </w14:textFill>
        </w:rPr>
      </w:pPr>
    </w:p>
    <w:p w14:paraId="25C2D638">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租赁负债</w:t>
      </w:r>
    </w:p>
    <w:sdt>
      <w:sdtPr>
        <w:rPr>
          <w:color w:val="000000" w:themeColor="text1"/>
          <w14:textFill>
            <w14:solidFill>
              <w14:schemeClr w14:val="tx1"/>
            </w14:solidFill>
          </w14:textFill>
        </w:rPr>
        <w:alias w:val="是否适用：租赁负债[双击切换]"/>
        <w:tag w:val="_GBC_cec9aedf0aa8427d9bd5dbf17e698298"/>
        <w:id w:val="881827101"/>
        <w:placeholder>
          <w:docPart w:val="GBC22222222222222222222222222222"/>
        </w:placeholder>
      </w:sdtPr>
      <w:sdtEndPr>
        <w:rPr>
          <w:color w:val="000000" w:themeColor="text1"/>
          <w14:textFill>
            <w14:solidFill>
              <w14:schemeClr w14:val="tx1"/>
            </w14:solidFill>
          </w14:textFill>
        </w:rPr>
      </w:sdtEndPr>
      <w:sdtContent>
        <w:p w14:paraId="0B8D692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28B24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租赁负债"/>
          <w:tag w:val="_GBC_3f1d18295bfb4156905ee3935811bc9f"/>
          <w:id w:val="-103056501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租赁负债"/>
          <w:tag w:val="_GBC_1ce63c76adb74c2f8d53dbdb5d73a87c"/>
          <w:id w:val="6918068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150"/>
        <w:gridCol w:w="2871"/>
        <w:gridCol w:w="2872"/>
      </w:tblGrid>
      <w:tr w14:paraId="7630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307" w:hRule="atLeast"/>
        </w:trPr>
        <w:sdt>
          <w:sdtPr>
            <w:tag w:val="_PLD_27afd78cc4b04fa19a7adaa593b83cc4"/>
            <w:id w:val="-1957161934"/>
          </w:sdtPr>
          <w:sdtContent>
            <w:tc>
              <w:tcPr>
                <w:tcW w:w="1771" w:type="pct"/>
                <w:vAlign w:val="center"/>
              </w:tcPr>
              <w:p w14:paraId="53350BA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473fbb207ad34f58a8a0f0451332e555"/>
            <w:id w:val="444580991"/>
          </w:sdtPr>
          <w:sdtContent>
            <w:tc>
              <w:tcPr>
                <w:tcW w:w="1614" w:type="pct"/>
                <w:vAlign w:val="center"/>
              </w:tcPr>
              <w:p w14:paraId="34343BA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81cf17ce1aff4bad8deb2792f3b6570d"/>
            <w:id w:val="-1788036273"/>
          </w:sdtPr>
          <w:sdtContent>
            <w:tc>
              <w:tcPr>
                <w:tcW w:w="1615" w:type="pct"/>
                <w:vAlign w:val="center"/>
              </w:tcPr>
              <w:p w14:paraId="2274224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2055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tc>
          <w:tcPr>
            <w:tcW w:w="1771" w:type="pct"/>
          </w:tcPr>
          <w:p w14:paraId="2ECD2BD1">
            <w:pPr>
              <w:jc w:val="center"/>
            </w:pPr>
            <w:r>
              <w:rPr>
                <w:rFonts w:hint="eastAsia"/>
              </w:rPr>
              <w:t>租赁负债</w:t>
            </w:r>
          </w:p>
        </w:tc>
        <w:tc>
          <w:tcPr>
            <w:tcW w:w="1614" w:type="pct"/>
          </w:tcPr>
          <w:p w14:paraId="3685EB4C">
            <w:pPr>
              <w:jc w:val="right"/>
            </w:pPr>
            <w:r>
              <w:t>755,179.53</w:t>
            </w:r>
          </w:p>
        </w:tc>
        <w:tc>
          <w:tcPr>
            <w:tcW w:w="1615" w:type="pct"/>
          </w:tcPr>
          <w:p w14:paraId="12D1A35C">
            <w:pPr>
              <w:jc w:val="right"/>
            </w:pPr>
            <w:r>
              <w:t>902,980.29</w:t>
            </w:r>
          </w:p>
        </w:tc>
      </w:tr>
      <w:tr w14:paraId="0C76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86" w:hRule="atLeast"/>
        </w:trPr>
        <w:tc>
          <w:tcPr>
            <w:tcW w:w="1771" w:type="pct"/>
          </w:tcPr>
          <w:p w14:paraId="282E0FCB">
            <w:pPr>
              <w:jc w:val="center"/>
            </w:pPr>
            <w:r>
              <w:t>减：一年内到期的租赁负债</w:t>
            </w:r>
          </w:p>
        </w:tc>
        <w:tc>
          <w:tcPr>
            <w:tcW w:w="1614" w:type="pct"/>
          </w:tcPr>
          <w:p w14:paraId="3C3149D5">
            <w:pPr>
              <w:jc w:val="right"/>
            </w:pPr>
            <w:r>
              <w:t>-755,179.53</w:t>
            </w:r>
          </w:p>
        </w:tc>
        <w:tc>
          <w:tcPr>
            <w:tcW w:w="1615" w:type="pct"/>
          </w:tcPr>
          <w:p w14:paraId="5D057020">
            <w:pPr>
              <w:jc w:val="right"/>
            </w:pPr>
            <w:r>
              <w:t>-812,383.52</w:t>
            </w:r>
          </w:p>
        </w:tc>
      </w:tr>
      <w:tr w14:paraId="1B01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26" w:hRule="atLeast"/>
        </w:trPr>
        <w:tc>
          <w:tcPr>
            <w:tcW w:w="1771" w:type="pct"/>
          </w:tcPr>
          <w:p w14:paraId="5BA0662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14" w:type="pct"/>
            <w:vAlign w:val="center"/>
          </w:tcPr>
          <w:p w14:paraId="66CD6CBA">
            <w:pPr>
              <w:jc w:val="right"/>
            </w:pPr>
          </w:p>
        </w:tc>
        <w:tc>
          <w:tcPr>
            <w:tcW w:w="1615" w:type="pct"/>
            <w:vAlign w:val="center"/>
          </w:tcPr>
          <w:p w14:paraId="33B89B2C">
            <w:pPr>
              <w:jc w:val="right"/>
            </w:pPr>
            <w:r>
              <w:t>90,596.77</w:t>
            </w:r>
          </w:p>
        </w:tc>
      </w:tr>
    </w:tbl>
    <w:p w14:paraId="4D1B7F75"/>
    <w:p w14:paraId="441D63B7">
      <w:pPr>
        <w:snapToGrid w:val="0"/>
        <w:spacing w:before="60" w:after="60"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租赁负债其他说明"/>
        <w:tag w:val="_GBC_cbaaaf9b0adf45f6a0dd93d6de03a6ea"/>
        <w:id w:val="1416443772"/>
        <w:placeholder>
          <w:docPart w:val="GBC22222222222222222222222222222"/>
        </w:placeholder>
      </w:sdtPr>
      <w:sdtEndPr>
        <w:rPr>
          <w:color w:val="000000" w:themeColor="text1"/>
          <w14:textFill>
            <w14:solidFill>
              <w14:schemeClr w14:val="tx1"/>
            </w14:solidFill>
          </w14:textFill>
        </w:rPr>
      </w:sdtEndPr>
      <w:sdtContent>
        <w:p w14:paraId="457FBDB3">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4789F08">
      <w:pPr>
        <w:rPr>
          <w:color w:val="000000" w:themeColor="text1"/>
          <w14:textFill>
            <w14:solidFill>
              <w14:schemeClr w14:val="tx1"/>
            </w14:solidFill>
          </w14:textFill>
        </w:rPr>
      </w:pPr>
    </w:p>
    <w:p w14:paraId="1812D77F">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长期应付款</w:t>
      </w:r>
    </w:p>
    <w:p w14:paraId="1F8DD1D1">
      <w:pPr>
        <w:pStyle w:val="5"/>
        <w:rPr>
          <w:rFonts w:ascii="宋体" w:hAnsi="宋体"/>
          <w:color w:val="000000" w:themeColor="text1"/>
          <w14:textFill>
            <w14:solidFill>
              <w14:schemeClr w14:val="tx1"/>
            </w14:solidFill>
          </w14:textFill>
        </w:rPr>
      </w:pPr>
      <w:bookmarkStart w:id="324" w:name="_Hlk10536746"/>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长期应付款分类列示[双击切换]"/>
        <w:tag w:val="_GBC_dc1496c33e4a4cabb259020dbf46be93"/>
        <w:id w:val="-684903479"/>
        <w:placeholder>
          <w:docPart w:val="GBC22222222222222222222222222222"/>
        </w:placeholder>
      </w:sdtPr>
      <w:sdtEndPr>
        <w:rPr>
          <w:color w:val="000000" w:themeColor="text1"/>
          <w14:textFill>
            <w14:solidFill>
              <w14:schemeClr w14:val="tx1"/>
            </w14:solidFill>
          </w14:textFill>
        </w:rPr>
      </w:sdtEndPr>
      <w:sdtContent>
        <w:p w14:paraId="1E5FFB8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CCB741B">
      <w:pPr>
        <w:rPr>
          <w:color w:val="000000" w:themeColor="text1"/>
          <w14:textFill>
            <w14:solidFill>
              <w14:schemeClr w14:val="tx1"/>
            </w14:solidFill>
          </w14:textFill>
        </w:rPr>
      </w:pPr>
      <w:bookmarkStart w:id="325" w:name="_Hlk532911057"/>
    </w:p>
    <w:p w14:paraId="5B7F2F8A">
      <w:pPr>
        <w:rPr>
          <w:color w:val="000000" w:themeColor="text1"/>
          <w14:textFill>
            <w14:solidFill>
              <w14:schemeClr w14:val="tx1"/>
            </w14:solidFill>
          </w14:textFill>
        </w:rPr>
      </w:pPr>
    </w:p>
    <w:bookmarkEnd w:id="324"/>
    <w:bookmarkEnd w:id="325"/>
    <w:p w14:paraId="68155157">
      <w:pPr>
        <w:pStyle w:val="5"/>
        <w:ind w:left="360" w:hanging="360"/>
        <w:rPr>
          <w:rFonts w:ascii="宋体" w:hAnsi="宋体"/>
          <w:color w:val="000000" w:themeColor="text1"/>
          <w14:textFill>
            <w14:solidFill>
              <w14:schemeClr w14:val="tx1"/>
            </w14:solidFill>
          </w14:textFill>
        </w:rPr>
      </w:pPr>
      <w:bookmarkStart w:id="326" w:name="_Hlk10536806"/>
      <w:bookmarkStart w:id="327" w:name="_Hlk10536877"/>
      <w:r>
        <w:rPr>
          <w:rFonts w:hint="eastAsia" w:ascii="宋体" w:hAnsi="宋体"/>
          <w:color w:val="000000" w:themeColor="text1"/>
          <w14:textFill>
            <w14:solidFill>
              <w14:schemeClr w14:val="tx1"/>
            </w14:solidFill>
          </w14:textFill>
        </w:rPr>
        <w:t>长期应付款</w:t>
      </w:r>
      <w:bookmarkEnd w:id="326"/>
    </w:p>
    <w:sdt>
      <w:sdtPr>
        <w:rPr>
          <w:color w:val="000000" w:themeColor="text1"/>
          <w14:textFill>
            <w14:solidFill>
              <w14:schemeClr w14:val="tx1"/>
            </w14:solidFill>
          </w14:textFill>
        </w:rPr>
        <w:alias w:val="是否适用：按款项性质列示长期应付款[双击切换]"/>
        <w:tag w:val="_GBC_a9fa9a5286484f4bb853b1eff824e621"/>
        <w:id w:val="27003415"/>
        <w:placeholder>
          <w:docPart w:val="GBC22222222222222222222222222222"/>
        </w:placeholder>
      </w:sdtPr>
      <w:sdtEndPr>
        <w:rPr>
          <w:color w:val="000000" w:themeColor="text1"/>
          <w14:textFill>
            <w14:solidFill>
              <w14:schemeClr w14:val="tx1"/>
            </w14:solidFill>
          </w14:textFill>
        </w:rPr>
      </w:sdtEndPr>
      <w:sdtContent>
        <w:p w14:paraId="3102472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98C5F30">
      <w:pPr>
        <w:rPr>
          <w:color w:val="000000" w:themeColor="text1"/>
          <w14:textFill>
            <w14:solidFill>
              <w14:schemeClr w14:val="tx1"/>
            </w14:solidFill>
          </w14:textFill>
        </w:rPr>
      </w:pPr>
    </w:p>
    <w:bookmarkEnd w:id="327"/>
    <w:p w14:paraId="0FB06604">
      <w:pPr>
        <w:pStyle w:val="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专项应付款</w:t>
      </w:r>
    </w:p>
    <w:sdt>
      <w:sdtPr>
        <w:rPr>
          <w:color w:val="000000" w:themeColor="text1"/>
          <w14:textFill>
            <w14:solidFill>
              <w14:schemeClr w14:val="tx1"/>
            </w14:solidFill>
          </w14:textFill>
        </w:rPr>
        <w:alias w:val="是否适用：专项应付款[双击切换]"/>
        <w:tag w:val="_GBC_f70a824e87784429a75fa648d7634cf8"/>
        <w:id w:val="1792710980"/>
        <w:placeholder>
          <w:docPart w:val="GBC22222222222222222222222222222"/>
        </w:placeholder>
      </w:sdtPr>
      <w:sdtEndPr>
        <w:rPr>
          <w:color w:val="000000" w:themeColor="text1"/>
          <w14:textFill>
            <w14:solidFill>
              <w14:schemeClr w14:val="tx1"/>
            </w14:solidFill>
          </w14:textFill>
        </w:rPr>
      </w:sdtEndPr>
      <w:sdtContent>
        <w:p w14:paraId="11015E8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CC9EB6B">
      <w:pPr>
        <w:rPr>
          <w:color w:val="000000" w:themeColor="text1"/>
          <w14:textFill>
            <w14:solidFill>
              <w14:schemeClr w14:val="tx1"/>
            </w14:solidFill>
          </w14:textFill>
        </w:rPr>
      </w:pPr>
    </w:p>
    <w:p w14:paraId="1CFB1138">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长期应付职工薪酬</w:t>
      </w:r>
    </w:p>
    <w:sdt>
      <w:sdtPr>
        <w:rPr>
          <w:color w:val="000000" w:themeColor="text1"/>
          <w14:textFill>
            <w14:solidFill>
              <w14:schemeClr w14:val="tx1"/>
            </w14:solidFill>
          </w14:textFill>
        </w:rPr>
        <w:alias w:val="是否适用：长期应付职工薪酬[双击切换]"/>
        <w:tag w:val="_GBC_077559b601814bb38f16734f98e8c045"/>
        <w:id w:val="385457709"/>
        <w:placeholder>
          <w:docPart w:val="GBC22222222222222222222222222222"/>
        </w:placeholder>
      </w:sdtPr>
      <w:sdtEndPr>
        <w:rPr>
          <w:color w:val="000000" w:themeColor="text1"/>
          <w14:textFill>
            <w14:solidFill>
              <w14:schemeClr w14:val="tx1"/>
            </w14:solidFill>
          </w14:textFill>
        </w:rPr>
      </w:sdtEndPr>
      <w:sdtContent>
        <w:p w14:paraId="6BCA15E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BF7E124">
      <w:pPr>
        <w:rPr>
          <w:color w:val="000000" w:themeColor="text1"/>
          <w14:textFill>
            <w14:solidFill>
              <w14:schemeClr w14:val="tx1"/>
            </w14:solidFill>
          </w14:textFill>
        </w:rPr>
      </w:pPr>
    </w:p>
    <w:p w14:paraId="41B5C357">
      <w:pPr>
        <w:pStyle w:val="4"/>
        <w:numPr>
          <w:ilvl w:val="0"/>
          <w:numId w:val="41"/>
        </w:numPr>
        <w:rPr>
          <w:color w:val="000000" w:themeColor="text1"/>
          <w:szCs w:val="21"/>
          <w14:textFill>
            <w14:solidFill>
              <w14:schemeClr w14:val="tx1"/>
            </w14:solidFill>
          </w14:textFill>
        </w:rPr>
      </w:pPr>
      <w:bookmarkStart w:id="328" w:name="_Hlk10537141"/>
      <w:r>
        <w:rPr>
          <w:color w:val="000000" w:themeColor="text1"/>
          <w:szCs w:val="21"/>
          <w14:textFill>
            <w14:solidFill>
              <w14:schemeClr w14:val="tx1"/>
            </w14:solidFill>
          </w14:textFill>
        </w:rPr>
        <w:t>预计负债</w:t>
      </w:r>
    </w:p>
    <w:sdt>
      <w:sdtPr>
        <w:rPr>
          <w:color w:val="000000" w:themeColor="text1"/>
          <w14:textFill>
            <w14:solidFill>
              <w14:schemeClr w14:val="tx1"/>
            </w14:solidFill>
          </w14:textFill>
        </w:rPr>
        <w:alias w:val="是否适用：预计负债[双击切换]"/>
        <w:tag w:val="_GBC_1687da235caf410f866f00240cee7fdb"/>
        <w:id w:val="-1956479122"/>
        <w:placeholder>
          <w:docPart w:val="GBC22222222222222222222222222222"/>
        </w:placeholder>
      </w:sdtPr>
      <w:sdtEndPr>
        <w:rPr>
          <w:color w:val="000000" w:themeColor="text1"/>
          <w14:textFill>
            <w14:solidFill>
              <w14:schemeClr w14:val="tx1"/>
            </w14:solidFill>
          </w14:textFill>
        </w:rPr>
      </w:sdtEndPr>
      <w:sdtContent>
        <w:p w14:paraId="199255E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9C69E2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预计负债"/>
          <w:tag w:val="_GBC_cb4f52bf31e64f4c951a1d03c8737c2c"/>
          <w:id w:val="2320500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预计负债"/>
          <w:tag w:val="_GBC_c1e0a0d54ae34f37b10682c1542f4496"/>
          <w:id w:val="3365847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262"/>
        <w:gridCol w:w="2262"/>
        <w:gridCol w:w="2263"/>
      </w:tblGrid>
      <w:tr w14:paraId="7FD0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c927e21b7894351850a5341390e71f1"/>
            <w:id w:val="154809138"/>
          </w:sdtPr>
          <w:sdtContent>
            <w:tc>
              <w:tcPr>
                <w:tcW w:w="1250" w:type="pct"/>
                <w:vAlign w:val="center"/>
              </w:tcPr>
              <w:p w14:paraId="38C1C6F3">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5448bfd35d2348cfac66de5cdfbc78a4"/>
            <w:id w:val="1151338814"/>
          </w:sdtPr>
          <w:sdtContent>
            <w:tc>
              <w:tcPr>
                <w:tcW w:w="1250" w:type="pct"/>
              </w:tcPr>
              <w:p w14:paraId="3D3BF39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6f816d98e70940cfbbbbb868b0aeb358"/>
            <w:id w:val="-448090451"/>
          </w:sdtPr>
          <w:sdtContent>
            <w:tc>
              <w:tcPr>
                <w:tcW w:w="1250" w:type="pct"/>
              </w:tcPr>
              <w:p w14:paraId="1902E31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987f713faa85401c883cbd6dd67e70b8"/>
            <w:id w:val="-1922941246"/>
          </w:sdtPr>
          <w:sdtContent>
            <w:tc>
              <w:tcPr>
                <w:tcW w:w="1250" w:type="pct"/>
              </w:tcPr>
              <w:p w14:paraId="43C8954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形成原因</w:t>
                </w:r>
              </w:p>
            </w:tc>
          </w:sdtContent>
        </w:sdt>
      </w:tr>
      <w:tr w14:paraId="786AF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vAlign w:val="center"/>
          </w:tcPr>
          <w:p w14:paraId="6D357836">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未决诉讼</w:t>
            </w:r>
          </w:p>
        </w:tc>
        <w:tc>
          <w:tcPr>
            <w:tcW w:w="1250" w:type="pct"/>
            <w:vAlign w:val="center"/>
          </w:tcPr>
          <w:p w14:paraId="53FB995E">
            <w:pPr>
              <w:jc w:val="right"/>
              <w:rPr>
                <w:color w:val="000000"/>
              </w:rPr>
            </w:pPr>
            <w:r>
              <w:rPr>
                <w:rFonts w:hint="eastAsia"/>
                <w:color w:val="000000"/>
              </w:rPr>
              <w:t>3,055,274.07</w:t>
            </w:r>
          </w:p>
        </w:tc>
        <w:tc>
          <w:tcPr>
            <w:tcW w:w="1250" w:type="pct"/>
            <w:vAlign w:val="center"/>
          </w:tcPr>
          <w:p w14:paraId="57B27ED3">
            <w:pPr>
              <w:jc w:val="right"/>
              <w:rPr>
                <w:rFonts w:eastAsia="等线" w:cs="Times New Roman"/>
                <w:color w:val="000000"/>
              </w:rPr>
            </w:pPr>
            <w:r>
              <w:rPr>
                <w:rFonts w:eastAsia="等线" w:cs="Times New Roman"/>
                <w:color w:val="000000"/>
              </w:rPr>
              <w:t>1,336,487.69</w:t>
            </w:r>
          </w:p>
        </w:tc>
        <w:tc>
          <w:tcPr>
            <w:tcW w:w="1250" w:type="pct"/>
            <w:vAlign w:val="center"/>
          </w:tcPr>
          <w:p w14:paraId="78056B78">
            <w:pPr>
              <w:jc w:val="center"/>
              <w:rPr>
                <w:color w:val="000000"/>
              </w:rPr>
            </w:pPr>
          </w:p>
        </w:tc>
      </w:tr>
      <w:tr w14:paraId="179B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vAlign w:val="center"/>
          </w:tcPr>
          <w:p w14:paraId="3601F83E">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产品质量保证</w:t>
            </w:r>
          </w:p>
        </w:tc>
        <w:tc>
          <w:tcPr>
            <w:tcW w:w="1250" w:type="pct"/>
            <w:vAlign w:val="center"/>
          </w:tcPr>
          <w:p w14:paraId="192A301A">
            <w:pPr>
              <w:jc w:val="right"/>
              <w:rPr>
                <w:rFonts w:ascii="宋体" w:hAnsi="宋体"/>
                <w:color w:val="000000"/>
              </w:rPr>
            </w:pPr>
            <w:r>
              <w:rPr>
                <w:rFonts w:hint="eastAsia"/>
                <w:color w:val="000000"/>
              </w:rPr>
              <w:t>54,556,267.63</w:t>
            </w:r>
          </w:p>
        </w:tc>
        <w:tc>
          <w:tcPr>
            <w:tcW w:w="1250" w:type="pct"/>
            <w:vAlign w:val="center"/>
          </w:tcPr>
          <w:p w14:paraId="68DCD1EC">
            <w:pPr>
              <w:jc w:val="right"/>
              <w:rPr>
                <w:rFonts w:eastAsia="等线" w:cs="Times New Roman"/>
                <w:color w:val="000000"/>
              </w:rPr>
            </w:pPr>
            <w:r>
              <w:rPr>
                <w:rFonts w:eastAsia="等线" w:cs="Times New Roman"/>
                <w:color w:val="000000"/>
              </w:rPr>
              <w:t>53,626,396.47</w:t>
            </w:r>
          </w:p>
        </w:tc>
        <w:tc>
          <w:tcPr>
            <w:tcW w:w="1250" w:type="pct"/>
            <w:vAlign w:val="center"/>
          </w:tcPr>
          <w:p w14:paraId="697D9C0F">
            <w:pPr>
              <w:jc w:val="center"/>
              <w:rPr>
                <w:rFonts w:ascii="宋体" w:hAnsi="宋体"/>
                <w:color w:val="000000"/>
              </w:rPr>
            </w:pPr>
          </w:p>
        </w:tc>
      </w:tr>
      <w:tr w14:paraId="5C74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vAlign w:val="center"/>
          </w:tcPr>
          <w:p w14:paraId="22F0F572">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1250" w:type="pct"/>
            <w:vAlign w:val="center"/>
          </w:tcPr>
          <w:p w14:paraId="151DD4AD">
            <w:pPr>
              <w:jc w:val="right"/>
              <w:rPr>
                <w:rFonts w:ascii="宋体" w:hAnsi="宋体"/>
                <w:color w:val="000000"/>
              </w:rPr>
            </w:pPr>
            <w:r>
              <w:rPr>
                <w:rFonts w:hint="eastAsia"/>
                <w:color w:val="000000"/>
              </w:rPr>
              <w:t>33,277,906.76</w:t>
            </w:r>
          </w:p>
        </w:tc>
        <w:tc>
          <w:tcPr>
            <w:tcW w:w="1250" w:type="pct"/>
            <w:vAlign w:val="center"/>
          </w:tcPr>
          <w:p w14:paraId="1866EEF1">
            <w:pPr>
              <w:jc w:val="right"/>
              <w:rPr>
                <w:rFonts w:eastAsia="等线" w:cs="Times New Roman"/>
                <w:color w:val="000000"/>
              </w:rPr>
            </w:pPr>
            <w:r>
              <w:rPr>
                <w:rFonts w:eastAsia="等线" w:cs="Times New Roman"/>
                <w:color w:val="000000"/>
              </w:rPr>
              <w:t>30,402,284.85</w:t>
            </w:r>
          </w:p>
        </w:tc>
        <w:tc>
          <w:tcPr>
            <w:tcW w:w="1250" w:type="pct"/>
            <w:vAlign w:val="center"/>
          </w:tcPr>
          <w:p w14:paraId="0E5F00B7">
            <w:pPr>
              <w:jc w:val="center"/>
              <w:rPr>
                <w:rFonts w:ascii="宋体" w:hAnsi="宋体"/>
                <w:color w:val="000000"/>
              </w:rPr>
            </w:pPr>
          </w:p>
        </w:tc>
      </w:tr>
      <w:tr w14:paraId="3A44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vAlign w:val="center"/>
          </w:tcPr>
          <w:p w14:paraId="7BB730F7">
            <w:pPr>
              <w:ind w:right="10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50" w:type="pct"/>
            <w:vAlign w:val="center"/>
          </w:tcPr>
          <w:p w14:paraId="49837665">
            <w:pPr>
              <w:jc w:val="right"/>
              <w:rPr>
                <w:rFonts w:ascii="宋体" w:hAnsi="宋体"/>
                <w:color w:val="000000"/>
              </w:rPr>
            </w:pPr>
            <w:r>
              <w:rPr>
                <w:rFonts w:hint="eastAsia"/>
                <w:color w:val="000000"/>
              </w:rPr>
              <w:t>90,889,448.46</w:t>
            </w:r>
          </w:p>
        </w:tc>
        <w:tc>
          <w:tcPr>
            <w:tcW w:w="1250" w:type="pct"/>
            <w:vAlign w:val="center"/>
          </w:tcPr>
          <w:p w14:paraId="390C5049">
            <w:pPr>
              <w:jc w:val="right"/>
              <w:rPr>
                <w:rFonts w:eastAsia="等线" w:cs="Times New Roman"/>
                <w:color w:val="000000"/>
              </w:rPr>
            </w:pPr>
            <w:r>
              <w:rPr>
                <w:rFonts w:eastAsia="等线" w:cs="Times New Roman"/>
                <w:color w:val="000000"/>
              </w:rPr>
              <w:t>85,365,169.01</w:t>
            </w:r>
          </w:p>
        </w:tc>
        <w:tc>
          <w:tcPr>
            <w:tcW w:w="1250" w:type="pct"/>
            <w:vAlign w:val="center"/>
          </w:tcPr>
          <w:p w14:paraId="5B080CB2">
            <w:pPr>
              <w:jc w:val="center"/>
              <w:rPr>
                <w:rFonts w:ascii="宋体" w:hAnsi="宋体"/>
                <w:color w:val="000000"/>
              </w:rPr>
            </w:pPr>
            <w:r>
              <w:rPr>
                <w:rFonts w:ascii="宋体" w:hAnsi="宋体"/>
                <w:color w:val="000000"/>
              </w:rPr>
              <w:t>/</w:t>
            </w:r>
          </w:p>
        </w:tc>
      </w:tr>
    </w:tbl>
    <w:p w14:paraId="6062F324">
      <w:pPr>
        <w:snapToGrid w:val="0"/>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其他说明，包括重要预计负债的相关重要假设、估计说明：</w:t>
      </w:r>
    </w:p>
    <w:sdt>
      <w:sdtPr>
        <w:rPr>
          <w:color w:val="000000" w:themeColor="text1"/>
          <w14:textFill>
            <w14:solidFill>
              <w14:schemeClr w14:val="tx1"/>
            </w14:solidFill>
          </w14:textFill>
        </w:rPr>
        <w:alias w:val="预计负债的说明"/>
        <w:tag w:val="_GBC_d674f22c00c1425092bd34d8a8834fad"/>
        <w:id w:val="-669261467"/>
        <w:placeholder>
          <w:docPart w:val="GBC22222222222222222222222222222"/>
        </w:placeholder>
      </w:sdtPr>
      <w:sdtEndPr>
        <w:rPr>
          <w:color w:val="000000" w:themeColor="text1"/>
          <w14:textFill>
            <w14:solidFill>
              <w14:schemeClr w14:val="tx1"/>
            </w14:solidFill>
          </w14:textFill>
        </w:rPr>
      </w:sdtEndPr>
      <w:sdtContent>
        <w:p w14:paraId="5F7A875A">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9CCDA9E">
      <w:pPr>
        <w:autoSpaceDE w:val="0"/>
        <w:autoSpaceDN w:val="0"/>
        <w:adjustRightInd w:val="0"/>
        <w:rPr>
          <w:color w:val="000000" w:themeColor="text1"/>
          <w14:textFill>
            <w14:solidFill>
              <w14:schemeClr w14:val="tx1"/>
            </w14:solidFill>
          </w14:textFill>
        </w:rPr>
      </w:pPr>
    </w:p>
    <w:bookmarkEnd w:id="328"/>
    <w:p w14:paraId="189AA65B">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递延收益</w:t>
      </w:r>
    </w:p>
    <w:p w14:paraId="4C2F6268">
      <w:pPr>
        <w:pStyle w:val="68"/>
        <w:ind w:firstLine="0" w:firstLineChars="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递延收益情况</w:t>
      </w:r>
    </w:p>
    <w:sdt>
      <w:sdtPr>
        <w:rPr>
          <w:rFonts w:ascii="宋体" w:hAnsi="宋体" w:cs="宋体"/>
          <w:color w:val="000000" w:themeColor="text1"/>
          <w:kern w:val="0"/>
          <w:szCs w:val="21"/>
          <w14:textFill>
            <w14:solidFill>
              <w14:schemeClr w14:val="tx1"/>
            </w14:solidFill>
          </w14:textFill>
        </w:rPr>
        <w:alias w:val="是否适用：递延收益情况 [双击切换]"/>
        <w:tag w:val="_GBC_2c1393684e764245824b2390014e92f1"/>
        <w:id w:val="1489673665"/>
        <w:placeholder>
          <w:docPart w:val="GBC22222222222222222222222222222"/>
        </w:placeholder>
      </w:sdtPr>
      <w:sdtEndPr>
        <w:rPr>
          <w:rFonts w:ascii="宋体" w:hAnsi="宋体" w:cs="宋体"/>
          <w:color w:val="000000" w:themeColor="text1"/>
          <w:kern w:val="0"/>
          <w:szCs w:val="21"/>
          <w14:textFill>
            <w14:solidFill>
              <w14:schemeClr w14:val="tx1"/>
            </w14:solidFill>
          </w14:textFill>
        </w:rPr>
      </w:sdtEndPr>
      <w:sdtContent>
        <w:p w14:paraId="63DC6D8C">
          <w:pPr>
            <w:pStyle w:val="68"/>
            <w:ind w:firstLine="0" w:firstLineChars="0"/>
            <w:jc w:val="left"/>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fldChar w:fldCharType="begin"/>
          </w:r>
          <w:r>
            <w:rPr>
              <w:rFonts w:ascii="宋体" w:hAnsi="宋体" w:cs="宋体"/>
              <w:color w:val="000000" w:themeColor="text1"/>
              <w:kern w:val="0"/>
              <w:szCs w:val="21"/>
              <w14:textFill>
                <w14:solidFill>
                  <w14:schemeClr w14:val="tx1"/>
                </w14:solidFill>
              </w14:textFill>
            </w:rPr>
            <w:instrText xml:space="preserve"> MACROBUTTON  SnrToggleCheckbox √适用 </w:instrText>
          </w:r>
          <w:r>
            <w:rPr>
              <w:rFonts w:ascii="宋体" w:hAnsi="宋体" w:cs="宋体"/>
              <w:color w:val="000000" w:themeColor="text1"/>
              <w:kern w:val="0"/>
              <w:szCs w:val="21"/>
              <w14:textFill>
                <w14:solidFill>
                  <w14:schemeClr w14:val="tx1"/>
                </w14:solidFill>
              </w14:textFill>
            </w:rPr>
            <w:fldChar w:fldCharType="end"/>
          </w:r>
          <w:r>
            <w:rPr>
              <w:rFonts w:ascii="宋体" w:hAnsi="宋体" w:cs="宋体"/>
              <w:color w:val="000000" w:themeColor="text1"/>
              <w:kern w:val="0"/>
              <w:szCs w:val="21"/>
              <w14:textFill>
                <w14:solidFill>
                  <w14:schemeClr w14:val="tx1"/>
                </w14:solidFill>
              </w14:textFill>
            </w:rPr>
            <w:fldChar w:fldCharType="begin"/>
          </w:r>
          <w:r>
            <w:rPr>
              <w:rFonts w:ascii="宋体" w:hAnsi="宋体" w:cs="宋体"/>
              <w:color w:val="000000" w:themeColor="text1"/>
              <w:kern w:val="0"/>
              <w:szCs w:val="21"/>
              <w14:textFill>
                <w14:solidFill>
                  <w14:schemeClr w14:val="tx1"/>
                </w14:solidFill>
              </w14:textFill>
            </w:rPr>
            <w:instrText xml:space="preserve"> MACROBUTTON  SnrToggleCheckbox □不适用 </w:instrText>
          </w:r>
          <w:r>
            <w:rPr>
              <w:rFonts w:ascii="宋体" w:hAnsi="宋体" w:cs="宋体"/>
              <w:color w:val="000000" w:themeColor="text1"/>
              <w:kern w:val="0"/>
              <w:szCs w:val="21"/>
              <w14:textFill>
                <w14:solidFill>
                  <w14:schemeClr w14:val="tx1"/>
                </w14:solidFill>
              </w14:textFill>
            </w:rPr>
            <w:fldChar w:fldCharType="end"/>
          </w:r>
        </w:p>
      </w:sdtContent>
    </w:sdt>
    <w:p w14:paraId="50BD0034">
      <w:pPr>
        <w:pStyle w:val="68"/>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递延收益"/>
          <w:tag w:val="_GBC_cf9505178ef64cd8b1a42757a7aaf77d"/>
          <w:id w:val="12262644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递延收益"/>
          <w:tag w:val="_GBC_b7ba9c3d835b413e83140a438bc5c413"/>
          <w:id w:val="16060688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432"/>
        <w:gridCol w:w="1568"/>
        <w:gridCol w:w="1430"/>
        <w:gridCol w:w="1568"/>
        <w:gridCol w:w="1560"/>
      </w:tblGrid>
      <w:tr w14:paraId="02F9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trPr>
        <w:sdt>
          <w:sdtPr>
            <w:tag w:val="_PLD_eeb45564af314089916105a5217e0ff6"/>
            <w:id w:val="1311444732"/>
          </w:sdtPr>
          <w:sdtContent>
            <w:tc>
              <w:tcPr>
                <w:tcW w:w="824" w:type="pct"/>
                <w:vAlign w:val="center"/>
              </w:tcPr>
              <w:p w14:paraId="604F4C1B">
                <w:pPr>
                  <w:jc w:val="center"/>
                  <w:rPr>
                    <w:color w:val="000000" w:themeColor="text1"/>
                    <w14:textFill>
                      <w14:solidFill>
                        <w14:schemeClr w14:val="tx1"/>
                      </w14:solidFill>
                    </w14:textFill>
                  </w:rPr>
                </w:pPr>
                <w:bookmarkStart w:id="329" w:name="_Hlk10537331"/>
                <w:bookmarkEnd w:id="329"/>
                <w:bookmarkStart w:id="330" w:name="OLE_LINK84"/>
                <w:bookmarkStart w:id="331" w:name="OLE_LINK85"/>
                <w:r>
                  <w:rPr>
                    <w:rFonts w:hint="eastAsia"/>
                    <w:color w:val="000000" w:themeColor="text1"/>
                    <w14:textFill>
                      <w14:solidFill>
                        <w14:schemeClr w14:val="tx1"/>
                      </w14:solidFill>
                    </w14:textFill>
                  </w:rPr>
                  <w:t>项目</w:t>
                </w:r>
              </w:p>
            </w:tc>
          </w:sdtContent>
        </w:sdt>
        <w:sdt>
          <w:sdtPr>
            <w:tag w:val="_PLD_e0613743f99d4af58a75406a4e2ba5a1"/>
            <w:id w:val="652182165"/>
          </w:sdtPr>
          <w:sdtContent>
            <w:tc>
              <w:tcPr>
                <w:tcW w:w="791" w:type="pct"/>
                <w:vAlign w:val="center"/>
              </w:tcPr>
              <w:p w14:paraId="74B91B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a27f928ad4574fe594e5f995d7a37059"/>
            <w:id w:val="-322130919"/>
          </w:sdtPr>
          <w:sdtContent>
            <w:tc>
              <w:tcPr>
                <w:tcW w:w="866" w:type="pct"/>
                <w:vAlign w:val="center"/>
              </w:tcPr>
              <w:p w14:paraId="296E1A7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ed95bef3663d40fb90dd15d113f7f2c1"/>
            <w:id w:val="-1611113450"/>
          </w:sdtPr>
          <w:sdtContent>
            <w:tc>
              <w:tcPr>
                <w:tcW w:w="790" w:type="pct"/>
                <w:vAlign w:val="center"/>
              </w:tcPr>
              <w:p w14:paraId="5A9672A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367cd0591009413e93857494eaf8170a"/>
            <w:id w:val="291800441"/>
          </w:sdtPr>
          <w:sdtContent>
            <w:tc>
              <w:tcPr>
                <w:tcW w:w="866" w:type="pct"/>
                <w:vAlign w:val="center"/>
              </w:tcPr>
              <w:p w14:paraId="7BA5845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d61ffc61194047d79611cccd8488aece"/>
            <w:id w:val="-544595219"/>
          </w:sdtPr>
          <w:sdtContent>
            <w:tc>
              <w:tcPr>
                <w:tcW w:w="862" w:type="pct"/>
                <w:vAlign w:val="center"/>
              </w:tcPr>
              <w:p w14:paraId="12FAA95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形成原因</w:t>
                </w:r>
              </w:p>
            </w:tc>
          </w:sdtContent>
        </w:sdt>
      </w:tr>
      <w:tr w14:paraId="74C1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4" w:type="pct"/>
          </w:tcPr>
          <w:p w14:paraId="5C28326B">
            <w:r>
              <w:t>与资产相关政府补助</w:t>
            </w:r>
          </w:p>
        </w:tc>
        <w:tc>
          <w:tcPr>
            <w:tcW w:w="791" w:type="pct"/>
            <w:vAlign w:val="center"/>
          </w:tcPr>
          <w:p w14:paraId="51EF10A2">
            <w:pPr>
              <w:jc w:val="right"/>
            </w:pPr>
            <w:r>
              <w:t>1,296,666.54</w:t>
            </w:r>
          </w:p>
        </w:tc>
        <w:tc>
          <w:tcPr>
            <w:tcW w:w="866" w:type="pct"/>
            <w:vAlign w:val="center"/>
          </w:tcPr>
          <w:p w14:paraId="6E3BD31A">
            <w:pPr>
              <w:jc w:val="right"/>
            </w:pPr>
            <w:r>
              <w:t>335,860,000.00</w:t>
            </w:r>
          </w:p>
        </w:tc>
        <w:tc>
          <w:tcPr>
            <w:tcW w:w="790" w:type="pct"/>
            <w:vAlign w:val="center"/>
          </w:tcPr>
          <w:p w14:paraId="53A928A5">
            <w:pPr>
              <w:jc w:val="right"/>
            </w:pPr>
            <w:r>
              <w:t>6,837,292.26</w:t>
            </w:r>
          </w:p>
        </w:tc>
        <w:tc>
          <w:tcPr>
            <w:tcW w:w="866" w:type="pct"/>
            <w:vAlign w:val="center"/>
          </w:tcPr>
          <w:p w14:paraId="5B5A0252">
            <w:pPr>
              <w:jc w:val="right"/>
            </w:pPr>
            <w:r>
              <w:t>330,319,374.28</w:t>
            </w:r>
          </w:p>
        </w:tc>
        <w:tc>
          <w:tcPr>
            <w:tcW w:w="862" w:type="pct"/>
          </w:tcPr>
          <w:p w14:paraId="29B1591F"/>
        </w:tc>
      </w:tr>
      <w:tr w14:paraId="72A9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4" w:type="pct"/>
          </w:tcPr>
          <w:p w14:paraId="0BD7CE4C">
            <w:r>
              <w:t>与收益相关政府补助</w:t>
            </w:r>
          </w:p>
        </w:tc>
        <w:tc>
          <w:tcPr>
            <w:tcW w:w="791" w:type="pct"/>
            <w:vAlign w:val="center"/>
          </w:tcPr>
          <w:p w14:paraId="2A5B9AA5">
            <w:pPr>
              <w:jc w:val="right"/>
            </w:pPr>
            <w:r>
              <w:t>2,575,629.32</w:t>
            </w:r>
          </w:p>
        </w:tc>
        <w:tc>
          <w:tcPr>
            <w:tcW w:w="866" w:type="pct"/>
            <w:vAlign w:val="center"/>
          </w:tcPr>
          <w:p w14:paraId="7DE87547">
            <w:pPr>
              <w:jc w:val="right"/>
            </w:pPr>
          </w:p>
        </w:tc>
        <w:tc>
          <w:tcPr>
            <w:tcW w:w="790" w:type="pct"/>
            <w:vAlign w:val="center"/>
          </w:tcPr>
          <w:p w14:paraId="03539564">
            <w:pPr>
              <w:jc w:val="right"/>
            </w:pPr>
            <w:r>
              <w:t>816,784.27</w:t>
            </w:r>
          </w:p>
        </w:tc>
        <w:tc>
          <w:tcPr>
            <w:tcW w:w="866" w:type="pct"/>
            <w:vAlign w:val="center"/>
          </w:tcPr>
          <w:p w14:paraId="7B1B7826">
            <w:pPr>
              <w:jc w:val="right"/>
            </w:pPr>
            <w:r>
              <w:t>1,758,845.05</w:t>
            </w:r>
          </w:p>
        </w:tc>
        <w:tc>
          <w:tcPr>
            <w:tcW w:w="862" w:type="pct"/>
          </w:tcPr>
          <w:p w14:paraId="5FCE9B02"/>
        </w:tc>
      </w:tr>
      <w:tr w14:paraId="76F5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4" w:type="pct"/>
          </w:tcPr>
          <w:p w14:paraId="07D8A845">
            <w:r>
              <w:t>权益法下顺流交易内部未实现超额抵消部分</w:t>
            </w:r>
          </w:p>
        </w:tc>
        <w:tc>
          <w:tcPr>
            <w:tcW w:w="791" w:type="pct"/>
            <w:vAlign w:val="center"/>
          </w:tcPr>
          <w:p w14:paraId="7DEBC8C8">
            <w:pPr>
              <w:jc w:val="right"/>
            </w:pPr>
            <w:r>
              <w:t>7,489,179.99</w:t>
            </w:r>
          </w:p>
        </w:tc>
        <w:tc>
          <w:tcPr>
            <w:tcW w:w="866" w:type="pct"/>
            <w:vAlign w:val="center"/>
          </w:tcPr>
          <w:p w14:paraId="54446619">
            <w:pPr>
              <w:jc w:val="right"/>
            </w:pPr>
          </w:p>
        </w:tc>
        <w:tc>
          <w:tcPr>
            <w:tcW w:w="790" w:type="pct"/>
            <w:vAlign w:val="center"/>
          </w:tcPr>
          <w:p w14:paraId="4319FE16">
            <w:pPr>
              <w:jc w:val="right"/>
            </w:pPr>
            <w:r>
              <w:t>3,293,875.54</w:t>
            </w:r>
          </w:p>
        </w:tc>
        <w:tc>
          <w:tcPr>
            <w:tcW w:w="866" w:type="pct"/>
            <w:vAlign w:val="center"/>
          </w:tcPr>
          <w:p w14:paraId="2433813F">
            <w:pPr>
              <w:jc w:val="right"/>
            </w:pPr>
            <w:r>
              <w:t>4,195,304.45</w:t>
            </w:r>
          </w:p>
        </w:tc>
        <w:tc>
          <w:tcPr>
            <w:tcW w:w="862" w:type="pct"/>
          </w:tcPr>
          <w:p w14:paraId="0ED21E0A"/>
        </w:tc>
      </w:tr>
      <w:tr w14:paraId="38BC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4" w:type="pct"/>
            <w:vAlign w:val="center"/>
          </w:tcPr>
          <w:p w14:paraId="1AE78FC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791" w:type="pct"/>
            <w:vAlign w:val="center"/>
          </w:tcPr>
          <w:p w14:paraId="26C05F2C">
            <w:pPr>
              <w:jc w:val="right"/>
            </w:pPr>
            <w:r>
              <w:t>11,361,475.85</w:t>
            </w:r>
          </w:p>
        </w:tc>
        <w:tc>
          <w:tcPr>
            <w:tcW w:w="866" w:type="pct"/>
            <w:vAlign w:val="center"/>
          </w:tcPr>
          <w:p w14:paraId="611C8B51">
            <w:pPr>
              <w:jc w:val="right"/>
            </w:pPr>
            <w:r>
              <w:t>335,860,000.00</w:t>
            </w:r>
          </w:p>
        </w:tc>
        <w:tc>
          <w:tcPr>
            <w:tcW w:w="790" w:type="pct"/>
            <w:vAlign w:val="center"/>
          </w:tcPr>
          <w:p w14:paraId="59052B26">
            <w:pPr>
              <w:jc w:val="right"/>
            </w:pPr>
            <w:r>
              <w:t>10,947,952.07</w:t>
            </w:r>
          </w:p>
        </w:tc>
        <w:tc>
          <w:tcPr>
            <w:tcW w:w="866" w:type="pct"/>
            <w:vAlign w:val="center"/>
          </w:tcPr>
          <w:p w14:paraId="0170E5BF">
            <w:pPr>
              <w:jc w:val="right"/>
            </w:pPr>
            <w:r>
              <w:t>336,273,523.78</w:t>
            </w:r>
          </w:p>
        </w:tc>
        <w:tc>
          <w:tcPr>
            <w:tcW w:w="862" w:type="pct"/>
          </w:tcPr>
          <w:p w14:paraId="0419645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031193B2"/>
    <w:p w14:paraId="3A6BA646">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递延收益的其他说明[双击切换]"/>
        <w:tag w:val="_GBC_da5e8f76ba934c9e8efb4ab4d41c9f8c"/>
        <w:id w:val="714395019"/>
        <w:placeholder>
          <w:docPart w:val="GBC22222222222222222222222222222"/>
        </w:placeholder>
      </w:sdtPr>
      <w:sdtEndPr>
        <w:rPr>
          <w:color w:val="000000" w:themeColor="text1"/>
          <w14:textFill>
            <w14:solidFill>
              <w14:schemeClr w14:val="tx1"/>
            </w14:solidFill>
          </w14:textFill>
        </w:rPr>
      </w:sdtEndPr>
      <w:sdtContent>
        <w:p w14:paraId="725E742B">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30"/>
    <w:bookmarkEnd w:id="331"/>
    <w:sdt>
      <w:sdtPr>
        <w:rPr>
          <w:color w:val="000000" w:themeColor="text1"/>
          <w14:textFill>
            <w14:solidFill>
              <w14:schemeClr w14:val="tx1"/>
            </w14:solidFill>
          </w14:textFill>
        </w:rPr>
        <w:alias w:val="递延收益的其他说明"/>
        <w:tag w:val="_GBC_e8c5cb3f7d5541eda9cccad5c92bc633"/>
        <w:id w:val="39018949"/>
        <w:placeholder>
          <w:docPart w:val="501E9C1F75074586A4BA667F98959FBB"/>
        </w:placeholder>
      </w:sdtPr>
      <w:sdtEndPr>
        <w:rPr>
          <w:color w:val="000000" w:themeColor="text1"/>
          <w14:textFill>
            <w14:solidFill>
              <w14:schemeClr w14:val="tx1"/>
            </w14:solidFill>
          </w14:textFill>
        </w:rPr>
      </w:sdtEndPr>
      <w:sdtContent>
        <w:p w14:paraId="0311D8F7">
          <w:pPr>
            <w:rPr>
              <w:color w:val="000000" w:themeColor="text1"/>
              <w14:textFill>
                <w14:solidFill>
                  <w14:schemeClr w14:val="tx1"/>
                </w14:solidFill>
              </w14:textFill>
            </w:rPr>
          </w:pPr>
        </w:p>
        <w:tbl>
          <w:tblPr>
            <w:tblStyle w:val="37"/>
            <w:tblW w:w="5000" w:type="pct"/>
            <w:tblInd w:w="0" w:type="dxa"/>
            <w:tblLayout w:type="autofit"/>
            <w:tblCellMar>
              <w:top w:w="0" w:type="dxa"/>
              <w:left w:w="108" w:type="dxa"/>
              <w:bottom w:w="0" w:type="dxa"/>
              <w:right w:w="108" w:type="dxa"/>
            </w:tblCellMar>
          </w:tblPr>
          <w:tblGrid>
            <w:gridCol w:w="2901"/>
            <w:gridCol w:w="1359"/>
            <w:gridCol w:w="1567"/>
            <w:gridCol w:w="1580"/>
            <w:gridCol w:w="1642"/>
          </w:tblGrid>
          <w:tr w14:paraId="0AA9FA72">
            <w:tblPrEx>
              <w:tblCellMar>
                <w:top w:w="0" w:type="dxa"/>
                <w:left w:w="108" w:type="dxa"/>
                <w:bottom w:w="0" w:type="dxa"/>
                <w:right w:w="108" w:type="dxa"/>
              </w:tblCellMar>
            </w:tblPrEx>
            <w:trPr>
              <w:trHeight w:val="290" w:hRule="atLeast"/>
            </w:trPr>
            <w:tc>
              <w:tcPr>
                <w:tcW w:w="1603" w:type="pct"/>
                <w:tcBorders>
                  <w:top w:val="nil"/>
                  <w:left w:val="nil"/>
                  <w:bottom w:val="single" w:color="auto" w:sz="2" w:space="0"/>
                  <w:right w:val="nil"/>
                </w:tcBorders>
                <w:noWrap/>
                <w:vAlign w:val="center"/>
              </w:tcPr>
              <w:p w14:paraId="5EBD3593">
                <w:pPr>
                  <w:ind w:firstLine="420" w:firstLineChars="200"/>
                  <w:rPr>
                    <w:rFonts w:ascii="宋体" w:hAnsi="宋体"/>
                    <w:color w:val="000000"/>
                  </w:rPr>
                </w:pPr>
                <w:r>
                  <w:rPr>
                    <w:rFonts w:hint="eastAsia" w:ascii="宋体" w:hAnsi="宋体"/>
                    <w:color w:val="000000"/>
                  </w:rPr>
                  <w:t>1.与资产相关政府补助</w:t>
                </w:r>
              </w:p>
            </w:tc>
            <w:tc>
              <w:tcPr>
                <w:tcW w:w="751" w:type="pct"/>
                <w:tcBorders>
                  <w:top w:val="nil"/>
                  <w:left w:val="nil"/>
                  <w:bottom w:val="single" w:color="auto" w:sz="2" w:space="0"/>
                  <w:right w:val="nil"/>
                </w:tcBorders>
                <w:noWrap/>
                <w:vAlign w:val="center"/>
              </w:tcPr>
              <w:p w14:paraId="1BBD2AF0">
                <w:pPr>
                  <w:ind w:firstLine="420" w:firstLineChars="200"/>
                  <w:rPr>
                    <w:rFonts w:ascii="宋体" w:hAnsi="宋体"/>
                    <w:color w:val="000000"/>
                  </w:rPr>
                </w:pPr>
              </w:p>
            </w:tc>
            <w:tc>
              <w:tcPr>
                <w:tcW w:w="866" w:type="pct"/>
                <w:tcBorders>
                  <w:top w:val="nil"/>
                  <w:left w:val="nil"/>
                  <w:bottom w:val="single" w:color="auto" w:sz="2" w:space="0"/>
                  <w:right w:val="nil"/>
                </w:tcBorders>
                <w:noWrap/>
                <w:vAlign w:val="center"/>
              </w:tcPr>
              <w:p w14:paraId="4324FE32">
                <w:pPr>
                  <w:rPr>
                    <w:rFonts w:eastAsia="Times New Roman" w:cs="Times New Roman"/>
                    <w:sz w:val="20"/>
                    <w:szCs w:val="20"/>
                  </w:rPr>
                </w:pPr>
              </w:p>
            </w:tc>
            <w:tc>
              <w:tcPr>
                <w:tcW w:w="873" w:type="pct"/>
                <w:tcBorders>
                  <w:top w:val="nil"/>
                  <w:left w:val="nil"/>
                  <w:bottom w:val="single" w:color="auto" w:sz="2" w:space="0"/>
                  <w:right w:val="nil"/>
                </w:tcBorders>
                <w:noWrap/>
                <w:vAlign w:val="center"/>
              </w:tcPr>
              <w:p w14:paraId="7D38A92A">
                <w:pPr>
                  <w:rPr>
                    <w:rFonts w:eastAsia="Times New Roman" w:cs="Times New Roman"/>
                    <w:sz w:val="20"/>
                    <w:szCs w:val="20"/>
                  </w:rPr>
                </w:pPr>
              </w:p>
            </w:tc>
            <w:tc>
              <w:tcPr>
                <w:tcW w:w="907" w:type="pct"/>
                <w:tcBorders>
                  <w:top w:val="nil"/>
                  <w:left w:val="nil"/>
                  <w:bottom w:val="single" w:color="auto" w:sz="2" w:space="0"/>
                  <w:right w:val="nil"/>
                </w:tcBorders>
                <w:noWrap/>
                <w:vAlign w:val="center"/>
              </w:tcPr>
              <w:p w14:paraId="01BEAAC5">
                <w:pPr>
                  <w:rPr>
                    <w:rFonts w:eastAsia="Times New Roman" w:cs="Times New Roman"/>
                    <w:sz w:val="20"/>
                    <w:szCs w:val="20"/>
                  </w:rPr>
                </w:pPr>
              </w:p>
            </w:tc>
          </w:tr>
          <w:tr w14:paraId="4B48085E">
            <w:tblPrEx>
              <w:tblCellMar>
                <w:top w:w="0" w:type="dxa"/>
                <w:left w:w="108" w:type="dxa"/>
                <w:bottom w:w="0" w:type="dxa"/>
                <w:right w:w="108" w:type="dxa"/>
              </w:tblCellMar>
            </w:tblPrEx>
            <w:trPr>
              <w:trHeight w:val="550" w:hRule="atLeast"/>
            </w:trPr>
            <w:tc>
              <w:tcPr>
                <w:tcW w:w="1603" w:type="pct"/>
                <w:tcBorders>
                  <w:top w:val="single" w:color="auto" w:sz="2" w:space="0"/>
                  <w:left w:val="single" w:color="auto" w:sz="2" w:space="0"/>
                  <w:bottom w:val="single" w:color="auto" w:sz="2" w:space="0"/>
                  <w:right w:val="single" w:color="auto" w:sz="2" w:space="0"/>
                </w:tcBorders>
                <w:vAlign w:val="center"/>
              </w:tcPr>
              <w:p w14:paraId="35F9A7B5">
                <w:pPr>
                  <w:jc w:val="center"/>
                  <w:rPr>
                    <w:rFonts w:ascii="宋体" w:hAnsi="宋体"/>
                    <w:color w:val="000000"/>
                  </w:rPr>
                </w:pPr>
                <w:r>
                  <w:rPr>
                    <w:rFonts w:hint="eastAsia" w:ascii="宋体" w:hAnsi="宋体"/>
                    <w:color w:val="000000"/>
                  </w:rPr>
                  <w:t>项目</w:t>
                </w:r>
              </w:p>
            </w:tc>
            <w:tc>
              <w:tcPr>
                <w:tcW w:w="751" w:type="pct"/>
                <w:tcBorders>
                  <w:top w:val="single" w:color="auto" w:sz="2" w:space="0"/>
                  <w:left w:val="single" w:color="auto" w:sz="2" w:space="0"/>
                  <w:bottom w:val="single" w:color="auto" w:sz="2" w:space="0"/>
                  <w:right w:val="single" w:color="auto" w:sz="2" w:space="0"/>
                </w:tcBorders>
                <w:vAlign w:val="center"/>
              </w:tcPr>
              <w:p w14:paraId="45A38F61">
                <w:pPr>
                  <w:jc w:val="center"/>
                  <w:rPr>
                    <w:rFonts w:ascii="宋体" w:hAnsi="宋体"/>
                    <w:color w:val="000000"/>
                  </w:rPr>
                </w:pPr>
                <w:r>
                  <w:rPr>
                    <w:rFonts w:hint="eastAsia" w:ascii="宋体" w:hAnsi="宋体"/>
                    <w:color w:val="000000"/>
                  </w:rPr>
                  <w:t>期初余额</w:t>
                </w:r>
              </w:p>
            </w:tc>
            <w:tc>
              <w:tcPr>
                <w:tcW w:w="866" w:type="pct"/>
                <w:tcBorders>
                  <w:top w:val="single" w:color="auto" w:sz="2" w:space="0"/>
                  <w:left w:val="single" w:color="auto" w:sz="2" w:space="0"/>
                  <w:bottom w:val="single" w:color="auto" w:sz="2" w:space="0"/>
                  <w:right w:val="single" w:color="auto" w:sz="2" w:space="0"/>
                </w:tcBorders>
                <w:vAlign w:val="center"/>
              </w:tcPr>
              <w:p w14:paraId="2EC0557B">
                <w:pPr>
                  <w:jc w:val="center"/>
                  <w:rPr>
                    <w:rFonts w:ascii="宋体" w:hAnsi="宋体"/>
                    <w:color w:val="000000"/>
                  </w:rPr>
                </w:pPr>
                <w:r>
                  <w:rPr>
                    <w:rFonts w:hint="eastAsia" w:ascii="宋体" w:hAnsi="宋体"/>
                    <w:color w:val="000000"/>
                  </w:rPr>
                  <w:t>本期增加</w:t>
                </w:r>
              </w:p>
            </w:tc>
            <w:tc>
              <w:tcPr>
                <w:tcW w:w="873" w:type="pct"/>
                <w:tcBorders>
                  <w:top w:val="single" w:color="auto" w:sz="2" w:space="0"/>
                  <w:left w:val="single" w:color="auto" w:sz="2" w:space="0"/>
                  <w:bottom w:val="single" w:color="auto" w:sz="2" w:space="0"/>
                  <w:right w:val="single" w:color="auto" w:sz="2" w:space="0"/>
                </w:tcBorders>
                <w:vAlign w:val="center"/>
              </w:tcPr>
              <w:p w14:paraId="239C0FF9">
                <w:pPr>
                  <w:jc w:val="center"/>
                  <w:rPr>
                    <w:rFonts w:ascii="宋体" w:hAnsi="宋体"/>
                    <w:color w:val="000000"/>
                  </w:rPr>
                </w:pPr>
                <w:r>
                  <w:rPr>
                    <w:rFonts w:hint="eastAsia" w:ascii="宋体" w:hAnsi="宋体"/>
                    <w:color w:val="000000"/>
                  </w:rPr>
                  <w:t>本期计入其他收益的金额</w:t>
                </w:r>
              </w:p>
            </w:tc>
            <w:tc>
              <w:tcPr>
                <w:tcW w:w="907" w:type="pct"/>
                <w:tcBorders>
                  <w:top w:val="single" w:color="auto" w:sz="2" w:space="0"/>
                  <w:left w:val="single" w:color="auto" w:sz="2" w:space="0"/>
                  <w:bottom w:val="single" w:color="auto" w:sz="2" w:space="0"/>
                  <w:right w:val="single" w:color="auto" w:sz="2" w:space="0"/>
                </w:tcBorders>
                <w:vAlign w:val="center"/>
              </w:tcPr>
              <w:p w14:paraId="351D9774">
                <w:pPr>
                  <w:jc w:val="center"/>
                  <w:rPr>
                    <w:rFonts w:ascii="宋体" w:hAnsi="宋体"/>
                    <w:color w:val="000000"/>
                  </w:rPr>
                </w:pPr>
                <w:r>
                  <w:rPr>
                    <w:rFonts w:hint="eastAsia" w:ascii="宋体" w:hAnsi="宋体"/>
                    <w:color w:val="000000"/>
                  </w:rPr>
                  <w:t>期末余额</w:t>
                </w:r>
              </w:p>
            </w:tc>
          </w:tr>
          <w:tr w14:paraId="4C21D8B6">
            <w:tblPrEx>
              <w:tblCellMar>
                <w:top w:w="0" w:type="dxa"/>
                <w:left w:w="108" w:type="dxa"/>
                <w:bottom w:w="0" w:type="dxa"/>
                <w:right w:w="108" w:type="dxa"/>
              </w:tblCellMar>
            </w:tblPrEx>
            <w:trPr>
              <w:trHeight w:val="350" w:hRule="atLeast"/>
            </w:trPr>
            <w:tc>
              <w:tcPr>
                <w:tcW w:w="1603" w:type="pct"/>
                <w:tcBorders>
                  <w:top w:val="single" w:color="auto" w:sz="2" w:space="0"/>
                  <w:left w:val="single" w:color="auto" w:sz="2" w:space="0"/>
                  <w:bottom w:val="single" w:color="auto" w:sz="2" w:space="0"/>
                  <w:right w:val="single" w:color="auto" w:sz="2" w:space="0"/>
                </w:tcBorders>
                <w:vAlign w:val="center"/>
              </w:tcPr>
              <w:p w14:paraId="2575E613">
                <w:pPr>
                  <w:ind w:left="-53" w:leftChars="-25" w:right="-53" w:rightChars="-25"/>
                  <w:jc w:val="center"/>
                  <w:rPr>
                    <w:rFonts w:ascii="宋体" w:hAnsi="宋体"/>
                    <w:color w:val="000000"/>
                    <w:spacing w:val="-6"/>
                  </w:rPr>
                </w:pPr>
                <w:r>
                  <w:rPr>
                    <w:rFonts w:hint="eastAsia" w:ascii="宋体" w:hAnsi="宋体"/>
                    <w:color w:val="000000"/>
                    <w:spacing w:val="-6"/>
                  </w:rPr>
                  <w:t>第四批民营经济发展专项资金</w:t>
                </w:r>
              </w:p>
            </w:tc>
            <w:tc>
              <w:tcPr>
                <w:tcW w:w="751" w:type="pct"/>
                <w:tcBorders>
                  <w:top w:val="single" w:color="auto" w:sz="2" w:space="0"/>
                  <w:left w:val="single" w:color="auto" w:sz="2" w:space="0"/>
                  <w:bottom w:val="single" w:color="auto" w:sz="2" w:space="0"/>
                  <w:right w:val="single" w:color="auto" w:sz="2" w:space="0"/>
                </w:tcBorders>
                <w:vAlign w:val="center"/>
              </w:tcPr>
              <w:p w14:paraId="37083E45">
                <w:pPr>
                  <w:jc w:val="right"/>
                </w:pPr>
                <w:r>
                  <w:rPr>
                    <w:rFonts w:hint="eastAsia"/>
                  </w:rPr>
                  <w:t>966,666.54</w:t>
                </w:r>
              </w:p>
            </w:tc>
            <w:tc>
              <w:tcPr>
                <w:tcW w:w="866" w:type="pct"/>
                <w:tcBorders>
                  <w:top w:val="single" w:color="auto" w:sz="2" w:space="0"/>
                  <w:left w:val="single" w:color="auto" w:sz="2" w:space="0"/>
                  <w:bottom w:val="single" w:color="auto" w:sz="2" w:space="0"/>
                  <w:right w:val="single" w:color="auto" w:sz="2" w:space="0"/>
                </w:tcBorders>
                <w:vAlign w:val="center"/>
              </w:tcPr>
              <w:p w14:paraId="5249AEF6">
                <w:pPr>
                  <w:jc w:val="right"/>
                </w:pPr>
                <w:r>
                  <w:rPr>
                    <w:rFonts w:hint="eastAsia"/>
                  </w:rPr>
                  <w:t>　</w:t>
                </w:r>
              </w:p>
            </w:tc>
            <w:tc>
              <w:tcPr>
                <w:tcW w:w="873" w:type="pct"/>
                <w:tcBorders>
                  <w:top w:val="single" w:color="auto" w:sz="2" w:space="0"/>
                  <w:left w:val="single" w:color="auto" w:sz="2" w:space="0"/>
                  <w:bottom w:val="single" w:color="auto" w:sz="2" w:space="0"/>
                  <w:right w:val="single" w:color="auto" w:sz="2" w:space="0"/>
                </w:tcBorders>
                <w:vAlign w:val="center"/>
              </w:tcPr>
              <w:p w14:paraId="6FCA01A9">
                <w:pPr>
                  <w:jc w:val="right"/>
                </w:pPr>
                <w:r>
                  <w:rPr>
                    <w:rFonts w:hint="eastAsia"/>
                  </w:rPr>
                  <w:t>96,666.68</w:t>
                </w:r>
              </w:p>
            </w:tc>
            <w:tc>
              <w:tcPr>
                <w:tcW w:w="907" w:type="pct"/>
                <w:tcBorders>
                  <w:top w:val="single" w:color="auto" w:sz="2" w:space="0"/>
                  <w:left w:val="single" w:color="auto" w:sz="2" w:space="0"/>
                  <w:bottom w:val="single" w:color="auto" w:sz="2" w:space="0"/>
                  <w:right w:val="single" w:color="auto" w:sz="2" w:space="0"/>
                </w:tcBorders>
                <w:vAlign w:val="center"/>
              </w:tcPr>
              <w:p w14:paraId="33AE989F">
                <w:pPr>
                  <w:jc w:val="right"/>
                </w:pPr>
                <w:r>
                  <w:rPr>
                    <w:rFonts w:hint="eastAsia"/>
                  </w:rPr>
                  <w:t>869,999.86</w:t>
                </w:r>
              </w:p>
            </w:tc>
          </w:tr>
          <w:tr w14:paraId="74C079B7">
            <w:tblPrEx>
              <w:tblCellMar>
                <w:top w:w="0" w:type="dxa"/>
                <w:left w:w="108" w:type="dxa"/>
                <w:bottom w:w="0" w:type="dxa"/>
                <w:right w:w="108" w:type="dxa"/>
              </w:tblCellMar>
            </w:tblPrEx>
            <w:trPr>
              <w:trHeight w:val="290" w:hRule="atLeast"/>
            </w:trPr>
            <w:tc>
              <w:tcPr>
                <w:tcW w:w="1603" w:type="pct"/>
                <w:tcBorders>
                  <w:top w:val="single" w:color="auto" w:sz="2" w:space="0"/>
                  <w:left w:val="single" w:color="auto" w:sz="2" w:space="0"/>
                  <w:bottom w:val="single" w:color="auto" w:sz="2" w:space="0"/>
                  <w:right w:val="single" w:color="auto" w:sz="2" w:space="0"/>
                </w:tcBorders>
                <w:vAlign w:val="center"/>
              </w:tcPr>
              <w:p w14:paraId="4983ACDC">
                <w:pPr>
                  <w:jc w:val="center"/>
                  <w:rPr>
                    <w:rFonts w:ascii="宋体" w:hAnsi="宋体"/>
                    <w:color w:val="000000"/>
                  </w:rPr>
                </w:pPr>
                <w:r>
                  <w:rPr>
                    <w:rFonts w:hint="eastAsia" w:ascii="宋体" w:hAnsi="宋体"/>
                    <w:color w:val="000000"/>
                  </w:rPr>
                  <w:t>工业结构调整项目补助</w:t>
                </w:r>
              </w:p>
            </w:tc>
            <w:tc>
              <w:tcPr>
                <w:tcW w:w="751" w:type="pct"/>
                <w:tcBorders>
                  <w:top w:val="single" w:color="auto" w:sz="2" w:space="0"/>
                  <w:left w:val="single" w:color="auto" w:sz="2" w:space="0"/>
                  <w:bottom w:val="single" w:color="auto" w:sz="2" w:space="0"/>
                  <w:right w:val="single" w:color="auto" w:sz="2" w:space="0"/>
                </w:tcBorders>
                <w:vAlign w:val="center"/>
              </w:tcPr>
              <w:p w14:paraId="5B8B5F98">
                <w:pPr>
                  <w:jc w:val="right"/>
                </w:pPr>
                <w:r>
                  <w:rPr>
                    <w:rFonts w:hint="eastAsia"/>
                  </w:rPr>
                  <w:t>330,000.00</w:t>
                </w:r>
              </w:p>
            </w:tc>
            <w:tc>
              <w:tcPr>
                <w:tcW w:w="866" w:type="pct"/>
                <w:tcBorders>
                  <w:top w:val="single" w:color="auto" w:sz="2" w:space="0"/>
                  <w:left w:val="single" w:color="auto" w:sz="2" w:space="0"/>
                  <w:bottom w:val="single" w:color="auto" w:sz="2" w:space="0"/>
                  <w:right w:val="single" w:color="auto" w:sz="2" w:space="0"/>
                </w:tcBorders>
                <w:vAlign w:val="center"/>
              </w:tcPr>
              <w:p w14:paraId="0CDF24BC">
                <w:pPr>
                  <w:jc w:val="right"/>
                </w:pPr>
                <w:r>
                  <w:rPr>
                    <w:rFonts w:hint="eastAsia"/>
                  </w:rPr>
                  <w:t>　</w:t>
                </w:r>
              </w:p>
            </w:tc>
            <w:tc>
              <w:tcPr>
                <w:tcW w:w="873" w:type="pct"/>
                <w:tcBorders>
                  <w:top w:val="single" w:color="auto" w:sz="2" w:space="0"/>
                  <w:left w:val="single" w:color="auto" w:sz="2" w:space="0"/>
                  <w:bottom w:val="single" w:color="auto" w:sz="2" w:space="0"/>
                  <w:right w:val="single" w:color="auto" w:sz="2" w:space="0"/>
                </w:tcBorders>
                <w:vAlign w:val="center"/>
              </w:tcPr>
              <w:p w14:paraId="679103F4">
                <w:pPr>
                  <w:jc w:val="right"/>
                </w:pPr>
                <w:r>
                  <w:rPr>
                    <w:rFonts w:hint="eastAsia"/>
                  </w:rPr>
                  <w:t>55,000.40</w:t>
                </w:r>
              </w:p>
            </w:tc>
            <w:tc>
              <w:tcPr>
                <w:tcW w:w="907" w:type="pct"/>
                <w:tcBorders>
                  <w:top w:val="single" w:color="auto" w:sz="2" w:space="0"/>
                  <w:left w:val="single" w:color="auto" w:sz="2" w:space="0"/>
                  <w:bottom w:val="single" w:color="auto" w:sz="2" w:space="0"/>
                  <w:right w:val="single" w:color="auto" w:sz="2" w:space="0"/>
                </w:tcBorders>
                <w:vAlign w:val="center"/>
              </w:tcPr>
              <w:p w14:paraId="4151A8AB">
                <w:pPr>
                  <w:jc w:val="right"/>
                </w:pPr>
                <w:r>
                  <w:rPr>
                    <w:rFonts w:hint="eastAsia"/>
                  </w:rPr>
                  <w:t>274,999.60</w:t>
                </w:r>
              </w:p>
            </w:tc>
          </w:tr>
          <w:tr w14:paraId="298D8094">
            <w:tblPrEx>
              <w:tblCellMar>
                <w:top w:w="0" w:type="dxa"/>
                <w:left w:w="108" w:type="dxa"/>
                <w:bottom w:w="0" w:type="dxa"/>
                <w:right w:w="108" w:type="dxa"/>
              </w:tblCellMar>
            </w:tblPrEx>
            <w:trPr>
              <w:trHeight w:val="290" w:hRule="atLeast"/>
            </w:trPr>
            <w:tc>
              <w:tcPr>
                <w:tcW w:w="1603" w:type="pct"/>
                <w:tcBorders>
                  <w:top w:val="single" w:color="auto" w:sz="2" w:space="0"/>
                  <w:left w:val="single" w:color="auto" w:sz="2" w:space="0"/>
                  <w:bottom w:val="single" w:color="auto" w:sz="2" w:space="0"/>
                  <w:right w:val="single" w:color="auto" w:sz="2" w:space="0"/>
                </w:tcBorders>
                <w:vAlign w:val="center"/>
              </w:tcPr>
              <w:p w14:paraId="170A5A45">
                <w:pPr>
                  <w:jc w:val="center"/>
                  <w:rPr>
                    <w:rFonts w:ascii="宋体" w:hAnsi="宋体"/>
                    <w:color w:val="000000"/>
                  </w:rPr>
                </w:pPr>
                <w:r>
                  <w:rPr>
                    <w:rFonts w:hint="eastAsia" w:ascii="宋体" w:hAnsi="宋体"/>
                    <w:color w:val="000000"/>
                  </w:rPr>
                  <w:t>固定投入相关补助</w:t>
                </w:r>
              </w:p>
            </w:tc>
            <w:tc>
              <w:tcPr>
                <w:tcW w:w="751" w:type="pct"/>
                <w:tcBorders>
                  <w:top w:val="single" w:color="auto" w:sz="2" w:space="0"/>
                  <w:left w:val="single" w:color="auto" w:sz="2" w:space="0"/>
                  <w:bottom w:val="single" w:color="auto" w:sz="2" w:space="0"/>
                  <w:right w:val="single" w:color="auto" w:sz="2" w:space="0"/>
                </w:tcBorders>
                <w:vAlign w:val="center"/>
              </w:tcPr>
              <w:p w14:paraId="0335B50E">
                <w:pPr>
                  <w:jc w:val="right"/>
                </w:pPr>
                <w:r>
                  <w:rPr>
                    <w:rFonts w:hint="eastAsia"/>
                  </w:rPr>
                  <w:t>　</w:t>
                </w:r>
              </w:p>
            </w:tc>
            <w:tc>
              <w:tcPr>
                <w:tcW w:w="866" w:type="pct"/>
                <w:tcBorders>
                  <w:top w:val="single" w:color="auto" w:sz="2" w:space="0"/>
                  <w:left w:val="single" w:color="auto" w:sz="2" w:space="0"/>
                  <w:bottom w:val="single" w:color="auto" w:sz="2" w:space="0"/>
                  <w:right w:val="single" w:color="auto" w:sz="2" w:space="0"/>
                </w:tcBorders>
                <w:vAlign w:val="center"/>
              </w:tcPr>
              <w:p w14:paraId="3E6F7F1A">
                <w:pPr>
                  <w:jc w:val="right"/>
                </w:pPr>
                <w:r>
                  <w:rPr>
                    <w:rFonts w:hint="eastAsia"/>
                  </w:rPr>
                  <w:t>39,710,000.00</w:t>
                </w:r>
              </w:p>
            </w:tc>
            <w:tc>
              <w:tcPr>
                <w:tcW w:w="873" w:type="pct"/>
                <w:tcBorders>
                  <w:top w:val="single" w:color="auto" w:sz="2" w:space="0"/>
                  <w:left w:val="single" w:color="auto" w:sz="2" w:space="0"/>
                  <w:bottom w:val="single" w:color="auto" w:sz="2" w:space="0"/>
                  <w:right w:val="single" w:color="auto" w:sz="2" w:space="0"/>
                </w:tcBorders>
                <w:vAlign w:val="center"/>
              </w:tcPr>
              <w:p w14:paraId="566BD7F2">
                <w:pPr>
                  <w:jc w:val="right"/>
                </w:pPr>
                <w:r>
                  <w:rPr>
                    <w:rFonts w:hint="eastAsia"/>
                  </w:rPr>
                  <w:t>731,122.80</w:t>
                </w:r>
              </w:p>
            </w:tc>
            <w:tc>
              <w:tcPr>
                <w:tcW w:w="907" w:type="pct"/>
                <w:tcBorders>
                  <w:top w:val="single" w:color="auto" w:sz="2" w:space="0"/>
                  <w:left w:val="single" w:color="auto" w:sz="2" w:space="0"/>
                  <w:bottom w:val="single" w:color="auto" w:sz="2" w:space="0"/>
                  <w:right w:val="single" w:color="auto" w:sz="2" w:space="0"/>
                </w:tcBorders>
                <w:vAlign w:val="center"/>
              </w:tcPr>
              <w:p w14:paraId="0248450C">
                <w:pPr>
                  <w:jc w:val="right"/>
                </w:pPr>
                <w:r>
                  <w:rPr>
                    <w:rFonts w:hint="eastAsia"/>
                  </w:rPr>
                  <w:t>38,978,877.20</w:t>
                </w:r>
              </w:p>
            </w:tc>
          </w:tr>
          <w:tr w14:paraId="25CD71E9">
            <w:tblPrEx>
              <w:tblCellMar>
                <w:top w:w="0" w:type="dxa"/>
                <w:left w:w="108" w:type="dxa"/>
                <w:bottom w:w="0" w:type="dxa"/>
                <w:right w:w="108" w:type="dxa"/>
              </w:tblCellMar>
            </w:tblPrEx>
            <w:trPr>
              <w:trHeight w:val="290" w:hRule="atLeast"/>
            </w:trPr>
            <w:tc>
              <w:tcPr>
                <w:tcW w:w="1603" w:type="pct"/>
                <w:tcBorders>
                  <w:top w:val="single" w:color="auto" w:sz="2" w:space="0"/>
                  <w:left w:val="single" w:color="auto" w:sz="2" w:space="0"/>
                  <w:bottom w:val="single" w:color="auto" w:sz="2" w:space="0"/>
                  <w:right w:val="single" w:color="auto" w:sz="2" w:space="0"/>
                </w:tcBorders>
                <w:vAlign w:val="center"/>
              </w:tcPr>
              <w:p w14:paraId="348A6F7B">
                <w:pPr>
                  <w:jc w:val="center"/>
                  <w:rPr>
                    <w:rFonts w:ascii="宋体" w:hAnsi="宋体"/>
                    <w:color w:val="000000"/>
                  </w:rPr>
                </w:pPr>
                <w:r>
                  <w:rPr>
                    <w:rFonts w:hint="eastAsia" w:ascii="宋体" w:hAnsi="宋体"/>
                    <w:color w:val="000000"/>
                  </w:rPr>
                  <w:t>资本化研发投入相关补助</w:t>
                </w:r>
              </w:p>
            </w:tc>
            <w:tc>
              <w:tcPr>
                <w:tcW w:w="751" w:type="pct"/>
                <w:tcBorders>
                  <w:top w:val="single" w:color="auto" w:sz="2" w:space="0"/>
                  <w:left w:val="single" w:color="auto" w:sz="2" w:space="0"/>
                  <w:bottom w:val="single" w:color="auto" w:sz="2" w:space="0"/>
                  <w:right w:val="single" w:color="auto" w:sz="2" w:space="0"/>
                </w:tcBorders>
                <w:vAlign w:val="center"/>
              </w:tcPr>
              <w:p w14:paraId="3DE397A0">
                <w:pPr>
                  <w:jc w:val="right"/>
                </w:pPr>
                <w:r>
                  <w:rPr>
                    <w:rFonts w:hint="eastAsia"/>
                  </w:rPr>
                  <w:t>　</w:t>
                </w:r>
              </w:p>
            </w:tc>
            <w:tc>
              <w:tcPr>
                <w:tcW w:w="866" w:type="pct"/>
                <w:tcBorders>
                  <w:top w:val="single" w:color="auto" w:sz="2" w:space="0"/>
                  <w:left w:val="single" w:color="auto" w:sz="2" w:space="0"/>
                  <w:bottom w:val="single" w:color="auto" w:sz="2" w:space="0"/>
                  <w:right w:val="single" w:color="auto" w:sz="2" w:space="0"/>
                </w:tcBorders>
                <w:vAlign w:val="center"/>
              </w:tcPr>
              <w:p w14:paraId="5F3CBC13">
                <w:pPr>
                  <w:jc w:val="right"/>
                </w:pPr>
                <w:r>
                  <w:rPr>
                    <w:rFonts w:hint="eastAsia"/>
                  </w:rPr>
                  <w:t>296,150,000.00</w:t>
                </w:r>
              </w:p>
            </w:tc>
            <w:tc>
              <w:tcPr>
                <w:tcW w:w="873" w:type="pct"/>
                <w:tcBorders>
                  <w:top w:val="single" w:color="auto" w:sz="2" w:space="0"/>
                  <w:left w:val="single" w:color="auto" w:sz="2" w:space="0"/>
                  <w:bottom w:val="single" w:color="auto" w:sz="2" w:space="0"/>
                  <w:right w:val="single" w:color="auto" w:sz="2" w:space="0"/>
                </w:tcBorders>
                <w:vAlign w:val="center"/>
              </w:tcPr>
              <w:p w14:paraId="380814C5">
                <w:pPr>
                  <w:jc w:val="right"/>
                </w:pPr>
                <w:r>
                  <w:rPr>
                    <w:rFonts w:hint="eastAsia"/>
                  </w:rPr>
                  <w:t>5,954,502.38</w:t>
                </w:r>
              </w:p>
            </w:tc>
            <w:tc>
              <w:tcPr>
                <w:tcW w:w="907" w:type="pct"/>
                <w:tcBorders>
                  <w:top w:val="single" w:color="auto" w:sz="2" w:space="0"/>
                  <w:left w:val="single" w:color="auto" w:sz="2" w:space="0"/>
                  <w:bottom w:val="single" w:color="auto" w:sz="2" w:space="0"/>
                  <w:right w:val="single" w:color="auto" w:sz="2" w:space="0"/>
                </w:tcBorders>
                <w:vAlign w:val="center"/>
              </w:tcPr>
              <w:p w14:paraId="2911AAAD">
                <w:pPr>
                  <w:jc w:val="right"/>
                </w:pPr>
                <w:r>
                  <w:rPr>
                    <w:rFonts w:hint="eastAsia"/>
                  </w:rPr>
                  <w:t>290,195,497.62</w:t>
                </w:r>
              </w:p>
            </w:tc>
          </w:tr>
          <w:tr w14:paraId="76C0327A">
            <w:tblPrEx>
              <w:tblCellMar>
                <w:top w:w="0" w:type="dxa"/>
                <w:left w:w="108" w:type="dxa"/>
                <w:bottom w:w="0" w:type="dxa"/>
                <w:right w:w="108" w:type="dxa"/>
              </w:tblCellMar>
            </w:tblPrEx>
            <w:trPr>
              <w:trHeight w:val="290" w:hRule="atLeast"/>
            </w:trPr>
            <w:tc>
              <w:tcPr>
                <w:tcW w:w="1603" w:type="pct"/>
                <w:tcBorders>
                  <w:top w:val="single" w:color="auto" w:sz="2" w:space="0"/>
                  <w:left w:val="single" w:color="auto" w:sz="2" w:space="0"/>
                  <w:bottom w:val="single" w:color="auto" w:sz="2" w:space="0"/>
                  <w:right w:val="single" w:color="auto" w:sz="2" w:space="0"/>
                </w:tcBorders>
                <w:vAlign w:val="center"/>
              </w:tcPr>
              <w:p w14:paraId="5597C0EC">
                <w:pPr>
                  <w:jc w:val="center"/>
                  <w:rPr>
                    <w:rFonts w:ascii="宋体" w:hAnsi="宋体"/>
                    <w:color w:val="000000"/>
                  </w:rPr>
                </w:pPr>
                <w:r>
                  <w:rPr>
                    <w:rFonts w:hint="eastAsia" w:ascii="宋体" w:hAnsi="宋体"/>
                    <w:color w:val="000000"/>
                  </w:rPr>
                  <w:t>合计</w:t>
                </w:r>
              </w:p>
            </w:tc>
            <w:tc>
              <w:tcPr>
                <w:tcW w:w="751" w:type="pct"/>
                <w:tcBorders>
                  <w:top w:val="single" w:color="auto" w:sz="2" w:space="0"/>
                  <w:left w:val="single" w:color="auto" w:sz="2" w:space="0"/>
                  <w:bottom w:val="single" w:color="auto" w:sz="2" w:space="0"/>
                  <w:right w:val="single" w:color="auto" w:sz="2" w:space="0"/>
                </w:tcBorders>
                <w:vAlign w:val="center"/>
              </w:tcPr>
              <w:p w14:paraId="39D1104D">
                <w:pPr>
                  <w:jc w:val="right"/>
                </w:pPr>
                <w:r>
                  <w:rPr>
                    <w:rFonts w:hint="eastAsia"/>
                  </w:rPr>
                  <w:t>1,296,666.54</w:t>
                </w:r>
              </w:p>
            </w:tc>
            <w:tc>
              <w:tcPr>
                <w:tcW w:w="866" w:type="pct"/>
                <w:tcBorders>
                  <w:top w:val="single" w:color="auto" w:sz="2" w:space="0"/>
                  <w:left w:val="single" w:color="auto" w:sz="2" w:space="0"/>
                  <w:bottom w:val="single" w:color="auto" w:sz="2" w:space="0"/>
                  <w:right w:val="single" w:color="auto" w:sz="2" w:space="0"/>
                </w:tcBorders>
                <w:vAlign w:val="center"/>
              </w:tcPr>
              <w:p w14:paraId="246B2966">
                <w:pPr>
                  <w:jc w:val="right"/>
                </w:pPr>
                <w:r>
                  <w:rPr>
                    <w:rFonts w:hint="eastAsia"/>
                  </w:rPr>
                  <w:t>335,860,000.00</w:t>
                </w:r>
              </w:p>
            </w:tc>
            <w:tc>
              <w:tcPr>
                <w:tcW w:w="873" w:type="pct"/>
                <w:tcBorders>
                  <w:top w:val="single" w:color="auto" w:sz="2" w:space="0"/>
                  <w:left w:val="single" w:color="auto" w:sz="2" w:space="0"/>
                  <w:bottom w:val="single" w:color="auto" w:sz="2" w:space="0"/>
                  <w:right w:val="single" w:color="auto" w:sz="2" w:space="0"/>
                </w:tcBorders>
                <w:vAlign w:val="center"/>
              </w:tcPr>
              <w:p w14:paraId="3E1FF636">
                <w:pPr>
                  <w:jc w:val="right"/>
                </w:pPr>
                <w:r>
                  <w:rPr>
                    <w:rFonts w:hint="eastAsia"/>
                  </w:rPr>
                  <w:t>6,837,292.26</w:t>
                </w:r>
              </w:p>
            </w:tc>
            <w:tc>
              <w:tcPr>
                <w:tcW w:w="907" w:type="pct"/>
                <w:tcBorders>
                  <w:top w:val="single" w:color="auto" w:sz="2" w:space="0"/>
                  <w:left w:val="single" w:color="auto" w:sz="2" w:space="0"/>
                  <w:bottom w:val="single" w:color="auto" w:sz="2" w:space="0"/>
                  <w:right w:val="single" w:color="auto" w:sz="2" w:space="0"/>
                </w:tcBorders>
                <w:vAlign w:val="center"/>
              </w:tcPr>
              <w:p w14:paraId="6B354C62">
                <w:pPr>
                  <w:jc w:val="right"/>
                </w:pPr>
                <w:r>
                  <w:rPr>
                    <w:rFonts w:hint="eastAsia"/>
                  </w:rPr>
                  <w:t>330,319,374.28</w:t>
                </w:r>
              </w:p>
            </w:tc>
          </w:tr>
        </w:tbl>
        <w:p w14:paraId="3B142864">
          <w:pPr>
            <w:rPr>
              <w:color w:val="000000" w:themeColor="text1"/>
              <w14:textFill>
                <w14:solidFill>
                  <w14:schemeClr w14:val="tx1"/>
                </w14:solidFill>
              </w14:textFill>
            </w:rPr>
          </w:pPr>
        </w:p>
        <w:tbl>
          <w:tblPr>
            <w:tblStyle w:val="37"/>
            <w:tblW w:w="5000" w:type="pct"/>
            <w:tblInd w:w="0" w:type="dxa"/>
            <w:tblLayout w:type="autofit"/>
            <w:tblCellMar>
              <w:top w:w="0" w:type="dxa"/>
              <w:left w:w="108" w:type="dxa"/>
              <w:bottom w:w="0" w:type="dxa"/>
              <w:right w:w="108" w:type="dxa"/>
            </w:tblCellMar>
          </w:tblPr>
          <w:tblGrid>
            <w:gridCol w:w="2803"/>
            <w:gridCol w:w="1352"/>
            <w:gridCol w:w="1491"/>
            <w:gridCol w:w="1616"/>
            <w:gridCol w:w="1787"/>
          </w:tblGrid>
          <w:tr w14:paraId="00646459">
            <w:tblPrEx>
              <w:tblCellMar>
                <w:top w:w="0" w:type="dxa"/>
                <w:left w:w="108" w:type="dxa"/>
                <w:bottom w:w="0" w:type="dxa"/>
                <w:right w:w="108" w:type="dxa"/>
              </w:tblCellMar>
            </w:tblPrEx>
            <w:trPr>
              <w:trHeight w:val="290" w:hRule="atLeast"/>
            </w:trPr>
            <w:tc>
              <w:tcPr>
                <w:tcW w:w="1549" w:type="pct"/>
                <w:tcBorders>
                  <w:top w:val="nil"/>
                  <w:left w:val="nil"/>
                  <w:bottom w:val="single" w:color="auto" w:sz="2" w:space="0"/>
                  <w:right w:val="nil"/>
                </w:tcBorders>
                <w:noWrap/>
                <w:vAlign w:val="center"/>
              </w:tcPr>
              <w:p w14:paraId="34F07248">
                <w:pPr>
                  <w:ind w:firstLine="420" w:firstLineChars="200"/>
                  <w:rPr>
                    <w:rFonts w:ascii="宋体" w:hAnsi="宋体"/>
                    <w:color w:val="000000"/>
                  </w:rPr>
                </w:pPr>
                <w:r>
                  <w:rPr>
                    <w:rFonts w:hint="eastAsia" w:ascii="宋体" w:hAnsi="宋体"/>
                    <w:color w:val="000000"/>
                  </w:rPr>
                  <w:t>2.与收益相关政府补助</w:t>
                </w:r>
              </w:p>
            </w:tc>
            <w:tc>
              <w:tcPr>
                <w:tcW w:w="747" w:type="pct"/>
                <w:tcBorders>
                  <w:top w:val="nil"/>
                  <w:left w:val="nil"/>
                  <w:bottom w:val="single" w:color="auto" w:sz="2" w:space="0"/>
                  <w:right w:val="nil"/>
                </w:tcBorders>
                <w:noWrap/>
                <w:vAlign w:val="center"/>
              </w:tcPr>
              <w:p w14:paraId="075CFEDD">
                <w:pPr>
                  <w:ind w:firstLine="420" w:firstLineChars="200"/>
                  <w:rPr>
                    <w:rFonts w:ascii="宋体" w:hAnsi="宋体"/>
                    <w:color w:val="000000"/>
                  </w:rPr>
                </w:pPr>
              </w:p>
            </w:tc>
            <w:tc>
              <w:tcPr>
                <w:tcW w:w="824" w:type="pct"/>
                <w:tcBorders>
                  <w:top w:val="nil"/>
                  <w:left w:val="nil"/>
                  <w:bottom w:val="single" w:color="auto" w:sz="2" w:space="0"/>
                  <w:right w:val="nil"/>
                </w:tcBorders>
                <w:noWrap/>
                <w:vAlign w:val="center"/>
              </w:tcPr>
              <w:p w14:paraId="15AA1B6F">
                <w:pPr>
                  <w:rPr>
                    <w:rFonts w:eastAsia="Times New Roman" w:cs="Times New Roman"/>
                    <w:sz w:val="20"/>
                    <w:szCs w:val="20"/>
                  </w:rPr>
                </w:pPr>
              </w:p>
            </w:tc>
            <w:tc>
              <w:tcPr>
                <w:tcW w:w="893" w:type="pct"/>
                <w:tcBorders>
                  <w:top w:val="nil"/>
                  <w:left w:val="nil"/>
                  <w:bottom w:val="single" w:color="auto" w:sz="2" w:space="0"/>
                  <w:right w:val="nil"/>
                </w:tcBorders>
                <w:noWrap/>
                <w:vAlign w:val="center"/>
              </w:tcPr>
              <w:p w14:paraId="39EB3F2D">
                <w:pPr>
                  <w:rPr>
                    <w:rFonts w:eastAsia="Times New Roman" w:cs="Times New Roman"/>
                    <w:sz w:val="20"/>
                    <w:szCs w:val="20"/>
                  </w:rPr>
                </w:pPr>
              </w:p>
            </w:tc>
            <w:tc>
              <w:tcPr>
                <w:tcW w:w="988" w:type="pct"/>
                <w:tcBorders>
                  <w:top w:val="nil"/>
                  <w:left w:val="nil"/>
                  <w:bottom w:val="single" w:color="auto" w:sz="2" w:space="0"/>
                  <w:right w:val="nil"/>
                </w:tcBorders>
                <w:noWrap/>
                <w:vAlign w:val="center"/>
              </w:tcPr>
              <w:p w14:paraId="10E370A0">
                <w:pPr>
                  <w:rPr>
                    <w:rFonts w:eastAsia="Times New Roman" w:cs="Times New Roman"/>
                    <w:sz w:val="20"/>
                    <w:szCs w:val="20"/>
                  </w:rPr>
                </w:pPr>
              </w:p>
            </w:tc>
          </w:tr>
          <w:tr w14:paraId="5937011E">
            <w:tblPrEx>
              <w:tblCellMar>
                <w:top w:w="0" w:type="dxa"/>
                <w:left w:w="108" w:type="dxa"/>
                <w:bottom w:w="0" w:type="dxa"/>
                <w:right w:w="108" w:type="dxa"/>
              </w:tblCellMar>
            </w:tblPrEx>
            <w:trPr>
              <w:trHeight w:val="550" w:hRule="atLeast"/>
            </w:trPr>
            <w:tc>
              <w:tcPr>
                <w:tcW w:w="1549" w:type="pct"/>
                <w:tcBorders>
                  <w:top w:val="single" w:color="auto" w:sz="2" w:space="0"/>
                  <w:left w:val="single" w:color="auto" w:sz="2" w:space="0"/>
                  <w:bottom w:val="single" w:color="auto" w:sz="2" w:space="0"/>
                  <w:right w:val="single" w:color="auto" w:sz="2" w:space="0"/>
                </w:tcBorders>
                <w:vAlign w:val="center"/>
              </w:tcPr>
              <w:p w14:paraId="266A62FB">
                <w:pPr>
                  <w:jc w:val="center"/>
                  <w:rPr>
                    <w:rFonts w:ascii="宋体" w:hAnsi="宋体"/>
                    <w:color w:val="000000"/>
                  </w:rPr>
                </w:pPr>
                <w:r>
                  <w:rPr>
                    <w:rFonts w:hint="eastAsia" w:ascii="宋体" w:hAnsi="宋体"/>
                    <w:color w:val="000000"/>
                  </w:rPr>
                  <w:t>项目</w:t>
                </w:r>
              </w:p>
            </w:tc>
            <w:tc>
              <w:tcPr>
                <w:tcW w:w="747" w:type="pct"/>
                <w:tcBorders>
                  <w:top w:val="single" w:color="auto" w:sz="2" w:space="0"/>
                  <w:left w:val="single" w:color="auto" w:sz="2" w:space="0"/>
                  <w:bottom w:val="single" w:color="auto" w:sz="2" w:space="0"/>
                  <w:right w:val="single" w:color="auto" w:sz="2" w:space="0"/>
                </w:tcBorders>
                <w:vAlign w:val="center"/>
              </w:tcPr>
              <w:p w14:paraId="5A63F6F3">
                <w:pPr>
                  <w:jc w:val="center"/>
                  <w:rPr>
                    <w:rFonts w:ascii="宋体" w:hAnsi="宋体"/>
                    <w:color w:val="000000"/>
                  </w:rPr>
                </w:pPr>
                <w:r>
                  <w:rPr>
                    <w:rFonts w:hint="eastAsia" w:ascii="宋体" w:hAnsi="宋体"/>
                    <w:color w:val="000000"/>
                  </w:rPr>
                  <w:t>期初余额</w:t>
                </w:r>
              </w:p>
            </w:tc>
            <w:tc>
              <w:tcPr>
                <w:tcW w:w="824" w:type="pct"/>
                <w:tcBorders>
                  <w:top w:val="single" w:color="auto" w:sz="2" w:space="0"/>
                  <w:left w:val="single" w:color="auto" w:sz="2" w:space="0"/>
                  <w:bottom w:val="single" w:color="auto" w:sz="2" w:space="0"/>
                  <w:right w:val="single" w:color="auto" w:sz="2" w:space="0"/>
                </w:tcBorders>
                <w:vAlign w:val="center"/>
              </w:tcPr>
              <w:p w14:paraId="4805A03E">
                <w:pPr>
                  <w:jc w:val="center"/>
                  <w:rPr>
                    <w:rFonts w:ascii="宋体" w:hAnsi="宋体"/>
                    <w:color w:val="000000"/>
                  </w:rPr>
                </w:pPr>
                <w:r>
                  <w:rPr>
                    <w:rFonts w:hint="eastAsia" w:ascii="宋体" w:hAnsi="宋体"/>
                    <w:color w:val="000000"/>
                  </w:rPr>
                  <w:t>本期增加</w:t>
                </w:r>
              </w:p>
            </w:tc>
            <w:tc>
              <w:tcPr>
                <w:tcW w:w="893" w:type="pct"/>
                <w:tcBorders>
                  <w:top w:val="single" w:color="auto" w:sz="2" w:space="0"/>
                  <w:left w:val="single" w:color="auto" w:sz="2" w:space="0"/>
                  <w:bottom w:val="single" w:color="auto" w:sz="2" w:space="0"/>
                  <w:right w:val="single" w:color="auto" w:sz="2" w:space="0"/>
                </w:tcBorders>
                <w:vAlign w:val="center"/>
              </w:tcPr>
              <w:p w14:paraId="1AE14DCE">
                <w:pPr>
                  <w:jc w:val="center"/>
                  <w:rPr>
                    <w:rFonts w:ascii="宋体" w:hAnsi="宋体"/>
                    <w:color w:val="000000"/>
                  </w:rPr>
                </w:pPr>
                <w:r>
                  <w:rPr>
                    <w:rFonts w:hint="eastAsia" w:ascii="宋体" w:hAnsi="宋体"/>
                    <w:color w:val="000000"/>
                  </w:rPr>
                  <w:t>本期计入其他收益的金额</w:t>
                </w:r>
              </w:p>
            </w:tc>
            <w:tc>
              <w:tcPr>
                <w:tcW w:w="988" w:type="pct"/>
                <w:tcBorders>
                  <w:top w:val="single" w:color="auto" w:sz="2" w:space="0"/>
                  <w:left w:val="single" w:color="auto" w:sz="2" w:space="0"/>
                  <w:bottom w:val="single" w:color="auto" w:sz="2" w:space="0"/>
                  <w:right w:val="single" w:color="auto" w:sz="2" w:space="0"/>
                </w:tcBorders>
                <w:vAlign w:val="center"/>
              </w:tcPr>
              <w:p w14:paraId="5072A529">
                <w:pPr>
                  <w:jc w:val="center"/>
                  <w:rPr>
                    <w:rFonts w:ascii="宋体" w:hAnsi="宋体"/>
                    <w:color w:val="000000"/>
                  </w:rPr>
                </w:pPr>
                <w:r>
                  <w:rPr>
                    <w:rFonts w:hint="eastAsia" w:ascii="宋体" w:hAnsi="宋体"/>
                    <w:color w:val="000000"/>
                  </w:rPr>
                  <w:t>期末余额</w:t>
                </w:r>
              </w:p>
            </w:tc>
          </w:tr>
          <w:tr w14:paraId="6C735570">
            <w:tblPrEx>
              <w:tblCellMar>
                <w:top w:w="0" w:type="dxa"/>
                <w:left w:w="108" w:type="dxa"/>
                <w:bottom w:w="0" w:type="dxa"/>
                <w:right w:w="108" w:type="dxa"/>
              </w:tblCellMar>
            </w:tblPrEx>
            <w:trPr>
              <w:trHeight w:val="550" w:hRule="atLeast"/>
            </w:trPr>
            <w:tc>
              <w:tcPr>
                <w:tcW w:w="1549" w:type="pct"/>
                <w:tcBorders>
                  <w:top w:val="single" w:color="auto" w:sz="2" w:space="0"/>
                  <w:left w:val="single" w:color="auto" w:sz="2" w:space="0"/>
                  <w:bottom w:val="single" w:color="auto" w:sz="2" w:space="0"/>
                  <w:right w:val="single" w:color="auto" w:sz="2" w:space="0"/>
                </w:tcBorders>
                <w:vAlign w:val="center"/>
              </w:tcPr>
              <w:p w14:paraId="2E32B2F7">
                <w:pPr>
                  <w:jc w:val="both"/>
                  <w:rPr>
                    <w:rFonts w:ascii="宋体" w:hAnsi="宋体"/>
                    <w:color w:val="000000"/>
                  </w:rPr>
                </w:pPr>
                <w:r>
                  <w:rPr>
                    <w:rFonts w:hint="eastAsia" w:ascii="宋体" w:hAnsi="宋体"/>
                    <w:color w:val="000000"/>
                  </w:rPr>
                  <w:t>千里科技员工公寓保障性租赁住房项目补助资金</w:t>
                </w:r>
              </w:p>
            </w:tc>
            <w:tc>
              <w:tcPr>
                <w:tcW w:w="747" w:type="pct"/>
                <w:tcBorders>
                  <w:top w:val="single" w:color="auto" w:sz="2" w:space="0"/>
                  <w:left w:val="single" w:color="auto" w:sz="2" w:space="0"/>
                  <w:bottom w:val="single" w:color="auto" w:sz="2" w:space="0"/>
                  <w:right w:val="single" w:color="auto" w:sz="2" w:space="0"/>
                </w:tcBorders>
                <w:vAlign w:val="center"/>
              </w:tcPr>
              <w:p w14:paraId="6A088A1D">
                <w:pPr>
                  <w:jc w:val="right"/>
                </w:pPr>
                <w:r>
                  <w:t xml:space="preserve">923,726.66 </w:t>
                </w:r>
              </w:p>
            </w:tc>
            <w:tc>
              <w:tcPr>
                <w:tcW w:w="824" w:type="pct"/>
                <w:tcBorders>
                  <w:top w:val="single" w:color="auto" w:sz="2" w:space="0"/>
                  <w:left w:val="single" w:color="auto" w:sz="2" w:space="0"/>
                  <w:bottom w:val="single" w:color="auto" w:sz="2" w:space="0"/>
                  <w:right w:val="single" w:color="auto" w:sz="2" w:space="0"/>
                </w:tcBorders>
                <w:vAlign w:val="center"/>
              </w:tcPr>
              <w:p w14:paraId="64A77950">
                <w:pPr>
                  <w:jc w:val="right"/>
                </w:pPr>
                <w:r>
                  <w:rPr>
                    <w:rFonts w:hint="eastAsia"/>
                  </w:rPr>
                  <w:t>　</w:t>
                </w:r>
              </w:p>
            </w:tc>
            <w:tc>
              <w:tcPr>
                <w:tcW w:w="893" w:type="pct"/>
                <w:tcBorders>
                  <w:top w:val="single" w:color="auto" w:sz="2" w:space="0"/>
                  <w:left w:val="single" w:color="auto" w:sz="2" w:space="0"/>
                  <w:bottom w:val="single" w:color="auto" w:sz="2" w:space="0"/>
                  <w:right w:val="single" w:color="auto" w:sz="2" w:space="0"/>
                </w:tcBorders>
                <w:vAlign w:val="center"/>
              </w:tcPr>
              <w:p w14:paraId="07E5D8CB">
                <w:pPr>
                  <w:jc w:val="right"/>
                </w:pPr>
                <w:r>
                  <w:rPr>
                    <w:rFonts w:hint="eastAsia"/>
                  </w:rPr>
                  <w:t>816,784.27</w:t>
                </w:r>
              </w:p>
            </w:tc>
            <w:tc>
              <w:tcPr>
                <w:tcW w:w="988" w:type="pct"/>
                <w:tcBorders>
                  <w:top w:val="single" w:color="auto" w:sz="2" w:space="0"/>
                  <w:left w:val="single" w:color="auto" w:sz="2" w:space="0"/>
                  <w:bottom w:val="single" w:color="auto" w:sz="2" w:space="0"/>
                  <w:right w:val="single" w:color="auto" w:sz="2" w:space="0"/>
                </w:tcBorders>
                <w:vAlign w:val="center"/>
              </w:tcPr>
              <w:p w14:paraId="17BA9859">
                <w:pPr>
                  <w:jc w:val="right"/>
                </w:pPr>
                <w:r>
                  <w:rPr>
                    <w:rFonts w:hint="eastAsia"/>
                  </w:rPr>
                  <w:t>106,942.39</w:t>
                </w:r>
              </w:p>
            </w:tc>
          </w:tr>
          <w:tr w14:paraId="04544DEF">
            <w:tblPrEx>
              <w:tblCellMar>
                <w:top w:w="0" w:type="dxa"/>
                <w:left w:w="108" w:type="dxa"/>
                <w:bottom w:w="0" w:type="dxa"/>
                <w:right w:w="108" w:type="dxa"/>
              </w:tblCellMar>
            </w:tblPrEx>
            <w:trPr>
              <w:trHeight w:val="820" w:hRule="atLeast"/>
            </w:trPr>
            <w:tc>
              <w:tcPr>
                <w:tcW w:w="1549" w:type="pct"/>
                <w:tcBorders>
                  <w:top w:val="single" w:color="auto" w:sz="2" w:space="0"/>
                  <w:left w:val="single" w:color="auto" w:sz="2" w:space="0"/>
                  <w:bottom w:val="single" w:color="auto" w:sz="2" w:space="0"/>
                  <w:right w:val="single" w:color="auto" w:sz="2" w:space="0"/>
                </w:tcBorders>
                <w:vAlign w:val="center"/>
              </w:tcPr>
              <w:p w14:paraId="1FA191FD">
                <w:pPr>
                  <w:jc w:val="both"/>
                  <w:rPr>
                    <w:rFonts w:ascii="宋体" w:hAnsi="宋体"/>
                    <w:color w:val="000000"/>
                  </w:rPr>
                </w:pPr>
                <w:r>
                  <w:rPr>
                    <w:rFonts w:hint="eastAsia" w:ascii="宋体" w:hAnsi="宋体"/>
                    <w:color w:val="000000"/>
                  </w:rPr>
                  <w:t>睿蓝汽车重庆基地员工宿舍保障性租赁住房项目补助</w:t>
                </w:r>
              </w:p>
            </w:tc>
            <w:tc>
              <w:tcPr>
                <w:tcW w:w="747" w:type="pct"/>
                <w:tcBorders>
                  <w:top w:val="single" w:color="auto" w:sz="2" w:space="0"/>
                  <w:left w:val="single" w:color="auto" w:sz="2" w:space="0"/>
                  <w:bottom w:val="single" w:color="auto" w:sz="2" w:space="0"/>
                  <w:right w:val="single" w:color="auto" w:sz="2" w:space="0"/>
                </w:tcBorders>
                <w:vAlign w:val="center"/>
              </w:tcPr>
              <w:p w14:paraId="146A6AC2">
                <w:pPr>
                  <w:jc w:val="right"/>
                </w:pPr>
                <w:r>
                  <w:t xml:space="preserve">1,651,902.66 </w:t>
                </w:r>
              </w:p>
            </w:tc>
            <w:tc>
              <w:tcPr>
                <w:tcW w:w="824" w:type="pct"/>
                <w:tcBorders>
                  <w:top w:val="single" w:color="auto" w:sz="2" w:space="0"/>
                  <w:left w:val="single" w:color="auto" w:sz="2" w:space="0"/>
                  <w:bottom w:val="single" w:color="auto" w:sz="2" w:space="0"/>
                  <w:right w:val="single" w:color="auto" w:sz="2" w:space="0"/>
                </w:tcBorders>
                <w:vAlign w:val="center"/>
              </w:tcPr>
              <w:p w14:paraId="518E51C4">
                <w:pPr>
                  <w:jc w:val="right"/>
                </w:pPr>
                <w:r>
                  <w:rPr>
                    <w:rFonts w:hint="eastAsia"/>
                  </w:rPr>
                  <w:t>　</w:t>
                </w:r>
              </w:p>
            </w:tc>
            <w:tc>
              <w:tcPr>
                <w:tcW w:w="893" w:type="pct"/>
                <w:tcBorders>
                  <w:top w:val="single" w:color="auto" w:sz="2" w:space="0"/>
                  <w:left w:val="single" w:color="auto" w:sz="2" w:space="0"/>
                  <w:bottom w:val="single" w:color="auto" w:sz="2" w:space="0"/>
                  <w:right w:val="single" w:color="auto" w:sz="2" w:space="0"/>
                </w:tcBorders>
                <w:vAlign w:val="center"/>
              </w:tcPr>
              <w:p w14:paraId="5BE3BC5F">
                <w:pPr>
                  <w:jc w:val="right"/>
                </w:pPr>
                <w:r>
                  <w:rPr>
                    <w:rFonts w:hint="eastAsia"/>
                  </w:rPr>
                  <w:t>　</w:t>
                </w:r>
              </w:p>
            </w:tc>
            <w:tc>
              <w:tcPr>
                <w:tcW w:w="988" w:type="pct"/>
                <w:tcBorders>
                  <w:top w:val="single" w:color="auto" w:sz="2" w:space="0"/>
                  <w:left w:val="single" w:color="auto" w:sz="2" w:space="0"/>
                  <w:bottom w:val="single" w:color="auto" w:sz="2" w:space="0"/>
                  <w:right w:val="single" w:color="auto" w:sz="2" w:space="0"/>
                </w:tcBorders>
                <w:vAlign w:val="center"/>
              </w:tcPr>
              <w:p w14:paraId="4ABE5F21">
                <w:pPr>
                  <w:jc w:val="right"/>
                </w:pPr>
                <w:r>
                  <w:rPr>
                    <w:rFonts w:hint="eastAsia"/>
                  </w:rPr>
                  <w:t>1,651,902.66</w:t>
                </w:r>
              </w:p>
            </w:tc>
          </w:tr>
          <w:tr w14:paraId="3745F919">
            <w:tblPrEx>
              <w:tblCellMar>
                <w:top w:w="0" w:type="dxa"/>
                <w:left w:w="108" w:type="dxa"/>
                <w:bottom w:w="0" w:type="dxa"/>
                <w:right w:w="108" w:type="dxa"/>
              </w:tblCellMar>
            </w:tblPrEx>
            <w:trPr>
              <w:trHeight w:val="290" w:hRule="atLeast"/>
            </w:trPr>
            <w:tc>
              <w:tcPr>
                <w:tcW w:w="1549" w:type="pct"/>
                <w:tcBorders>
                  <w:top w:val="single" w:color="auto" w:sz="2" w:space="0"/>
                  <w:left w:val="single" w:color="auto" w:sz="2" w:space="0"/>
                  <w:bottom w:val="single" w:color="auto" w:sz="2" w:space="0"/>
                  <w:right w:val="single" w:color="auto" w:sz="2" w:space="0"/>
                </w:tcBorders>
                <w:vAlign w:val="center"/>
              </w:tcPr>
              <w:p w14:paraId="313E6E3E">
                <w:pPr>
                  <w:jc w:val="center"/>
                  <w:rPr>
                    <w:rFonts w:ascii="宋体" w:hAnsi="宋体"/>
                    <w:color w:val="000000"/>
                  </w:rPr>
                </w:pPr>
                <w:r>
                  <w:rPr>
                    <w:rFonts w:hint="eastAsia" w:ascii="宋体" w:hAnsi="宋体"/>
                    <w:color w:val="000000"/>
                  </w:rPr>
                  <w:t>合计</w:t>
                </w:r>
              </w:p>
            </w:tc>
            <w:tc>
              <w:tcPr>
                <w:tcW w:w="747" w:type="pct"/>
                <w:tcBorders>
                  <w:top w:val="single" w:color="auto" w:sz="2" w:space="0"/>
                  <w:left w:val="single" w:color="auto" w:sz="2" w:space="0"/>
                  <w:bottom w:val="single" w:color="auto" w:sz="2" w:space="0"/>
                  <w:right w:val="single" w:color="auto" w:sz="2" w:space="0"/>
                </w:tcBorders>
                <w:vAlign w:val="center"/>
              </w:tcPr>
              <w:p w14:paraId="4317FEA4">
                <w:pPr>
                  <w:jc w:val="right"/>
                </w:pPr>
                <w:r>
                  <w:rPr>
                    <w:rFonts w:hint="eastAsia"/>
                  </w:rPr>
                  <w:t xml:space="preserve">2,575,629.32 </w:t>
                </w:r>
              </w:p>
            </w:tc>
            <w:tc>
              <w:tcPr>
                <w:tcW w:w="824" w:type="pct"/>
                <w:tcBorders>
                  <w:top w:val="single" w:color="auto" w:sz="2" w:space="0"/>
                  <w:left w:val="single" w:color="auto" w:sz="2" w:space="0"/>
                  <w:bottom w:val="single" w:color="auto" w:sz="2" w:space="0"/>
                  <w:right w:val="single" w:color="auto" w:sz="2" w:space="0"/>
                </w:tcBorders>
                <w:vAlign w:val="center"/>
              </w:tcPr>
              <w:p w14:paraId="0A90A350">
                <w:pPr>
                  <w:jc w:val="right"/>
                </w:pPr>
                <w:r>
                  <w:rPr>
                    <w:rFonts w:hint="eastAsia"/>
                  </w:rPr>
                  <w:t>　</w:t>
                </w:r>
              </w:p>
            </w:tc>
            <w:tc>
              <w:tcPr>
                <w:tcW w:w="893" w:type="pct"/>
                <w:tcBorders>
                  <w:top w:val="single" w:color="auto" w:sz="2" w:space="0"/>
                  <w:left w:val="single" w:color="auto" w:sz="2" w:space="0"/>
                  <w:bottom w:val="single" w:color="auto" w:sz="2" w:space="0"/>
                  <w:right w:val="single" w:color="auto" w:sz="2" w:space="0"/>
                </w:tcBorders>
                <w:vAlign w:val="center"/>
              </w:tcPr>
              <w:p w14:paraId="69D5DD59">
                <w:pPr>
                  <w:jc w:val="right"/>
                </w:pPr>
                <w:r>
                  <w:rPr>
                    <w:rFonts w:hint="eastAsia"/>
                  </w:rPr>
                  <w:t xml:space="preserve">  816,784.27 </w:t>
                </w:r>
              </w:p>
            </w:tc>
            <w:tc>
              <w:tcPr>
                <w:tcW w:w="988" w:type="pct"/>
                <w:tcBorders>
                  <w:top w:val="single" w:color="auto" w:sz="2" w:space="0"/>
                  <w:left w:val="single" w:color="auto" w:sz="2" w:space="0"/>
                  <w:bottom w:val="single" w:color="auto" w:sz="2" w:space="0"/>
                  <w:right w:val="single" w:color="auto" w:sz="2" w:space="0"/>
                </w:tcBorders>
                <w:vAlign w:val="center"/>
              </w:tcPr>
              <w:p w14:paraId="4C997C64">
                <w:pPr>
                  <w:jc w:val="right"/>
                </w:pPr>
                <w:r>
                  <w:rPr>
                    <w:rFonts w:hint="eastAsia"/>
                  </w:rPr>
                  <w:t xml:space="preserve">       1,758,845.05 </w:t>
                </w:r>
              </w:p>
            </w:tc>
          </w:tr>
        </w:tbl>
        <w:p w14:paraId="76A19F30">
          <w:pPr>
            <w:rPr>
              <w:color w:val="000000" w:themeColor="text1"/>
              <w14:textFill>
                <w14:solidFill>
                  <w14:schemeClr w14:val="tx1"/>
                </w14:solidFill>
              </w14:textFill>
            </w:rPr>
          </w:pPr>
        </w:p>
      </w:sdtContent>
    </w:sdt>
    <w:p w14:paraId="2B2ED28F">
      <w:pPr>
        <w:pStyle w:val="4"/>
        <w:numPr>
          <w:ilvl w:val="0"/>
          <w:numId w:val="41"/>
        </w:numPr>
        <w:rPr>
          <w:color w:val="000000" w:themeColor="text1"/>
          <w:szCs w:val="21"/>
          <w14:textFill>
            <w14:solidFill>
              <w14:schemeClr w14:val="tx1"/>
            </w14:solidFill>
          </w14:textFill>
        </w:rPr>
      </w:pPr>
      <w:bookmarkStart w:id="332" w:name="_Hlk10537430"/>
      <w:r>
        <w:rPr>
          <w:color w:val="000000" w:themeColor="text1"/>
          <w:szCs w:val="21"/>
          <w14:textFill>
            <w14:solidFill>
              <w14:schemeClr w14:val="tx1"/>
            </w14:solidFill>
          </w14:textFill>
        </w:rPr>
        <w:t>其他非流动负债</w:t>
      </w:r>
    </w:p>
    <w:sdt>
      <w:sdtPr>
        <w:rPr>
          <w:color w:val="000000" w:themeColor="text1"/>
          <w14:textFill>
            <w14:solidFill>
              <w14:schemeClr w14:val="tx1"/>
            </w14:solidFill>
          </w14:textFill>
        </w:rPr>
        <w:alias w:val="是否适用：其他非流动负债[双击切换]"/>
        <w:tag w:val="_GBC_bb8a5c7236564ec0823cbced5ea78e62"/>
        <w:id w:val="-1306231631"/>
        <w:placeholder>
          <w:docPart w:val="GBC22222222222222222222222222222"/>
        </w:placeholder>
      </w:sdtPr>
      <w:sdtEndPr>
        <w:rPr>
          <w:color w:val="000000" w:themeColor="text1"/>
          <w14:textFill>
            <w14:solidFill>
              <w14:schemeClr w14:val="tx1"/>
            </w14:solidFill>
          </w14:textFill>
        </w:rPr>
      </w:sdtEndPr>
      <w:sdtContent>
        <w:p w14:paraId="3BC654B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32"/>
    <w:p w14:paraId="706DEE48">
      <w:pPr>
        <w:rPr>
          <w:color w:val="000000" w:themeColor="text1"/>
          <w14:textFill>
            <w14:solidFill>
              <w14:schemeClr w14:val="tx1"/>
            </w14:solidFill>
          </w14:textFill>
        </w:rPr>
      </w:pPr>
    </w:p>
    <w:p w14:paraId="436A6BD3">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股本</w:t>
      </w:r>
    </w:p>
    <w:sdt>
      <w:sdtPr>
        <w:rPr>
          <w:color w:val="000000" w:themeColor="text1"/>
          <w14:textFill>
            <w14:solidFill>
              <w14:schemeClr w14:val="tx1"/>
            </w14:solidFill>
          </w14:textFill>
        </w:rPr>
        <w:alias w:val="是否适用：股本[双击切换]"/>
        <w:tag w:val="_GBC_a88b08589cbb4302b29839808faa8a3b"/>
        <w:id w:val="-293137687"/>
        <w:placeholder>
          <w:docPart w:val="GBC22222222222222222222222222222"/>
        </w:placeholder>
      </w:sdtPr>
      <w:sdtEndPr>
        <w:rPr>
          <w:color w:val="000000" w:themeColor="text1"/>
          <w14:textFill>
            <w14:solidFill>
              <w14:schemeClr w14:val="tx1"/>
            </w14:solidFill>
          </w14:textFill>
        </w:rPr>
      </w:sdtEndPr>
      <w:sdtContent>
        <w:p w14:paraId="6BCB575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3E8227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股本"/>
          <w:tag w:val="_GBC_cf915ea45a234de2a2455824dedc3c82"/>
          <w:id w:val="-10812914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股本"/>
          <w:tag w:val="_GBC_2dcc7ff328cf480296bdddce64b88cf1"/>
          <w:id w:val="16748423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1424"/>
        <w:gridCol w:w="972"/>
        <w:gridCol w:w="972"/>
        <w:gridCol w:w="1042"/>
        <w:gridCol w:w="1057"/>
        <w:gridCol w:w="1030"/>
        <w:gridCol w:w="1424"/>
      </w:tblGrid>
      <w:tr w14:paraId="358B5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640" w:type="pct"/>
            <w:vMerge w:val="restart"/>
          </w:tcPr>
          <w:p w14:paraId="1FA304BB">
            <w:pPr>
              <w:jc w:val="center"/>
              <w:rPr>
                <w:color w:val="000000" w:themeColor="text1"/>
                <w14:textFill>
                  <w14:solidFill>
                    <w14:schemeClr w14:val="tx1"/>
                  </w14:solidFill>
                </w14:textFill>
              </w:rPr>
            </w:pPr>
          </w:p>
        </w:tc>
        <w:sdt>
          <w:sdtPr>
            <w:tag w:val="_PLD_7ad9a0911e364e48bc565dc3ed809692"/>
            <w:id w:val="-538976145"/>
          </w:sdtPr>
          <w:sdtContent>
            <w:tc>
              <w:tcPr>
                <w:tcW w:w="727" w:type="pct"/>
                <w:vMerge w:val="restart"/>
                <w:vAlign w:val="center"/>
              </w:tcPr>
              <w:p w14:paraId="1A9814D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33945fdb28e344edaa7d118a9aa07d7d"/>
            <w:id w:val="1705595483"/>
          </w:sdtPr>
          <w:sdtContent>
            <w:tc>
              <w:tcPr>
                <w:tcW w:w="2883" w:type="pct"/>
                <w:gridSpan w:val="5"/>
                <w:vAlign w:val="center"/>
              </w:tcPr>
              <w:p w14:paraId="4BC7465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本次变动增减（+、一）</w:t>
                </w:r>
              </w:p>
            </w:tc>
          </w:sdtContent>
        </w:sdt>
        <w:sdt>
          <w:sdtPr>
            <w:tag w:val="_PLD_a0390714e323429ab6e793f9a610df70"/>
            <w:id w:val="-832296191"/>
          </w:sdtPr>
          <w:sdtContent>
            <w:tc>
              <w:tcPr>
                <w:tcW w:w="750" w:type="pct"/>
                <w:vMerge w:val="restart"/>
                <w:vAlign w:val="center"/>
              </w:tcPr>
              <w:p w14:paraId="153A82F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0387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40" w:type="pct"/>
            <w:vMerge w:val="continue"/>
          </w:tcPr>
          <w:p w14:paraId="03DF4925">
            <w:pPr>
              <w:rPr>
                <w:color w:val="000000" w:themeColor="text1"/>
                <w14:textFill>
                  <w14:solidFill>
                    <w14:schemeClr w14:val="tx1"/>
                  </w14:solidFill>
                </w14:textFill>
              </w:rPr>
            </w:pPr>
          </w:p>
        </w:tc>
        <w:tc>
          <w:tcPr>
            <w:tcW w:w="727" w:type="pct"/>
            <w:vMerge w:val="continue"/>
          </w:tcPr>
          <w:p w14:paraId="2CE83920">
            <w:pPr>
              <w:ind w:left="-250" w:leftChars="-119" w:firstLine="249" w:firstLineChars="119"/>
              <w:rPr>
                <w:color w:val="000000" w:themeColor="text1"/>
                <w14:textFill>
                  <w14:solidFill>
                    <w14:schemeClr w14:val="tx1"/>
                  </w14:solidFill>
                </w14:textFill>
              </w:rPr>
            </w:pPr>
          </w:p>
        </w:tc>
        <w:sdt>
          <w:sdtPr>
            <w:tag w:val="_PLD_fe0b182c33854e5bb51d2d2a3cd1dd7f"/>
            <w:id w:val="136378362"/>
          </w:sdtPr>
          <w:sdtContent>
            <w:tc>
              <w:tcPr>
                <w:tcW w:w="553" w:type="pct"/>
                <w:vAlign w:val="center"/>
              </w:tcPr>
              <w:p w14:paraId="5B70DFB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发行新股</w:t>
                </w:r>
              </w:p>
            </w:tc>
          </w:sdtContent>
        </w:sdt>
        <w:sdt>
          <w:sdtPr>
            <w:tag w:val="_PLD_80e7c94a1831488d89d22be722443897"/>
            <w:id w:val="-1660989772"/>
          </w:sdtPr>
          <w:sdtContent>
            <w:tc>
              <w:tcPr>
                <w:tcW w:w="553" w:type="pct"/>
                <w:vAlign w:val="center"/>
              </w:tcPr>
              <w:p w14:paraId="6A3D984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送股</w:t>
                </w:r>
              </w:p>
            </w:tc>
          </w:sdtContent>
        </w:sdt>
        <w:sdt>
          <w:sdtPr>
            <w:tag w:val="_PLD_c1d7f04883eb4aaa9c52067f145ec081"/>
            <w:id w:val="-1443606383"/>
          </w:sdtPr>
          <w:sdtContent>
            <w:tc>
              <w:tcPr>
                <w:tcW w:w="592" w:type="pct"/>
                <w:vAlign w:val="center"/>
              </w:tcPr>
              <w:p w14:paraId="5F733B9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公积金转股</w:t>
                </w:r>
              </w:p>
            </w:tc>
          </w:sdtContent>
        </w:sdt>
        <w:sdt>
          <w:sdtPr>
            <w:tag w:val="_PLD_6e44c9cf090243e19b20f1e88e8231ef"/>
            <w:id w:val="256794066"/>
          </w:sdtPr>
          <w:sdtContent>
            <w:tc>
              <w:tcPr>
                <w:tcW w:w="600" w:type="pct"/>
                <w:vAlign w:val="center"/>
              </w:tcPr>
              <w:p w14:paraId="444ED83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sdtContent>
        </w:sdt>
        <w:sdt>
          <w:sdtPr>
            <w:tag w:val="_PLD_0cee72421f954c94ba296c709c84ef52"/>
            <w:id w:val="-1775855919"/>
          </w:sdtPr>
          <w:sdtContent>
            <w:tc>
              <w:tcPr>
                <w:tcW w:w="585" w:type="pct"/>
                <w:vAlign w:val="center"/>
              </w:tcPr>
              <w:p w14:paraId="3229F4F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小计</w:t>
                </w:r>
              </w:p>
            </w:tc>
          </w:sdtContent>
        </w:sdt>
        <w:tc>
          <w:tcPr>
            <w:tcW w:w="750" w:type="pct"/>
            <w:vMerge w:val="continue"/>
          </w:tcPr>
          <w:p w14:paraId="19F693B2">
            <w:pPr>
              <w:rPr>
                <w:color w:val="000000" w:themeColor="text1"/>
                <w14:textFill>
                  <w14:solidFill>
                    <w14:schemeClr w14:val="tx1"/>
                  </w14:solidFill>
                </w14:textFill>
              </w:rPr>
            </w:pPr>
          </w:p>
        </w:tc>
      </w:tr>
      <w:tr w14:paraId="7435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0" w:type="pct"/>
          </w:tcPr>
          <w:p w14:paraId="0A179D9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股份总数</w:t>
            </w:r>
          </w:p>
        </w:tc>
        <w:tc>
          <w:tcPr>
            <w:tcW w:w="727" w:type="pct"/>
          </w:tcPr>
          <w:p w14:paraId="32B07B12">
            <w:pPr>
              <w:jc w:val="right"/>
            </w:pPr>
            <w:r>
              <w:t>4,521,100,071</w:t>
            </w:r>
          </w:p>
        </w:tc>
        <w:tc>
          <w:tcPr>
            <w:tcW w:w="553" w:type="pct"/>
          </w:tcPr>
          <w:p w14:paraId="61A1FB96">
            <w:pPr>
              <w:jc w:val="right"/>
            </w:pPr>
          </w:p>
        </w:tc>
        <w:tc>
          <w:tcPr>
            <w:tcW w:w="553" w:type="pct"/>
          </w:tcPr>
          <w:p w14:paraId="718ECAFB">
            <w:pPr>
              <w:jc w:val="right"/>
            </w:pPr>
          </w:p>
        </w:tc>
        <w:tc>
          <w:tcPr>
            <w:tcW w:w="592" w:type="pct"/>
          </w:tcPr>
          <w:p w14:paraId="17E46A60">
            <w:pPr>
              <w:jc w:val="right"/>
            </w:pPr>
          </w:p>
        </w:tc>
        <w:tc>
          <w:tcPr>
            <w:tcW w:w="600" w:type="pct"/>
          </w:tcPr>
          <w:p w14:paraId="6D136D82">
            <w:pPr>
              <w:jc w:val="right"/>
            </w:pPr>
          </w:p>
        </w:tc>
        <w:tc>
          <w:tcPr>
            <w:tcW w:w="585" w:type="pct"/>
          </w:tcPr>
          <w:p w14:paraId="1F891AA9">
            <w:pPr>
              <w:jc w:val="right"/>
            </w:pPr>
          </w:p>
        </w:tc>
        <w:tc>
          <w:tcPr>
            <w:tcW w:w="750" w:type="pct"/>
          </w:tcPr>
          <w:p w14:paraId="70B34065">
            <w:pPr>
              <w:jc w:val="right"/>
            </w:pPr>
            <w:r>
              <w:t>4,521,100,071</w:t>
            </w:r>
          </w:p>
        </w:tc>
      </w:tr>
    </w:tbl>
    <w:p w14:paraId="530B5447">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股本变动情况说明"/>
        <w:tag w:val="_GBC_752687f835754470ad7a125ef32391e4"/>
        <w:id w:val="608318698"/>
        <w:placeholder>
          <w:docPart w:val="GBC22222222222222222222222222222"/>
        </w:placeholder>
      </w:sdtPr>
      <w:sdtEndPr>
        <w:rPr>
          <w:color w:val="000000" w:themeColor="text1"/>
          <w14:textFill>
            <w14:solidFill>
              <w14:schemeClr w14:val="tx1"/>
            </w14:solidFill>
          </w14:textFill>
        </w:rPr>
      </w:sdtEndPr>
      <w:sdtContent>
        <w:p w14:paraId="180D4B23">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042553A">
      <w:pPr>
        <w:rPr>
          <w:color w:val="000000" w:themeColor="text1"/>
          <w14:textFill>
            <w14:solidFill>
              <w14:schemeClr w14:val="tx1"/>
            </w14:solidFill>
          </w14:textFill>
        </w:rPr>
      </w:pPr>
    </w:p>
    <w:p w14:paraId="1ADD4FB6">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其他权益工具</w:t>
      </w:r>
    </w:p>
    <w:p w14:paraId="6A376070">
      <w:pPr>
        <w:pStyle w:val="5"/>
        <w:numPr>
          <w:ilvl w:val="0"/>
          <w:numId w:val="7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期末发行在外的优先股、永续债等其他金融工具基本情况</w:t>
      </w:r>
    </w:p>
    <w:sdt>
      <w:sdtPr>
        <w:rPr>
          <w:color w:val="000000" w:themeColor="text1"/>
          <w14:textFill>
            <w14:solidFill>
              <w14:schemeClr w14:val="tx1"/>
            </w14:solidFill>
          </w14:textFill>
        </w:rPr>
        <w:alias w:val="是否适用：期末发行在外的优先股、永续债等其他金融工具基本情况[双击切换]"/>
        <w:tag w:val="_GBC_54d54ac45fe745e1aad9be61a846261f"/>
        <w:id w:val="1489358268"/>
        <w:placeholder>
          <w:docPart w:val="GBC22222222222222222222222222222"/>
        </w:placeholder>
      </w:sdtPr>
      <w:sdtEndPr>
        <w:rPr>
          <w:color w:val="000000" w:themeColor="text1"/>
          <w14:textFill>
            <w14:solidFill>
              <w14:schemeClr w14:val="tx1"/>
            </w14:solidFill>
          </w14:textFill>
        </w:rPr>
      </w:sdtEndPr>
      <w:sdtContent>
        <w:p w14:paraId="64B560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9A66000">
      <w:pPr>
        <w:rPr>
          <w:color w:val="000000" w:themeColor="text1"/>
          <w14:textFill>
            <w14:solidFill>
              <w14:schemeClr w14:val="tx1"/>
            </w14:solidFill>
          </w14:textFill>
        </w:rPr>
      </w:pPr>
    </w:p>
    <w:p w14:paraId="4E87DB15">
      <w:pPr>
        <w:pStyle w:val="5"/>
        <w:numPr>
          <w:ilvl w:val="0"/>
          <w:numId w:val="74"/>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期末发行在外的优先股、永续债等金融工具变动情况表</w:t>
      </w:r>
    </w:p>
    <w:sdt>
      <w:sdtPr>
        <w:rPr>
          <w:color w:val="000000" w:themeColor="text1"/>
          <w14:textFill>
            <w14:solidFill>
              <w14:schemeClr w14:val="tx1"/>
            </w14:solidFill>
          </w14:textFill>
        </w:rPr>
        <w:alias w:val="是否适用：期末发行在外的优先股、永续债等金融工具变动情况表_其他权益工具[双击切换]"/>
        <w:tag w:val="_GBC_e8c53693e19e485cba80f7cd2a15ab4c"/>
        <w:id w:val="121970501"/>
        <w:placeholder>
          <w:docPart w:val="GBC22222222222222222222222222222"/>
        </w:placeholder>
      </w:sdtPr>
      <w:sdtEndPr>
        <w:rPr>
          <w:color w:val="000000" w:themeColor="text1"/>
          <w14:textFill>
            <w14:solidFill>
              <w14:schemeClr w14:val="tx1"/>
            </w14:solidFill>
          </w14:textFill>
        </w:rPr>
      </w:sdtEndPr>
      <w:sdtContent>
        <w:p w14:paraId="3D735FB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72A638">
      <w:pPr>
        <w:rPr>
          <w:color w:val="000000" w:themeColor="text1"/>
          <w14:textFill>
            <w14:solidFill>
              <w14:schemeClr w14:val="tx1"/>
            </w14:solidFill>
          </w14:textFill>
        </w:rPr>
      </w:pPr>
    </w:p>
    <w:p w14:paraId="377E5268">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其他权益工具本期增减变动情况、变动原因说明，以及相关会计处理的依据：</w:t>
      </w:r>
    </w:p>
    <w:sdt>
      <w:sdtPr>
        <w:rPr>
          <w:color w:val="000000" w:themeColor="text1"/>
          <w14:textFill>
            <w14:solidFill>
              <w14:schemeClr w14:val="tx1"/>
            </w14:solidFill>
          </w14:textFill>
        </w:rPr>
        <w:alias w:val="是否适用：其他权益工具本期增减变动情况、变动原因说明，以及相关会计处理的依据[双击切换]"/>
        <w:tag w:val="_GBC_6229f0070f0a4c838e1e39f678f8a7bb"/>
        <w:id w:val="-157158571"/>
        <w:placeholder>
          <w:docPart w:val="GBC22222222222222222222222222222"/>
        </w:placeholder>
      </w:sdtPr>
      <w:sdtEndPr>
        <w:rPr>
          <w:color w:val="000000" w:themeColor="text1"/>
          <w14:textFill>
            <w14:solidFill>
              <w14:schemeClr w14:val="tx1"/>
            </w14:solidFill>
          </w14:textFill>
        </w:rPr>
      </w:sdtEndPr>
      <w:sdtContent>
        <w:p w14:paraId="722A626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2364DA">
      <w:pPr>
        <w:rPr>
          <w:color w:val="000000" w:themeColor="text1"/>
          <w14:textFill>
            <w14:solidFill>
              <w14:schemeClr w14:val="tx1"/>
            </w14:solidFill>
          </w14:textFill>
        </w:rPr>
      </w:pPr>
    </w:p>
    <w:p w14:paraId="3BB3D362">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其他权益工具的其他说明[双击切换]"/>
        <w:tag w:val="_GBC_297d299126b041159b18d012f9a18c2e"/>
        <w:id w:val="1939950454"/>
        <w:placeholder>
          <w:docPart w:val="GBC22222222222222222222222222222"/>
        </w:placeholder>
      </w:sdtPr>
      <w:sdtEndPr>
        <w:rPr>
          <w:color w:val="000000" w:themeColor="text1"/>
          <w14:textFill>
            <w14:solidFill>
              <w14:schemeClr w14:val="tx1"/>
            </w14:solidFill>
          </w14:textFill>
        </w:rPr>
      </w:sdtEndPr>
      <w:sdtContent>
        <w:p w14:paraId="5322212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8FA7C85">
      <w:pPr>
        <w:rPr>
          <w:color w:val="000000" w:themeColor="text1"/>
          <w14:textFill>
            <w14:solidFill>
              <w14:schemeClr w14:val="tx1"/>
            </w14:solidFill>
          </w14:textFill>
        </w:rPr>
      </w:pPr>
    </w:p>
    <w:p w14:paraId="5BBCBC2B">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资本公积</w:t>
      </w:r>
    </w:p>
    <w:sdt>
      <w:sdtPr>
        <w:rPr>
          <w:color w:val="000000" w:themeColor="text1"/>
          <w14:textFill>
            <w14:solidFill>
              <w14:schemeClr w14:val="tx1"/>
            </w14:solidFill>
          </w14:textFill>
        </w:rPr>
        <w:alias w:val="是否适用：资本公积[双击切换]"/>
        <w:tag w:val="_GBC_70f32b67ce344a03adfc93d4ed72949a"/>
        <w:id w:val="876123820"/>
        <w:placeholder>
          <w:docPart w:val="GBC22222222222222222222222222222"/>
        </w:placeholder>
      </w:sdtPr>
      <w:sdtEndPr>
        <w:rPr>
          <w:color w:val="000000" w:themeColor="text1"/>
          <w14:textFill>
            <w14:solidFill>
              <w14:schemeClr w14:val="tx1"/>
            </w14:solidFill>
          </w14:textFill>
        </w:rPr>
      </w:sdtEndPr>
      <w:sdtContent>
        <w:p w14:paraId="3992539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B3E369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资本公积"/>
          <w:tag w:val="_GBC_88633009fdc64f4e8238c38541b33615"/>
          <w:id w:val="-17587432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资本公积"/>
          <w:tag w:val="_GBC_636aa96d47cb426abc64fc00b61c9353"/>
          <w:id w:val="-1248564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7"/>
        <w:gridCol w:w="2036"/>
        <w:gridCol w:w="1308"/>
        <w:gridCol w:w="1404"/>
        <w:gridCol w:w="1834"/>
      </w:tblGrid>
      <w:tr w14:paraId="47F9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77c011500e64862903c4c16dbb2f31f"/>
            <w:id w:val="-1843234806"/>
          </w:sdtPr>
          <w:sdtContent>
            <w:tc>
              <w:tcPr>
                <w:tcW w:w="1363" w:type="pct"/>
                <w:vAlign w:val="center"/>
              </w:tcPr>
              <w:p w14:paraId="1D6AE88E">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519f0add67f49df9173f37c00215eef"/>
            <w:id w:val="1743987774"/>
          </w:sdtPr>
          <w:sdtContent>
            <w:tc>
              <w:tcPr>
                <w:tcW w:w="1125" w:type="pct"/>
                <w:vAlign w:val="center"/>
              </w:tcPr>
              <w:p w14:paraId="2ABCFD49">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dcbf1fd9bcaa41fc8ff4def2d0e55143"/>
            <w:id w:val="-1671162688"/>
          </w:sdtPr>
          <w:sdtContent>
            <w:tc>
              <w:tcPr>
                <w:tcW w:w="723" w:type="pct"/>
                <w:vAlign w:val="center"/>
              </w:tcPr>
              <w:p w14:paraId="05118AB8">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9d88d0ce99474d389c660c414306497d"/>
            <w:id w:val="1234129708"/>
          </w:sdtPr>
          <w:sdtContent>
            <w:tc>
              <w:tcPr>
                <w:tcW w:w="776" w:type="pct"/>
                <w:vAlign w:val="center"/>
              </w:tcPr>
              <w:p w14:paraId="64F8D08B">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4c3f2255a4a24c1cae63eb0cc7781f12"/>
            <w:id w:val="127290939"/>
          </w:sdtPr>
          <w:sdtContent>
            <w:tc>
              <w:tcPr>
                <w:tcW w:w="1013" w:type="pct"/>
                <w:vAlign w:val="center"/>
              </w:tcPr>
              <w:p w14:paraId="559F3815">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6D50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Pr>
          <w:p w14:paraId="736329A6">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资本溢价（股本溢价）</w:t>
            </w:r>
          </w:p>
        </w:tc>
        <w:tc>
          <w:tcPr>
            <w:tcW w:w="1125" w:type="pct"/>
          </w:tcPr>
          <w:p w14:paraId="27BD5686">
            <w:pPr>
              <w:autoSpaceDE w:val="0"/>
              <w:autoSpaceDN w:val="0"/>
              <w:adjustRightInd w:val="0"/>
              <w:snapToGrid w:val="0"/>
              <w:jc w:val="right"/>
            </w:pPr>
            <w:r>
              <w:t>8,500,684,023.79</w:t>
            </w:r>
          </w:p>
        </w:tc>
        <w:tc>
          <w:tcPr>
            <w:tcW w:w="723" w:type="pct"/>
          </w:tcPr>
          <w:p w14:paraId="2B89E064">
            <w:pPr>
              <w:autoSpaceDE w:val="0"/>
              <w:autoSpaceDN w:val="0"/>
              <w:adjustRightInd w:val="0"/>
              <w:snapToGrid w:val="0"/>
              <w:jc w:val="right"/>
            </w:pPr>
          </w:p>
        </w:tc>
        <w:tc>
          <w:tcPr>
            <w:tcW w:w="776" w:type="pct"/>
          </w:tcPr>
          <w:p w14:paraId="0A0353EB">
            <w:pPr>
              <w:autoSpaceDE w:val="0"/>
              <w:autoSpaceDN w:val="0"/>
              <w:adjustRightInd w:val="0"/>
              <w:snapToGrid w:val="0"/>
              <w:jc w:val="right"/>
            </w:pPr>
          </w:p>
        </w:tc>
        <w:tc>
          <w:tcPr>
            <w:tcW w:w="1013" w:type="pct"/>
          </w:tcPr>
          <w:p w14:paraId="1D7AD2B1">
            <w:pPr>
              <w:autoSpaceDE w:val="0"/>
              <w:autoSpaceDN w:val="0"/>
              <w:adjustRightInd w:val="0"/>
              <w:snapToGrid w:val="0"/>
              <w:jc w:val="right"/>
            </w:pPr>
            <w:r>
              <w:t>8,500,684,023.79</w:t>
            </w:r>
          </w:p>
        </w:tc>
      </w:tr>
      <w:tr w14:paraId="5A00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tcPr>
          <w:p w14:paraId="7463D84D">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其他资本公积</w:t>
            </w:r>
          </w:p>
        </w:tc>
        <w:tc>
          <w:tcPr>
            <w:tcW w:w="1125" w:type="pct"/>
          </w:tcPr>
          <w:p w14:paraId="7E3A51EB">
            <w:pPr>
              <w:autoSpaceDE w:val="0"/>
              <w:autoSpaceDN w:val="0"/>
              <w:adjustRightInd w:val="0"/>
              <w:snapToGrid w:val="0"/>
              <w:jc w:val="right"/>
            </w:pPr>
            <w:r>
              <w:t>142,295,089.74</w:t>
            </w:r>
          </w:p>
        </w:tc>
        <w:tc>
          <w:tcPr>
            <w:tcW w:w="723" w:type="pct"/>
          </w:tcPr>
          <w:p w14:paraId="6D6E6E98">
            <w:pPr>
              <w:autoSpaceDE w:val="0"/>
              <w:autoSpaceDN w:val="0"/>
              <w:adjustRightInd w:val="0"/>
              <w:snapToGrid w:val="0"/>
              <w:jc w:val="right"/>
            </w:pPr>
            <w:r>
              <w:t>22,061.04</w:t>
            </w:r>
          </w:p>
        </w:tc>
        <w:tc>
          <w:tcPr>
            <w:tcW w:w="776" w:type="pct"/>
          </w:tcPr>
          <w:p w14:paraId="49D9B420">
            <w:pPr>
              <w:autoSpaceDE w:val="0"/>
              <w:autoSpaceDN w:val="0"/>
              <w:adjustRightInd w:val="0"/>
              <w:snapToGrid w:val="0"/>
              <w:jc w:val="right"/>
            </w:pPr>
          </w:p>
        </w:tc>
        <w:tc>
          <w:tcPr>
            <w:tcW w:w="1013" w:type="pct"/>
            <w:vAlign w:val="center"/>
          </w:tcPr>
          <w:p w14:paraId="304886E5">
            <w:pPr>
              <w:autoSpaceDE w:val="0"/>
              <w:autoSpaceDN w:val="0"/>
              <w:adjustRightInd w:val="0"/>
              <w:snapToGrid w:val="0"/>
              <w:jc w:val="right"/>
            </w:pPr>
            <w:r>
              <w:t>142,317,150.78</w:t>
            </w:r>
          </w:p>
        </w:tc>
      </w:tr>
      <w:tr w14:paraId="29F5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pct"/>
            <w:vAlign w:val="center"/>
          </w:tcPr>
          <w:p w14:paraId="28DC9971">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125" w:type="pct"/>
          </w:tcPr>
          <w:p w14:paraId="6ADA241C">
            <w:pPr>
              <w:autoSpaceDE w:val="0"/>
              <w:autoSpaceDN w:val="0"/>
              <w:adjustRightInd w:val="0"/>
              <w:snapToGrid w:val="0"/>
              <w:jc w:val="right"/>
            </w:pPr>
            <w:r>
              <w:rPr>
                <w:rFonts w:hint="eastAsia"/>
              </w:rPr>
              <w:t>8,642,979,113.53</w:t>
            </w:r>
          </w:p>
        </w:tc>
        <w:tc>
          <w:tcPr>
            <w:tcW w:w="723" w:type="pct"/>
          </w:tcPr>
          <w:p w14:paraId="3C2912AC">
            <w:pPr>
              <w:autoSpaceDE w:val="0"/>
              <w:autoSpaceDN w:val="0"/>
              <w:adjustRightInd w:val="0"/>
              <w:snapToGrid w:val="0"/>
              <w:jc w:val="right"/>
            </w:pPr>
            <w:r>
              <w:t>22,061.04</w:t>
            </w:r>
          </w:p>
        </w:tc>
        <w:tc>
          <w:tcPr>
            <w:tcW w:w="776" w:type="pct"/>
          </w:tcPr>
          <w:p w14:paraId="2FA67F64">
            <w:pPr>
              <w:autoSpaceDE w:val="0"/>
              <w:autoSpaceDN w:val="0"/>
              <w:adjustRightInd w:val="0"/>
              <w:snapToGrid w:val="0"/>
              <w:jc w:val="right"/>
            </w:pPr>
          </w:p>
        </w:tc>
        <w:tc>
          <w:tcPr>
            <w:tcW w:w="1013" w:type="pct"/>
            <w:vAlign w:val="center"/>
          </w:tcPr>
          <w:p w14:paraId="78442AC1">
            <w:pPr>
              <w:autoSpaceDE w:val="0"/>
              <w:autoSpaceDN w:val="0"/>
              <w:adjustRightInd w:val="0"/>
              <w:snapToGrid w:val="0"/>
              <w:jc w:val="right"/>
            </w:pPr>
            <w:r>
              <w:t>8,643,001,174.57</w:t>
            </w:r>
          </w:p>
        </w:tc>
      </w:tr>
    </w:tbl>
    <w:p w14:paraId="6C2B16E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其他说明，包括本期增减变动情况、变动原因说明：</w:t>
      </w:r>
    </w:p>
    <w:p w14:paraId="2F7B1AE0">
      <w:pPr>
        <w:rPr>
          <w:color w:val="000000" w:themeColor="text1"/>
          <w14:textFill>
            <w14:solidFill>
              <w14:schemeClr w14:val="tx1"/>
            </w14:solidFill>
          </w14:textFill>
        </w:rPr>
      </w:pPr>
      <w:sdt>
        <w:sdtPr>
          <w:rPr>
            <w:color w:val="000000" w:themeColor="text1"/>
            <w14:textFill>
              <w14:solidFill>
                <w14:schemeClr w14:val="tx1"/>
              </w14:solidFill>
            </w14:textFill>
          </w:rPr>
          <w:alias w:val="资本公积说明"/>
          <w:tag w:val="_GBC_014f0762b4274266bec2aa5231aa0981"/>
          <w:id w:val="-2095155848"/>
          <w:placeholder>
            <w:docPart w:val="GBC22222222222222222222222222222"/>
          </w:placeholder>
        </w:sdtPr>
        <w:sdtEndPr>
          <w:rPr>
            <w:color w:val="000000" w:themeColor="text1"/>
            <w14:textFill>
              <w14:solidFill>
                <w14:schemeClr w14:val="tx1"/>
              </w14:solidFill>
            </w14:textFill>
          </w:rPr>
        </w:sdtEndPr>
        <w:sdtContent>
          <w:r>
            <w:rPr>
              <w:rFonts w:ascii="宋体" w:hAnsi="宋体" w:cs="Arial"/>
              <w:shd w:val="clear" w:color="auto" w:fill="FFFFFF"/>
            </w:rPr>
            <w:t>注</w:t>
          </w:r>
          <w:r>
            <w:rPr>
              <w:rFonts w:ascii="宋体" w:hAnsi="宋体" w:cs="Courier New"/>
              <w:shd w:val="clear" w:color="auto" w:fill="FFFFFF"/>
            </w:rPr>
            <w:t>1</w:t>
          </w:r>
          <w:r>
            <w:rPr>
              <w:rFonts w:ascii="宋体" w:hAnsi="宋体" w:cs="Arial"/>
              <w:shd w:val="clear" w:color="auto" w:fill="FFFFFF"/>
            </w:rPr>
            <w:t>：本公司投资企业重庆银行本年资本公积及其他权益工具</w:t>
          </w:r>
          <w:r>
            <w:rPr>
              <w:rFonts w:hint="eastAsia" w:ascii="宋体" w:hAnsi="宋体" w:cs="Arial"/>
              <w:shd w:val="clear" w:color="auto" w:fill="FFFFFF"/>
            </w:rPr>
            <w:t>增加</w:t>
          </w:r>
          <w:r>
            <w:rPr>
              <w:rFonts w:ascii="宋体" w:hAnsi="宋体" w:cs="Arial"/>
              <w:shd w:val="clear" w:color="auto" w:fill="FFFFFF"/>
            </w:rPr>
            <w:t>，本公司按照权益法核算相应</w:t>
          </w:r>
          <w:r>
            <w:rPr>
              <w:rFonts w:hint="eastAsia" w:ascii="宋体" w:hAnsi="宋体" w:cs="Arial"/>
              <w:shd w:val="clear" w:color="auto" w:fill="FFFFFF"/>
            </w:rPr>
            <w:t>增加</w:t>
          </w:r>
          <w:r>
            <w:rPr>
              <w:rFonts w:ascii="宋体" w:hAnsi="宋体" w:cs="Arial"/>
              <w:shd w:val="clear" w:color="auto" w:fill="FFFFFF"/>
            </w:rPr>
            <w:t>资本公积</w:t>
          </w:r>
          <w:r>
            <w:rPr>
              <w:rFonts w:ascii="宋体" w:hAnsi="宋体"/>
            </w:rPr>
            <w:t>22,061.04</w:t>
          </w:r>
          <w:r>
            <w:rPr>
              <w:rFonts w:ascii="宋体" w:hAnsi="宋体" w:cs="Arial"/>
              <w:shd w:val="clear" w:color="auto" w:fill="FFFFFF"/>
            </w:rPr>
            <w:t>元</w:t>
          </w:r>
          <w:r>
            <w:rPr>
              <w:rFonts w:ascii="Arial" w:hAnsi="Arial" w:cs="Arial"/>
              <w:sz w:val="25"/>
              <w:szCs w:val="25"/>
              <w:shd w:val="clear" w:color="auto" w:fill="FFFFFF"/>
            </w:rPr>
            <w:t>。</w:t>
          </w:r>
        </w:sdtContent>
      </w:sdt>
    </w:p>
    <w:p w14:paraId="40F435E6">
      <w:pPr>
        <w:rPr>
          <w:color w:val="000000" w:themeColor="text1"/>
          <w14:textFill>
            <w14:solidFill>
              <w14:schemeClr w14:val="tx1"/>
            </w14:solidFill>
          </w14:textFill>
        </w:rPr>
      </w:pPr>
    </w:p>
    <w:p w14:paraId="159EB325">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库存股</w:t>
      </w:r>
    </w:p>
    <w:sdt>
      <w:sdtPr>
        <w:rPr>
          <w:color w:val="000000" w:themeColor="text1"/>
          <w14:textFill>
            <w14:solidFill>
              <w14:schemeClr w14:val="tx1"/>
            </w14:solidFill>
          </w14:textFill>
        </w:rPr>
        <w:alias w:val="是否适用：库存股[双击切换]"/>
        <w:tag w:val="_GBC_4aa47a6d9b1044aa8a049146d42c3e9c"/>
        <w:id w:val="-693389232"/>
        <w:placeholder>
          <w:docPart w:val="GBC22222222222222222222222222222"/>
        </w:placeholder>
      </w:sdtPr>
      <w:sdtEndPr>
        <w:rPr>
          <w:color w:val="000000" w:themeColor="text1"/>
          <w14:textFill>
            <w14:solidFill>
              <w14:schemeClr w14:val="tx1"/>
            </w14:solidFill>
          </w14:textFill>
        </w:rPr>
      </w:sdtEndPr>
      <w:sdtContent>
        <w:p w14:paraId="73F8D5F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4AB1C79">
      <w:pPr>
        <w:pStyle w:val="51"/>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库存股"/>
          <w:tag w:val="_GBC_2ec7280618184a6dbf8764020927134a"/>
          <w:id w:val="1256321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库存股"/>
          <w:tag w:val="_GBC_bcf1b0dc9f44435981af64b6d69d6045"/>
          <w:id w:val="-5376558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806"/>
        <w:gridCol w:w="1835"/>
        <w:gridCol w:w="1848"/>
        <w:gridCol w:w="1850"/>
      </w:tblGrid>
      <w:tr w14:paraId="6E18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46e14f0143b428d91ebe5e1885be6ac"/>
            <w:id w:val="820546756"/>
          </w:sdtPr>
          <w:sdtContent>
            <w:tc>
              <w:tcPr>
                <w:tcW w:w="945" w:type="pct"/>
                <w:vAlign w:val="center"/>
              </w:tcPr>
              <w:p w14:paraId="3F0DBA4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db0262d3f8842b4a7eba04e09be9d8a"/>
            <w:id w:val="-1499802784"/>
          </w:sdtPr>
          <w:sdtContent>
            <w:tc>
              <w:tcPr>
                <w:tcW w:w="998" w:type="pct"/>
                <w:vAlign w:val="center"/>
              </w:tcPr>
              <w:p w14:paraId="6FF989F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6f585f2d8d254ed6a108b145b56ff7cc"/>
            <w:id w:val="1926918763"/>
          </w:sdtPr>
          <w:sdtContent>
            <w:tc>
              <w:tcPr>
                <w:tcW w:w="1014" w:type="pct"/>
                <w:vAlign w:val="center"/>
              </w:tcPr>
              <w:p w14:paraId="3517E77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20354e1f567449a9b9021901b2252d15"/>
            <w:id w:val="-911389977"/>
          </w:sdtPr>
          <w:sdtContent>
            <w:tc>
              <w:tcPr>
                <w:tcW w:w="1021" w:type="pct"/>
                <w:vAlign w:val="center"/>
              </w:tcPr>
              <w:p w14:paraId="55AD928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94daf05bbefc4d829f1bc3b83d11b6ca"/>
            <w:id w:val="-681056371"/>
          </w:sdtPr>
          <w:sdtContent>
            <w:tc>
              <w:tcPr>
                <w:tcW w:w="1022" w:type="pct"/>
                <w:vAlign w:val="center"/>
              </w:tcPr>
              <w:p w14:paraId="506EE44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7DE4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Pr>
          <w:p w14:paraId="3EC25C82">
            <w:pPr>
              <w:jc w:val="center"/>
            </w:pPr>
            <w:r>
              <w:rPr>
                <w:rFonts w:hint="eastAsia"/>
              </w:rPr>
              <w:t>其他</w:t>
            </w:r>
          </w:p>
        </w:tc>
        <w:tc>
          <w:tcPr>
            <w:tcW w:w="998" w:type="pct"/>
          </w:tcPr>
          <w:p w14:paraId="133942AA">
            <w:pPr>
              <w:jc w:val="right"/>
            </w:pPr>
            <w:r>
              <w:t>133,881,025.00</w:t>
            </w:r>
          </w:p>
        </w:tc>
        <w:tc>
          <w:tcPr>
            <w:tcW w:w="1014" w:type="pct"/>
          </w:tcPr>
          <w:p w14:paraId="10ED35FD">
            <w:pPr>
              <w:jc w:val="right"/>
            </w:pPr>
          </w:p>
        </w:tc>
        <w:tc>
          <w:tcPr>
            <w:tcW w:w="1021" w:type="pct"/>
          </w:tcPr>
          <w:p w14:paraId="2A6A4D6B">
            <w:pPr>
              <w:jc w:val="right"/>
            </w:pPr>
          </w:p>
        </w:tc>
        <w:tc>
          <w:tcPr>
            <w:tcW w:w="1022" w:type="pct"/>
          </w:tcPr>
          <w:p w14:paraId="4D03BEB1">
            <w:pPr>
              <w:jc w:val="right"/>
            </w:pPr>
            <w:r>
              <w:t>133,881,025.00</w:t>
            </w:r>
          </w:p>
        </w:tc>
      </w:tr>
      <w:tr w14:paraId="061E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vAlign w:val="center"/>
          </w:tcPr>
          <w:p w14:paraId="24E24B8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98" w:type="pct"/>
          </w:tcPr>
          <w:p w14:paraId="5072ACCD">
            <w:pPr>
              <w:jc w:val="right"/>
            </w:pPr>
            <w:r>
              <w:t>133,881,025.00</w:t>
            </w:r>
          </w:p>
        </w:tc>
        <w:tc>
          <w:tcPr>
            <w:tcW w:w="1014" w:type="pct"/>
          </w:tcPr>
          <w:p w14:paraId="749E5781">
            <w:pPr>
              <w:jc w:val="right"/>
            </w:pPr>
          </w:p>
        </w:tc>
        <w:tc>
          <w:tcPr>
            <w:tcW w:w="1021" w:type="pct"/>
          </w:tcPr>
          <w:p w14:paraId="49B05051">
            <w:pPr>
              <w:jc w:val="right"/>
            </w:pPr>
          </w:p>
        </w:tc>
        <w:tc>
          <w:tcPr>
            <w:tcW w:w="1022" w:type="pct"/>
          </w:tcPr>
          <w:p w14:paraId="47ADC86B">
            <w:pPr>
              <w:jc w:val="right"/>
            </w:pPr>
            <w:r>
              <w:t>133,881,025.00</w:t>
            </w:r>
          </w:p>
        </w:tc>
      </w:tr>
    </w:tbl>
    <w:p w14:paraId="4684819D">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其他说明，包括本期增减变动情况、变动原因说明：</w:t>
      </w:r>
    </w:p>
    <w:p w14:paraId="6EF953F0">
      <w:pPr>
        <w:rPr>
          <w:b/>
          <w:color w:val="000000" w:themeColor="text1"/>
          <w14:textFill>
            <w14:solidFill>
              <w14:schemeClr w14:val="tx1"/>
            </w14:solidFill>
          </w14:textFill>
        </w:rPr>
      </w:pPr>
      <w:sdt>
        <w:sdtPr>
          <w:rPr>
            <w:color w:val="000000" w:themeColor="text1"/>
            <w14:textFill>
              <w14:solidFill>
                <w14:schemeClr w14:val="tx1"/>
              </w14:solidFill>
            </w14:textFill>
          </w:rPr>
          <w:alias w:val="库存股情况说明"/>
          <w:tag w:val="_GBC_aeb361adcbde44daaa852df07259812c"/>
          <w:id w:val="-1982914182"/>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0385F56D">
      <w:pPr>
        <w:rPr>
          <w:color w:val="000000" w:themeColor="text1"/>
          <w14:textFill>
            <w14:solidFill>
              <w14:schemeClr w14:val="tx1"/>
            </w14:solidFill>
          </w14:textFill>
        </w:rPr>
      </w:pPr>
    </w:p>
    <w:p w14:paraId="343B9BD3">
      <w:pPr>
        <w:pStyle w:val="4"/>
        <w:numPr>
          <w:ilvl w:val="0"/>
          <w:numId w:val="41"/>
        </w:numPr>
        <w:rPr>
          <w:color w:val="000000" w:themeColor="text1"/>
          <w:szCs w:val="21"/>
          <w14:textFill>
            <w14:solidFill>
              <w14:schemeClr w14:val="tx1"/>
            </w14:solidFill>
          </w14:textFill>
        </w:rPr>
      </w:pPr>
      <w:bookmarkStart w:id="333" w:name="_Hlk10537776"/>
      <w:r>
        <w:rPr>
          <w:color w:val="000000" w:themeColor="text1"/>
          <w:szCs w:val="21"/>
          <w14:textFill>
            <w14:solidFill>
              <w14:schemeClr w14:val="tx1"/>
            </w14:solidFill>
          </w14:textFill>
        </w:rPr>
        <w:t>其他综合收益</w:t>
      </w:r>
    </w:p>
    <w:sdt>
      <w:sdtPr>
        <w:rPr>
          <w:color w:val="000000" w:themeColor="text1"/>
          <w14:textFill>
            <w14:solidFill>
              <w14:schemeClr w14:val="tx1"/>
            </w14:solidFill>
          </w14:textFill>
        </w:rPr>
        <w:alias w:val="是否适用：其他综合收益[双击切换]"/>
        <w:tag w:val="_GBC_a53cc67f2be24dfbbe3af1b633d9bd6d"/>
        <w:id w:val="-1568326823"/>
        <w:placeholder>
          <w:docPart w:val="GBC22222222222222222222222222222"/>
        </w:placeholder>
      </w:sdtPr>
      <w:sdtEndPr>
        <w:rPr>
          <w:color w:val="000000" w:themeColor="text1"/>
          <w14:textFill>
            <w14:solidFill>
              <w14:schemeClr w14:val="tx1"/>
            </w14:solidFill>
          </w14:textFill>
        </w:rPr>
      </w:sdtEndPr>
      <w:sdtContent>
        <w:p w14:paraId="05C614C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98A58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其他综合收益情况"/>
          <w:tag w:val="_GBC_3fcad98da74248809a759048ca194814"/>
          <w:id w:val="825795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其他综合收益情况"/>
          <w:tag w:val="_GBC_3909f37aa0cc4eda82ff1503a6abe503"/>
          <w:id w:val="16328926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605" w:type="pct"/>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1450"/>
        <w:gridCol w:w="1262"/>
        <w:gridCol w:w="645"/>
        <w:gridCol w:w="645"/>
        <w:gridCol w:w="645"/>
        <w:gridCol w:w="1447"/>
        <w:gridCol w:w="710"/>
        <w:gridCol w:w="1310"/>
      </w:tblGrid>
      <w:tr w14:paraId="64340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sdt>
          <w:sdtPr>
            <w:rPr>
              <w:rFonts w:asciiTheme="minorEastAsia" w:hAnsiTheme="minorEastAsia" w:eastAsiaTheme="minorEastAsia"/>
              <w:spacing w:val="-10"/>
              <w:sz w:val="18"/>
              <w:szCs w:val="18"/>
            </w:rPr>
            <w:tag w:val="_PLD_965475dfd86e41c29d1b9f1fdff70ee0"/>
            <w:id w:val="1939101329"/>
          </w:sdtPr>
          <w:sdtEndPr>
            <w:rPr>
              <w:rFonts w:asciiTheme="minorEastAsia" w:hAnsiTheme="minorEastAsia" w:eastAsiaTheme="minorEastAsia"/>
              <w:spacing w:val="-10"/>
              <w:sz w:val="18"/>
              <w:szCs w:val="18"/>
            </w:rPr>
          </w:sdtEndPr>
          <w:sdtContent>
            <w:tc>
              <w:tcPr>
                <w:tcW w:w="1003" w:type="pct"/>
                <w:vMerge w:val="restart"/>
                <w:vAlign w:val="center"/>
              </w:tcPr>
              <w:p w14:paraId="0D0CC0B8">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项目</w:t>
                </w:r>
              </w:p>
            </w:tc>
          </w:sdtContent>
        </w:sdt>
        <w:sdt>
          <w:sdtPr>
            <w:rPr>
              <w:rFonts w:asciiTheme="minorEastAsia" w:hAnsiTheme="minorEastAsia" w:eastAsiaTheme="minorEastAsia"/>
              <w:spacing w:val="-10"/>
              <w:sz w:val="18"/>
              <w:szCs w:val="18"/>
            </w:rPr>
            <w:tag w:val="_PLD_8a675a3cac5041d29cfb92203b87e9a6"/>
            <w:id w:val="1364478803"/>
          </w:sdtPr>
          <w:sdtEndPr>
            <w:rPr>
              <w:rFonts w:asciiTheme="minorEastAsia" w:hAnsiTheme="minorEastAsia" w:eastAsiaTheme="minorEastAsia"/>
              <w:spacing w:val="-10"/>
              <w:sz w:val="18"/>
              <w:szCs w:val="18"/>
            </w:rPr>
          </w:sdtEndPr>
          <w:sdtContent>
            <w:tc>
              <w:tcPr>
                <w:tcW w:w="717" w:type="pct"/>
                <w:vMerge w:val="restart"/>
                <w:vAlign w:val="center"/>
              </w:tcPr>
              <w:p w14:paraId="010767A9">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期初</w:t>
                </w:r>
              </w:p>
              <w:p w14:paraId="5074F159">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余额</w:t>
                </w:r>
              </w:p>
            </w:tc>
          </w:sdtContent>
        </w:sdt>
        <w:sdt>
          <w:sdtPr>
            <w:rPr>
              <w:rFonts w:asciiTheme="minorEastAsia" w:hAnsiTheme="minorEastAsia" w:eastAsiaTheme="minorEastAsia"/>
              <w:spacing w:val="-10"/>
              <w:sz w:val="18"/>
              <w:szCs w:val="18"/>
            </w:rPr>
            <w:tag w:val="_PLD_5ff455f3c2164019b5e694c1e00e4104"/>
            <w:id w:val="34248155"/>
          </w:sdtPr>
          <w:sdtEndPr>
            <w:rPr>
              <w:rFonts w:asciiTheme="minorEastAsia" w:hAnsiTheme="minorEastAsia" w:eastAsiaTheme="minorEastAsia"/>
              <w:spacing w:val="-10"/>
              <w:sz w:val="18"/>
              <w:szCs w:val="18"/>
            </w:rPr>
          </w:sdtEndPr>
          <w:sdtContent>
            <w:tc>
              <w:tcPr>
                <w:tcW w:w="2651" w:type="pct"/>
                <w:gridSpan w:val="6"/>
                <w:vAlign w:val="center"/>
              </w:tcPr>
              <w:p w14:paraId="7321F541">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本期发生金额</w:t>
                </w:r>
              </w:p>
            </w:tc>
          </w:sdtContent>
        </w:sdt>
        <w:sdt>
          <w:sdtPr>
            <w:rPr>
              <w:rFonts w:asciiTheme="minorEastAsia" w:hAnsiTheme="minorEastAsia" w:eastAsiaTheme="minorEastAsia"/>
              <w:spacing w:val="-10"/>
              <w:sz w:val="18"/>
              <w:szCs w:val="18"/>
            </w:rPr>
            <w:tag w:val="_PLD_e74e1b8e6f7d453b8d88ebfc65c302f4"/>
            <w:id w:val="1262038314"/>
          </w:sdtPr>
          <w:sdtEndPr>
            <w:rPr>
              <w:rFonts w:asciiTheme="minorEastAsia" w:hAnsiTheme="minorEastAsia" w:eastAsiaTheme="minorEastAsia"/>
              <w:spacing w:val="-10"/>
              <w:sz w:val="18"/>
              <w:szCs w:val="18"/>
            </w:rPr>
          </w:sdtEndPr>
          <w:sdtContent>
            <w:tc>
              <w:tcPr>
                <w:tcW w:w="629" w:type="pct"/>
                <w:vMerge w:val="restart"/>
                <w:vAlign w:val="center"/>
              </w:tcPr>
              <w:p w14:paraId="62AED69F">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期末</w:t>
                </w:r>
              </w:p>
              <w:p w14:paraId="4E63F220">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余额</w:t>
                </w:r>
              </w:p>
            </w:tc>
          </w:sdtContent>
        </w:sdt>
      </w:tr>
      <w:tr w14:paraId="7A85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Merge w:val="continue"/>
            <w:vAlign w:val="center"/>
          </w:tcPr>
          <w:p w14:paraId="50C7CE15">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p>
        </w:tc>
        <w:tc>
          <w:tcPr>
            <w:tcW w:w="717" w:type="pct"/>
            <w:vMerge w:val="continue"/>
            <w:vAlign w:val="center"/>
          </w:tcPr>
          <w:p w14:paraId="50B0E0A9">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p>
        </w:tc>
        <w:sdt>
          <w:sdtPr>
            <w:rPr>
              <w:rFonts w:asciiTheme="minorEastAsia" w:hAnsiTheme="minorEastAsia" w:eastAsiaTheme="minorEastAsia"/>
              <w:spacing w:val="-10"/>
              <w:sz w:val="18"/>
              <w:szCs w:val="18"/>
            </w:rPr>
            <w:tag w:val="_PLD_17c016c4311444368218ab16d2bc7a4c"/>
            <w:id w:val="-362439458"/>
          </w:sdtPr>
          <w:sdtEndPr>
            <w:rPr>
              <w:rFonts w:asciiTheme="minorEastAsia" w:hAnsiTheme="minorEastAsia" w:eastAsiaTheme="minorEastAsia"/>
              <w:spacing w:val="-10"/>
              <w:sz w:val="18"/>
              <w:szCs w:val="18"/>
            </w:rPr>
          </w:sdtEndPr>
          <w:sdtContent>
            <w:tc>
              <w:tcPr>
                <w:tcW w:w="624" w:type="pct"/>
                <w:vAlign w:val="center"/>
              </w:tcPr>
              <w:p w14:paraId="57444D36">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本期所得税前发生额</w:t>
                </w:r>
              </w:p>
            </w:tc>
          </w:sdtContent>
        </w:sdt>
        <w:sdt>
          <w:sdtPr>
            <w:rPr>
              <w:rFonts w:asciiTheme="minorEastAsia" w:hAnsiTheme="minorEastAsia" w:eastAsiaTheme="minorEastAsia"/>
              <w:spacing w:val="-10"/>
              <w:sz w:val="18"/>
              <w:szCs w:val="18"/>
            </w:rPr>
            <w:tag w:val="_PLD_8f95da21a802457ea1d7d10d5c90efb0"/>
            <w:id w:val="1320844699"/>
          </w:sdtPr>
          <w:sdtEndPr>
            <w:rPr>
              <w:rFonts w:asciiTheme="minorEastAsia" w:hAnsiTheme="minorEastAsia" w:eastAsiaTheme="minorEastAsia"/>
              <w:spacing w:val="-10"/>
              <w:sz w:val="18"/>
              <w:szCs w:val="18"/>
            </w:rPr>
          </w:sdtEndPr>
          <w:sdtContent>
            <w:tc>
              <w:tcPr>
                <w:tcW w:w="320" w:type="pct"/>
                <w:vAlign w:val="center"/>
              </w:tcPr>
              <w:p w14:paraId="52A85CB8">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减：前期计入其他综合收益当期转入损益</w:t>
                </w:r>
              </w:p>
            </w:tc>
          </w:sdtContent>
        </w:sdt>
        <w:tc>
          <w:tcPr>
            <w:tcW w:w="320" w:type="pct"/>
            <w:vAlign w:val="center"/>
          </w:tcPr>
          <w:sdt>
            <w:sdtPr>
              <w:rPr>
                <w:rFonts w:asciiTheme="minorEastAsia" w:hAnsiTheme="minorEastAsia" w:eastAsiaTheme="minorEastAsia"/>
                <w:spacing w:val="-10"/>
                <w:sz w:val="18"/>
                <w:szCs w:val="18"/>
              </w:rPr>
              <w:tag w:val="_PLD_7f99e647a5874f909c48e6c0bbc8d50a"/>
              <w:id w:val="-272402273"/>
            </w:sdtPr>
            <w:sdtEndPr>
              <w:rPr>
                <w:rFonts w:asciiTheme="minorEastAsia" w:hAnsiTheme="minorEastAsia" w:eastAsiaTheme="minorEastAsia"/>
                <w:spacing w:val="-10"/>
                <w:sz w:val="18"/>
                <w:szCs w:val="18"/>
              </w:rPr>
            </w:sdtEndPr>
            <w:sdtContent>
              <w:p w14:paraId="470DD4E6">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减：前期计入其他综合收益当期转入留存收益</w:t>
                </w:r>
              </w:p>
            </w:sdtContent>
          </w:sdt>
        </w:tc>
        <w:sdt>
          <w:sdtPr>
            <w:rPr>
              <w:rFonts w:asciiTheme="minorEastAsia" w:hAnsiTheme="minorEastAsia" w:eastAsiaTheme="minorEastAsia"/>
              <w:spacing w:val="-10"/>
              <w:sz w:val="18"/>
              <w:szCs w:val="18"/>
            </w:rPr>
            <w:tag w:val="_PLD_6ee499a1144a462687fb064cc4588343"/>
            <w:id w:val="-1259294885"/>
          </w:sdtPr>
          <w:sdtEndPr>
            <w:rPr>
              <w:rFonts w:asciiTheme="minorEastAsia" w:hAnsiTheme="minorEastAsia" w:eastAsiaTheme="minorEastAsia"/>
              <w:spacing w:val="-10"/>
              <w:sz w:val="18"/>
              <w:szCs w:val="18"/>
            </w:rPr>
          </w:sdtEndPr>
          <w:sdtContent>
            <w:tc>
              <w:tcPr>
                <w:tcW w:w="320" w:type="pct"/>
                <w:vAlign w:val="center"/>
              </w:tcPr>
              <w:p w14:paraId="5D785ED9">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减：所得税费用</w:t>
                </w:r>
              </w:p>
            </w:tc>
          </w:sdtContent>
        </w:sdt>
        <w:sdt>
          <w:sdtPr>
            <w:rPr>
              <w:rFonts w:asciiTheme="minorEastAsia" w:hAnsiTheme="minorEastAsia" w:eastAsiaTheme="minorEastAsia"/>
              <w:spacing w:val="-10"/>
              <w:sz w:val="18"/>
              <w:szCs w:val="18"/>
            </w:rPr>
            <w:tag w:val="_PLD_97d686c5a0f042d49d097afc52b9ab56"/>
            <w:id w:val="-1693989217"/>
          </w:sdtPr>
          <w:sdtEndPr>
            <w:rPr>
              <w:rFonts w:asciiTheme="minorEastAsia" w:hAnsiTheme="minorEastAsia" w:eastAsiaTheme="minorEastAsia"/>
              <w:spacing w:val="-10"/>
              <w:sz w:val="18"/>
              <w:szCs w:val="18"/>
            </w:rPr>
          </w:sdtEndPr>
          <w:sdtContent>
            <w:tc>
              <w:tcPr>
                <w:tcW w:w="715" w:type="pct"/>
                <w:vAlign w:val="center"/>
              </w:tcPr>
              <w:p w14:paraId="6286D7C7">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税后归属于母公司</w:t>
                </w:r>
              </w:p>
            </w:tc>
          </w:sdtContent>
        </w:sdt>
        <w:sdt>
          <w:sdtPr>
            <w:rPr>
              <w:rFonts w:asciiTheme="minorEastAsia" w:hAnsiTheme="minorEastAsia" w:eastAsiaTheme="minorEastAsia"/>
              <w:spacing w:val="-10"/>
              <w:sz w:val="18"/>
              <w:szCs w:val="18"/>
            </w:rPr>
            <w:tag w:val="_PLD_dc8c642f883f4ca1b1bbacf56198209b"/>
            <w:id w:val="410818716"/>
          </w:sdtPr>
          <w:sdtEndPr>
            <w:rPr>
              <w:rFonts w:asciiTheme="minorEastAsia" w:hAnsiTheme="minorEastAsia" w:eastAsiaTheme="minorEastAsia"/>
              <w:spacing w:val="-10"/>
              <w:sz w:val="18"/>
              <w:szCs w:val="18"/>
            </w:rPr>
          </w:sdtEndPr>
          <w:sdtContent>
            <w:tc>
              <w:tcPr>
                <w:tcW w:w="352" w:type="pct"/>
                <w:vAlign w:val="center"/>
              </w:tcPr>
              <w:p w14:paraId="7DB35DE0">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税后归属于少数股东</w:t>
                </w:r>
              </w:p>
            </w:tc>
          </w:sdtContent>
        </w:sdt>
        <w:tc>
          <w:tcPr>
            <w:tcW w:w="629" w:type="pct"/>
            <w:vMerge w:val="continue"/>
            <w:vAlign w:val="center"/>
          </w:tcPr>
          <w:p w14:paraId="622BB89D">
            <w:pPr>
              <w:ind w:left="-53" w:leftChars="-25" w:right="-53" w:rightChars="-25"/>
              <w:jc w:val="center"/>
              <w:rPr>
                <w:rFonts w:asciiTheme="minorEastAsia" w:hAnsiTheme="minorEastAsia" w:eastAsiaTheme="minorEastAsia"/>
                <w:color w:val="000000" w:themeColor="text1"/>
                <w:spacing w:val="-10"/>
                <w:sz w:val="18"/>
                <w:szCs w:val="18"/>
                <w14:textFill>
                  <w14:solidFill>
                    <w14:schemeClr w14:val="tx1"/>
                  </w14:solidFill>
                </w14:textFill>
              </w:rPr>
            </w:pPr>
          </w:p>
        </w:tc>
      </w:tr>
      <w:tr w14:paraId="0605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6495613C">
            <w:pPr>
              <w:ind w:left="-53" w:leftChars="-25" w:right="-53" w:rightChars="-25"/>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一、不能重分类进损益的其他综合收益</w:t>
            </w:r>
          </w:p>
        </w:tc>
        <w:tc>
          <w:tcPr>
            <w:tcW w:w="717" w:type="pct"/>
            <w:vAlign w:val="center"/>
          </w:tcPr>
          <w:p w14:paraId="58E7EF53">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2,146,834.83</w:t>
            </w:r>
          </w:p>
        </w:tc>
        <w:tc>
          <w:tcPr>
            <w:tcW w:w="624" w:type="pct"/>
            <w:vAlign w:val="center"/>
          </w:tcPr>
          <w:p w14:paraId="74A55B8D">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1,793,621.96</w:t>
            </w:r>
          </w:p>
        </w:tc>
        <w:tc>
          <w:tcPr>
            <w:tcW w:w="320" w:type="pct"/>
            <w:vAlign w:val="center"/>
          </w:tcPr>
          <w:p w14:paraId="62021DF9">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24AF9224">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364FB317">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7D5471FB">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1,793,621.96</w:t>
            </w:r>
          </w:p>
        </w:tc>
        <w:tc>
          <w:tcPr>
            <w:tcW w:w="352" w:type="pct"/>
            <w:vAlign w:val="center"/>
          </w:tcPr>
          <w:p w14:paraId="4AA10DA1">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7C7F90C3">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3,940,456.79</w:t>
            </w:r>
          </w:p>
        </w:tc>
      </w:tr>
      <w:tr w14:paraId="2104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7F6C6D97">
            <w:pPr>
              <w:ind w:left="-53" w:leftChars="-25" w:right="-53" w:rightChars="-25"/>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其中：重新计量设定受益计划变动额</w:t>
            </w:r>
          </w:p>
        </w:tc>
        <w:tc>
          <w:tcPr>
            <w:tcW w:w="717" w:type="pct"/>
            <w:vAlign w:val="center"/>
          </w:tcPr>
          <w:p w14:paraId="51B497CD">
            <w:pPr>
              <w:ind w:left="-53" w:leftChars="-25" w:right="-53" w:rightChars="-25"/>
              <w:jc w:val="right"/>
              <w:rPr>
                <w:rFonts w:asciiTheme="minorEastAsia" w:hAnsiTheme="minorEastAsia" w:eastAsiaTheme="minorEastAsia"/>
                <w:spacing w:val="-10"/>
                <w:sz w:val="18"/>
                <w:szCs w:val="18"/>
              </w:rPr>
            </w:pPr>
          </w:p>
        </w:tc>
        <w:tc>
          <w:tcPr>
            <w:tcW w:w="624" w:type="pct"/>
            <w:vAlign w:val="center"/>
          </w:tcPr>
          <w:p w14:paraId="534D5A6F">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3EB36824">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08C6FDF0">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2B712421">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1F49123B">
            <w:pPr>
              <w:ind w:left="-53" w:leftChars="-25" w:right="-53" w:rightChars="-25"/>
              <w:jc w:val="right"/>
              <w:rPr>
                <w:rFonts w:asciiTheme="minorEastAsia" w:hAnsiTheme="minorEastAsia" w:eastAsiaTheme="minorEastAsia"/>
                <w:spacing w:val="-10"/>
                <w:sz w:val="18"/>
                <w:szCs w:val="18"/>
              </w:rPr>
            </w:pPr>
          </w:p>
        </w:tc>
        <w:tc>
          <w:tcPr>
            <w:tcW w:w="352" w:type="pct"/>
            <w:vAlign w:val="center"/>
          </w:tcPr>
          <w:p w14:paraId="0382BEA4">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74786EDA">
            <w:pPr>
              <w:ind w:left="-53" w:leftChars="-25" w:right="-53" w:rightChars="-25"/>
              <w:jc w:val="right"/>
              <w:rPr>
                <w:rFonts w:asciiTheme="minorEastAsia" w:hAnsiTheme="minorEastAsia" w:eastAsiaTheme="minorEastAsia"/>
                <w:spacing w:val="-10"/>
                <w:sz w:val="18"/>
                <w:szCs w:val="18"/>
              </w:rPr>
            </w:pPr>
          </w:p>
        </w:tc>
      </w:tr>
      <w:tr w14:paraId="2F63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62014DDC">
            <w:pPr>
              <w:ind w:left="-53" w:leftChars="-25" w:right="-53" w:rightChars="-25"/>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 xml:space="preserve">  权益法下不能转损益的其他综合收益</w:t>
            </w:r>
          </w:p>
        </w:tc>
        <w:tc>
          <w:tcPr>
            <w:tcW w:w="717" w:type="pct"/>
            <w:vAlign w:val="center"/>
          </w:tcPr>
          <w:p w14:paraId="003AFDD8">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8,685,281.64</w:t>
            </w:r>
          </w:p>
        </w:tc>
        <w:tc>
          <w:tcPr>
            <w:tcW w:w="624" w:type="pct"/>
            <w:vAlign w:val="center"/>
          </w:tcPr>
          <w:p w14:paraId="6863BD32">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1,765,731.76</w:t>
            </w:r>
          </w:p>
        </w:tc>
        <w:tc>
          <w:tcPr>
            <w:tcW w:w="320" w:type="pct"/>
            <w:vAlign w:val="center"/>
          </w:tcPr>
          <w:p w14:paraId="50098F45">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5D7F63CD">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53A3FC39">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37F718E7">
            <w:pPr>
              <w:ind w:left="-53" w:leftChars="-25" w:right="-53" w:rightChars="-25"/>
              <w:jc w:val="right"/>
              <w:rPr>
                <w:rFonts w:cs="Times New Roman" w:asciiTheme="minorEastAsia" w:hAnsiTheme="minorEastAsia" w:eastAsiaTheme="minorEastAsia"/>
                <w:spacing w:val="-10"/>
                <w:sz w:val="18"/>
                <w:szCs w:val="18"/>
              </w:rPr>
            </w:pPr>
            <w:r>
              <w:rPr>
                <w:rFonts w:asciiTheme="minorEastAsia" w:hAnsiTheme="minorEastAsia" w:eastAsiaTheme="minorEastAsia"/>
                <w:spacing w:val="-10"/>
                <w:sz w:val="18"/>
                <w:szCs w:val="18"/>
              </w:rPr>
              <w:t>1,765,731.76</w:t>
            </w:r>
          </w:p>
        </w:tc>
        <w:tc>
          <w:tcPr>
            <w:tcW w:w="352" w:type="pct"/>
            <w:vAlign w:val="center"/>
          </w:tcPr>
          <w:p w14:paraId="498D3851">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17FD41F9">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10,451,013.40</w:t>
            </w:r>
          </w:p>
        </w:tc>
      </w:tr>
      <w:tr w14:paraId="32E9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13BFBCED">
            <w:pPr>
              <w:ind w:left="-53" w:leftChars="-25" w:right="-53" w:rightChars="-25" w:firstLine="160" w:firstLineChars="100"/>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其他权益工具投资公允价值变动</w:t>
            </w:r>
          </w:p>
        </w:tc>
        <w:tc>
          <w:tcPr>
            <w:tcW w:w="717" w:type="pct"/>
            <w:vAlign w:val="center"/>
          </w:tcPr>
          <w:p w14:paraId="58CE27F0">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-6,538,446.81</w:t>
            </w:r>
          </w:p>
        </w:tc>
        <w:tc>
          <w:tcPr>
            <w:tcW w:w="624" w:type="pct"/>
            <w:vAlign w:val="center"/>
          </w:tcPr>
          <w:p w14:paraId="74FA5C6C">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27,890.20</w:t>
            </w:r>
          </w:p>
        </w:tc>
        <w:tc>
          <w:tcPr>
            <w:tcW w:w="320" w:type="pct"/>
            <w:vAlign w:val="center"/>
          </w:tcPr>
          <w:p w14:paraId="71A0F1C5">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18E079CC">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4ECF7BC7">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058DEEB5">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27,890.20</w:t>
            </w:r>
          </w:p>
        </w:tc>
        <w:tc>
          <w:tcPr>
            <w:tcW w:w="352" w:type="pct"/>
            <w:vAlign w:val="center"/>
          </w:tcPr>
          <w:p w14:paraId="0AA64C0B">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46C050A0">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-6,510,556.61</w:t>
            </w:r>
          </w:p>
        </w:tc>
      </w:tr>
      <w:tr w14:paraId="6876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0B83DAF0">
            <w:pPr>
              <w:ind w:left="-53" w:leftChars="-25" w:right="-53" w:rightChars="-25" w:firstLine="160" w:firstLineChars="100"/>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企业自身信用风险公允价值变动</w:t>
            </w:r>
          </w:p>
        </w:tc>
        <w:tc>
          <w:tcPr>
            <w:tcW w:w="717" w:type="pct"/>
            <w:vAlign w:val="center"/>
          </w:tcPr>
          <w:p w14:paraId="4718B8EE">
            <w:pPr>
              <w:ind w:left="-53" w:leftChars="-25" w:right="-53" w:rightChars="-25"/>
              <w:jc w:val="right"/>
              <w:rPr>
                <w:rFonts w:asciiTheme="minorEastAsia" w:hAnsiTheme="minorEastAsia" w:eastAsiaTheme="minorEastAsia"/>
                <w:spacing w:val="-10"/>
                <w:sz w:val="18"/>
                <w:szCs w:val="18"/>
              </w:rPr>
            </w:pPr>
          </w:p>
        </w:tc>
        <w:tc>
          <w:tcPr>
            <w:tcW w:w="624" w:type="pct"/>
            <w:vAlign w:val="center"/>
          </w:tcPr>
          <w:p w14:paraId="5EDF927F">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76DBAA87">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18128B33">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40AC6B8F">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1715AEC3">
            <w:pPr>
              <w:ind w:left="-53" w:leftChars="-25" w:right="-53" w:rightChars="-25"/>
              <w:jc w:val="right"/>
              <w:rPr>
                <w:rFonts w:asciiTheme="minorEastAsia" w:hAnsiTheme="minorEastAsia" w:eastAsiaTheme="minorEastAsia"/>
                <w:spacing w:val="-10"/>
                <w:sz w:val="18"/>
                <w:szCs w:val="18"/>
              </w:rPr>
            </w:pPr>
          </w:p>
        </w:tc>
        <w:tc>
          <w:tcPr>
            <w:tcW w:w="352" w:type="pct"/>
            <w:vAlign w:val="center"/>
          </w:tcPr>
          <w:p w14:paraId="5A0C975E">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0C91B354">
            <w:pPr>
              <w:ind w:left="-53" w:leftChars="-25" w:right="-53" w:rightChars="-25"/>
              <w:jc w:val="right"/>
              <w:rPr>
                <w:rFonts w:asciiTheme="minorEastAsia" w:hAnsiTheme="minorEastAsia" w:eastAsiaTheme="minorEastAsia"/>
                <w:spacing w:val="-10"/>
                <w:sz w:val="18"/>
                <w:szCs w:val="18"/>
              </w:rPr>
            </w:pPr>
          </w:p>
        </w:tc>
      </w:tr>
      <w:tr w14:paraId="790F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45D1BAAD">
            <w:pPr>
              <w:ind w:left="-53" w:leftChars="-25" w:right="-53" w:rightChars="-25"/>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二、将重分类进损益的其他综合收益</w:t>
            </w:r>
          </w:p>
        </w:tc>
        <w:tc>
          <w:tcPr>
            <w:tcW w:w="717" w:type="pct"/>
            <w:vAlign w:val="center"/>
          </w:tcPr>
          <w:p w14:paraId="38FCB9B7">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-160,938,045.91</w:t>
            </w:r>
          </w:p>
        </w:tc>
        <w:tc>
          <w:tcPr>
            <w:tcW w:w="624" w:type="pct"/>
            <w:vAlign w:val="center"/>
          </w:tcPr>
          <w:p w14:paraId="0374C5A9">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9,621,553.76</w:t>
            </w:r>
          </w:p>
        </w:tc>
        <w:tc>
          <w:tcPr>
            <w:tcW w:w="320" w:type="pct"/>
            <w:vAlign w:val="center"/>
          </w:tcPr>
          <w:p w14:paraId="543A8304">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39C72B36">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0E9C45EB">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7F0637F7">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9,621,553.76</w:t>
            </w:r>
          </w:p>
        </w:tc>
        <w:tc>
          <w:tcPr>
            <w:tcW w:w="352" w:type="pct"/>
            <w:vAlign w:val="center"/>
          </w:tcPr>
          <w:p w14:paraId="1FDD95D8">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19D37EBE">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-151,316,492.15</w:t>
            </w:r>
          </w:p>
        </w:tc>
      </w:tr>
      <w:tr w14:paraId="532E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479B90E3">
            <w:pPr>
              <w:ind w:left="-53" w:leftChars="-25" w:right="-53" w:rightChars="-25"/>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其中：权益法下可转损益的其他综合收益</w:t>
            </w:r>
          </w:p>
        </w:tc>
        <w:tc>
          <w:tcPr>
            <w:tcW w:w="717" w:type="pct"/>
            <w:vAlign w:val="center"/>
          </w:tcPr>
          <w:p w14:paraId="7BA454B3">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209,515,192.62</w:t>
            </w:r>
          </w:p>
        </w:tc>
        <w:tc>
          <w:tcPr>
            <w:tcW w:w="624" w:type="pct"/>
            <w:vAlign w:val="center"/>
          </w:tcPr>
          <w:p w14:paraId="2F54881B">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-59,732,049.81</w:t>
            </w:r>
          </w:p>
        </w:tc>
        <w:tc>
          <w:tcPr>
            <w:tcW w:w="320" w:type="pct"/>
            <w:vAlign w:val="center"/>
          </w:tcPr>
          <w:p w14:paraId="0EEA3CAC">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493504CC">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2F3AE7BD">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1783187A">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-59,732,049.81</w:t>
            </w:r>
          </w:p>
        </w:tc>
        <w:tc>
          <w:tcPr>
            <w:tcW w:w="352" w:type="pct"/>
            <w:vAlign w:val="center"/>
          </w:tcPr>
          <w:p w14:paraId="34ADC140">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57D457DA">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149,783,142.81</w:t>
            </w:r>
          </w:p>
        </w:tc>
      </w:tr>
      <w:tr w14:paraId="3089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0C3D4C3C">
            <w:pPr>
              <w:ind w:left="-53" w:leftChars="-25" w:right="-53" w:rightChars="-25" w:firstLine="160" w:firstLineChars="100"/>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其他债权投资公允价值变动</w:t>
            </w:r>
          </w:p>
        </w:tc>
        <w:tc>
          <w:tcPr>
            <w:tcW w:w="717" w:type="pct"/>
            <w:vAlign w:val="center"/>
          </w:tcPr>
          <w:p w14:paraId="58038F42">
            <w:pPr>
              <w:ind w:left="-53" w:leftChars="-25" w:right="-53" w:rightChars="-25"/>
              <w:jc w:val="right"/>
              <w:rPr>
                <w:rFonts w:asciiTheme="minorEastAsia" w:hAnsiTheme="minorEastAsia" w:eastAsiaTheme="minorEastAsia"/>
                <w:spacing w:val="-10"/>
                <w:sz w:val="18"/>
                <w:szCs w:val="18"/>
              </w:rPr>
            </w:pPr>
          </w:p>
        </w:tc>
        <w:tc>
          <w:tcPr>
            <w:tcW w:w="624" w:type="pct"/>
            <w:vAlign w:val="center"/>
          </w:tcPr>
          <w:p w14:paraId="6DFD65C7">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66027B1B">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6C91345E">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26DC59DE">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3A0829F4">
            <w:pPr>
              <w:ind w:left="-53" w:leftChars="-25" w:right="-53" w:rightChars="-25"/>
              <w:jc w:val="right"/>
              <w:rPr>
                <w:rFonts w:cs="Times New Roman" w:asciiTheme="minorEastAsia" w:hAnsiTheme="minorEastAsia" w:eastAsiaTheme="minorEastAsia"/>
                <w:spacing w:val="-10"/>
                <w:sz w:val="18"/>
                <w:szCs w:val="18"/>
              </w:rPr>
            </w:pPr>
          </w:p>
        </w:tc>
        <w:tc>
          <w:tcPr>
            <w:tcW w:w="352" w:type="pct"/>
            <w:vAlign w:val="center"/>
          </w:tcPr>
          <w:p w14:paraId="45C3FA7D">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7B667676">
            <w:pPr>
              <w:ind w:left="-53" w:leftChars="-25" w:right="-53" w:rightChars="-25"/>
              <w:jc w:val="right"/>
              <w:rPr>
                <w:rFonts w:asciiTheme="minorEastAsia" w:hAnsiTheme="minorEastAsia" w:eastAsiaTheme="minorEastAsia"/>
                <w:spacing w:val="-10"/>
                <w:sz w:val="18"/>
                <w:szCs w:val="18"/>
              </w:rPr>
            </w:pPr>
          </w:p>
        </w:tc>
      </w:tr>
      <w:tr w14:paraId="3197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7188C1E0">
            <w:pPr>
              <w:ind w:left="-53" w:leftChars="-25" w:right="-53" w:rightChars="-25" w:firstLine="160" w:firstLineChars="100"/>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金融资产重分类计入其他综合收益的金额</w:t>
            </w:r>
          </w:p>
        </w:tc>
        <w:tc>
          <w:tcPr>
            <w:tcW w:w="717" w:type="pct"/>
            <w:vAlign w:val="center"/>
          </w:tcPr>
          <w:p w14:paraId="2E61CA93">
            <w:pPr>
              <w:ind w:left="-53" w:leftChars="-25" w:right="-53" w:rightChars="-25"/>
              <w:jc w:val="right"/>
              <w:rPr>
                <w:rFonts w:asciiTheme="minorEastAsia" w:hAnsiTheme="minorEastAsia" w:eastAsiaTheme="minorEastAsia"/>
                <w:spacing w:val="-10"/>
                <w:sz w:val="18"/>
                <w:szCs w:val="18"/>
              </w:rPr>
            </w:pPr>
          </w:p>
        </w:tc>
        <w:tc>
          <w:tcPr>
            <w:tcW w:w="624" w:type="pct"/>
            <w:vAlign w:val="center"/>
          </w:tcPr>
          <w:p w14:paraId="3691ACB8">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0DF4A75B">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45742C08">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59FA4DE6">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7C6880BB">
            <w:pPr>
              <w:ind w:left="-53" w:leftChars="-25" w:right="-53" w:rightChars="-25"/>
              <w:jc w:val="right"/>
              <w:rPr>
                <w:rFonts w:cs="Times New Roman" w:asciiTheme="minorEastAsia" w:hAnsiTheme="minorEastAsia" w:eastAsiaTheme="minorEastAsia"/>
                <w:spacing w:val="-10"/>
                <w:sz w:val="18"/>
                <w:szCs w:val="18"/>
              </w:rPr>
            </w:pPr>
          </w:p>
        </w:tc>
        <w:tc>
          <w:tcPr>
            <w:tcW w:w="352" w:type="pct"/>
            <w:vAlign w:val="center"/>
          </w:tcPr>
          <w:p w14:paraId="1E27F0E8">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79DD7B69">
            <w:pPr>
              <w:ind w:left="-53" w:leftChars="-25" w:right="-53" w:rightChars="-25"/>
              <w:jc w:val="right"/>
              <w:rPr>
                <w:rFonts w:asciiTheme="minorEastAsia" w:hAnsiTheme="minorEastAsia" w:eastAsiaTheme="minorEastAsia"/>
                <w:spacing w:val="-10"/>
                <w:sz w:val="18"/>
                <w:szCs w:val="18"/>
              </w:rPr>
            </w:pPr>
          </w:p>
        </w:tc>
      </w:tr>
      <w:tr w14:paraId="149E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170D1090">
            <w:pPr>
              <w:ind w:left="-53" w:leftChars="-25" w:right="-53" w:rightChars="-25" w:firstLine="160" w:firstLineChars="100"/>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其他债权投资信用减值准备</w:t>
            </w:r>
          </w:p>
        </w:tc>
        <w:tc>
          <w:tcPr>
            <w:tcW w:w="717" w:type="pct"/>
            <w:vAlign w:val="center"/>
          </w:tcPr>
          <w:p w14:paraId="48A9C569">
            <w:pPr>
              <w:ind w:left="-53" w:leftChars="-25" w:right="-53" w:rightChars="-25"/>
              <w:jc w:val="right"/>
              <w:rPr>
                <w:rFonts w:asciiTheme="minorEastAsia" w:hAnsiTheme="minorEastAsia" w:eastAsiaTheme="minorEastAsia"/>
                <w:spacing w:val="-10"/>
                <w:sz w:val="18"/>
                <w:szCs w:val="18"/>
              </w:rPr>
            </w:pPr>
          </w:p>
        </w:tc>
        <w:tc>
          <w:tcPr>
            <w:tcW w:w="624" w:type="pct"/>
            <w:vAlign w:val="center"/>
          </w:tcPr>
          <w:p w14:paraId="71604421">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3E0A59D8">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62DD0B2C">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163AAF71">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03DB732C">
            <w:pPr>
              <w:ind w:left="-53" w:leftChars="-25" w:right="-53" w:rightChars="-25"/>
              <w:jc w:val="right"/>
              <w:rPr>
                <w:rFonts w:cs="Times New Roman" w:asciiTheme="minorEastAsia" w:hAnsiTheme="minorEastAsia" w:eastAsiaTheme="minorEastAsia"/>
                <w:spacing w:val="-10"/>
                <w:sz w:val="18"/>
                <w:szCs w:val="18"/>
              </w:rPr>
            </w:pPr>
          </w:p>
        </w:tc>
        <w:tc>
          <w:tcPr>
            <w:tcW w:w="352" w:type="pct"/>
            <w:vAlign w:val="center"/>
          </w:tcPr>
          <w:p w14:paraId="05EC59EC">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215C56A6">
            <w:pPr>
              <w:ind w:left="-53" w:leftChars="-25" w:right="-53" w:rightChars="-25"/>
              <w:jc w:val="right"/>
              <w:rPr>
                <w:rFonts w:asciiTheme="minorEastAsia" w:hAnsiTheme="minorEastAsia" w:eastAsiaTheme="minorEastAsia"/>
                <w:spacing w:val="-10"/>
                <w:sz w:val="18"/>
                <w:szCs w:val="18"/>
              </w:rPr>
            </w:pPr>
          </w:p>
        </w:tc>
      </w:tr>
      <w:tr w14:paraId="5F1E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4E5B18BD">
            <w:pPr>
              <w:ind w:left="-53" w:leftChars="-25" w:right="-53" w:rightChars="-25"/>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 xml:space="preserve">  </w:t>
            </w:r>
            <w:r>
              <w:rPr>
                <w:rFonts w:asciiTheme="minorEastAsia" w:hAnsiTheme="minorEastAsia" w:eastAsiaTheme="minorEastAsia"/>
                <w:color w:val="000000" w:themeColor="text1"/>
                <w:spacing w:val="-10"/>
                <w:sz w:val="18"/>
                <w:szCs w:val="18"/>
                <w14:textFill>
                  <w14:solidFill>
                    <w14:schemeClr w14:val="tx1"/>
                  </w14:solidFill>
                </w14:textFill>
              </w:rPr>
              <w:t>现金流量套期储备</w:t>
            </w:r>
          </w:p>
        </w:tc>
        <w:tc>
          <w:tcPr>
            <w:tcW w:w="717" w:type="pct"/>
            <w:vAlign w:val="center"/>
          </w:tcPr>
          <w:p w14:paraId="1E8081D9">
            <w:pPr>
              <w:ind w:left="-53" w:leftChars="-25" w:right="-53" w:rightChars="-25"/>
              <w:jc w:val="right"/>
              <w:rPr>
                <w:rFonts w:asciiTheme="minorEastAsia" w:hAnsiTheme="minorEastAsia" w:eastAsiaTheme="minorEastAsia"/>
                <w:spacing w:val="-10"/>
                <w:sz w:val="18"/>
                <w:szCs w:val="18"/>
              </w:rPr>
            </w:pPr>
          </w:p>
        </w:tc>
        <w:tc>
          <w:tcPr>
            <w:tcW w:w="624" w:type="pct"/>
            <w:vAlign w:val="center"/>
          </w:tcPr>
          <w:p w14:paraId="0CE37E0C">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0A3DC155">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733A7833">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3D79903D">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3AAD6C44">
            <w:pPr>
              <w:ind w:left="-53" w:leftChars="-25" w:right="-53" w:rightChars="-25"/>
              <w:jc w:val="right"/>
              <w:rPr>
                <w:rFonts w:cs="Times New Roman" w:asciiTheme="minorEastAsia" w:hAnsiTheme="minorEastAsia" w:eastAsiaTheme="minorEastAsia"/>
                <w:spacing w:val="-10"/>
                <w:sz w:val="18"/>
                <w:szCs w:val="18"/>
              </w:rPr>
            </w:pPr>
          </w:p>
        </w:tc>
        <w:tc>
          <w:tcPr>
            <w:tcW w:w="352" w:type="pct"/>
            <w:vAlign w:val="center"/>
          </w:tcPr>
          <w:p w14:paraId="27FD9AA0">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1334BBE2">
            <w:pPr>
              <w:ind w:left="-53" w:leftChars="-25" w:right="-53" w:rightChars="-25"/>
              <w:jc w:val="right"/>
              <w:rPr>
                <w:rFonts w:asciiTheme="minorEastAsia" w:hAnsiTheme="minorEastAsia" w:eastAsiaTheme="minorEastAsia"/>
                <w:spacing w:val="-10"/>
                <w:sz w:val="18"/>
                <w:szCs w:val="18"/>
              </w:rPr>
            </w:pPr>
          </w:p>
        </w:tc>
      </w:tr>
      <w:tr w14:paraId="6FB9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6F052E6F">
            <w:pPr>
              <w:ind w:left="-53" w:leftChars="-25" w:right="-53" w:rightChars="-25"/>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 xml:space="preserve">  外币财务报表折算差额</w:t>
            </w:r>
          </w:p>
        </w:tc>
        <w:tc>
          <w:tcPr>
            <w:tcW w:w="717" w:type="pct"/>
            <w:vAlign w:val="center"/>
          </w:tcPr>
          <w:p w14:paraId="276B5CB4">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-415,228,844.74</w:t>
            </w:r>
          </w:p>
        </w:tc>
        <w:tc>
          <w:tcPr>
            <w:tcW w:w="624" w:type="pct"/>
            <w:vAlign w:val="center"/>
          </w:tcPr>
          <w:p w14:paraId="2DDFD1EE">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69,353,603.57</w:t>
            </w:r>
          </w:p>
        </w:tc>
        <w:tc>
          <w:tcPr>
            <w:tcW w:w="320" w:type="pct"/>
            <w:vAlign w:val="center"/>
          </w:tcPr>
          <w:p w14:paraId="4E179E6C">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15622824">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1F31CF7B">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6DB4795D">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69,353,603.57</w:t>
            </w:r>
          </w:p>
        </w:tc>
        <w:tc>
          <w:tcPr>
            <w:tcW w:w="352" w:type="pct"/>
            <w:vAlign w:val="center"/>
          </w:tcPr>
          <w:p w14:paraId="38A22A8B">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08731F62">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-345,875,241.17</w:t>
            </w:r>
          </w:p>
        </w:tc>
      </w:tr>
      <w:tr w14:paraId="08E4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tcBorders>
              <w:bottom w:val="single" w:color="auto" w:sz="4" w:space="0"/>
            </w:tcBorders>
            <w:vAlign w:val="center"/>
          </w:tcPr>
          <w:p w14:paraId="66AE0A1E">
            <w:pPr>
              <w:ind w:left="-53" w:leftChars="-25" w:right="-53" w:rightChars="-25"/>
              <w:rPr>
                <w:rFonts w:asciiTheme="minorEastAsia" w:hAnsiTheme="minorEastAsia" w:eastAsiaTheme="minorEastAsia"/>
                <w:spacing w:val="-10"/>
                <w:sz w:val="18"/>
                <w:szCs w:val="18"/>
              </w:rPr>
            </w:pPr>
            <w:r>
              <w:rPr>
                <w:rFonts w:hint="eastAsia" w:asciiTheme="minorEastAsia" w:hAnsiTheme="minorEastAsia" w:eastAsiaTheme="minorEastAsia"/>
                <w:spacing w:val="-10"/>
                <w:sz w:val="18"/>
                <w:szCs w:val="18"/>
              </w:rPr>
              <w:t>其他</w:t>
            </w:r>
          </w:p>
        </w:tc>
        <w:tc>
          <w:tcPr>
            <w:tcW w:w="717" w:type="pct"/>
            <w:vAlign w:val="center"/>
          </w:tcPr>
          <w:p w14:paraId="05B54ABF">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44,775,606.21</w:t>
            </w:r>
          </w:p>
        </w:tc>
        <w:tc>
          <w:tcPr>
            <w:tcW w:w="624" w:type="pct"/>
            <w:vAlign w:val="center"/>
          </w:tcPr>
          <w:p w14:paraId="6B8FE423">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13CAD711">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56073DBA">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6AF500A1">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7BC96263">
            <w:pPr>
              <w:ind w:left="-53" w:leftChars="-25" w:right="-53" w:rightChars="-25"/>
              <w:jc w:val="right"/>
              <w:rPr>
                <w:rFonts w:asciiTheme="minorEastAsia" w:hAnsiTheme="minorEastAsia" w:eastAsiaTheme="minorEastAsia"/>
                <w:spacing w:val="-10"/>
                <w:sz w:val="18"/>
                <w:szCs w:val="18"/>
              </w:rPr>
            </w:pPr>
          </w:p>
        </w:tc>
        <w:tc>
          <w:tcPr>
            <w:tcW w:w="352" w:type="pct"/>
            <w:vAlign w:val="center"/>
          </w:tcPr>
          <w:p w14:paraId="04399BC3">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56D0F744">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44,775,606.21</w:t>
            </w:r>
          </w:p>
        </w:tc>
      </w:tr>
      <w:tr w14:paraId="14EC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 w:type="pct"/>
            <w:vAlign w:val="center"/>
          </w:tcPr>
          <w:p w14:paraId="51917266">
            <w:pPr>
              <w:ind w:left="-53" w:leftChars="-25" w:right="-53" w:rightChars="-25"/>
              <w:rPr>
                <w:rFonts w:asciiTheme="minorEastAsia" w:hAnsiTheme="minorEastAsia" w:eastAsiaTheme="minorEastAsia"/>
                <w:color w:val="000000" w:themeColor="text1"/>
                <w:spacing w:val="-10"/>
                <w:sz w:val="18"/>
                <w:szCs w:val="18"/>
                <w14:textFill>
                  <w14:solidFill>
                    <w14:schemeClr w14:val="tx1"/>
                  </w14:solidFill>
                </w14:textFill>
              </w:rPr>
            </w:pPr>
            <w:r>
              <w:rPr>
                <w:rFonts w:hint="eastAsia" w:asciiTheme="minorEastAsia" w:hAnsiTheme="minorEastAsia" w:eastAsiaTheme="minorEastAsia"/>
                <w:color w:val="000000" w:themeColor="text1"/>
                <w:spacing w:val="-10"/>
                <w:sz w:val="18"/>
                <w:szCs w:val="18"/>
                <w14:textFill>
                  <w14:solidFill>
                    <w14:schemeClr w14:val="tx1"/>
                  </w14:solidFill>
                </w14:textFill>
              </w:rPr>
              <w:t>其他综合收益合计</w:t>
            </w:r>
          </w:p>
        </w:tc>
        <w:tc>
          <w:tcPr>
            <w:tcW w:w="717" w:type="pct"/>
            <w:vAlign w:val="center"/>
          </w:tcPr>
          <w:p w14:paraId="1BD46AFC">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-158,791,211.08</w:t>
            </w:r>
          </w:p>
        </w:tc>
        <w:tc>
          <w:tcPr>
            <w:tcW w:w="624" w:type="pct"/>
            <w:vAlign w:val="center"/>
          </w:tcPr>
          <w:p w14:paraId="347D8288">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11,415,175.72</w:t>
            </w:r>
          </w:p>
        </w:tc>
        <w:tc>
          <w:tcPr>
            <w:tcW w:w="320" w:type="pct"/>
            <w:vAlign w:val="center"/>
          </w:tcPr>
          <w:p w14:paraId="7DFC2ECC">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4AAA75BB">
            <w:pPr>
              <w:ind w:left="-53" w:leftChars="-25" w:right="-53" w:rightChars="-25"/>
              <w:jc w:val="right"/>
              <w:rPr>
                <w:rFonts w:asciiTheme="minorEastAsia" w:hAnsiTheme="minorEastAsia" w:eastAsiaTheme="minorEastAsia"/>
                <w:spacing w:val="-10"/>
                <w:sz w:val="18"/>
                <w:szCs w:val="18"/>
              </w:rPr>
            </w:pPr>
          </w:p>
        </w:tc>
        <w:tc>
          <w:tcPr>
            <w:tcW w:w="320" w:type="pct"/>
            <w:vAlign w:val="center"/>
          </w:tcPr>
          <w:p w14:paraId="10AB4327">
            <w:pPr>
              <w:ind w:left="-53" w:leftChars="-25" w:right="-53" w:rightChars="-25"/>
              <w:jc w:val="right"/>
              <w:rPr>
                <w:rFonts w:asciiTheme="minorEastAsia" w:hAnsiTheme="minorEastAsia" w:eastAsiaTheme="minorEastAsia"/>
                <w:spacing w:val="-10"/>
                <w:sz w:val="18"/>
                <w:szCs w:val="18"/>
              </w:rPr>
            </w:pPr>
          </w:p>
        </w:tc>
        <w:tc>
          <w:tcPr>
            <w:tcW w:w="715" w:type="pct"/>
            <w:vAlign w:val="center"/>
          </w:tcPr>
          <w:p w14:paraId="17BD48EF">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11,415,175.72</w:t>
            </w:r>
          </w:p>
        </w:tc>
        <w:tc>
          <w:tcPr>
            <w:tcW w:w="352" w:type="pct"/>
            <w:vAlign w:val="center"/>
          </w:tcPr>
          <w:p w14:paraId="55A03A8B">
            <w:pPr>
              <w:ind w:left="-53" w:leftChars="-25" w:right="-53" w:rightChars="-25"/>
              <w:jc w:val="right"/>
              <w:rPr>
                <w:rFonts w:asciiTheme="minorEastAsia" w:hAnsiTheme="minorEastAsia" w:eastAsiaTheme="minorEastAsia"/>
                <w:spacing w:val="-10"/>
                <w:sz w:val="18"/>
                <w:szCs w:val="18"/>
              </w:rPr>
            </w:pPr>
          </w:p>
        </w:tc>
        <w:tc>
          <w:tcPr>
            <w:tcW w:w="629" w:type="pct"/>
            <w:vAlign w:val="center"/>
          </w:tcPr>
          <w:p w14:paraId="0C6ABAD7">
            <w:pPr>
              <w:ind w:left="-53" w:leftChars="-25" w:right="-53" w:rightChars="-25"/>
              <w:jc w:val="right"/>
              <w:rPr>
                <w:rFonts w:asciiTheme="minorEastAsia" w:hAnsiTheme="minorEastAsia" w:eastAsiaTheme="minorEastAsia"/>
                <w:spacing w:val="-10"/>
                <w:sz w:val="18"/>
                <w:szCs w:val="18"/>
              </w:rPr>
            </w:pPr>
            <w:r>
              <w:rPr>
                <w:rFonts w:asciiTheme="minorEastAsia" w:hAnsiTheme="minorEastAsia" w:eastAsiaTheme="minorEastAsia"/>
                <w:spacing w:val="-10"/>
                <w:sz w:val="18"/>
                <w:szCs w:val="18"/>
              </w:rPr>
              <w:t>-147,376,035.36</w:t>
            </w:r>
          </w:p>
        </w:tc>
      </w:tr>
    </w:tbl>
    <w:p w14:paraId="6F7CB904">
      <w:pPr>
        <w:rPr>
          <w:color w:val="000000" w:themeColor="text1"/>
          <w14:textFill>
            <w14:solidFill>
              <w14:schemeClr w14:val="tx1"/>
            </w14:solidFill>
          </w14:textFill>
        </w:rPr>
      </w:pPr>
    </w:p>
    <w:p w14:paraId="7EA75113">
      <w:pPr>
        <w:spacing w:before="60" w:after="60"/>
        <w:rPr>
          <w:b/>
          <w:color w:val="000000" w:themeColor="text1"/>
          <w14:textFill>
            <w14:solidFill>
              <w14:schemeClr w14:val="tx1"/>
            </w14:solidFill>
          </w14:textFill>
        </w:rPr>
      </w:pPr>
      <w:r>
        <w:rPr>
          <w:rFonts w:hint="eastAsia"/>
          <w:color w:val="000000" w:themeColor="text1"/>
          <w14:textFill>
            <w14:solidFill>
              <w14:schemeClr w14:val="tx1"/>
            </w14:solidFill>
          </w14:textFill>
        </w:rPr>
        <w:t>其他说明，包括对现金流量套期损益的有效部分转为被套期项目初始确认金额调整：</w:t>
      </w:r>
    </w:p>
    <w:sdt>
      <w:sdtPr>
        <w:rPr>
          <w:rFonts w:hint="eastAsia"/>
          <w:color w:val="000000" w:themeColor="text1"/>
          <w14:textFill>
            <w14:solidFill>
              <w14:schemeClr w14:val="tx1"/>
            </w14:solidFill>
          </w14:textFill>
        </w:rPr>
        <w:alias w:val="综合收益情况"/>
        <w:tag w:val="_GBC_c389c92b3ef04746a88c157ed2e05698"/>
        <w:id w:val="122273203"/>
        <w:placeholder>
          <w:docPart w:val="GBC22222222222222222222222222222"/>
        </w:placeholder>
      </w:sdtPr>
      <w:sdtEndPr>
        <w:rPr>
          <w:rFonts w:hint="eastAsia"/>
          <w:color w:val="000000" w:themeColor="text1"/>
          <w14:textFill>
            <w14:solidFill>
              <w14:schemeClr w14:val="tx1"/>
            </w14:solidFill>
          </w14:textFill>
        </w:rPr>
      </w:sdtEndPr>
      <w:sdtContent>
        <w:p w14:paraId="0E2AC86E">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333"/>
    <w:p w14:paraId="7B010B6B">
      <w:pPr>
        <w:rPr>
          <w:color w:val="000000" w:themeColor="text1"/>
          <w14:textFill>
            <w14:solidFill>
              <w14:schemeClr w14:val="tx1"/>
            </w14:solidFill>
          </w14:textFill>
        </w:rPr>
      </w:pPr>
    </w:p>
    <w:p w14:paraId="26D11673">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专项储备</w:t>
      </w:r>
    </w:p>
    <w:sdt>
      <w:sdtPr>
        <w:rPr>
          <w:color w:val="000000" w:themeColor="text1"/>
          <w14:textFill>
            <w14:solidFill>
              <w14:schemeClr w14:val="tx1"/>
            </w14:solidFill>
          </w14:textFill>
        </w:rPr>
        <w:alias w:val="是否适用：专项储备[双击切换]"/>
        <w:tag w:val="_GBC_291ec3c1c38144a3ac0bde67edb318cc"/>
        <w:id w:val="-529033718"/>
        <w:placeholder>
          <w:docPart w:val="GBC22222222222222222222222222222"/>
        </w:placeholder>
      </w:sdtPr>
      <w:sdtEndPr>
        <w:rPr>
          <w:color w:val="000000" w:themeColor="text1"/>
          <w14:textFill>
            <w14:solidFill>
              <w14:schemeClr w14:val="tx1"/>
            </w14:solidFill>
          </w14:textFill>
        </w:rPr>
      </w:sdtEndPr>
      <w:sdtContent>
        <w:p w14:paraId="5407336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9589E4">
      <w:pPr>
        <w:rPr>
          <w:color w:val="000000" w:themeColor="text1"/>
          <w14:textFill>
            <w14:solidFill>
              <w14:schemeClr w14:val="tx1"/>
            </w14:solidFill>
          </w14:textFill>
        </w:rPr>
      </w:pPr>
    </w:p>
    <w:p w14:paraId="1090188F">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盈余公积</w:t>
      </w:r>
    </w:p>
    <w:sdt>
      <w:sdtPr>
        <w:rPr>
          <w:color w:val="000000" w:themeColor="text1"/>
          <w14:textFill>
            <w14:solidFill>
              <w14:schemeClr w14:val="tx1"/>
            </w14:solidFill>
          </w14:textFill>
        </w:rPr>
        <w:alias w:val="是否适用：盈余公积[双击切换]"/>
        <w:tag w:val="_GBC_52b9917fb423490bb32a9d6648a07db9"/>
        <w:id w:val="1864083468"/>
        <w:placeholder>
          <w:docPart w:val="GBC22222222222222222222222222222"/>
        </w:placeholder>
      </w:sdtPr>
      <w:sdtEndPr>
        <w:rPr>
          <w:color w:val="000000" w:themeColor="text1"/>
          <w14:textFill>
            <w14:solidFill>
              <w14:schemeClr w14:val="tx1"/>
            </w14:solidFill>
          </w14:textFill>
        </w:rPr>
      </w:sdtEndPr>
      <w:sdtContent>
        <w:p w14:paraId="48BCB6F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5F03AF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盈余公积"/>
          <w:tag w:val="_GBC_ea3204141ce3498eaccd14c833f64973"/>
          <w:id w:val="7944992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盈余公积"/>
          <w:tag w:val="_GBC_f5c6664d47b9454d919a38095dd3c48d"/>
          <w:id w:val="4414230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71"/>
        <w:gridCol w:w="1798"/>
        <w:gridCol w:w="1804"/>
        <w:gridCol w:w="1816"/>
        <w:gridCol w:w="1804"/>
      </w:tblGrid>
      <w:tr w14:paraId="7C77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70f0cea3df9b4646bf8f9454719b4599"/>
            <w:id w:val="1224104816"/>
          </w:sdtPr>
          <w:sdtContent>
            <w:tc>
              <w:tcPr>
                <w:tcW w:w="940" w:type="pct"/>
              </w:tcPr>
              <w:p w14:paraId="583B7DC5">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5466d5e3c2b64aeb9abc2e1a21f2e6c0"/>
            <w:id w:val="796108800"/>
          </w:sdtPr>
          <w:sdtContent>
            <w:tc>
              <w:tcPr>
                <w:tcW w:w="1011" w:type="pct"/>
              </w:tcPr>
              <w:p w14:paraId="3185F2E0">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44b0c825c55949b98cff671f8777dd39"/>
            <w:id w:val="1520661190"/>
          </w:sdtPr>
          <w:sdtContent>
            <w:tc>
              <w:tcPr>
                <w:tcW w:w="1014" w:type="pct"/>
              </w:tcPr>
              <w:p w14:paraId="47681D04">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w:t>
                </w:r>
              </w:p>
            </w:tc>
          </w:sdtContent>
        </w:sdt>
        <w:sdt>
          <w:sdtPr>
            <w:tag w:val="_PLD_111b02bee52f4f1a879468aa2243106f"/>
            <w:id w:val="1922133603"/>
          </w:sdtPr>
          <w:sdtContent>
            <w:tc>
              <w:tcPr>
                <w:tcW w:w="1021" w:type="pct"/>
              </w:tcPr>
              <w:p w14:paraId="572A9150">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w:t>
                </w:r>
              </w:p>
            </w:tc>
          </w:sdtContent>
        </w:sdt>
        <w:sdt>
          <w:sdtPr>
            <w:tag w:val="_PLD_e6d9dff1341d44c99d9c3f51d8fd2c2f"/>
            <w:id w:val="935408343"/>
          </w:sdtPr>
          <w:sdtContent>
            <w:tc>
              <w:tcPr>
                <w:tcW w:w="1014" w:type="pct"/>
              </w:tcPr>
              <w:p w14:paraId="2F2F7954">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4A5E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vAlign w:val="center"/>
          </w:tcPr>
          <w:p w14:paraId="502D5EC4">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法定盈余公积</w:t>
            </w:r>
          </w:p>
        </w:tc>
        <w:tc>
          <w:tcPr>
            <w:tcW w:w="1011" w:type="pct"/>
          </w:tcPr>
          <w:p w14:paraId="40B218A2">
            <w:pPr>
              <w:autoSpaceDE w:val="0"/>
              <w:autoSpaceDN w:val="0"/>
              <w:adjustRightInd w:val="0"/>
              <w:snapToGrid w:val="0"/>
              <w:ind w:right="180"/>
              <w:jc w:val="right"/>
              <w:rPr>
                <w:rFonts w:asciiTheme="minorEastAsia" w:hAnsiTheme="minorEastAsia" w:eastAsiaTheme="minorEastAsia"/>
              </w:rPr>
            </w:pPr>
            <w:r>
              <w:rPr>
                <w:rFonts w:asciiTheme="minorEastAsia" w:hAnsiTheme="minorEastAsia" w:eastAsiaTheme="minorEastAsia"/>
              </w:rPr>
              <w:t>426,993,753.64</w:t>
            </w:r>
          </w:p>
        </w:tc>
        <w:tc>
          <w:tcPr>
            <w:tcW w:w="1014" w:type="pct"/>
          </w:tcPr>
          <w:p w14:paraId="13368B36">
            <w:pPr>
              <w:autoSpaceDE w:val="0"/>
              <w:autoSpaceDN w:val="0"/>
              <w:adjustRightInd w:val="0"/>
              <w:snapToGrid w:val="0"/>
              <w:ind w:right="180"/>
              <w:jc w:val="right"/>
              <w:rPr>
                <w:rFonts w:asciiTheme="minorEastAsia" w:hAnsiTheme="minorEastAsia" w:eastAsiaTheme="minorEastAsia"/>
              </w:rPr>
            </w:pPr>
          </w:p>
        </w:tc>
        <w:tc>
          <w:tcPr>
            <w:tcW w:w="1021" w:type="pct"/>
          </w:tcPr>
          <w:p w14:paraId="180E6B6B">
            <w:pPr>
              <w:autoSpaceDE w:val="0"/>
              <w:autoSpaceDN w:val="0"/>
              <w:adjustRightInd w:val="0"/>
              <w:snapToGrid w:val="0"/>
              <w:ind w:right="180"/>
              <w:jc w:val="right"/>
              <w:rPr>
                <w:rFonts w:asciiTheme="minorEastAsia" w:hAnsiTheme="minorEastAsia" w:eastAsiaTheme="minorEastAsia"/>
              </w:rPr>
            </w:pPr>
          </w:p>
        </w:tc>
        <w:tc>
          <w:tcPr>
            <w:tcW w:w="1014" w:type="pct"/>
          </w:tcPr>
          <w:p w14:paraId="34A2DB8A">
            <w:pPr>
              <w:autoSpaceDE w:val="0"/>
              <w:autoSpaceDN w:val="0"/>
              <w:adjustRightInd w:val="0"/>
              <w:snapToGrid w:val="0"/>
              <w:ind w:right="180"/>
              <w:jc w:val="right"/>
              <w:rPr>
                <w:rFonts w:asciiTheme="minorEastAsia" w:hAnsiTheme="minorEastAsia" w:eastAsiaTheme="minorEastAsia"/>
              </w:rPr>
            </w:pPr>
            <w:r>
              <w:rPr>
                <w:rFonts w:asciiTheme="minorEastAsia" w:hAnsiTheme="minorEastAsia" w:eastAsiaTheme="minorEastAsia"/>
              </w:rPr>
              <w:t>426,993,753.64</w:t>
            </w:r>
          </w:p>
        </w:tc>
      </w:tr>
      <w:tr w14:paraId="3676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vAlign w:val="center"/>
          </w:tcPr>
          <w:p w14:paraId="1866440B">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任意盈余公积</w:t>
            </w:r>
          </w:p>
        </w:tc>
        <w:tc>
          <w:tcPr>
            <w:tcW w:w="1011" w:type="pct"/>
          </w:tcPr>
          <w:p w14:paraId="196908C4">
            <w:pPr>
              <w:autoSpaceDE w:val="0"/>
              <w:autoSpaceDN w:val="0"/>
              <w:adjustRightInd w:val="0"/>
              <w:snapToGrid w:val="0"/>
              <w:ind w:right="180"/>
              <w:jc w:val="right"/>
              <w:rPr>
                <w:rFonts w:asciiTheme="minorEastAsia" w:hAnsiTheme="minorEastAsia" w:eastAsiaTheme="minorEastAsia"/>
              </w:rPr>
            </w:pPr>
          </w:p>
        </w:tc>
        <w:tc>
          <w:tcPr>
            <w:tcW w:w="1014" w:type="pct"/>
          </w:tcPr>
          <w:p w14:paraId="44B983FC">
            <w:pPr>
              <w:autoSpaceDE w:val="0"/>
              <w:autoSpaceDN w:val="0"/>
              <w:adjustRightInd w:val="0"/>
              <w:snapToGrid w:val="0"/>
              <w:ind w:right="180"/>
              <w:jc w:val="right"/>
              <w:rPr>
                <w:rFonts w:asciiTheme="minorEastAsia" w:hAnsiTheme="minorEastAsia" w:eastAsiaTheme="minorEastAsia"/>
              </w:rPr>
            </w:pPr>
          </w:p>
        </w:tc>
        <w:tc>
          <w:tcPr>
            <w:tcW w:w="1021" w:type="pct"/>
          </w:tcPr>
          <w:p w14:paraId="6973FF77">
            <w:pPr>
              <w:autoSpaceDE w:val="0"/>
              <w:autoSpaceDN w:val="0"/>
              <w:adjustRightInd w:val="0"/>
              <w:snapToGrid w:val="0"/>
              <w:ind w:right="180"/>
              <w:jc w:val="right"/>
              <w:rPr>
                <w:rFonts w:asciiTheme="minorEastAsia" w:hAnsiTheme="minorEastAsia" w:eastAsiaTheme="minorEastAsia"/>
              </w:rPr>
            </w:pPr>
          </w:p>
        </w:tc>
        <w:tc>
          <w:tcPr>
            <w:tcW w:w="1014" w:type="pct"/>
          </w:tcPr>
          <w:p w14:paraId="5A487C90">
            <w:pPr>
              <w:autoSpaceDE w:val="0"/>
              <w:autoSpaceDN w:val="0"/>
              <w:adjustRightInd w:val="0"/>
              <w:snapToGrid w:val="0"/>
              <w:ind w:right="180"/>
              <w:jc w:val="right"/>
              <w:rPr>
                <w:rFonts w:asciiTheme="minorEastAsia" w:hAnsiTheme="minorEastAsia" w:eastAsiaTheme="minorEastAsia"/>
              </w:rPr>
            </w:pPr>
          </w:p>
        </w:tc>
      </w:tr>
      <w:tr w14:paraId="6703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vAlign w:val="center"/>
          </w:tcPr>
          <w:p w14:paraId="585F4E8D">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储备基金</w:t>
            </w:r>
          </w:p>
        </w:tc>
        <w:tc>
          <w:tcPr>
            <w:tcW w:w="1011" w:type="pct"/>
          </w:tcPr>
          <w:p w14:paraId="5CB2D182">
            <w:pPr>
              <w:autoSpaceDE w:val="0"/>
              <w:autoSpaceDN w:val="0"/>
              <w:adjustRightInd w:val="0"/>
              <w:snapToGrid w:val="0"/>
              <w:ind w:right="180"/>
              <w:jc w:val="right"/>
              <w:rPr>
                <w:rFonts w:asciiTheme="minorEastAsia" w:hAnsiTheme="minorEastAsia" w:eastAsiaTheme="minorEastAsia"/>
              </w:rPr>
            </w:pPr>
          </w:p>
        </w:tc>
        <w:tc>
          <w:tcPr>
            <w:tcW w:w="1014" w:type="pct"/>
          </w:tcPr>
          <w:p w14:paraId="52682D34">
            <w:pPr>
              <w:autoSpaceDE w:val="0"/>
              <w:autoSpaceDN w:val="0"/>
              <w:adjustRightInd w:val="0"/>
              <w:snapToGrid w:val="0"/>
              <w:ind w:right="180"/>
              <w:jc w:val="right"/>
              <w:rPr>
                <w:rFonts w:asciiTheme="minorEastAsia" w:hAnsiTheme="minorEastAsia" w:eastAsiaTheme="minorEastAsia"/>
              </w:rPr>
            </w:pPr>
          </w:p>
        </w:tc>
        <w:tc>
          <w:tcPr>
            <w:tcW w:w="1021" w:type="pct"/>
          </w:tcPr>
          <w:p w14:paraId="3FA33D85">
            <w:pPr>
              <w:autoSpaceDE w:val="0"/>
              <w:autoSpaceDN w:val="0"/>
              <w:adjustRightInd w:val="0"/>
              <w:snapToGrid w:val="0"/>
              <w:ind w:right="180"/>
              <w:jc w:val="right"/>
              <w:rPr>
                <w:rFonts w:asciiTheme="minorEastAsia" w:hAnsiTheme="minorEastAsia" w:eastAsiaTheme="minorEastAsia"/>
              </w:rPr>
            </w:pPr>
          </w:p>
        </w:tc>
        <w:tc>
          <w:tcPr>
            <w:tcW w:w="1014" w:type="pct"/>
          </w:tcPr>
          <w:p w14:paraId="29F0E9EE">
            <w:pPr>
              <w:autoSpaceDE w:val="0"/>
              <w:autoSpaceDN w:val="0"/>
              <w:adjustRightInd w:val="0"/>
              <w:snapToGrid w:val="0"/>
              <w:ind w:right="180"/>
              <w:jc w:val="right"/>
              <w:rPr>
                <w:rFonts w:asciiTheme="minorEastAsia" w:hAnsiTheme="minorEastAsia" w:eastAsiaTheme="minorEastAsia"/>
              </w:rPr>
            </w:pPr>
          </w:p>
        </w:tc>
      </w:tr>
      <w:tr w14:paraId="6D74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vAlign w:val="center"/>
          </w:tcPr>
          <w:p w14:paraId="10460880">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企业发展基金</w:t>
            </w:r>
          </w:p>
        </w:tc>
        <w:tc>
          <w:tcPr>
            <w:tcW w:w="1011" w:type="pct"/>
          </w:tcPr>
          <w:p w14:paraId="245921E4">
            <w:pPr>
              <w:autoSpaceDE w:val="0"/>
              <w:autoSpaceDN w:val="0"/>
              <w:adjustRightInd w:val="0"/>
              <w:snapToGrid w:val="0"/>
              <w:ind w:right="180"/>
              <w:jc w:val="right"/>
              <w:rPr>
                <w:rFonts w:asciiTheme="minorEastAsia" w:hAnsiTheme="minorEastAsia" w:eastAsiaTheme="minorEastAsia"/>
              </w:rPr>
            </w:pPr>
          </w:p>
        </w:tc>
        <w:tc>
          <w:tcPr>
            <w:tcW w:w="1014" w:type="pct"/>
          </w:tcPr>
          <w:p w14:paraId="3C5AE857">
            <w:pPr>
              <w:autoSpaceDE w:val="0"/>
              <w:autoSpaceDN w:val="0"/>
              <w:adjustRightInd w:val="0"/>
              <w:snapToGrid w:val="0"/>
              <w:ind w:right="180"/>
              <w:jc w:val="right"/>
              <w:rPr>
                <w:rFonts w:asciiTheme="minorEastAsia" w:hAnsiTheme="minorEastAsia" w:eastAsiaTheme="minorEastAsia"/>
              </w:rPr>
            </w:pPr>
          </w:p>
        </w:tc>
        <w:tc>
          <w:tcPr>
            <w:tcW w:w="1021" w:type="pct"/>
          </w:tcPr>
          <w:p w14:paraId="729ECFDB">
            <w:pPr>
              <w:autoSpaceDE w:val="0"/>
              <w:autoSpaceDN w:val="0"/>
              <w:adjustRightInd w:val="0"/>
              <w:snapToGrid w:val="0"/>
              <w:ind w:right="180"/>
              <w:jc w:val="right"/>
              <w:rPr>
                <w:rFonts w:asciiTheme="minorEastAsia" w:hAnsiTheme="minorEastAsia" w:eastAsiaTheme="minorEastAsia"/>
              </w:rPr>
            </w:pPr>
          </w:p>
        </w:tc>
        <w:tc>
          <w:tcPr>
            <w:tcW w:w="1014" w:type="pct"/>
          </w:tcPr>
          <w:p w14:paraId="03644A66">
            <w:pPr>
              <w:autoSpaceDE w:val="0"/>
              <w:autoSpaceDN w:val="0"/>
              <w:adjustRightInd w:val="0"/>
              <w:snapToGrid w:val="0"/>
              <w:ind w:right="180"/>
              <w:jc w:val="right"/>
              <w:rPr>
                <w:rFonts w:asciiTheme="minorEastAsia" w:hAnsiTheme="minorEastAsia" w:eastAsiaTheme="minorEastAsia"/>
              </w:rPr>
            </w:pPr>
          </w:p>
        </w:tc>
      </w:tr>
      <w:tr w14:paraId="7113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vAlign w:val="center"/>
          </w:tcPr>
          <w:p w14:paraId="0E07BCE0">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1011" w:type="pct"/>
          </w:tcPr>
          <w:p w14:paraId="750C8876">
            <w:pPr>
              <w:autoSpaceDE w:val="0"/>
              <w:autoSpaceDN w:val="0"/>
              <w:adjustRightInd w:val="0"/>
              <w:snapToGrid w:val="0"/>
              <w:ind w:right="180"/>
              <w:jc w:val="right"/>
              <w:rPr>
                <w:rFonts w:asciiTheme="minorEastAsia" w:hAnsiTheme="minorEastAsia" w:eastAsiaTheme="minorEastAsia"/>
              </w:rPr>
            </w:pPr>
          </w:p>
        </w:tc>
        <w:tc>
          <w:tcPr>
            <w:tcW w:w="1014" w:type="pct"/>
          </w:tcPr>
          <w:p w14:paraId="100028DE">
            <w:pPr>
              <w:autoSpaceDE w:val="0"/>
              <w:autoSpaceDN w:val="0"/>
              <w:adjustRightInd w:val="0"/>
              <w:snapToGrid w:val="0"/>
              <w:ind w:right="180"/>
              <w:jc w:val="right"/>
              <w:rPr>
                <w:rFonts w:asciiTheme="minorEastAsia" w:hAnsiTheme="minorEastAsia" w:eastAsiaTheme="minorEastAsia"/>
              </w:rPr>
            </w:pPr>
          </w:p>
        </w:tc>
        <w:tc>
          <w:tcPr>
            <w:tcW w:w="1021" w:type="pct"/>
          </w:tcPr>
          <w:p w14:paraId="1E1329A7">
            <w:pPr>
              <w:autoSpaceDE w:val="0"/>
              <w:autoSpaceDN w:val="0"/>
              <w:adjustRightInd w:val="0"/>
              <w:snapToGrid w:val="0"/>
              <w:ind w:right="180"/>
              <w:jc w:val="right"/>
              <w:rPr>
                <w:rFonts w:asciiTheme="minorEastAsia" w:hAnsiTheme="minorEastAsia" w:eastAsiaTheme="minorEastAsia"/>
              </w:rPr>
            </w:pPr>
          </w:p>
        </w:tc>
        <w:tc>
          <w:tcPr>
            <w:tcW w:w="1014" w:type="pct"/>
          </w:tcPr>
          <w:p w14:paraId="16FC78AE">
            <w:pPr>
              <w:autoSpaceDE w:val="0"/>
              <w:autoSpaceDN w:val="0"/>
              <w:adjustRightInd w:val="0"/>
              <w:snapToGrid w:val="0"/>
              <w:ind w:right="180"/>
              <w:jc w:val="right"/>
              <w:rPr>
                <w:rFonts w:asciiTheme="minorEastAsia" w:hAnsiTheme="minorEastAsia" w:eastAsiaTheme="minorEastAsia"/>
              </w:rPr>
            </w:pPr>
          </w:p>
        </w:tc>
      </w:tr>
      <w:tr w14:paraId="0885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40" w:type="pct"/>
          </w:tcPr>
          <w:p w14:paraId="2E607679">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011" w:type="pct"/>
          </w:tcPr>
          <w:p w14:paraId="050FC13D">
            <w:pPr>
              <w:autoSpaceDE w:val="0"/>
              <w:autoSpaceDN w:val="0"/>
              <w:adjustRightInd w:val="0"/>
              <w:snapToGrid w:val="0"/>
              <w:ind w:right="180"/>
              <w:jc w:val="right"/>
              <w:rPr>
                <w:rFonts w:asciiTheme="minorEastAsia" w:hAnsiTheme="minorEastAsia" w:eastAsiaTheme="minorEastAsia"/>
              </w:rPr>
            </w:pPr>
            <w:r>
              <w:rPr>
                <w:rFonts w:asciiTheme="minorEastAsia" w:hAnsiTheme="minorEastAsia" w:eastAsiaTheme="minorEastAsia"/>
              </w:rPr>
              <w:t>426,993,753.64</w:t>
            </w:r>
          </w:p>
        </w:tc>
        <w:tc>
          <w:tcPr>
            <w:tcW w:w="1014" w:type="pct"/>
          </w:tcPr>
          <w:p w14:paraId="1FD8CC86">
            <w:pPr>
              <w:autoSpaceDE w:val="0"/>
              <w:autoSpaceDN w:val="0"/>
              <w:adjustRightInd w:val="0"/>
              <w:snapToGrid w:val="0"/>
              <w:ind w:right="180"/>
              <w:jc w:val="right"/>
              <w:rPr>
                <w:rFonts w:asciiTheme="minorEastAsia" w:hAnsiTheme="minorEastAsia" w:eastAsiaTheme="minorEastAsia"/>
              </w:rPr>
            </w:pPr>
          </w:p>
        </w:tc>
        <w:tc>
          <w:tcPr>
            <w:tcW w:w="1021" w:type="pct"/>
          </w:tcPr>
          <w:p w14:paraId="03C1BBD7">
            <w:pPr>
              <w:autoSpaceDE w:val="0"/>
              <w:autoSpaceDN w:val="0"/>
              <w:adjustRightInd w:val="0"/>
              <w:snapToGrid w:val="0"/>
              <w:ind w:right="180"/>
              <w:jc w:val="right"/>
              <w:rPr>
                <w:rFonts w:asciiTheme="minorEastAsia" w:hAnsiTheme="minorEastAsia" w:eastAsiaTheme="minorEastAsia"/>
              </w:rPr>
            </w:pPr>
          </w:p>
        </w:tc>
        <w:tc>
          <w:tcPr>
            <w:tcW w:w="1014" w:type="pct"/>
          </w:tcPr>
          <w:p w14:paraId="1B6C7866">
            <w:pPr>
              <w:autoSpaceDE w:val="0"/>
              <w:autoSpaceDN w:val="0"/>
              <w:adjustRightInd w:val="0"/>
              <w:snapToGrid w:val="0"/>
              <w:ind w:right="180"/>
              <w:jc w:val="right"/>
              <w:rPr>
                <w:rFonts w:asciiTheme="minorEastAsia" w:hAnsiTheme="minorEastAsia" w:eastAsiaTheme="minorEastAsia"/>
              </w:rPr>
            </w:pPr>
            <w:r>
              <w:rPr>
                <w:rFonts w:asciiTheme="minorEastAsia" w:hAnsiTheme="minorEastAsia" w:eastAsiaTheme="minorEastAsia"/>
              </w:rPr>
              <w:t>426,993,753.64</w:t>
            </w:r>
          </w:p>
        </w:tc>
      </w:tr>
    </w:tbl>
    <w:p w14:paraId="426EA634">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盈余公积说明，包括本期增减变动情况、变动原因说明：</w:t>
      </w:r>
    </w:p>
    <w:sdt>
      <w:sdtPr>
        <w:rPr>
          <w:color w:val="000000" w:themeColor="text1"/>
          <w14:textFill>
            <w14:solidFill>
              <w14:schemeClr w14:val="tx1"/>
            </w14:solidFill>
          </w14:textFill>
        </w:rPr>
        <w:alias w:val="盈余公积说明"/>
        <w:tag w:val="_GBC_33c5d1ed862f4b36950b5ea2188f5b09"/>
        <w:id w:val="-1308162138"/>
        <w:placeholder>
          <w:docPart w:val="GBC22222222222222222222222222222"/>
        </w:placeholder>
      </w:sdtPr>
      <w:sdtEndPr>
        <w:rPr>
          <w:color w:val="000000" w:themeColor="text1"/>
          <w14:textFill>
            <w14:solidFill>
              <w14:schemeClr w14:val="tx1"/>
            </w14:solidFill>
          </w14:textFill>
        </w:rPr>
      </w:sdtEndPr>
      <w:sdtContent>
        <w:p w14:paraId="6108482F">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711F0A6E">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未分配利润</w:t>
      </w:r>
    </w:p>
    <w:p w14:paraId="283E1059">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未分配利润[双击切换]"/>
          <w:tag w:val="_GBC_32c558bdbb77445cabeee783e5ff910e"/>
          <w:id w:val="-1470049022"/>
          <w:lock w:val="contentLocked"/>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0BD48CC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未分配利润"/>
          <w:tag w:val="_GBC_cfb07ff3eded4b49916cfc42d821bab6"/>
          <w:id w:val="3055148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未分配利润"/>
          <w:tag w:val="_GBC_55c70fe731be4b84be72ea88afd989b8"/>
          <w:id w:val="20126394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3"/>
        <w:gridCol w:w="2145"/>
        <w:gridCol w:w="2221"/>
      </w:tblGrid>
      <w:tr w14:paraId="1E6E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b6dc2bd7eebb4e6d9f1ccea8d86e6f47"/>
            <w:id w:val="-2139253429"/>
          </w:sdtPr>
          <w:sdtContent>
            <w:tc>
              <w:tcPr>
                <w:tcW w:w="2588" w:type="pct"/>
                <w:vAlign w:val="center"/>
              </w:tcPr>
              <w:p w14:paraId="0D6DAC9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e60054e3c3747d1a0ffc87edacae2b6"/>
            <w:id w:val="-886801293"/>
          </w:sdtPr>
          <w:sdtContent>
            <w:tc>
              <w:tcPr>
                <w:tcW w:w="1185" w:type="pct"/>
                <w:vAlign w:val="center"/>
              </w:tcPr>
              <w:p w14:paraId="777FCF1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w:t>
                </w:r>
              </w:p>
            </w:tc>
          </w:sdtContent>
        </w:sdt>
        <w:sdt>
          <w:sdtPr>
            <w:tag w:val="_PLD_9afd54e9959d4b22b00bfe92596a2a16"/>
            <w:id w:val="-1766301224"/>
          </w:sdtPr>
          <w:sdtContent>
            <w:tc>
              <w:tcPr>
                <w:tcW w:w="1227" w:type="pct"/>
                <w:vAlign w:val="center"/>
              </w:tcPr>
              <w:p w14:paraId="5C9784F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上年度</w:t>
                </w:r>
              </w:p>
            </w:tc>
          </w:sdtContent>
        </w:sdt>
      </w:tr>
      <w:tr w14:paraId="5DC7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pct"/>
          </w:tcPr>
          <w:p w14:paraId="7799CA1F">
            <w:pPr>
              <w:rPr>
                <w:color w:val="000000" w:themeColor="text1"/>
                <w14:textFill>
                  <w14:solidFill>
                    <w14:schemeClr w14:val="tx1"/>
                  </w14:solidFill>
                </w14:textFill>
              </w:rPr>
            </w:pPr>
            <w:r>
              <w:rPr>
                <w:rFonts w:hint="eastAsia"/>
                <w:color w:val="000000" w:themeColor="text1"/>
                <w14:textFill>
                  <w14:solidFill>
                    <w14:schemeClr w14:val="tx1"/>
                  </w14:solidFill>
                </w14:textFill>
              </w:rPr>
              <w:t>调整前上期末未分配利润</w:t>
            </w:r>
          </w:p>
        </w:tc>
        <w:tc>
          <w:tcPr>
            <w:tcW w:w="1185" w:type="pct"/>
            <w:vAlign w:val="center"/>
          </w:tcPr>
          <w:p w14:paraId="0C8D0257">
            <w:pPr>
              <w:ind w:right="6"/>
              <w:jc w:val="right"/>
            </w:pPr>
            <w:r>
              <w:t>-2,787,071,264.98</w:t>
            </w:r>
          </w:p>
        </w:tc>
        <w:tc>
          <w:tcPr>
            <w:tcW w:w="1227" w:type="pct"/>
            <w:vAlign w:val="center"/>
          </w:tcPr>
          <w:p w14:paraId="25A81F02">
            <w:pPr>
              <w:jc w:val="right"/>
            </w:pPr>
            <w:r>
              <w:t>-2,827,088,504.64</w:t>
            </w:r>
          </w:p>
        </w:tc>
      </w:tr>
      <w:tr w14:paraId="402C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pct"/>
          </w:tcPr>
          <w:p w14:paraId="093F867E">
            <w:pPr>
              <w:rPr>
                <w:color w:val="000000" w:themeColor="text1"/>
                <w14:textFill>
                  <w14:solidFill>
                    <w14:schemeClr w14:val="tx1"/>
                  </w14:solidFill>
                </w14:textFill>
              </w:rPr>
            </w:pPr>
            <w:r>
              <w:rPr>
                <w:rFonts w:hint="eastAsia"/>
                <w:color w:val="000000" w:themeColor="text1"/>
                <w14:textFill>
                  <w14:solidFill>
                    <w14:schemeClr w14:val="tx1"/>
                  </w14:solidFill>
                </w14:textFill>
              </w:rPr>
              <w:t>调整期初未分配利润合计数（调增</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，调减－）</w:t>
            </w:r>
          </w:p>
        </w:tc>
        <w:tc>
          <w:tcPr>
            <w:tcW w:w="1185" w:type="pct"/>
            <w:vAlign w:val="center"/>
          </w:tcPr>
          <w:p w14:paraId="6E7FB880">
            <w:pPr>
              <w:ind w:right="6"/>
              <w:jc w:val="right"/>
            </w:pPr>
          </w:p>
        </w:tc>
        <w:tc>
          <w:tcPr>
            <w:tcW w:w="1227" w:type="pct"/>
            <w:vAlign w:val="center"/>
          </w:tcPr>
          <w:p w14:paraId="1317F82A">
            <w:pPr>
              <w:ind w:right="6"/>
              <w:jc w:val="right"/>
            </w:pPr>
          </w:p>
        </w:tc>
      </w:tr>
      <w:tr w14:paraId="773F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pct"/>
          </w:tcPr>
          <w:p w14:paraId="0C451070">
            <w:pPr>
              <w:rPr>
                <w:color w:val="000000" w:themeColor="text1"/>
                <w14:textFill>
                  <w14:solidFill>
                    <w14:schemeClr w14:val="tx1"/>
                  </w14:solidFill>
                </w14:textFill>
              </w:rPr>
            </w:pPr>
            <w:r>
              <w:rPr>
                <w:rFonts w:hint="eastAsia"/>
                <w:color w:val="000000" w:themeColor="text1"/>
                <w14:textFill>
                  <w14:solidFill>
                    <w14:schemeClr w14:val="tx1"/>
                  </w14:solidFill>
                </w14:textFill>
              </w:rPr>
              <w:t>调整后期初未分配利润</w:t>
            </w:r>
          </w:p>
        </w:tc>
        <w:tc>
          <w:tcPr>
            <w:tcW w:w="1185" w:type="pct"/>
            <w:vAlign w:val="center"/>
          </w:tcPr>
          <w:p w14:paraId="4C7D25E8">
            <w:pPr>
              <w:ind w:right="6"/>
              <w:jc w:val="right"/>
            </w:pPr>
            <w:r>
              <w:t>-2,787,071,264.98</w:t>
            </w:r>
          </w:p>
        </w:tc>
        <w:tc>
          <w:tcPr>
            <w:tcW w:w="1227" w:type="pct"/>
            <w:vAlign w:val="center"/>
          </w:tcPr>
          <w:p w14:paraId="33B7484E">
            <w:pPr>
              <w:ind w:right="6"/>
              <w:jc w:val="right"/>
            </w:pPr>
            <w:r>
              <w:t>-2,827,088,504.64</w:t>
            </w:r>
          </w:p>
        </w:tc>
      </w:tr>
      <w:tr w14:paraId="7D10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pct"/>
          </w:tcPr>
          <w:p w14:paraId="013462EA">
            <w:pPr>
              <w:ind w:right="6"/>
              <w:rPr>
                <w:color w:val="000000" w:themeColor="text1"/>
                <w14:textFill>
                  <w14:solidFill>
                    <w14:schemeClr w14:val="tx1"/>
                  </w14:solidFill>
                </w14:textFill>
              </w:rPr>
            </w:pPr>
            <w:r>
              <w:rPr>
                <w:rFonts w:hint="eastAsia"/>
                <w:color w:val="000000" w:themeColor="text1"/>
                <w14:textFill>
                  <w14:solidFill>
                    <w14:schemeClr w14:val="tx1"/>
                  </w14:solidFill>
                </w14:textFill>
              </w:rPr>
              <w:t>加：本期归属于母公司所有者的净利润</w:t>
            </w:r>
          </w:p>
        </w:tc>
        <w:tc>
          <w:tcPr>
            <w:tcW w:w="1185" w:type="pct"/>
            <w:vAlign w:val="center"/>
          </w:tcPr>
          <w:p w14:paraId="72987BDF">
            <w:pPr>
              <w:ind w:right="6"/>
              <w:jc w:val="right"/>
            </w:pPr>
            <w:r>
              <w:t>31,170,783.19</w:t>
            </w:r>
          </w:p>
        </w:tc>
        <w:tc>
          <w:tcPr>
            <w:tcW w:w="1227" w:type="pct"/>
            <w:vAlign w:val="center"/>
          </w:tcPr>
          <w:p w14:paraId="6CAE02A4">
            <w:pPr>
              <w:ind w:right="6"/>
              <w:jc w:val="right"/>
            </w:pPr>
            <w:r>
              <w:t>40,017,239.66</w:t>
            </w:r>
          </w:p>
        </w:tc>
      </w:tr>
      <w:tr w14:paraId="5EA7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pct"/>
          </w:tcPr>
          <w:p w14:paraId="11C1CB3F">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减：提取法定盈余公积</w:t>
            </w:r>
          </w:p>
        </w:tc>
        <w:tc>
          <w:tcPr>
            <w:tcW w:w="1185" w:type="pct"/>
            <w:vAlign w:val="center"/>
          </w:tcPr>
          <w:p w14:paraId="7948D1DF">
            <w:pPr>
              <w:jc w:val="right"/>
            </w:pPr>
          </w:p>
        </w:tc>
        <w:tc>
          <w:tcPr>
            <w:tcW w:w="1227" w:type="pct"/>
            <w:vAlign w:val="center"/>
          </w:tcPr>
          <w:p w14:paraId="45536D95">
            <w:pPr>
              <w:ind w:right="6"/>
              <w:jc w:val="right"/>
            </w:pPr>
          </w:p>
        </w:tc>
      </w:tr>
      <w:tr w14:paraId="2C44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pct"/>
          </w:tcPr>
          <w:p w14:paraId="310F96C5">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提取任意盈余公积</w:t>
            </w:r>
          </w:p>
        </w:tc>
        <w:tc>
          <w:tcPr>
            <w:tcW w:w="1185" w:type="pct"/>
            <w:vAlign w:val="center"/>
          </w:tcPr>
          <w:p w14:paraId="35265E5D">
            <w:pPr>
              <w:jc w:val="right"/>
            </w:pPr>
          </w:p>
        </w:tc>
        <w:tc>
          <w:tcPr>
            <w:tcW w:w="1227" w:type="pct"/>
            <w:vAlign w:val="center"/>
          </w:tcPr>
          <w:p w14:paraId="4EFC7D1B">
            <w:pPr>
              <w:ind w:right="6"/>
              <w:jc w:val="right"/>
            </w:pPr>
          </w:p>
        </w:tc>
      </w:tr>
      <w:tr w14:paraId="4D52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pct"/>
          </w:tcPr>
          <w:p w14:paraId="212D5F81">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提取一般风险准备</w:t>
            </w:r>
          </w:p>
        </w:tc>
        <w:tc>
          <w:tcPr>
            <w:tcW w:w="1185" w:type="pct"/>
            <w:vAlign w:val="center"/>
          </w:tcPr>
          <w:p w14:paraId="54BED38E">
            <w:pPr>
              <w:jc w:val="right"/>
            </w:pPr>
          </w:p>
        </w:tc>
        <w:tc>
          <w:tcPr>
            <w:tcW w:w="1227" w:type="pct"/>
            <w:vAlign w:val="center"/>
          </w:tcPr>
          <w:p w14:paraId="099C6D40">
            <w:pPr>
              <w:ind w:right="6"/>
              <w:jc w:val="right"/>
            </w:pPr>
          </w:p>
        </w:tc>
      </w:tr>
      <w:tr w14:paraId="01E7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pct"/>
          </w:tcPr>
          <w:p w14:paraId="4299FD64">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应付普通股股利</w:t>
            </w:r>
          </w:p>
        </w:tc>
        <w:tc>
          <w:tcPr>
            <w:tcW w:w="1185" w:type="pct"/>
            <w:vAlign w:val="center"/>
          </w:tcPr>
          <w:p w14:paraId="352F2BA8">
            <w:pPr>
              <w:jc w:val="right"/>
            </w:pPr>
          </w:p>
        </w:tc>
        <w:tc>
          <w:tcPr>
            <w:tcW w:w="1227" w:type="pct"/>
            <w:vAlign w:val="center"/>
          </w:tcPr>
          <w:p w14:paraId="3B0B4892">
            <w:pPr>
              <w:ind w:right="6"/>
              <w:jc w:val="right"/>
            </w:pPr>
          </w:p>
        </w:tc>
      </w:tr>
      <w:tr w14:paraId="2FA6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588" w:type="pct"/>
          </w:tcPr>
          <w:p w14:paraId="10D8CAE7">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转作股本的普通股股利</w:t>
            </w:r>
          </w:p>
        </w:tc>
        <w:tc>
          <w:tcPr>
            <w:tcW w:w="1185" w:type="pct"/>
            <w:vAlign w:val="center"/>
          </w:tcPr>
          <w:p w14:paraId="2FDEFC4C">
            <w:pPr>
              <w:jc w:val="right"/>
            </w:pPr>
          </w:p>
        </w:tc>
        <w:tc>
          <w:tcPr>
            <w:tcW w:w="1227" w:type="pct"/>
            <w:vAlign w:val="center"/>
          </w:tcPr>
          <w:p w14:paraId="70B0C27D">
            <w:pPr>
              <w:ind w:right="6"/>
              <w:jc w:val="right"/>
            </w:pPr>
          </w:p>
        </w:tc>
      </w:tr>
      <w:tr w14:paraId="7603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 w:hRule="atLeast"/>
        </w:trPr>
        <w:tc>
          <w:tcPr>
            <w:tcW w:w="2588" w:type="pct"/>
          </w:tcPr>
          <w:p w14:paraId="68914342">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期末未分配利润</w:t>
            </w:r>
          </w:p>
        </w:tc>
        <w:tc>
          <w:tcPr>
            <w:tcW w:w="1185" w:type="pct"/>
            <w:vAlign w:val="center"/>
          </w:tcPr>
          <w:p w14:paraId="2E4CDAB4">
            <w:pPr>
              <w:jc w:val="right"/>
              <w:rPr>
                <w:sz w:val="20"/>
                <w:szCs w:val="20"/>
              </w:rPr>
            </w:pPr>
            <w:r>
              <w:rPr>
                <w:rFonts w:hint="eastAsia"/>
                <w:sz w:val="20"/>
                <w:szCs w:val="20"/>
              </w:rPr>
              <w:t xml:space="preserve">-2,755,900,481.79 </w:t>
            </w:r>
          </w:p>
        </w:tc>
        <w:tc>
          <w:tcPr>
            <w:tcW w:w="1227" w:type="pct"/>
            <w:vAlign w:val="center"/>
          </w:tcPr>
          <w:p w14:paraId="50B0614E">
            <w:pPr>
              <w:ind w:right="6"/>
              <w:jc w:val="right"/>
            </w:pPr>
            <w:r>
              <w:t>-2,787,071,264.98</w:t>
            </w:r>
          </w:p>
        </w:tc>
      </w:tr>
    </w:tbl>
    <w:p w14:paraId="5A57BAEB">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调整期初未分配利润明细：</w:t>
      </w:r>
    </w:p>
    <w:p w14:paraId="447B4818">
      <w:pPr>
        <w:rPr>
          <w:color w:val="000000" w:themeColor="text1"/>
          <w14:textFill>
            <w14:solidFill>
              <w14:schemeClr w14:val="tx1"/>
            </w14:solidFill>
          </w14:textFill>
        </w:rPr>
      </w:pPr>
      <w:r>
        <w:rPr>
          <w:rFonts w:hint="eastAsia"/>
          <w:color w:val="000000" w:themeColor="text1"/>
          <w14:textFill>
            <w14:solidFill>
              <w14:schemeClr w14:val="tx1"/>
            </w14:solidFill>
          </w14:textFill>
        </w:rPr>
        <w:t>1、由于《企业会计准则》及其相关新规定进行追溯调整，影响期初未分配利润</w:t>
      </w:r>
      <w:sdt>
        <w:sdtPr>
          <w:rPr>
            <w:rFonts w:hint="eastAsia"/>
            <w:color w:val="000000" w:themeColor="text1"/>
            <w14:textFill>
              <w14:solidFill>
                <w14:schemeClr w14:val="tx1"/>
              </w14:solidFill>
            </w14:textFill>
          </w:rPr>
          <w:alias w:val="依据《企业会计准则》及其相关规定进行追溯调整影响年初未分配利润合计"/>
          <w:tag w:val="_GBC_a54a245e74754754a6239606b5ebbb06"/>
          <w:id w:val="-514302209"/>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w:t>
      </w:r>
    </w:p>
    <w:p w14:paraId="356ED2CF">
      <w:pPr>
        <w:rPr>
          <w:color w:val="000000" w:themeColor="text1"/>
          <w14:textFill>
            <w14:solidFill>
              <w14:schemeClr w14:val="tx1"/>
            </w14:solidFill>
          </w14:textFill>
        </w:rPr>
      </w:pPr>
      <w:r>
        <w:rPr>
          <w:rFonts w:hint="eastAsia"/>
          <w:color w:val="000000" w:themeColor="text1"/>
          <w14:textFill>
            <w14:solidFill>
              <w14:schemeClr w14:val="tx1"/>
            </w14:solidFill>
          </w14:textFill>
        </w:rPr>
        <w:t>2、由于会计政策变更，影响期初未分配利润</w:t>
      </w:r>
      <w:sdt>
        <w:sdtPr>
          <w:rPr>
            <w:rFonts w:hint="eastAsia"/>
            <w:color w:val="000000" w:themeColor="text1"/>
            <w14:textFill>
              <w14:solidFill>
                <w14:schemeClr w14:val="tx1"/>
              </w14:solidFill>
            </w14:textFill>
          </w:rPr>
          <w:alias w:val="由于会计政策变更影响年初未分配利润"/>
          <w:tag w:val="_GBC_8295d6891c8842f58b58e4223b4e1700"/>
          <w:id w:val="-1536732195"/>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w:t>
      </w:r>
    </w:p>
    <w:p w14:paraId="3E5AB2F5">
      <w:pPr>
        <w:rPr>
          <w:color w:val="000000" w:themeColor="text1"/>
          <w14:textFill>
            <w14:solidFill>
              <w14:schemeClr w14:val="tx1"/>
            </w14:solidFill>
          </w14:textFill>
        </w:rPr>
      </w:pPr>
      <w:r>
        <w:rPr>
          <w:rFonts w:hint="eastAsia"/>
          <w:color w:val="000000" w:themeColor="text1"/>
          <w14:textFill>
            <w14:solidFill>
              <w14:schemeClr w14:val="tx1"/>
            </w14:solidFill>
          </w14:textFill>
        </w:rPr>
        <w:t>3、由于重大会计差错更正，影响期初未分配利润</w:t>
      </w:r>
      <w:sdt>
        <w:sdtPr>
          <w:rPr>
            <w:rFonts w:hint="eastAsia"/>
            <w:color w:val="000000" w:themeColor="text1"/>
            <w14:textFill>
              <w14:solidFill>
                <w14:schemeClr w14:val="tx1"/>
              </w14:solidFill>
            </w14:textFill>
          </w:rPr>
          <w:alias w:val="由于重大会计差错更正影响年初未分配利润"/>
          <w:tag w:val="_GBC_34728ea6faff41218abab9b8fede268c"/>
          <w:id w:val="-1523694414"/>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w:t>
      </w:r>
    </w:p>
    <w:p w14:paraId="5832DA2A">
      <w:pPr>
        <w:rPr>
          <w:color w:val="000000" w:themeColor="text1"/>
          <w14:textFill>
            <w14:solidFill>
              <w14:schemeClr w14:val="tx1"/>
            </w14:solidFill>
          </w14:textFill>
        </w:rPr>
      </w:pPr>
      <w:r>
        <w:rPr>
          <w:rFonts w:hint="eastAsia"/>
          <w:color w:val="000000" w:themeColor="text1"/>
          <w14:textFill>
            <w14:solidFill>
              <w14:schemeClr w14:val="tx1"/>
            </w14:solidFill>
          </w14:textFill>
        </w:rPr>
        <w:t>4、由于同一控制导致的合并范围变更，影响期初未分配利润</w:t>
      </w:r>
      <w:sdt>
        <w:sdtPr>
          <w:rPr>
            <w:rFonts w:hint="eastAsia"/>
            <w:color w:val="000000" w:themeColor="text1"/>
            <w14:textFill>
              <w14:solidFill>
                <w14:schemeClr w14:val="tx1"/>
              </w14:solidFill>
            </w14:textFill>
          </w:rPr>
          <w:alias w:val="同一控制导致的合并范围变更影响年初未分配利润"/>
          <w:tag w:val="_GBC_4d9b7a873cb94aba9044210a45f81108"/>
          <w:id w:val="-1287589598"/>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w:t>
      </w:r>
    </w:p>
    <w:p w14:paraId="34C20E9A">
      <w:pPr>
        <w:rPr>
          <w:color w:val="000000" w:themeColor="text1"/>
          <w14:textFill>
            <w14:solidFill>
              <w14:schemeClr w14:val="tx1"/>
            </w14:solidFill>
          </w14:textFill>
        </w:rPr>
      </w:pPr>
      <w:r>
        <w:rPr>
          <w:rFonts w:hint="eastAsia"/>
          <w:color w:val="000000" w:themeColor="text1"/>
          <w14:textFill>
            <w14:solidFill>
              <w14:schemeClr w14:val="tx1"/>
            </w14:solidFill>
          </w14:textFill>
        </w:rPr>
        <w:t>5、其他调整合计影响期初未分配利润</w:t>
      </w:r>
      <w:sdt>
        <w:sdtPr>
          <w:rPr>
            <w:rFonts w:hint="eastAsia"/>
            <w:color w:val="000000" w:themeColor="text1"/>
            <w14:textFill>
              <w14:solidFill>
                <w14:schemeClr w14:val="tx1"/>
              </w14:solidFill>
            </w14:textFill>
          </w:rPr>
          <w:alias w:val="其他调整合计影响年初未分配利润"/>
          <w:tag w:val="_GBC_ccd86b3788e04a70a2e6a2167027d7cb"/>
          <w:id w:val="13040503"/>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0</w:t>
          </w:r>
        </w:sdtContent>
      </w:sdt>
      <w:r>
        <w:rPr>
          <w:rFonts w:hint="eastAsia"/>
          <w:color w:val="000000" w:themeColor="text1"/>
          <w14:textFill>
            <w14:solidFill>
              <w14:schemeClr w14:val="tx1"/>
            </w14:solidFill>
          </w14:textFill>
        </w:rPr>
        <w:t xml:space="preserve"> 元。</w:t>
      </w:r>
    </w:p>
    <w:p w14:paraId="6D20F9AE">
      <w:pPr>
        <w:rPr>
          <w:color w:val="000000" w:themeColor="text1"/>
          <w14:textFill>
            <w14:solidFill>
              <w14:schemeClr w14:val="tx1"/>
            </w14:solidFill>
          </w14:textFill>
        </w:rPr>
      </w:pPr>
    </w:p>
    <w:p w14:paraId="354E1BD9">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营业收入和营业成本</w:t>
      </w:r>
    </w:p>
    <w:p w14:paraId="0A9A483A">
      <w:pPr>
        <w:pStyle w:val="5"/>
        <w:numPr>
          <w:ilvl w:val="0"/>
          <w:numId w:val="75"/>
        </w:numPr>
        <w:ind w:left="426" w:hanging="426"/>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营业收入和营业成本情况</w:t>
      </w:r>
    </w:p>
    <w:sdt>
      <w:sdtPr>
        <w:rPr>
          <w:color w:val="000000" w:themeColor="text1"/>
          <w14:textFill>
            <w14:solidFill>
              <w14:schemeClr w14:val="tx1"/>
            </w14:solidFill>
          </w14:textFill>
        </w:rPr>
        <w:alias w:val="是否适用：营业收入和营业成本[双击切换]"/>
        <w:tag w:val="_GBC_876680c4ba6b433896b625efff84d599"/>
        <w:id w:val="1894233717"/>
        <w:placeholder>
          <w:docPart w:val="GBC22222222222222222222222222222"/>
        </w:placeholder>
      </w:sdtPr>
      <w:sdtEndPr>
        <w:rPr>
          <w:color w:val="000000" w:themeColor="text1"/>
          <w14:textFill>
            <w14:solidFill>
              <w14:schemeClr w14:val="tx1"/>
            </w14:solidFill>
          </w14:textFill>
        </w:rPr>
      </w:sdtEndPr>
      <w:sdtContent>
        <w:p w14:paraId="190A139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47202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bCs/>
            <w:color w:val="000000" w:themeColor="text1"/>
            <w14:textFill>
              <w14:solidFill>
                <w14:schemeClr w14:val="tx1"/>
              </w14:solidFill>
            </w14:textFill>
          </w:rPr>
          <w:alias w:val="单位：财务附注：营业收入"/>
          <w:tag w:val="_GBC_611ed6dd25a247cf86a0fb98cd86e68f"/>
          <w:id w:val="4772667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bCs/>
            <w:color w:val="000000" w:themeColor="text1"/>
            <w14:textFill>
              <w14:solidFill>
                <w14:schemeClr w14:val="tx1"/>
              </w14:solidFill>
            </w14:textFill>
          </w:rPr>
          <w:alias w:val="币种：财务附注：营业收入"/>
          <w:tag w:val="_GBC_ba5cd3776b804cc291ae4c216c605f02"/>
          <w:id w:val="-12911183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7"/>
        <w:gridCol w:w="1889"/>
        <w:gridCol w:w="1902"/>
        <w:gridCol w:w="1900"/>
        <w:gridCol w:w="1901"/>
      </w:tblGrid>
      <w:tr w14:paraId="4545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41752618c6a4ee08ca01f5944b34b81"/>
            <w:id w:val="-2137556459"/>
          </w:sdtPr>
          <w:sdtContent>
            <w:tc>
              <w:tcPr>
                <w:tcW w:w="805" w:type="pct"/>
                <w:vMerge w:val="restart"/>
                <w:tcBorders>
                  <w:top w:val="single" w:color="auto" w:sz="4" w:space="0"/>
                  <w:left w:val="single" w:color="auto" w:sz="4" w:space="0"/>
                  <w:right w:val="single" w:color="auto" w:sz="4" w:space="0"/>
                </w:tcBorders>
                <w:vAlign w:val="center"/>
              </w:tcPr>
              <w:p w14:paraId="76D99A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f88658ae6cb94ea390736e112b0d5ffc"/>
            <w:id w:val="-855270471"/>
          </w:sdtPr>
          <w:sdtContent>
            <w:tc>
              <w:tcPr>
                <w:tcW w:w="2095" w:type="pct"/>
                <w:gridSpan w:val="2"/>
                <w:tcBorders>
                  <w:top w:val="single" w:color="auto" w:sz="4" w:space="0"/>
                  <w:left w:val="single" w:color="auto" w:sz="4" w:space="0"/>
                  <w:bottom w:val="single" w:color="auto" w:sz="4" w:space="0"/>
                  <w:right w:val="single" w:color="auto" w:sz="4" w:space="0"/>
                </w:tcBorders>
                <w:vAlign w:val="center"/>
              </w:tcPr>
              <w:p w14:paraId="052F9CD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0840d72efce94f22bdf4d566046b2e87"/>
            <w:id w:val="1519963520"/>
          </w:sdtPr>
          <w:sdtContent>
            <w:tc>
              <w:tcPr>
                <w:tcW w:w="2100" w:type="pct"/>
                <w:gridSpan w:val="2"/>
                <w:tcBorders>
                  <w:top w:val="single" w:color="auto" w:sz="4" w:space="0"/>
                  <w:left w:val="single" w:color="auto" w:sz="4" w:space="0"/>
                  <w:bottom w:val="single" w:color="auto" w:sz="4" w:space="0"/>
                  <w:right w:val="single" w:color="auto" w:sz="4" w:space="0"/>
                </w:tcBorders>
                <w:vAlign w:val="center"/>
              </w:tcPr>
              <w:p w14:paraId="1BB64C0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7C38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vMerge w:val="continue"/>
            <w:tcBorders>
              <w:left w:val="single" w:color="auto" w:sz="4" w:space="0"/>
              <w:bottom w:val="single" w:color="auto" w:sz="4" w:space="0"/>
              <w:right w:val="single" w:color="auto" w:sz="4" w:space="0"/>
            </w:tcBorders>
          </w:tcPr>
          <w:p w14:paraId="0A94CB54">
            <w:pPr>
              <w:jc w:val="center"/>
              <w:rPr>
                <w:color w:val="000000" w:themeColor="text1"/>
                <w14:textFill>
                  <w14:solidFill>
                    <w14:schemeClr w14:val="tx1"/>
                  </w14:solidFill>
                </w14:textFill>
              </w:rPr>
            </w:pPr>
          </w:p>
        </w:tc>
        <w:sdt>
          <w:sdtPr>
            <w:tag w:val="_PLD_39942ac1f2654fa6bda80d7116d83859"/>
            <w:id w:val="186030495"/>
          </w:sdtPr>
          <w:sdtContent>
            <w:tc>
              <w:tcPr>
                <w:tcW w:w="1044" w:type="pct"/>
                <w:tcBorders>
                  <w:top w:val="single" w:color="auto" w:sz="4" w:space="0"/>
                  <w:left w:val="single" w:color="auto" w:sz="4" w:space="0"/>
                  <w:bottom w:val="single" w:color="auto" w:sz="4" w:space="0"/>
                  <w:right w:val="single" w:color="auto" w:sz="4" w:space="0"/>
                </w:tcBorders>
                <w:vAlign w:val="center"/>
              </w:tcPr>
              <w:p w14:paraId="1AEC0D0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收入</w:t>
                </w:r>
              </w:p>
            </w:tc>
          </w:sdtContent>
        </w:sdt>
        <w:sdt>
          <w:sdtPr>
            <w:tag w:val="_PLD_5075262c52564bf09f90a67ee6a84b17"/>
            <w:id w:val="-739866856"/>
          </w:sdtPr>
          <w:sdtContent>
            <w:tc>
              <w:tcPr>
                <w:tcW w:w="1051" w:type="pct"/>
                <w:tcBorders>
                  <w:top w:val="single" w:color="auto" w:sz="4" w:space="0"/>
                  <w:left w:val="single" w:color="auto" w:sz="4" w:space="0"/>
                  <w:bottom w:val="single" w:color="auto" w:sz="4" w:space="0"/>
                  <w:right w:val="single" w:color="auto" w:sz="4" w:space="0"/>
                </w:tcBorders>
                <w:vAlign w:val="center"/>
              </w:tcPr>
              <w:p w14:paraId="36FBAC5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成本</w:t>
                </w:r>
              </w:p>
            </w:tc>
          </w:sdtContent>
        </w:sdt>
        <w:sdt>
          <w:sdtPr>
            <w:tag w:val="_PLD_33a1015c666d49cba108bce6aafea1f7"/>
            <w:id w:val="239909817"/>
          </w:sdtPr>
          <w:sdtContent>
            <w:tc>
              <w:tcPr>
                <w:tcW w:w="1050" w:type="pct"/>
                <w:tcBorders>
                  <w:top w:val="single" w:color="auto" w:sz="4" w:space="0"/>
                  <w:left w:val="single" w:color="auto" w:sz="4" w:space="0"/>
                  <w:bottom w:val="single" w:color="auto" w:sz="4" w:space="0"/>
                  <w:right w:val="single" w:color="auto" w:sz="4" w:space="0"/>
                </w:tcBorders>
                <w:vAlign w:val="center"/>
              </w:tcPr>
              <w:p w14:paraId="6136F55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收入</w:t>
                </w:r>
              </w:p>
            </w:tc>
          </w:sdtContent>
        </w:sdt>
        <w:sdt>
          <w:sdtPr>
            <w:tag w:val="_PLD_d09deaa2e4d443459a3584a1d7e92203"/>
            <w:id w:val="344903448"/>
          </w:sdtPr>
          <w:sdtContent>
            <w:tc>
              <w:tcPr>
                <w:tcW w:w="1050" w:type="pct"/>
                <w:tcBorders>
                  <w:top w:val="single" w:color="auto" w:sz="4" w:space="0"/>
                  <w:left w:val="single" w:color="auto" w:sz="4" w:space="0"/>
                  <w:bottom w:val="single" w:color="auto" w:sz="4" w:space="0"/>
                  <w:right w:val="single" w:color="auto" w:sz="4" w:space="0"/>
                </w:tcBorders>
                <w:vAlign w:val="center"/>
              </w:tcPr>
              <w:p w14:paraId="6F129FF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成本</w:t>
                </w:r>
              </w:p>
            </w:tc>
          </w:sdtContent>
        </w:sdt>
      </w:tr>
      <w:tr w14:paraId="02AB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tcPr>
          <w:p w14:paraId="145A32B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主营业务</w:t>
            </w:r>
          </w:p>
        </w:tc>
        <w:tc>
          <w:tcPr>
            <w:tcW w:w="1044" w:type="pct"/>
            <w:tcBorders>
              <w:top w:val="single" w:color="auto" w:sz="4" w:space="0"/>
              <w:left w:val="single" w:color="auto" w:sz="4" w:space="0"/>
              <w:bottom w:val="single" w:color="auto" w:sz="4" w:space="0"/>
              <w:right w:val="single" w:color="auto" w:sz="4" w:space="0"/>
            </w:tcBorders>
            <w:vAlign w:val="center"/>
          </w:tcPr>
          <w:p w14:paraId="1063F339">
            <w:pPr>
              <w:jc w:val="right"/>
              <w:rPr>
                <w:rFonts w:eastAsia="等线" w:cs="Times New Roman"/>
                <w:color w:val="000000"/>
              </w:rPr>
            </w:pPr>
            <w:r>
              <w:rPr>
                <w:rFonts w:eastAsia="等线" w:cs="Times New Roman"/>
                <w:color w:val="000000"/>
              </w:rPr>
              <w:t xml:space="preserve">4,147,780,954.52 </w:t>
            </w:r>
          </w:p>
        </w:tc>
        <w:tc>
          <w:tcPr>
            <w:tcW w:w="1051" w:type="pct"/>
            <w:tcBorders>
              <w:top w:val="single" w:color="auto" w:sz="4" w:space="0"/>
              <w:left w:val="single" w:color="auto" w:sz="4" w:space="0"/>
              <w:bottom w:val="single" w:color="auto" w:sz="4" w:space="0"/>
              <w:right w:val="single" w:color="auto" w:sz="4" w:space="0"/>
            </w:tcBorders>
            <w:vAlign w:val="center"/>
          </w:tcPr>
          <w:p w14:paraId="72E29682">
            <w:pPr>
              <w:jc w:val="right"/>
              <w:rPr>
                <w:rFonts w:eastAsia="等线" w:cs="Times New Roman"/>
                <w:color w:val="000000"/>
              </w:rPr>
            </w:pPr>
            <w:r>
              <w:rPr>
                <w:rFonts w:eastAsia="等线" w:cs="Times New Roman"/>
                <w:color w:val="000000"/>
              </w:rPr>
              <w:t xml:space="preserve">3,815,770,293.96 </w:t>
            </w:r>
          </w:p>
        </w:tc>
        <w:tc>
          <w:tcPr>
            <w:tcW w:w="1050" w:type="pct"/>
            <w:tcBorders>
              <w:top w:val="single" w:color="auto" w:sz="4" w:space="0"/>
              <w:left w:val="single" w:color="auto" w:sz="4" w:space="0"/>
              <w:bottom w:val="single" w:color="auto" w:sz="4" w:space="0"/>
              <w:right w:val="single" w:color="auto" w:sz="4" w:space="0"/>
            </w:tcBorders>
            <w:vAlign w:val="center"/>
          </w:tcPr>
          <w:p w14:paraId="16BA2E43">
            <w:pPr>
              <w:jc w:val="right"/>
              <w:rPr>
                <w:color w:val="000000"/>
              </w:rPr>
            </w:pPr>
            <w:r>
              <w:rPr>
                <w:rFonts w:hint="eastAsia"/>
                <w:color w:val="000000"/>
              </w:rPr>
              <w:t>2,956,765,031.24</w:t>
            </w:r>
          </w:p>
        </w:tc>
        <w:tc>
          <w:tcPr>
            <w:tcW w:w="1050" w:type="pct"/>
            <w:tcBorders>
              <w:top w:val="single" w:color="auto" w:sz="4" w:space="0"/>
              <w:left w:val="single" w:color="auto" w:sz="4" w:space="0"/>
              <w:bottom w:val="single" w:color="auto" w:sz="4" w:space="0"/>
              <w:right w:val="single" w:color="auto" w:sz="4" w:space="0"/>
            </w:tcBorders>
            <w:vAlign w:val="center"/>
          </w:tcPr>
          <w:p w14:paraId="31802A88">
            <w:pPr>
              <w:jc w:val="right"/>
              <w:rPr>
                <w:color w:val="000000"/>
              </w:rPr>
            </w:pPr>
            <w:r>
              <w:rPr>
                <w:rFonts w:hint="eastAsia"/>
                <w:color w:val="000000"/>
              </w:rPr>
              <w:t>2,717,347,167.75</w:t>
            </w:r>
          </w:p>
        </w:tc>
      </w:tr>
      <w:tr w14:paraId="373A4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tcPr>
          <w:p w14:paraId="6FB1953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其他业务</w:t>
            </w:r>
          </w:p>
        </w:tc>
        <w:tc>
          <w:tcPr>
            <w:tcW w:w="1044" w:type="pct"/>
            <w:tcBorders>
              <w:top w:val="single" w:color="auto" w:sz="4" w:space="0"/>
              <w:left w:val="single" w:color="auto" w:sz="4" w:space="0"/>
              <w:bottom w:val="single" w:color="auto" w:sz="4" w:space="0"/>
              <w:right w:val="single" w:color="auto" w:sz="4" w:space="0"/>
            </w:tcBorders>
            <w:vAlign w:val="center"/>
          </w:tcPr>
          <w:p w14:paraId="5CF02E27">
            <w:pPr>
              <w:jc w:val="right"/>
              <w:rPr>
                <w:rFonts w:eastAsia="等线" w:cs="Times New Roman"/>
                <w:color w:val="000000"/>
              </w:rPr>
            </w:pPr>
            <w:r>
              <w:rPr>
                <w:rFonts w:eastAsia="等线" w:cs="Times New Roman"/>
                <w:color w:val="000000"/>
              </w:rPr>
              <w:t xml:space="preserve">36,257,837.74 </w:t>
            </w:r>
          </w:p>
        </w:tc>
        <w:tc>
          <w:tcPr>
            <w:tcW w:w="1051" w:type="pct"/>
            <w:tcBorders>
              <w:top w:val="single" w:color="auto" w:sz="4" w:space="0"/>
              <w:left w:val="single" w:color="auto" w:sz="4" w:space="0"/>
              <w:bottom w:val="single" w:color="auto" w:sz="4" w:space="0"/>
              <w:right w:val="single" w:color="auto" w:sz="4" w:space="0"/>
            </w:tcBorders>
            <w:vAlign w:val="center"/>
          </w:tcPr>
          <w:p w14:paraId="01EFF7E1">
            <w:pPr>
              <w:jc w:val="right"/>
              <w:rPr>
                <w:rFonts w:eastAsia="等线" w:cs="Times New Roman"/>
                <w:color w:val="000000"/>
              </w:rPr>
            </w:pPr>
            <w:r>
              <w:rPr>
                <w:rFonts w:eastAsia="等线" w:cs="Times New Roman"/>
                <w:color w:val="000000"/>
              </w:rPr>
              <w:t xml:space="preserve">21,605,856.65 </w:t>
            </w:r>
          </w:p>
        </w:tc>
        <w:tc>
          <w:tcPr>
            <w:tcW w:w="1050" w:type="pct"/>
            <w:tcBorders>
              <w:top w:val="single" w:color="auto" w:sz="4" w:space="0"/>
              <w:left w:val="single" w:color="auto" w:sz="4" w:space="0"/>
              <w:bottom w:val="single" w:color="auto" w:sz="4" w:space="0"/>
              <w:right w:val="single" w:color="auto" w:sz="4" w:space="0"/>
            </w:tcBorders>
            <w:vAlign w:val="center"/>
          </w:tcPr>
          <w:p w14:paraId="3F749328">
            <w:pPr>
              <w:jc w:val="right"/>
              <w:rPr>
                <w:color w:val="000000"/>
              </w:rPr>
            </w:pPr>
            <w:r>
              <w:rPr>
                <w:rFonts w:hint="eastAsia"/>
                <w:color w:val="000000"/>
              </w:rPr>
              <w:t>31,049,478.26</w:t>
            </w:r>
          </w:p>
        </w:tc>
        <w:tc>
          <w:tcPr>
            <w:tcW w:w="1050" w:type="pct"/>
            <w:tcBorders>
              <w:top w:val="single" w:color="auto" w:sz="4" w:space="0"/>
              <w:left w:val="single" w:color="auto" w:sz="4" w:space="0"/>
              <w:bottom w:val="single" w:color="auto" w:sz="4" w:space="0"/>
              <w:right w:val="single" w:color="auto" w:sz="4" w:space="0"/>
            </w:tcBorders>
            <w:vAlign w:val="center"/>
          </w:tcPr>
          <w:p w14:paraId="187432AE">
            <w:pPr>
              <w:jc w:val="right"/>
              <w:rPr>
                <w:color w:val="000000"/>
              </w:rPr>
            </w:pPr>
            <w:r>
              <w:rPr>
                <w:rFonts w:hint="eastAsia"/>
                <w:color w:val="000000"/>
              </w:rPr>
              <w:t>16,911,757.00</w:t>
            </w:r>
          </w:p>
        </w:tc>
      </w:tr>
      <w:tr w14:paraId="2C00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pct"/>
            <w:tcBorders>
              <w:top w:val="single" w:color="auto" w:sz="4" w:space="0"/>
              <w:left w:val="single" w:color="auto" w:sz="4" w:space="0"/>
              <w:bottom w:val="single" w:color="auto" w:sz="4" w:space="0"/>
              <w:right w:val="single" w:color="auto" w:sz="4" w:space="0"/>
            </w:tcBorders>
            <w:vAlign w:val="center"/>
          </w:tcPr>
          <w:p w14:paraId="63DCFA5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044" w:type="pct"/>
            <w:tcBorders>
              <w:top w:val="single" w:color="auto" w:sz="4" w:space="0"/>
              <w:left w:val="single" w:color="auto" w:sz="4" w:space="0"/>
              <w:bottom w:val="single" w:color="auto" w:sz="4" w:space="0"/>
              <w:right w:val="single" w:color="auto" w:sz="4" w:space="0"/>
            </w:tcBorders>
            <w:vAlign w:val="center"/>
          </w:tcPr>
          <w:p w14:paraId="5D0D238A">
            <w:pPr>
              <w:jc w:val="right"/>
              <w:rPr>
                <w:rFonts w:eastAsia="等线" w:cs="Times New Roman"/>
                <w:color w:val="000000"/>
              </w:rPr>
            </w:pPr>
            <w:r>
              <w:rPr>
                <w:rFonts w:eastAsia="等线" w:cs="Times New Roman"/>
                <w:color w:val="000000"/>
              </w:rPr>
              <w:t xml:space="preserve">4,184,038,792.26 </w:t>
            </w:r>
          </w:p>
        </w:tc>
        <w:tc>
          <w:tcPr>
            <w:tcW w:w="1051" w:type="pct"/>
            <w:tcBorders>
              <w:top w:val="single" w:color="auto" w:sz="4" w:space="0"/>
              <w:left w:val="single" w:color="auto" w:sz="4" w:space="0"/>
              <w:bottom w:val="single" w:color="auto" w:sz="4" w:space="0"/>
              <w:right w:val="single" w:color="auto" w:sz="4" w:space="0"/>
            </w:tcBorders>
            <w:vAlign w:val="center"/>
          </w:tcPr>
          <w:p w14:paraId="7ED7F5ED">
            <w:pPr>
              <w:jc w:val="right"/>
              <w:rPr>
                <w:rFonts w:eastAsia="等线" w:cs="Times New Roman"/>
                <w:color w:val="000000"/>
              </w:rPr>
            </w:pPr>
            <w:r>
              <w:rPr>
                <w:rFonts w:eastAsia="等线" w:cs="Times New Roman"/>
                <w:color w:val="000000"/>
              </w:rPr>
              <w:t xml:space="preserve">3,837,376,150.61 </w:t>
            </w:r>
          </w:p>
        </w:tc>
        <w:tc>
          <w:tcPr>
            <w:tcW w:w="1050" w:type="pct"/>
            <w:tcBorders>
              <w:top w:val="single" w:color="auto" w:sz="4" w:space="0"/>
              <w:left w:val="single" w:color="auto" w:sz="4" w:space="0"/>
              <w:bottom w:val="single" w:color="auto" w:sz="4" w:space="0"/>
              <w:right w:val="single" w:color="auto" w:sz="4" w:space="0"/>
            </w:tcBorders>
            <w:vAlign w:val="center"/>
          </w:tcPr>
          <w:p w14:paraId="11CAF543">
            <w:pPr>
              <w:jc w:val="right"/>
              <w:rPr>
                <w:color w:val="000000"/>
              </w:rPr>
            </w:pPr>
            <w:r>
              <w:rPr>
                <w:rFonts w:hint="eastAsia"/>
                <w:color w:val="000000"/>
              </w:rPr>
              <w:t>2,987,814,509.50</w:t>
            </w:r>
          </w:p>
        </w:tc>
        <w:tc>
          <w:tcPr>
            <w:tcW w:w="1050" w:type="pct"/>
            <w:tcBorders>
              <w:top w:val="single" w:color="auto" w:sz="4" w:space="0"/>
              <w:left w:val="single" w:color="auto" w:sz="4" w:space="0"/>
              <w:bottom w:val="single" w:color="auto" w:sz="4" w:space="0"/>
              <w:right w:val="single" w:color="auto" w:sz="4" w:space="0"/>
            </w:tcBorders>
            <w:vAlign w:val="center"/>
          </w:tcPr>
          <w:p w14:paraId="2A54516F">
            <w:pPr>
              <w:jc w:val="right"/>
              <w:rPr>
                <w:color w:val="000000"/>
              </w:rPr>
            </w:pPr>
            <w:r>
              <w:rPr>
                <w:rFonts w:hint="eastAsia"/>
                <w:color w:val="000000"/>
              </w:rPr>
              <w:t>2,734,258,924.75</w:t>
            </w:r>
          </w:p>
        </w:tc>
      </w:tr>
    </w:tbl>
    <w:p w14:paraId="3E6FF0D0">
      <w:pPr>
        <w:rPr>
          <w:color w:val="000000" w:themeColor="text1"/>
          <w14:textFill>
            <w14:solidFill>
              <w14:schemeClr w14:val="tx1"/>
            </w14:solidFill>
          </w14:textFill>
        </w:rPr>
      </w:pPr>
    </w:p>
    <w:sdt>
      <w:sdtPr>
        <w:rPr>
          <w:rFonts w:hint="eastAsia" w:ascii="宋体" w:hAnsi="宋体" w:cs="宋体"/>
          <w:b w:val="0"/>
          <w:bCs w:val="0"/>
          <w:color w:val="000000" w:themeColor="text1"/>
          <w:kern w:val="0"/>
          <w:szCs w:val="24"/>
          <w14:textFill>
            <w14:solidFill>
              <w14:schemeClr w14:val="tx1"/>
            </w14:solidFill>
          </w14:textFill>
        </w:rPr>
        <w:alias w:val="模块:合同产生的收入的情况"/>
        <w:tag w:val="_SEC_c4e8c6d213eb4da9850e04355e0aa292"/>
        <w:id w:val="-2003879623"/>
        <w:placeholder>
          <w:docPart w:val="GBC22222222222222222222222222222"/>
        </w:placeholder>
      </w:sdtPr>
      <w:sdtEndPr>
        <w:rPr>
          <w:rFonts w:hint="default" w:ascii="Times New Roman" w:hAnsi="Times New Roman" w:cs="宋体"/>
          <w:b w:val="0"/>
          <w:bCs w:val="0"/>
          <w:color w:val="000000" w:themeColor="text1"/>
          <w:kern w:val="0"/>
          <w:szCs w:val="21"/>
          <w14:textFill>
            <w14:solidFill>
              <w14:schemeClr w14:val="tx1"/>
            </w14:solidFill>
          </w14:textFill>
        </w:rPr>
      </w:sdtEndPr>
      <w:sdtContent>
        <w:p w14:paraId="48CB353C">
          <w:pPr>
            <w:pStyle w:val="5"/>
            <w:numPr>
              <w:ilvl w:val="0"/>
              <w:numId w:val="75"/>
            </w:numPr>
            <w:ind w:left="426" w:hanging="426"/>
            <w:rPr>
              <w:rFonts w:ascii="宋体" w:hAnsi="宋体"/>
              <w:color w:val="000000" w:themeColor="text1"/>
              <w14:textFill>
                <w14:solidFill>
                  <w14:schemeClr w14:val="tx1"/>
                </w14:solidFill>
              </w14:textFill>
            </w:rPr>
          </w:pPr>
          <w:bookmarkStart w:id="334" w:name="_Hlk533756233"/>
          <w:bookmarkStart w:id="335" w:name="_Hlk167969685"/>
          <w:r>
            <w:rPr>
              <w:rFonts w:hint="eastAsia" w:ascii="宋体" w:hAnsi="宋体"/>
              <w:color w:val="000000" w:themeColor="text1"/>
              <w14:textFill>
                <w14:solidFill>
                  <w14:schemeClr w14:val="tx1"/>
                </w14:solidFill>
              </w14:textFill>
            </w:rPr>
            <w:t>营业收入、营业成本的分解信息</w:t>
          </w:r>
        </w:p>
        <w:sdt>
          <w:sdtPr>
            <w:rPr>
              <w:rFonts w:ascii="宋体" w:hAnsi="宋体"/>
              <w:color w:val="000000" w:themeColor="text1"/>
              <w:szCs w:val="21"/>
              <w14:textFill>
                <w14:solidFill>
                  <w14:schemeClr w14:val="tx1"/>
                </w14:solidFill>
              </w14:textFill>
            </w:rPr>
            <w:alias w:val="是否适用：营业收入、营业成本的分解信息 [双击切换]"/>
            <w:tag w:val="_GBC_efc78032c33b40119a8d8db1511a7505"/>
            <w:id w:val="658422776"/>
            <w:placeholder>
              <w:docPart w:val="GBC22222222222222222222222222222"/>
            </w:placeholder>
          </w:sdtPr>
          <w:sdtEndPr>
            <w:rPr>
              <w:rFonts w:ascii="宋体" w:hAnsi="宋体"/>
              <w:color w:val="000000" w:themeColor="text1"/>
              <w:szCs w:val="21"/>
              <w14:textFill>
                <w14:solidFill>
                  <w14:schemeClr w14:val="tx1"/>
                </w14:solidFill>
              </w14:textFill>
            </w:rPr>
          </w:sdtEndPr>
          <w:sdtContent>
            <w:p w14:paraId="1E0E4F4C">
              <w:pPr>
                <w:pStyle w:val="68"/>
                <w:ind w:firstLine="0" w:firstLineChars="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 MACROBUTTON  SnrToggleCheckbox √适用 </w:instrText>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 MACROBUTTON  SnrToggleCheckbox □不适用 </w:instrText>
              </w:r>
              <w:r>
                <w:rPr>
                  <w:rFonts w:ascii="宋体" w:hAnsi="宋体"/>
                  <w:color w:val="000000" w:themeColor="text1"/>
                  <w:szCs w:val="21"/>
                  <w14:textFill>
                    <w14:solidFill>
                      <w14:schemeClr w14:val="tx1"/>
                    </w14:solidFill>
                  </w14:textFill>
                </w:rPr>
                <w:fldChar w:fldCharType="end"/>
              </w:r>
            </w:p>
          </w:sdtContent>
        </w:sdt>
        <w:p w14:paraId="12E034DF">
          <w:pPr>
            <w:pStyle w:val="68"/>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营业收入、营业成本的分解信息 "/>
              <w:tag w:val="_GBC_3ccd36a6a17f4de6846b5579f456e2eb"/>
              <w:id w:val="21042982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营业收入、营业成本的分解信息 "/>
              <w:tag w:val="_GBC_4476d84f223c43caad2810c5a30db364"/>
              <w:id w:val="10954430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8"/>
            <w:gridCol w:w="2420"/>
            <w:gridCol w:w="3001"/>
          </w:tblGrid>
          <w:tr w14:paraId="3703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4e262a708374d868aa4623ec11e26b7"/>
                <w:id w:val="-4056851"/>
              </w:sdtPr>
              <w:sdtContent>
                <w:tc>
                  <w:tcPr>
                    <w:tcW w:w="2005" w:type="pct"/>
                    <w:vMerge w:val="restart"/>
                    <w:tcBorders>
                      <w:top w:val="single" w:color="auto" w:sz="4" w:space="0"/>
                      <w:left w:val="single" w:color="auto" w:sz="4" w:space="0"/>
                      <w:right w:val="single" w:color="auto" w:sz="4" w:space="0"/>
                    </w:tcBorders>
                    <w:vAlign w:val="center"/>
                  </w:tcPr>
                  <w:p w14:paraId="1CF5B3C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合同分类</w:t>
                    </w:r>
                  </w:p>
                </w:tc>
              </w:sdtContent>
            </w:sdt>
            <w:sdt>
              <w:sdtPr>
                <w:tag w:val="_PLD_2383d04a4c7d404b94d983ebd7656098"/>
                <w:id w:val="-1749111078"/>
              </w:sdtPr>
              <w:sdtContent>
                <w:tc>
                  <w:tcPr>
                    <w:tcW w:w="2995" w:type="pct"/>
                    <w:gridSpan w:val="2"/>
                    <w:tcBorders>
                      <w:top w:val="single" w:color="auto" w:sz="4" w:space="0"/>
                      <w:left w:val="single" w:color="auto" w:sz="4" w:space="0"/>
                      <w:bottom w:val="single" w:color="auto" w:sz="4" w:space="0"/>
                      <w:right w:val="single" w:color="auto" w:sz="4" w:space="0"/>
                    </w:tcBorders>
                    <w:vAlign w:val="center"/>
                  </w:tcPr>
                  <w:p w14:paraId="5C231C1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r>
          <w:tr w14:paraId="7C7E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vMerge w:val="continue"/>
                <w:tcBorders>
                  <w:left w:val="single" w:color="auto" w:sz="4" w:space="0"/>
                  <w:bottom w:val="single" w:color="auto" w:sz="4" w:space="0"/>
                  <w:right w:val="single" w:color="auto" w:sz="4" w:space="0"/>
                </w:tcBorders>
              </w:tcPr>
              <w:p w14:paraId="04C41CA0">
                <w:pPr>
                  <w:jc w:val="center"/>
                  <w:rPr>
                    <w:color w:val="000000" w:themeColor="text1"/>
                    <w14:textFill>
                      <w14:solidFill>
                        <w14:schemeClr w14:val="tx1"/>
                      </w14:solidFill>
                    </w14:textFill>
                  </w:rPr>
                </w:pPr>
              </w:p>
            </w:tc>
            <w:sdt>
              <w:sdtPr>
                <w:tag w:val="_PLD_58de911da1324e8586f84ab9937bcdeb"/>
                <w:id w:val="1377037587"/>
              </w:sdtPr>
              <w:sdtContent>
                <w:tc>
                  <w:tcPr>
                    <w:tcW w:w="1337" w:type="pct"/>
                    <w:tcBorders>
                      <w:top w:val="single" w:color="auto" w:sz="4" w:space="0"/>
                      <w:left w:val="single" w:color="auto" w:sz="4" w:space="0"/>
                      <w:bottom w:val="single" w:color="auto" w:sz="4" w:space="0"/>
                      <w:right w:val="single" w:color="auto" w:sz="4" w:space="0"/>
                    </w:tcBorders>
                    <w:vAlign w:val="center"/>
                  </w:tcPr>
                  <w:p w14:paraId="4497A0A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营业收入</w:t>
                    </w:r>
                  </w:p>
                </w:tc>
              </w:sdtContent>
            </w:sdt>
            <w:sdt>
              <w:sdtPr>
                <w:tag w:val="_PLD_b60d678e181949d998ae7d21f7dd9556"/>
                <w:id w:val="1489211860"/>
              </w:sdtPr>
              <w:sdtContent>
                <w:tc>
                  <w:tcPr>
                    <w:tcW w:w="1658" w:type="pct"/>
                    <w:tcBorders>
                      <w:top w:val="single" w:color="auto" w:sz="4" w:space="0"/>
                      <w:left w:val="single" w:color="auto" w:sz="4" w:space="0"/>
                      <w:bottom w:val="single" w:color="auto" w:sz="4" w:space="0"/>
                      <w:right w:val="single" w:color="auto" w:sz="4" w:space="0"/>
                    </w:tcBorders>
                    <w:vAlign w:val="center"/>
                  </w:tcPr>
                  <w:p w14:paraId="0FC11DD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营业成本</w:t>
                    </w:r>
                  </w:p>
                </w:tc>
              </w:sdtContent>
            </w:sdt>
          </w:tr>
          <w:tr w14:paraId="0C68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78EDE9B9">
                <w:pPr>
                  <w:rPr>
                    <w:color w:val="000000" w:themeColor="text1"/>
                    <w14:textFill>
                      <w14:solidFill>
                        <w14:schemeClr w14:val="tx1"/>
                      </w14:solidFill>
                    </w14:textFill>
                  </w:rPr>
                </w:pPr>
                <w:r>
                  <w:rPr>
                    <w:rFonts w:hint="eastAsia"/>
                    <w:color w:val="000000" w:themeColor="text1"/>
                    <w14:textFill>
                      <w14:solidFill>
                        <w14:schemeClr w14:val="tx1"/>
                      </w14:solidFill>
                    </w14:textFill>
                  </w:rPr>
                  <w:t>商品类型</w:t>
                </w:r>
              </w:p>
            </w:tc>
            <w:tc>
              <w:tcPr>
                <w:tcW w:w="1337" w:type="pct"/>
                <w:tcBorders>
                  <w:top w:val="single" w:color="auto" w:sz="4" w:space="0"/>
                  <w:left w:val="single" w:color="auto" w:sz="4" w:space="0"/>
                  <w:bottom w:val="single" w:color="auto" w:sz="4" w:space="0"/>
                  <w:right w:val="single" w:color="auto" w:sz="4" w:space="0"/>
                </w:tcBorders>
              </w:tcPr>
              <w:p w14:paraId="633C7B5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58" w:type="pct"/>
                <w:tcBorders>
                  <w:top w:val="single" w:color="auto" w:sz="4" w:space="0"/>
                  <w:left w:val="single" w:color="auto" w:sz="4" w:space="0"/>
                  <w:bottom w:val="single" w:color="auto" w:sz="4" w:space="0"/>
                  <w:right w:val="single" w:color="auto" w:sz="4" w:space="0"/>
                </w:tcBorders>
              </w:tcPr>
              <w:p w14:paraId="5FF6FC7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A50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35AE49CC">
                <w:pPr>
                  <w:ind w:firstLine="420" w:firstLineChars="200"/>
                  <w:rPr>
                    <w:color w:val="000000"/>
                  </w:rPr>
                </w:pPr>
                <w:r>
                  <w:rPr>
                    <w:rFonts w:hint="eastAsia"/>
                    <w:color w:val="000000"/>
                  </w:rPr>
                  <w:t>制造业</w:t>
                </w:r>
              </w:p>
            </w:tc>
            <w:tc>
              <w:tcPr>
                <w:tcW w:w="1337" w:type="pct"/>
                <w:tcBorders>
                  <w:top w:val="single" w:color="auto" w:sz="4" w:space="0"/>
                  <w:left w:val="single" w:color="auto" w:sz="4" w:space="0"/>
                  <w:bottom w:val="single" w:color="auto" w:sz="4" w:space="0"/>
                  <w:right w:val="single" w:color="auto" w:sz="4" w:space="0"/>
                </w:tcBorders>
                <w:vAlign w:val="center"/>
              </w:tcPr>
              <w:p w14:paraId="37F5C977">
                <w:pPr>
                  <w:jc w:val="right"/>
                  <w:rPr>
                    <w:color w:val="000000"/>
                  </w:rPr>
                </w:pPr>
                <w:r>
                  <w:rPr>
                    <w:rFonts w:hint="eastAsia"/>
                    <w:color w:val="000000"/>
                  </w:rPr>
                  <w:t>4,106,248,297.58</w:t>
                </w:r>
              </w:p>
            </w:tc>
            <w:tc>
              <w:tcPr>
                <w:tcW w:w="1658" w:type="pct"/>
                <w:tcBorders>
                  <w:top w:val="single" w:color="auto" w:sz="4" w:space="0"/>
                  <w:left w:val="single" w:color="auto" w:sz="4" w:space="0"/>
                  <w:bottom w:val="single" w:color="auto" w:sz="4" w:space="0"/>
                  <w:right w:val="single" w:color="auto" w:sz="4" w:space="0"/>
                </w:tcBorders>
                <w:vAlign w:val="center"/>
              </w:tcPr>
              <w:p w14:paraId="2BAD7291">
                <w:pPr>
                  <w:jc w:val="right"/>
                  <w:rPr>
                    <w:color w:val="000000"/>
                  </w:rPr>
                </w:pPr>
                <w:r>
                  <w:rPr>
                    <w:rFonts w:hint="eastAsia"/>
                    <w:color w:val="000000"/>
                  </w:rPr>
                  <w:t>3,813,369,236.80</w:t>
                </w:r>
              </w:p>
            </w:tc>
          </w:tr>
          <w:tr w14:paraId="213C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296BDB7E">
                <w:pPr>
                  <w:ind w:firstLine="420" w:firstLineChars="200"/>
                  <w:rPr>
                    <w:color w:val="000000"/>
                  </w:rPr>
                </w:pPr>
                <w:r>
                  <w:rPr>
                    <w:rFonts w:hint="eastAsia"/>
                    <w:color w:val="000000"/>
                  </w:rPr>
                  <w:t>房地产</w:t>
                </w:r>
              </w:p>
            </w:tc>
            <w:tc>
              <w:tcPr>
                <w:tcW w:w="1337" w:type="pct"/>
                <w:tcBorders>
                  <w:top w:val="single" w:color="auto" w:sz="4" w:space="0"/>
                  <w:left w:val="single" w:color="auto" w:sz="4" w:space="0"/>
                  <w:bottom w:val="single" w:color="auto" w:sz="4" w:space="0"/>
                  <w:right w:val="single" w:color="auto" w:sz="4" w:space="0"/>
                </w:tcBorders>
                <w:vAlign w:val="center"/>
              </w:tcPr>
              <w:p w14:paraId="19BEB092">
                <w:pPr>
                  <w:jc w:val="right"/>
                  <w:rPr>
                    <w:color w:val="000000"/>
                  </w:rPr>
                </w:pPr>
                <w:r>
                  <w:rPr>
                    <w:rFonts w:hint="eastAsia"/>
                    <w:color w:val="000000"/>
                  </w:rPr>
                  <w:t>41,532,656.94</w:t>
                </w:r>
              </w:p>
            </w:tc>
            <w:tc>
              <w:tcPr>
                <w:tcW w:w="1658" w:type="pct"/>
                <w:tcBorders>
                  <w:top w:val="single" w:color="auto" w:sz="4" w:space="0"/>
                  <w:left w:val="single" w:color="auto" w:sz="4" w:space="0"/>
                  <w:bottom w:val="single" w:color="auto" w:sz="4" w:space="0"/>
                  <w:right w:val="single" w:color="auto" w:sz="4" w:space="0"/>
                </w:tcBorders>
                <w:vAlign w:val="center"/>
              </w:tcPr>
              <w:p w14:paraId="7655FDF1">
                <w:pPr>
                  <w:jc w:val="right"/>
                  <w:rPr>
                    <w:color w:val="000000"/>
                  </w:rPr>
                </w:pPr>
                <w:r>
                  <w:rPr>
                    <w:rFonts w:hint="eastAsia"/>
                    <w:color w:val="000000"/>
                  </w:rPr>
                  <w:t>2,401,057.16</w:t>
                </w:r>
              </w:p>
            </w:tc>
          </w:tr>
          <w:tr w14:paraId="6D48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35AB6EC4">
                <w:pPr>
                  <w:rPr>
                    <w:color w:val="000000" w:themeColor="text1"/>
                    <w14:textFill>
                      <w14:solidFill>
                        <w14:schemeClr w14:val="tx1"/>
                      </w14:solidFill>
                    </w14:textFill>
                  </w:rPr>
                </w:pPr>
                <w:r>
                  <w:rPr>
                    <w:rFonts w:hint="eastAsia"/>
                    <w:color w:val="000000" w:themeColor="text1"/>
                    <w14:textFill>
                      <w14:solidFill>
                        <w14:schemeClr w14:val="tx1"/>
                      </w14:solidFill>
                    </w14:textFill>
                  </w:rPr>
                  <w:t>按经营地区分类</w:t>
                </w:r>
              </w:p>
            </w:tc>
            <w:tc>
              <w:tcPr>
                <w:tcW w:w="1337" w:type="pct"/>
                <w:tcBorders>
                  <w:top w:val="single" w:color="auto" w:sz="4" w:space="0"/>
                  <w:left w:val="single" w:color="auto" w:sz="4" w:space="0"/>
                  <w:bottom w:val="single" w:color="auto" w:sz="4" w:space="0"/>
                  <w:right w:val="single" w:color="auto" w:sz="4" w:space="0"/>
                </w:tcBorders>
              </w:tcPr>
              <w:p w14:paraId="5F34628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58" w:type="pct"/>
                <w:tcBorders>
                  <w:top w:val="single" w:color="auto" w:sz="4" w:space="0"/>
                  <w:left w:val="single" w:color="auto" w:sz="4" w:space="0"/>
                  <w:bottom w:val="single" w:color="auto" w:sz="4" w:space="0"/>
                  <w:right w:val="single" w:color="auto" w:sz="4" w:space="0"/>
                </w:tcBorders>
              </w:tcPr>
              <w:p w14:paraId="3C79B033">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0E95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1E70CF5A">
                <w:pPr>
                  <w:ind w:firstLine="420" w:firstLineChars="200"/>
                  <w:rPr>
                    <w:color w:val="000000"/>
                  </w:rPr>
                </w:pPr>
                <w:r>
                  <w:rPr>
                    <w:rFonts w:hint="eastAsia"/>
                    <w:color w:val="000000"/>
                  </w:rPr>
                  <w:t>国内</w:t>
                </w:r>
              </w:p>
            </w:tc>
            <w:tc>
              <w:tcPr>
                <w:tcW w:w="1337" w:type="pct"/>
                <w:tcBorders>
                  <w:top w:val="single" w:color="auto" w:sz="4" w:space="0"/>
                  <w:left w:val="single" w:color="auto" w:sz="4" w:space="0"/>
                  <w:bottom w:val="single" w:color="auto" w:sz="4" w:space="0"/>
                  <w:right w:val="single" w:color="auto" w:sz="4" w:space="0"/>
                </w:tcBorders>
                <w:vAlign w:val="center"/>
              </w:tcPr>
              <w:p w14:paraId="6B7410D9">
                <w:pPr>
                  <w:jc w:val="right"/>
                  <w:rPr>
                    <w:color w:val="000000"/>
                  </w:rPr>
                </w:pPr>
                <w:r>
                  <w:rPr>
                    <w:rFonts w:hint="eastAsia"/>
                    <w:color w:val="000000"/>
                  </w:rPr>
                  <w:t>2,692,696,936.69</w:t>
                </w:r>
              </w:p>
            </w:tc>
            <w:tc>
              <w:tcPr>
                <w:tcW w:w="1658" w:type="pct"/>
                <w:tcBorders>
                  <w:top w:val="single" w:color="auto" w:sz="4" w:space="0"/>
                  <w:left w:val="single" w:color="auto" w:sz="4" w:space="0"/>
                  <w:bottom w:val="single" w:color="auto" w:sz="4" w:space="0"/>
                  <w:right w:val="single" w:color="auto" w:sz="4" w:space="0"/>
                </w:tcBorders>
                <w:vAlign w:val="center"/>
              </w:tcPr>
              <w:p w14:paraId="07C7D3CD">
                <w:pPr>
                  <w:jc w:val="right"/>
                  <w:rPr>
                    <w:color w:val="000000"/>
                  </w:rPr>
                </w:pPr>
                <w:r>
                  <w:rPr>
                    <w:rFonts w:hint="eastAsia"/>
                    <w:color w:val="000000"/>
                  </w:rPr>
                  <w:t>2,572,090,311.60</w:t>
                </w:r>
              </w:p>
            </w:tc>
          </w:tr>
          <w:tr w14:paraId="5AC2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040E39AD">
                <w:pPr>
                  <w:ind w:firstLine="420" w:firstLineChars="200"/>
                  <w:rPr>
                    <w:color w:val="000000"/>
                  </w:rPr>
                </w:pPr>
                <w:r>
                  <w:rPr>
                    <w:rFonts w:hint="eastAsia"/>
                    <w:color w:val="000000"/>
                  </w:rPr>
                  <w:t>国外</w:t>
                </w:r>
              </w:p>
            </w:tc>
            <w:tc>
              <w:tcPr>
                <w:tcW w:w="1337" w:type="pct"/>
                <w:tcBorders>
                  <w:top w:val="single" w:color="auto" w:sz="4" w:space="0"/>
                  <w:left w:val="single" w:color="auto" w:sz="4" w:space="0"/>
                  <w:bottom w:val="single" w:color="auto" w:sz="4" w:space="0"/>
                  <w:right w:val="single" w:color="auto" w:sz="4" w:space="0"/>
                </w:tcBorders>
                <w:vAlign w:val="center"/>
              </w:tcPr>
              <w:p w14:paraId="6F59AB78">
                <w:pPr>
                  <w:jc w:val="right"/>
                  <w:rPr>
                    <w:color w:val="000000"/>
                  </w:rPr>
                </w:pPr>
                <w:r>
                  <w:rPr>
                    <w:rFonts w:hint="eastAsia"/>
                    <w:color w:val="000000"/>
                  </w:rPr>
                  <w:t>1,455,084,017.83</w:t>
                </w:r>
              </w:p>
            </w:tc>
            <w:tc>
              <w:tcPr>
                <w:tcW w:w="1658" w:type="pct"/>
                <w:tcBorders>
                  <w:top w:val="single" w:color="auto" w:sz="4" w:space="0"/>
                  <w:left w:val="single" w:color="auto" w:sz="4" w:space="0"/>
                  <w:bottom w:val="single" w:color="auto" w:sz="4" w:space="0"/>
                  <w:right w:val="single" w:color="auto" w:sz="4" w:space="0"/>
                </w:tcBorders>
                <w:vAlign w:val="center"/>
              </w:tcPr>
              <w:p w14:paraId="56D85D50">
                <w:pPr>
                  <w:jc w:val="right"/>
                  <w:rPr>
                    <w:color w:val="000000"/>
                  </w:rPr>
                </w:pPr>
                <w:r>
                  <w:rPr>
                    <w:rFonts w:hint="eastAsia"/>
                    <w:color w:val="000000"/>
                  </w:rPr>
                  <w:t>1,243,679,982.36</w:t>
                </w:r>
              </w:p>
            </w:tc>
          </w:tr>
          <w:tr w14:paraId="1193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08914305">
                <w:pPr>
                  <w:rPr>
                    <w:color w:val="000000" w:themeColor="text1"/>
                    <w14:textFill>
                      <w14:solidFill>
                        <w14:schemeClr w14:val="tx1"/>
                      </w14:solidFill>
                    </w14:textFill>
                  </w:rPr>
                </w:pPr>
                <w:r>
                  <w:rPr>
                    <w:rFonts w:hint="eastAsia"/>
                    <w:color w:val="000000" w:themeColor="text1"/>
                    <w14:textFill>
                      <w14:solidFill>
                        <w14:schemeClr w14:val="tx1"/>
                      </w14:solidFill>
                    </w14:textFill>
                  </w:rPr>
                  <w:t>市场或客户类型</w:t>
                </w:r>
              </w:p>
            </w:tc>
            <w:tc>
              <w:tcPr>
                <w:tcW w:w="1337" w:type="pct"/>
                <w:tcBorders>
                  <w:top w:val="single" w:color="auto" w:sz="4" w:space="0"/>
                  <w:left w:val="single" w:color="auto" w:sz="4" w:space="0"/>
                  <w:bottom w:val="single" w:color="auto" w:sz="4" w:space="0"/>
                  <w:right w:val="single" w:color="auto" w:sz="4" w:space="0"/>
                </w:tcBorders>
              </w:tcPr>
              <w:p w14:paraId="0B80FC2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58" w:type="pct"/>
                <w:tcBorders>
                  <w:top w:val="single" w:color="auto" w:sz="4" w:space="0"/>
                  <w:left w:val="single" w:color="auto" w:sz="4" w:space="0"/>
                  <w:bottom w:val="single" w:color="auto" w:sz="4" w:space="0"/>
                  <w:right w:val="single" w:color="auto" w:sz="4" w:space="0"/>
                </w:tcBorders>
              </w:tcPr>
              <w:p w14:paraId="020343A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7C54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2A97B11A">
                <w:pPr>
                  <w:ind w:firstLine="420" w:firstLineChars="200"/>
                </w:pPr>
                <w:r>
                  <w:rPr>
                    <w:rFonts w:hint="eastAsia"/>
                  </w:rPr>
                  <w:t>摩托车及其配件</w:t>
                </w:r>
              </w:p>
            </w:tc>
            <w:tc>
              <w:tcPr>
                <w:tcW w:w="1337" w:type="pct"/>
                <w:tcBorders>
                  <w:top w:val="single" w:color="auto" w:sz="4" w:space="0"/>
                  <w:left w:val="single" w:color="auto" w:sz="4" w:space="0"/>
                  <w:bottom w:val="single" w:color="auto" w:sz="4" w:space="0"/>
                  <w:right w:val="single" w:color="auto" w:sz="4" w:space="0"/>
                </w:tcBorders>
                <w:vAlign w:val="center"/>
              </w:tcPr>
              <w:p w14:paraId="68548E77">
                <w:pPr>
                  <w:jc w:val="right"/>
                </w:pPr>
                <w:r>
                  <w:rPr>
                    <w:rFonts w:hint="eastAsia"/>
                    <w:color w:val="000000"/>
                  </w:rPr>
                  <w:t>1,278,769,679.68</w:t>
                </w:r>
              </w:p>
            </w:tc>
            <w:tc>
              <w:tcPr>
                <w:tcW w:w="1658" w:type="pct"/>
                <w:tcBorders>
                  <w:top w:val="single" w:color="auto" w:sz="4" w:space="0"/>
                  <w:left w:val="single" w:color="auto" w:sz="4" w:space="0"/>
                  <w:bottom w:val="single" w:color="auto" w:sz="4" w:space="0"/>
                  <w:right w:val="single" w:color="auto" w:sz="4" w:space="0"/>
                </w:tcBorders>
                <w:vAlign w:val="center"/>
              </w:tcPr>
              <w:p w14:paraId="770959F5">
                <w:pPr>
                  <w:jc w:val="right"/>
                </w:pPr>
                <w:r>
                  <w:rPr>
                    <w:rFonts w:hint="eastAsia"/>
                    <w:color w:val="000000"/>
                  </w:rPr>
                  <w:t>1,120,591,875.67</w:t>
                </w:r>
              </w:p>
            </w:tc>
          </w:tr>
          <w:tr w14:paraId="1327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3BD08232">
                <w:pPr>
                  <w:ind w:firstLine="420" w:firstLineChars="200"/>
                </w:pPr>
                <w:r>
                  <w:t>内燃机及其配件</w:t>
                </w:r>
              </w:p>
            </w:tc>
            <w:tc>
              <w:tcPr>
                <w:tcW w:w="1337" w:type="pct"/>
                <w:tcBorders>
                  <w:top w:val="single" w:color="auto" w:sz="4" w:space="0"/>
                  <w:left w:val="single" w:color="auto" w:sz="4" w:space="0"/>
                  <w:bottom w:val="single" w:color="auto" w:sz="4" w:space="0"/>
                  <w:right w:val="single" w:color="auto" w:sz="4" w:space="0"/>
                </w:tcBorders>
                <w:vAlign w:val="center"/>
              </w:tcPr>
              <w:p w14:paraId="5E985E05">
                <w:pPr>
                  <w:jc w:val="right"/>
                </w:pPr>
                <w:r>
                  <w:rPr>
                    <w:rFonts w:hint="eastAsia"/>
                    <w:color w:val="000000"/>
                  </w:rPr>
                  <w:t>203,671,901.85</w:t>
                </w:r>
              </w:p>
            </w:tc>
            <w:tc>
              <w:tcPr>
                <w:tcW w:w="1658" w:type="pct"/>
                <w:tcBorders>
                  <w:top w:val="single" w:color="auto" w:sz="4" w:space="0"/>
                  <w:left w:val="single" w:color="auto" w:sz="4" w:space="0"/>
                  <w:bottom w:val="single" w:color="auto" w:sz="4" w:space="0"/>
                  <w:right w:val="single" w:color="auto" w:sz="4" w:space="0"/>
                </w:tcBorders>
                <w:vAlign w:val="center"/>
              </w:tcPr>
              <w:p w14:paraId="67D8DC68">
                <w:pPr>
                  <w:jc w:val="right"/>
                </w:pPr>
                <w:r>
                  <w:rPr>
                    <w:rFonts w:hint="eastAsia"/>
                    <w:color w:val="000000"/>
                  </w:rPr>
                  <w:t>154,466,044.78</w:t>
                </w:r>
              </w:p>
            </w:tc>
          </w:tr>
          <w:tr w14:paraId="066F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51B277F9">
                <w:pPr>
                  <w:ind w:firstLine="420" w:firstLineChars="200"/>
                </w:pPr>
                <w:r>
                  <w:t>乘用车及其配件</w:t>
                </w:r>
              </w:p>
            </w:tc>
            <w:tc>
              <w:tcPr>
                <w:tcW w:w="1337" w:type="pct"/>
                <w:tcBorders>
                  <w:top w:val="single" w:color="auto" w:sz="4" w:space="0"/>
                  <w:left w:val="single" w:color="auto" w:sz="4" w:space="0"/>
                  <w:bottom w:val="single" w:color="auto" w:sz="4" w:space="0"/>
                  <w:right w:val="single" w:color="auto" w:sz="4" w:space="0"/>
                </w:tcBorders>
                <w:vAlign w:val="center"/>
              </w:tcPr>
              <w:p w14:paraId="5943823D">
                <w:pPr>
                  <w:jc w:val="right"/>
                </w:pPr>
                <w:r>
                  <w:rPr>
                    <w:rFonts w:hint="eastAsia"/>
                    <w:color w:val="000000"/>
                  </w:rPr>
                  <w:t>2,623,806,716.05</w:t>
                </w:r>
              </w:p>
            </w:tc>
            <w:tc>
              <w:tcPr>
                <w:tcW w:w="1658" w:type="pct"/>
                <w:tcBorders>
                  <w:top w:val="single" w:color="auto" w:sz="4" w:space="0"/>
                  <w:left w:val="single" w:color="auto" w:sz="4" w:space="0"/>
                  <w:bottom w:val="single" w:color="auto" w:sz="4" w:space="0"/>
                  <w:right w:val="single" w:color="auto" w:sz="4" w:space="0"/>
                </w:tcBorders>
                <w:vAlign w:val="center"/>
              </w:tcPr>
              <w:p w14:paraId="1AD7FD8C">
                <w:pPr>
                  <w:jc w:val="right"/>
                </w:pPr>
                <w:r>
                  <w:rPr>
                    <w:rFonts w:hint="eastAsia"/>
                    <w:color w:val="000000"/>
                  </w:rPr>
                  <w:t>2,538,311,316.35</w:t>
                </w:r>
              </w:p>
            </w:tc>
          </w:tr>
          <w:tr w14:paraId="0418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0F443878">
                <w:pPr>
                  <w:ind w:firstLine="420" w:firstLineChars="200"/>
                </w:pPr>
                <w:r>
                  <w:rPr>
                    <w:rFonts w:hint="eastAsia"/>
                  </w:rPr>
                  <w:t>房地产</w:t>
                </w:r>
              </w:p>
            </w:tc>
            <w:tc>
              <w:tcPr>
                <w:tcW w:w="1337" w:type="pct"/>
                <w:tcBorders>
                  <w:top w:val="single" w:color="auto" w:sz="4" w:space="0"/>
                  <w:left w:val="single" w:color="auto" w:sz="4" w:space="0"/>
                  <w:bottom w:val="single" w:color="auto" w:sz="4" w:space="0"/>
                  <w:right w:val="single" w:color="auto" w:sz="4" w:space="0"/>
                </w:tcBorders>
                <w:vAlign w:val="center"/>
              </w:tcPr>
              <w:p w14:paraId="56CA27AA">
                <w:pPr>
                  <w:jc w:val="right"/>
                </w:pPr>
                <w:r>
                  <w:rPr>
                    <w:rFonts w:hint="eastAsia"/>
                    <w:color w:val="000000"/>
                  </w:rPr>
                  <w:t>41,532,656.94</w:t>
                </w:r>
              </w:p>
            </w:tc>
            <w:tc>
              <w:tcPr>
                <w:tcW w:w="1658" w:type="pct"/>
                <w:tcBorders>
                  <w:top w:val="single" w:color="auto" w:sz="4" w:space="0"/>
                  <w:left w:val="single" w:color="auto" w:sz="4" w:space="0"/>
                  <w:bottom w:val="single" w:color="auto" w:sz="4" w:space="0"/>
                  <w:right w:val="single" w:color="auto" w:sz="4" w:space="0"/>
                </w:tcBorders>
                <w:vAlign w:val="center"/>
              </w:tcPr>
              <w:p w14:paraId="16813392">
                <w:pPr>
                  <w:jc w:val="right"/>
                </w:pPr>
                <w:r>
                  <w:rPr>
                    <w:rFonts w:hint="eastAsia"/>
                    <w:color w:val="000000"/>
                  </w:rPr>
                  <w:t>2,401,057.16</w:t>
                </w:r>
              </w:p>
            </w:tc>
          </w:tr>
          <w:tr w14:paraId="1821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0B7ABF7E">
                <w:pPr>
                  <w:rPr>
                    <w:color w:val="000000" w:themeColor="text1"/>
                    <w14:textFill>
                      <w14:solidFill>
                        <w14:schemeClr w14:val="tx1"/>
                      </w14:solidFill>
                    </w14:textFill>
                  </w:rPr>
                </w:pPr>
                <w:r>
                  <w:rPr>
                    <w:rFonts w:hint="eastAsia"/>
                    <w:color w:val="000000" w:themeColor="text1"/>
                    <w14:textFill>
                      <w14:solidFill>
                        <w14:schemeClr w14:val="tx1"/>
                      </w14:solidFill>
                    </w14:textFill>
                  </w:rPr>
                  <w:t>合同类型</w:t>
                </w:r>
              </w:p>
            </w:tc>
            <w:tc>
              <w:tcPr>
                <w:tcW w:w="1337" w:type="pct"/>
                <w:tcBorders>
                  <w:top w:val="single" w:color="auto" w:sz="4" w:space="0"/>
                  <w:left w:val="single" w:color="auto" w:sz="4" w:space="0"/>
                  <w:bottom w:val="single" w:color="auto" w:sz="4" w:space="0"/>
                  <w:right w:val="single" w:color="auto" w:sz="4" w:space="0"/>
                </w:tcBorders>
              </w:tcPr>
              <w:p w14:paraId="1C22CAE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58" w:type="pct"/>
                <w:tcBorders>
                  <w:top w:val="single" w:color="auto" w:sz="4" w:space="0"/>
                  <w:left w:val="single" w:color="auto" w:sz="4" w:space="0"/>
                  <w:bottom w:val="single" w:color="auto" w:sz="4" w:space="0"/>
                  <w:right w:val="single" w:color="auto" w:sz="4" w:space="0"/>
                </w:tcBorders>
              </w:tcPr>
              <w:p w14:paraId="74EAA5C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16C5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3F26E6B6">
                <w:pPr>
                  <w:ind w:firstLine="420" w:firstLineChars="200"/>
                </w:pPr>
                <w:r>
                  <w:rPr>
                    <w:rFonts w:hint="eastAsia"/>
                  </w:rPr>
                  <w:t>产品销售合同</w:t>
                </w:r>
              </w:p>
            </w:tc>
            <w:tc>
              <w:tcPr>
                <w:tcW w:w="1337" w:type="pct"/>
                <w:tcBorders>
                  <w:top w:val="single" w:color="auto" w:sz="4" w:space="0"/>
                  <w:left w:val="single" w:color="auto" w:sz="4" w:space="0"/>
                  <w:bottom w:val="single" w:color="auto" w:sz="4" w:space="0"/>
                  <w:right w:val="single" w:color="auto" w:sz="4" w:space="0"/>
                </w:tcBorders>
                <w:vAlign w:val="center"/>
              </w:tcPr>
              <w:p w14:paraId="4541FEA1">
                <w:pPr>
                  <w:jc w:val="right"/>
                </w:pPr>
                <w:r>
                  <w:rPr>
                    <w:rFonts w:hint="eastAsia"/>
                    <w:color w:val="000000"/>
                  </w:rPr>
                  <w:t>4,105,641,776.54</w:t>
                </w:r>
              </w:p>
            </w:tc>
            <w:tc>
              <w:tcPr>
                <w:tcW w:w="1658" w:type="pct"/>
                <w:tcBorders>
                  <w:top w:val="single" w:color="auto" w:sz="4" w:space="0"/>
                  <w:left w:val="single" w:color="auto" w:sz="4" w:space="0"/>
                  <w:bottom w:val="single" w:color="auto" w:sz="4" w:space="0"/>
                  <w:right w:val="single" w:color="auto" w:sz="4" w:space="0"/>
                </w:tcBorders>
                <w:vAlign w:val="center"/>
              </w:tcPr>
              <w:p w14:paraId="3FC1B28C">
                <w:pPr>
                  <w:jc w:val="right"/>
                </w:pPr>
                <w:r>
                  <w:rPr>
                    <w:rFonts w:hint="eastAsia"/>
                    <w:color w:val="000000"/>
                  </w:rPr>
                  <w:t>3,812,715,043.39</w:t>
                </w:r>
              </w:p>
            </w:tc>
          </w:tr>
          <w:tr w14:paraId="0EF3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1EEFAD82">
                <w:pPr>
                  <w:ind w:firstLine="420" w:firstLineChars="200"/>
                </w:pPr>
                <w:r>
                  <w:t>房屋租赁合同</w:t>
                </w:r>
              </w:p>
            </w:tc>
            <w:tc>
              <w:tcPr>
                <w:tcW w:w="1337" w:type="pct"/>
                <w:tcBorders>
                  <w:top w:val="single" w:color="auto" w:sz="4" w:space="0"/>
                  <w:left w:val="single" w:color="auto" w:sz="4" w:space="0"/>
                  <w:bottom w:val="single" w:color="auto" w:sz="4" w:space="0"/>
                  <w:right w:val="single" w:color="auto" w:sz="4" w:space="0"/>
                </w:tcBorders>
                <w:vAlign w:val="center"/>
              </w:tcPr>
              <w:p w14:paraId="58A8CB70">
                <w:pPr>
                  <w:jc w:val="right"/>
                </w:pPr>
                <w:r>
                  <w:rPr>
                    <w:rFonts w:hint="eastAsia"/>
                    <w:color w:val="000000"/>
                  </w:rPr>
                  <w:t xml:space="preserve"> 39,414,064.25 </w:t>
                </w:r>
              </w:p>
            </w:tc>
            <w:tc>
              <w:tcPr>
                <w:tcW w:w="1658" w:type="pct"/>
                <w:tcBorders>
                  <w:top w:val="single" w:color="auto" w:sz="4" w:space="0"/>
                  <w:left w:val="single" w:color="auto" w:sz="4" w:space="0"/>
                  <w:bottom w:val="single" w:color="auto" w:sz="4" w:space="0"/>
                  <w:right w:val="single" w:color="auto" w:sz="4" w:space="0"/>
                </w:tcBorders>
                <w:vAlign w:val="center"/>
              </w:tcPr>
              <w:p w14:paraId="63248CED">
                <w:pPr>
                  <w:jc w:val="right"/>
                </w:pPr>
                <w:r>
                  <w:rPr>
                    <w:rFonts w:hint="eastAsia"/>
                    <w:color w:val="000000"/>
                  </w:rPr>
                  <w:t>　</w:t>
                </w:r>
              </w:p>
            </w:tc>
          </w:tr>
          <w:tr w14:paraId="5482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5A64B15F">
                <w:pPr>
                  <w:ind w:firstLine="420" w:firstLineChars="200"/>
                </w:pPr>
                <w:r>
                  <w:rPr>
                    <w:rFonts w:hint="eastAsia"/>
                  </w:rPr>
                  <w:t>其他服务合同</w:t>
                </w:r>
              </w:p>
            </w:tc>
            <w:tc>
              <w:tcPr>
                <w:tcW w:w="1337" w:type="pct"/>
                <w:tcBorders>
                  <w:top w:val="single" w:color="auto" w:sz="4" w:space="0"/>
                  <w:left w:val="single" w:color="auto" w:sz="4" w:space="0"/>
                  <w:bottom w:val="single" w:color="auto" w:sz="4" w:space="0"/>
                  <w:right w:val="single" w:color="auto" w:sz="4" w:space="0"/>
                </w:tcBorders>
                <w:vAlign w:val="center"/>
              </w:tcPr>
              <w:p w14:paraId="663AF276">
                <w:pPr>
                  <w:jc w:val="right"/>
                </w:pPr>
                <w:r>
                  <w:rPr>
                    <w:rFonts w:hint="eastAsia"/>
                    <w:color w:val="000000"/>
                  </w:rPr>
                  <w:t>2,725,113.73</w:t>
                </w:r>
              </w:p>
            </w:tc>
            <w:tc>
              <w:tcPr>
                <w:tcW w:w="1658" w:type="pct"/>
                <w:tcBorders>
                  <w:top w:val="single" w:color="auto" w:sz="4" w:space="0"/>
                  <w:left w:val="single" w:color="auto" w:sz="4" w:space="0"/>
                  <w:bottom w:val="single" w:color="auto" w:sz="4" w:space="0"/>
                  <w:right w:val="single" w:color="auto" w:sz="4" w:space="0"/>
                </w:tcBorders>
                <w:vAlign w:val="center"/>
              </w:tcPr>
              <w:p w14:paraId="60B6719B">
                <w:pPr>
                  <w:jc w:val="right"/>
                </w:pPr>
                <w:r>
                  <w:rPr>
                    <w:rFonts w:hint="eastAsia"/>
                    <w:color w:val="000000"/>
                  </w:rPr>
                  <w:t>3,055,250.57</w:t>
                </w:r>
              </w:p>
            </w:tc>
          </w:tr>
          <w:tr w14:paraId="7898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63B70EA4">
                <w:pPr>
                  <w:rPr>
                    <w:color w:val="000000" w:themeColor="text1"/>
                    <w14:textFill>
                      <w14:solidFill>
                        <w14:schemeClr w14:val="tx1"/>
                      </w14:solidFill>
                    </w14:textFill>
                  </w:rPr>
                </w:pPr>
                <w:r>
                  <w:rPr>
                    <w:rFonts w:hint="eastAsia"/>
                    <w:color w:val="000000" w:themeColor="text1"/>
                    <w14:textFill>
                      <w14:solidFill>
                        <w14:schemeClr w14:val="tx1"/>
                      </w14:solidFill>
                    </w14:textFill>
                  </w:rPr>
                  <w:t>按商品转让的时间分类</w:t>
                </w:r>
              </w:p>
            </w:tc>
            <w:tc>
              <w:tcPr>
                <w:tcW w:w="1337" w:type="pct"/>
                <w:tcBorders>
                  <w:top w:val="single" w:color="auto" w:sz="4" w:space="0"/>
                  <w:left w:val="single" w:color="auto" w:sz="4" w:space="0"/>
                  <w:bottom w:val="single" w:color="auto" w:sz="4" w:space="0"/>
                  <w:right w:val="single" w:color="auto" w:sz="4" w:space="0"/>
                </w:tcBorders>
              </w:tcPr>
              <w:p w14:paraId="6FE19D3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58" w:type="pct"/>
                <w:tcBorders>
                  <w:top w:val="single" w:color="auto" w:sz="4" w:space="0"/>
                  <w:left w:val="single" w:color="auto" w:sz="4" w:space="0"/>
                  <w:bottom w:val="single" w:color="auto" w:sz="4" w:space="0"/>
                  <w:right w:val="single" w:color="auto" w:sz="4" w:space="0"/>
                </w:tcBorders>
              </w:tcPr>
              <w:p w14:paraId="0B9AC64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4F82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6F32FB54">
                <w:pPr>
                  <w:ind w:firstLine="420" w:firstLineChars="200"/>
                </w:pPr>
                <w:r>
                  <w:rPr>
                    <w:rFonts w:hint="eastAsia"/>
                  </w:rPr>
                  <w:t>在某一时点转让</w:t>
                </w:r>
              </w:p>
            </w:tc>
            <w:tc>
              <w:tcPr>
                <w:tcW w:w="1337" w:type="pct"/>
                <w:tcBorders>
                  <w:top w:val="single" w:color="auto" w:sz="4" w:space="0"/>
                  <w:left w:val="single" w:color="auto" w:sz="4" w:space="0"/>
                  <w:bottom w:val="single" w:color="auto" w:sz="4" w:space="0"/>
                  <w:right w:val="single" w:color="auto" w:sz="4" w:space="0"/>
                </w:tcBorders>
                <w:vAlign w:val="center"/>
              </w:tcPr>
              <w:p w14:paraId="564350A5">
                <w:pPr>
                  <w:jc w:val="right"/>
                </w:pPr>
                <w:r>
                  <w:rPr>
                    <w:rFonts w:hint="eastAsia"/>
                    <w:color w:val="000000"/>
                  </w:rPr>
                  <w:t>4,105,641,776.54</w:t>
                </w:r>
              </w:p>
            </w:tc>
            <w:tc>
              <w:tcPr>
                <w:tcW w:w="1658" w:type="pct"/>
                <w:tcBorders>
                  <w:top w:val="single" w:color="auto" w:sz="4" w:space="0"/>
                  <w:left w:val="single" w:color="auto" w:sz="4" w:space="0"/>
                  <w:bottom w:val="single" w:color="auto" w:sz="4" w:space="0"/>
                  <w:right w:val="single" w:color="auto" w:sz="4" w:space="0"/>
                </w:tcBorders>
                <w:vAlign w:val="center"/>
              </w:tcPr>
              <w:p w14:paraId="64FC859C">
                <w:pPr>
                  <w:jc w:val="right"/>
                </w:pPr>
                <w:r>
                  <w:rPr>
                    <w:rFonts w:hint="eastAsia"/>
                    <w:color w:val="000000"/>
                  </w:rPr>
                  <w:t>3,812,715,043.39</w:t>
                </w:r>
              </w:p>
            </w:tc>
          </w:tr>
          <w:tr w14:paraId="4583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20BF0A2E">
                <w:pPr>
                  <w:ind w:firstLine="420" w:firstLineChars="200"/>
                </w:pPr>
                <w:r>
                  <w:rPr>
                    <w:rFonts w:hint="eastAsia"/>
                  </w:rPr>
                  <w:t>在某一时段内转让</w:t>
                </w:r>
              </w:p>
            </w:tc>
            <w:tc>
              <w:tcPr>
                <w:tcW w:w="1337" w:type="pct"/>
                <w:tcBorders>
                  <w:top w:val="single" w:color="auto" w:sz="4" w:space="0"/>
                  <w:left w:val="single" w:color="auto" w:sz="4" w:space="0"/>
                  <w:bottom w:val="single" w:color="auto" w:sz="4" w:space="0"/>
                  <w:right w:val="single" w:color="auto" w:sz="4" w:space="0"/>
                </w:tcBorders>
                <w:vAlign w:val="center"/>
              </w:tcPr>
              <w:p w14:paraId="517B7E71">
                <w:pPr>
                  <w:jc w:val="right"/>
                </w:pPr>
                <w:r>
                  <w:rPr>
                    <w:rFonts w:hint="eastAsia"/>
                    <w:color w:val="000000"/>
                  </w:rPr>
                  <w:t>42,139,177.98</w:t>
                </w:r>
              </w:p>
            </w:tc>
            <w:tc>
              <w:tcPr>
                <w:tcW w:w="1658" w:type="pct"/>
                <w:tcBorders>
                  <w:top w:val="single" w:color="auto" w:sz="4" w:space="0"/>
                  <w:left w:val="single" w:color="auto" w:sz="4" w:space="0"/>
                  <w:bottom w:val="single" w:color="auto" w:sz="4" w:space="0"/>
                  <w:right w:val="single" w:color="auto" w:sz="4" w:space="0"/>
                </w:tcBorders>
                <w:vAlign w:val="center"/>
              </w:tcPr>
              <w:p w14:paraId="6CDF71DB">
                <w:pPr>
                  <w:jc w:val="right"/>
                </w:pPr>
                <w:r>
                  <w:rPr>
                    <w:rFonts w:hint="eastAsia"/>
                    <w:color w:val="000000"/>
                  </w:rPr>
                  <w:t>3,055,250.57</w:t>
                </w:r>
              </w:p>
            </w:tc>
          </w:tr>
          <w:tr w14:paraId="1D26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2A8C29BB">
                <w:pPr>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按</w:t>
                </w:r>
                <w:r>
                  <w:rPr>
                    <w:rFonts w:hint="eastAsia"/>
                    <w:color w:val="000000" w:themeColor="text1"/>
                    <w14:textFill>
                      <w14:solidFill>
                        <w14:schemeClr w14:val="tx1"/>
                      </w14:solidFill>
                    </w14:textFill>
                  </w:rPr>
                  <w:t>合同期限分类</w:t>
                </w:r>
              </w:p>
            </w:tc>
            <w:tc>
              <w:tcPr>
                <w:tcW w:w="1337" w:type="pct"/>
                <w:tcBorders>
                  <w:top w:val="single" w:color="auto" w:sz="4" w:space="0"/>
                  <w:left w:val="single" w:color="auto" w:sz="4" w:space="0"/>
                  <w:bottom w:val="single" w:color="auto" w:sz="4" w:space="0"/>
                  <w:right w:val="single" w:color="auto" w:sz="4" w:space="0"/>
                </w:tcBorders>
              </w:tcPr>
              <w:p w14:paraId="4282458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58" w:type="pct"/>
                <w:tcBorders>
                  <w:top w:val="single" w:color="auto" w:sz="4" w:space="0"/>
                  <w:left w:val="single" w:color="auto" w:sz="4" w:space="0"/>
                  <w:bottom w:val="single" w:color="auto" w:sz="4" w:space="0"/>
                  <w:right w:val="single" w:color="auto" w:sz="4" w:space="0"/>
                </w:tcBorders>
              </w:tcPr>
              <w:p w14:paraId="612EECD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DC0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0706FD0A">
                <w:pPr>
                  <w:ind w:firstLine="420" w:firstLineChars="200"/>
                </w:pPr>
                <w:r>
                  <w:rPr>
                    <w:rFonts w:hint="eastAsia"/>
                  </w:rPr>
                  <w:t>1年以内</w:t>
                </w:r>
              </w:p>
            </w:tc>
            <w:tc>
              <w:tcPr>
                <w:tcW w:w="1337" w:type="pct"/>
                <w:tcBorders>
                  <w:top w:val="single" w:color="auto" w:sz="4" w:space="0"/>
                  <w:left w:val="single" w:color="auto" w:sz="4" w:space="0"/>
                  <w:bottom w:val="single" w:color="auto" w:sz="4" w:space="0"/>
                  <w:right w:val="single" w:color="auto" w:sz="4" w:space="0"/>
                </w:tcBorders>
                <w:vAlign w:val="center"/>
              </w:tcPr>
              <w:p w14:paraId="25D1C3AA">
                <w:pPr>
                  <w:jc w:val="right"/>
                </w:pPr>
                <w:r>
                  <w:rPr>
                    <w:rFonts w:hint="eastAsia"/>
                    <w:color w:val="000000"/>
                  </w:rPr>
                  <w:t>4,147,780,954.52</w:t>
                </w:r>
              </w:p>
            </w:tc>
            <w:tc>
              <w:tcPr>
                <w:tcW w:w="1658" w:type="pct"/>
                <w:tcBorders>
                  <w:top w:val="single" w:color="auto" w:sz="4" w:space="0"/>
                  <w:left w:val="single" w:color="auto" w:sz="4" w:space="0"/>
                  <w:bottom w:val="single" w:color="auto" w:sz="4" w:space="0"/>
                  <w:right w:val="single" w:color="auto" w:sz="4" w:space="0"/>
                </w:tcBorders>
                <w:vAlign w:val="center"/>
              </w:tcPr>
              <w:p w14:paraId="214DB2CA">
                <w:pPr>
                  <w:jc w:val="right"/>
                </w:pPr>
                <w:r>
                  <w:rPr>
                    <w:rFonts w:hint="eastAsia"/>
                    <w:color w:val="000000"/>
                  </w:rPr>
                  <w:t>3,815,770,293.96</w:t>
                </w:r>
              </w:p>
            </w:tc>
          </w:tr>
          <w:tr w14:paraId="3BF7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7AEE6FC4">
                <w:pPr>
                  <w:ind w:firstLine="420" w:firstLineChars="200"/>
                </w:pPr>
                <w:r>
                  <w:rPr>
                    <w:rFonts w:hint="eastAsia"/>
                  </w:rPr>
                  <w:t>1年以上</w:t>
                </w:r>
              </w:p>
            </w:tc>
            <w:tc>
              <w:tcPr>
                <w:tcW w:w="1337" w:type="pct"/>
                <w:tcBorders>
                  <w:top w:val="single" w:color="auto" w:sz="4" w:space="0"/>
                  <w:left w:val="single" w:color="auto" w:sz="4" w:space="0"/>
                  <w:bottom w:val="single" w:color="auto" w:sz="4" w:space="0"/>
                  <w:right w:val="single" w:color="auto" w:sz="4" w:space="0"/>
                </w:tcBorders>
              </w:tcPr>
              <w:p w14:paraId="231E08CB">
                <w:pPr>
                  <w:jc w:val="right"/>
                </w:pPr>
              </w:p>
            </w:tc>
            <w:tc>
              <w:tcPr>
                <w:tcW w:w="1658" w:type="pct"/>
                <w:tcBorders>
                  <w:top w:val="single" w:color="auto" w:sz="4" w:space="0"/>
                  <w:left w:val="single" w:color="auto" w:sz="4" w:space="0"/>
                  <w:bottom w:val="single" w:color="auto" w:sz="4" w:space="0"/>
                  <w:right w:val="single" w:color="auto" w:sz="4" w:space="0"/>
                </w:tcBorders>
              </w:tcPr>
              <w:p w14:paraId="5587ECB8">
                <w:pPr>
                  <w:jc w:val="right"/>
                </w:pPr>
              </w:p>
            </w:tc>
          </w:tr>
          <w:tr w14:paraId="5292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7CFD345F">
                <w:pPr>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按</w:t>
                </w:r>
                <w:r>
                  <w:rPr>
                    <w:rFonts w:hint="eastAsia"/>
                    <w:color w:val="000000" w:themeColor="text1"/>
                    <w14:textFill>
                      <w14:solidFill>
                        <w14:schemeClr w14:val="tx1"/>
                      </w14:solidFill>
                    </w14:textFill>
                  </w:rPr>
                  <w:t>销售渠道分类</w:t>
                </w:r>
              </w:p>
            </w:tc>
            <w:tc>
              <w:tcPr>
                <w:tcW w:w="1337" w:type="pct"/>
                <w:tcBorders>
                  <w:top w:val="single" w:color="auto" w:sz="4" w:space="0"/>
                  <w:left w:val="single" w:color="auto" w:sz="4" w:space="0"/>
                  <w:bottom w:val="single" w:color="auto" w:sz="4" w:space="0"/>
                  <w:right w:val="single" w:color="auto" w:sz="4" w:space="0"/>
                </w:tcBorders>
              </w:tcPr>
              <w:p w14:paraId="48D574B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c>
              <w:tcPr>
                <w:tcW w:w="1658" w:type="pct"/>
                <w:tcBorders>
                  <w:top w:val="single" w:color="auto" w:sz="4" w:space="0"/>
                  <w:left w:val="single" w:color="auto" w:sz="4" w:space="0"/>
                  <w:bottom w:val="single" w:color="auto" w:sz="4" w:space="0"/>
                  <w:right w:val="single" w:color="auto" w:sz="4" w:space="0"/>
                </w:tcBorders>
              </w:tcPr>
              <w:p w14:paraId="7609CA2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48B8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310B7167">
                <w:pPr>
                  <w:ind w:firstLine="420" w:firstLineChars="200"/>
                </w:pPr>
                <w:r>
                  <w:rPr>
                    <w:rFonts w:hint="eastAsia"/>
                  </w:rPr>
                  <w:t>经销</w:t>
                </w:r>
              </w:p>
            </w:tc>
            <w:tc>
              <w:tcPr>
                <w:tcW w:w="1337" w:type="pct"/>
                <w:tcBorders>
                  <w:top w:val="single" w:color="auto" w:sz="4" w:space="0"/>
                  <w:left w:val="single" w:color="auto" w:sz="4" w:space="0"/>
                  <w:bottom w:val="single" w:color="auto" w:sz="4" w:space="0"/>
                  <w:right w:val="single" w:color="auto" w:sz="4" w:space="0"/>
                </w:tcBorders>
                <w:vAlign w:val="center"/>
              </w:tcPr>
              <w:p w14:paraId="5F4B3A46">
                <w:pPr>
                  <w:jc w:val="right"/>
                </w:pPr>
                <w:r>
                  <w:rPr>
                    <w:rFonts w:hint="eastAsia"/>
                    <w:color w:val="000000"/>
                  </w:rPr>
                  <w:t>3,878,049,727.55</w:t>
                </w:r>
              </w:p>
            </w:tc>
            <w:tc>
              <w:tcPr>
                <w:tcW w:w="1658" w:type="pct"/>
                <w:tcBorders>
                  <w:top w:val="single" w:color="auto" w:sz="4" w:space="0"/>
                  <w:left w:val="single" w:color="auto" w:sz="4" w:space="0"/>
                  <w:bottom w:val="single" w:color="auto" w:sz="4" w:space="0"/>
                  <w:right w:val="single" w:color="auto" w:sz="4" w:space="0"/>
                </w:tcBorders>
                <w:vAlign w:val="center"/>
              </w:tcPr>
              <w:p w14:paraId="6549A24E">
                <w:pPr>
                  <w:jc w:val="right"/>
                </w:pPr>
                <w:r>
                  <w:rPr>
                    <w:rFonts w:hint="eastAsia"/>
                    <w:color w:val="000000"/>
                  </w:rPr>
                  <w:t>3,632,874,367.52</w:t>
                </w:r>
              </w:p>
            </w:tc>
          </w:tr>
          <w:tr w14:paraId="7FC5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42F9ADD4">
                <w:pPr>
                  <w:ind w:firstLine="420" w:firstLineChars="200"/>
                </w:pPr>
                <w:r>
                  <w:rPr>
                    <w:rFonts w:hint="eastAsia"/>
                  </w:rPr>
                  <w:t>直销</w:t>
                </w:r>
              </w:p>
            </w:tc>
            <w:tc>
              <w:tcPr>
                <w:tcW w:w="1337" w:type="pct"/>
                <w:tcBorders>
                  <w:top w:val="single" w:color="auto" w:sz="4" w:space="0"/>
                  <w:left w:val="single" w:color="auto" w:sz="4" w:space="0"/>
                  <w:bottom w:val="single" w:color="auto" w:sz="4" w:space="0"/>
                  <w:right w:val="single" w:color="auto" w:sz="4" w:space="0"/>
                </w:tcBorders>
                <w:vAlign w:val="center"/>
              </w:tcPr>
              <w:p w14:paraId="0F115127">
                <w:pPr>
                  <w:jc w:val="right"/>
                  <w:rPr>
                    <w:color w:val="000000" w:themeColor="text1"/>
                    <w14:textFill>
                      <w14:solidFill>
                        <w14:schemeClr w14:val="tx1"/>
                      </w14:solidFill>
                    </w14:textFill>
                  </w:rPr>
                </w:pPr>
                <w:r>
                  <w:rPr>
                    <w:rFonts w:hint="eastAsia"/>
                    <w:color w:val="000000"/>
                  </w:rPr>
                  <w:t>269,731,226.97</w:t>
                </w:r>
              </w:p>
            </w:tc>
            <w:tc>
              <w:tcPr>
                <w:tcW w:w="1658" w:type="pct"/>
                <w:tcBorders>
                  <w:top w:val="single" w:color="auto" w:sz="4" w:space="0"/>
                  <w:left w:val="single" w:color="auto" w:sz="4" w:space="0"/>
                  <w:bottom w:val="single" w:color="auto" w:sz="4" w:space="0"/>
                  <w:right w:val="single" w:color="auto" w:sz="4" w:space="0"/>
                </w:tcBorders>
                <w:vAlign w:val="center"/>
              </w:tcPr>
              <w:p w14:paraId="74555CB9">
                <w:pPr>
                  <w:jc w:val="right"/>
                  <w:rPr>
                    <w:color w:val="000000" w:themeColor="text1"/>
                    <w14:textFill>
                      <w14:solidFill>
                        <w14:schemeClr w14:val="tx1"/>
                      </w14:solidFill>
                    </w14:textFill>
                  </w:rPr>
                </w:pPr>
                <w:r>
                  <w:rPr>
                    <w:rFonts w:hint="eastAsia"/>
                    <w:color w:val="000000"/>
                  </w:rPr>
                  <w:t>182,895,926.44</w:t>
                </w:r>
              </w:p>
            </w:tc>
          </w:tr>
          <w:tr w14:paraId="5BA3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pct"/>
                <w:tcBorders>
                  <w:top w:val="single" w:color="auto" w:sz="4" w:space="0"/>
                  <w:left w:val="single" w:color="auto" w:sz="4" w:space="0"/>
                  <w:bottom w:val="single" w:color="auto" w:sz="4" w:space="0"/>
                  <w:right w:val="single" w:color="auto" w:sz="4" w:space="0"/>
                </w:tcBorders>
              </w:tcPr>
              <w:p w14:paraId="713EEAA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37" w:type="pct"/>
                <w:tcBorders>
                  <w:top w:val="single" w:color="auto" w:sz="4" w:space="0"/>
                  <w:left w:val="single" w:color="auto" w:sz="4" w:space="0"/>
                  <w:bottom w:val="single" w:color="auto" w:sz="4" w:space="0"/>
                  <w:right w:val="single" w:color="auto" w:sz="4" w:space="0"/>
                </w:tcBorders>
                <w:vAlign w:val="center"/>
              </w:tcPr>
              <w:p w14:paraId="2DEC59EF">
                <w:pPr>
                  <w:jc w:val="right"/>
                </w:pPr>
                <w:r>
                  <w:rPr>
                    <w:rFonts w:hint="eastAsia"/>
                    <w:color w:val="000000"/>
                  </w:rPr>
                  <w:t>4,147,780,954.52</w:t>
                </w:r>
              </w:p>
            </w:tc>
            <w:tc>
              <w:tcPr>
                <w:tcW w:w="1658" w:type="pct"/>
                <w:tcBorders>
                  <w:top w:val="single" w:color="auto" w:sz="4" w:space="0"/>
                  <w:left w:val="single" w:color="auto" w:sz="4" w:space="0"/>
                  <w:bottom w:val="single" w:color="auto" w:sz="4" w:space="0"/>
                  <w:right w:val="single" w:color="auto" w:sz="4" w:space="0"/>
                </w:tcBorders>
                <w:vAlign w:val="center"/>
              </w:tcPr>
              <w:p w14:paraId="09AEA120">
                <w:pPr>
                  <w:jc w:val="right"/>
                </w:pPr>
                <w:r>
                  <w:rPr>
                    <w:rFonts w:hint="eastAsia"/>
                    <w:color w:val="000000"/>
                  </w:rPr>
                  <w:t>3,815,770,293.96</w:t>
                </w:r>
              </w:p>
            </w:tc>
          </w:tr>
        </w:tbl>
        <w:p w14:paraId="17C5EFE2"/>
        <w:p w14:paraId="22FA963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营业收入、营业成本的分解信息说明 [双击切换]"/>
            <w:tag w:val="_GBC_04602e125f9d4f519cbc5efd2f4ee0ea"/>
            <w:id w:val="-880318722"/>
            <w:placeholder>
              <w:docPart w:val="GBC22222222222222222222222222222"/>
            </w:placeholder>
          </w:sdtPr>
          <w:sdtEndPr>
            <w:rPr>
              <w:color w:val="000000" w:themeColor="text1"/>
              <w14:textFill>
                <w14:solidFill>
                  <w14:schemeClr w14:val="tx1"/>
                </w14:solidFill>
              </w14:textFill>
            </w:rPr>
          </w:sdtEndPr>
          <w:sdtContent>
            <w:p w14:paraId="00C5251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5290D7B">
          <w:pPr>
            <w:rPr>
              <w:color w:val="000000" w:themeColor="text1"/>
              <w14:textFill>
                <w14:solidFill>
                  <w14:schemeClr w14:val="tx1"/>
                </w14:solidFill>
              </w14:textFill>
            </w:rPr>
          </w:pPr>
        </w:p>
      </w:sdtContent>
    </w:sdt>
    <w:bookmarkEnd w:id="334"/>
    <w:p w14:paraId="73CB9F70">
      <w:pPr>
        <w:pStyle w:val="5"/>
        <w:numPr>
          <w:ilvl w:val="0"/>
          <w:numId w:val="75"/>
        </w:numPr>
        <w:ind w:left="426" w:hanging="426"/>
        <w:rPr>
          <w:rFonts w:ascii="宋体" w:hAnsi="宋体"/>
          <w:color w:val="000000" w:themeColor="text1"/>
          <w14:textFill>
            <w14:solidFill>
              <w14:schemeClr w14:val="tx1"/>
            </w14:solidFill>
          </w14:textFill>
        </w:rPr>
      </w:pPr>
      <w:bookmarkStart w:id="336" w:name="_Hlk533670431"/>
      <w:r>
        <w:rPr>
          <w:rFonts w:hint="eastAsia" w:ascii="宋体" w:hAnsi="宋体"/>
          <w:color w:val="000000" w:themeColor="text1"/>
          <w14:textFill>
            <w14:solidFill>
              <w14:schemeClr w14:val="tx1"/>
            </w14:solidFill>
          </w14:textFill>
        </w:rPr>
        <w:t>履约义务的说明</w:t>
      </w:r>
    </w:p>
    <w:sdt>
      <w:sdtPr>
        <w:rPr>
          <w:color w:val="000000" w:themeColor="text1"/>
          <w14:textFill>
            <w14:solidFill>
              <w14:schemeClr w14:val="tx1"/>
            </w14:solidFill>
          </w14:textFill>
        </w:rPr>
        <w:alias w:val="是否适用：履约义务的说明[双击切换]"/>
        <w:tag w:val="_GBC_ec22242632ae490ba6bc8afe3b2e35bc"/>
        <w:id w:val="-1757286957"/>
        <w:placeholder>
          <w:docPart w:val="GBC22222222222222222222222222222"/>
        </w:placeholder>
      </w:sdtPr>
      <w:sdtEndPr>
        <w:rPr>
          <w:color w:val="000000" w:themeColor="text1"/>
          <w14:textFill>
            <w14:solidFill>
              <w14:schemeClr w14:val="tx1"/>
            </w14:solidFill>
          </w14:textFill>
        </w:rPr>
      </w:sdtEndPr>
      <w:sdtContent>
        <w:p w14:paraId="612FBFE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7E492E">
      <w:pPr>
        <w:rPr>
          <w:color w:val="000000" w:themeColor="text1"/>
          <w14:textFill>
            <w14:solidFill>
              <w14:schemeClr w14:val="tx1"/>
            </w14:solidFill>
          </w14:textFill>
        </w:rPr>
      </w:pPr>
    </w:p>
    <w:bookmarkEnd w:id="335"/>
    <w:bookmarkEnd w:id="336"/>
    <w:p w14:paraId="1EFEAF63">
      <w:pPr>
        <w:pStyle w:val="5"/>
        <w:numPr>
          <w:ilvl w:val="0"/>
          <w:numId w:val="75"/>
        </w:numPr>
        <w:ind w:left="426" w:hanging="426"/>
        <w:rPr>
          <w:rFonts w:ascii="宋体" w:hAnsi="宋体"/>
          <w:color w:val="000000" w:themeColor="text1"/>
          <w14:textFill>
            <w14:solidFill>
              <w14:schemeClr w14:val="tx1"/>
            </w14:solidFill>
          </w14:textFill>
        </w:rPr>
      </w:pPr>
      <w:bookmarkStart w:id="337" w:name="_Hlk10538107"/>
      <w:bookmarkStart w:id="338" w:name="_Hlk10538117"/>
      <w:r>
        <w:rPr>
          <w:rFonts w:hint="eastAsia" w:ascii="宋体" w:hAnsi="宋体"/>
          <w:color w:val="000000" w:themeColor="text1"/>
          <w14:textFill>
            <w14:solidFill>
              <w14:schemeClr w14:val="tx1"/>
            </w14:solidFill>
          </w14:textFill>
        </w:rPr>
        <w:t>分摊至剩余履约义务的说明</w:t>
      </w:r>
      <w:bookmarkEnd w:id="337"/>
    </w:p>
    <w:sdt>
      <w:sdtPr>
        <w:rPr>
          <w:color w:val="000000" w:themeColor="text1"/>
          <w14:textFill>
            <w14:solidFill>
              <w14:schemeClr w14:val="tx1"/>
            </w14:solidFill>
          </w14:textFill>
        </w:rPr>
        <w:alias w:val="是否适用：分摊至剩余履约义务的说明[双击切换]"/>
        <w:tag w:val="_GBC_3e12eb65fc9e4c7b80815a7392be58f2"/>
        <w:id w:val="726261199"/>
        <w:placeholder>
          <w:docPart w:val="GBC22222222222222222222222222222"/>
        </w:placeholder>
      </w:sdtPr>
      <w:sdtEndPr>
        <w:rPr>
          <w:color w:val="000000" w:themeColor="text1"/>
          <w14:textFill>
            <w14:solidFill>
              <w14:schemeClr w14:val="tx1"/>
            </w14:solidFill>
          </w14:textFill>
        </w:rPr>
      </w:sdtEndPr>
      <w:sdtContent>
        <w:p w14:paraId="5B8CDDC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38"/>
    <w:p w14:paraId="1A8D73D4">
      <w:pPr>
        <w:rPr>
          <w:color w:val="000000" w:themeColor="text1"/>
          <w14:textFill>
            <w14:solidFill>
              <w14:schemeClr w14:val="tx1"/>
            </w14:solidFill>
          </w14:textFill>
        </w:rPr>
      </w:pPr>
    </w:p>
    <w:p w14:paraId="72E451F1">
      <w:pPr>
        <w:pStyle w:val="5"/>
        <w:numPr>
          <w:ilvl w:val="0"/>
          <w:numId w:val="75"/>
        </w:numPr>
        <w:ind w:left="426" w:hanging="426"/>
        <w:rPr>
          <w:rFonts w:ascii="宋体" w:hAnsi="宋体"/>
          <w:color w:val="000000" w:themeColor="text1"/>
          <w14:textFill>
            <w14:solidFill>
              <w14:schemeClr w14:val="tx1"/>
            </w14:solidFill>
          </w14:textFill>
        </w:rPr>
      </w:pPr>
      <w:bookmarkStart w:id="339" w:name="_Hlk167969793"/>
      <w:r>
        <w:rPr>
          <w:rFonts w:hint="eastAsia" w:ascii="宋体" w:hAnsi="宋体"/>
          <w:color w:val="000000" w:themeColor="text1"/>
          <w14:textFill>
            <w14:solidFill>
              <w14:schemeClr w14:val="tx1"/>
            </w14:solidFill>
          </w14:textFill>
        </w:rPr>
        <w:t>重大合同变更或重大交易价格调整</w:t>
      </w:r>
    </w:p>
    <w:sdt>
      <w:sdtPr>
        <w:rPr>
          <w:color w:val="000000" w:themeColor="text1"/>
          <w14:textFill>
            <w14:solidFill>
              <w14:schemeClr w14:val="tx1"/>
            </w14:solidFill>
          </w14:textFill>
        </w:rPr>
        <w:alias w:val="是否适用：重大合同变更或重大交易价格调整[双击切换]"/>
        <w:tag w:val="_GBC_4ff195f785f7474ba9def45795b4e11c"/>
        <w:id w:val="-1103336939"/>
        <w:placeholder>
          <w:docPart w:val="GBC22222222222222222222222222222"/>
        </w:placeholder>
      </w:sdtPr>
      <w:sdtEndPr>
        <w:rPr>
          <w:color w:val="000000" w:themeColor="text1"/>
          <w14:textFill>
            <w14:solidFill>
              <w14:schemeClr w14:val="tx1"/>
            </w14:solidFill>
          </w14:textFill>
        </w:rPr>
      </w:sdtEndPr>
      <w:sdtContent>
        <w:p w14:paraId="2184286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021EE3">
      <w:pPr>
        <w:rPr>
          <w:rFonts w:ascii="Arial" w:hAnsi="Arial"/>
          <w:color w:val="000000" w:themeColor="text1"/>
          <w14:textFill>
            <w14:solidFill>
              <w14:schemeClr w14:val="tx1"/>
            </w14:solidFill>
          </w14:textFill>
        </w:rPr>
      </w:pPr>
    </w:p>
    <w:bookmarkEnd w:id="339"/>
    <w:p w14:paraId="6D5F8A37">
      <w:pPr>
        <w:spacing w:before="60" w:after="60"/>
        <w:rPr>
          <w:color w:val="000000" w:themeColor="text1"/>
          <w14:textFill>
            <w14:solidFill>
              <w14:schemeClr w14:val="tx1"/>
            </w14:solidFill>
          </w14:textFill>
        </w:rPr>
      </w:pPr>
      <w:bookmarkStart w:id="340" w:name="_Hlk26364697"/>
      <w:bookmarkStart w:id="341" w:name="_Hlk41487523"/>
      <w:r>
        <w:rPr>
          <w:rFonts w:hint="eastAsia"/>
          <w:color w:val="000000" w:themeColor="text1"/>
          <w14:textFill>
            <w14:solidFill>
              <w14:schemeClr w14:val="tx1"/>
            </w14:solidFill>
          </w14:textFill>
        </w:rPr>
        <w:t>其他说明：</w:t>
      </w:r>
    </w:p>
    <w:p w14:paraId="6A4A6A4C">
      <w:pPr>
        <w:rPr>
          <w:color w:val="000000" w:themeColor="text1"/>
          <w14:textFill>
            <w14:solidFill>
              <w14:schemeClr w14:val="tx1"/>
            </w14:solidFill>
          </w14:textFill>
        </w:rPr>
      </w:pPr>
      <w:sdt>
        <w:sdtPr>
          <w:rPr>
            <w:color w:val="000000" w:themeColor="text1"/>
            <w14:textFill>
              <w14:solidFill>
                <w14:schemeClr w14:val="tx1"/>
              </w14:solidFill>
            </w14:textFill>
          </w:rPr>
          <w:alias w:val="主营业务说明"/>
          <w:tag w:val="_GBC_72a96250960e4e188d2fa1097869655e"/>
          <w:id w:val="115333030"/>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bookmarkEnd w:id="340"/>
    </w:p>
    <w:p w14:paraId="7EF5451D">
      <w:pPr>
        <w:rPr>
          <w:color w:val="000000" w:themeColor="text1"/>
          <w14:textFill>
            <w14:solidFill>
              <w14:schemeClr w14:val="tx1"/>
            </w14:solidFill>
          </w14:textFill>
        </w:rPr>
      </w:pPr>
    </w:p>
    <w:bookmarkEnd w:id="341"/>
    <w:p w14:paraId="41536FF5">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税金及附加</w:t>
      </w:r>
    </w:p>
    <w:sdt>
      <w:sdtPr>
        <w:rPr>
          <w:color w:val="000000" w:themeColor="text1"/>
          <w14:textFill>
            <w14:solidFill>
              <w14:schemeClr w14:val="tx1"/>
            </w14:solidFill>
          </w14:textFill>
        </w:rPr>
        <w:alias w:val="是否适用：税金及附加[双击切换]"/>
        <w:tag w:val="_GBC_e6e37ca7fd2a435e8e042586945bb4d2"/>
        <w:id w:val="1413896297"/>
        <w:placeholder>
          <w:docPart w:val="GBC22222222222222222222222222222"/>
        </w:placeholder>
      </w:sdtPr>
      <w:sdtEndPr>
        <w:rPr>
          <w:color w:val="000000" w:themeColor="text1"/>
          <w14:textFill>
            <w14:solidFill>
              <w14:schemeClr w14:val="tx1"/>
            </w14:solidFill>
          </w14:textFill>
        </w:rPr>
      </w:sdtEndPr>
      <w:sdtContent>
        <w:p w14:paraId="7C31C52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F640605">
      <w:pPr>
        <w:jc w:val="right"/>
        <w:rPr>
          <w:b/>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税金及附加"/>
          <w:tag w:val="_GBC_bdd382ceb0b74413bcc8ce354afae4a8"/>
          <w:id w:val="4473607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税金及附加"/>
          <w:tag w:val="_GBC_ecf8b53c11ec4336b91007df3f6b5f78"/>
          <w:id w:val="-16850432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5"/>
        <w:gridCol w:w="3072"/>
        <w:gridCol w:w="3072"/>
      </w:tblGrid>
      <w:tr w14:paraId="760A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44bcf5500dc4f7f9041afd20c147408"/>
            <w:id w:val="1985193825"/>
          </w:sdtPr>
          <w:sdtContent>
            <w:tc>
              <w:tcPr>
                <w:tcW w:w="1605" w:type="pct"/>
                <w:vAlign w:val="center"/>
              </w:tcPr>
              <w:p w14:paraId="6DAC3F02">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986496e04f5841889074687e953bf8a9"/>
            <w:id w:val="-1868360697"/>
          </w:sdtPr>
          <w:sdtContent>
            <w:tc>
              <w:tcPr>
                <w:tcW w:w="1697" w:type="pct"/>
              </w:tcPr>
              <w:p w14:paraId="2303646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4ab1376344dc484195a5459c78069a64"/>
            <w:id w:val="-1491630951"/>
          </w:sdtPr>
          <w:sdtContent>
            <w:tc>
              <w:tcPr>
                <w:tcW w:w="1697" w:type="pct"/>
                <w:vAlign w:val="center"/>
              </w:tcPr>
              <w:p w14:paraId="35675CA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15DD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pct"/>
            <w:vAlign w:val="center"/>
          </w:tcPr>
          <w:p w14:paraId="5C122FFE">
            <w:pPr>
              <w:jc w:val="center"/>
              <w:rPr>
                <w:color w:val="000000"/>
              </w:rPr>
            </w:pPr>
            <w:r>
              <w:rPr>
                <w:rFonts w:hint="eastAsia"/>
                <w:color w:val="000000"/>
              </w:rPr>
              <w:t>城市维护建设税</w:t>
            </w:r>
          </w:p>
        </w:tc>
        <w:tc>
          <w:tcPr>
            <w:tcW w:w="1697" w:type="pct"/>
            <w:vAlign w:val="center"/>
          </w:tcPr>
          <w:p w14:paraId="38B7C4B1">
            <w:pPr>
              <w:jc w:val="right"/>
            </w:pPr>
            <w:r>
              <w:t>3,290,154.67</w:t>
            </w:r>
          </w:p>
        </w:tc>
        <w:tc>
          <w:tcPr>
            <w:tcW w:w="1697" w:type="pct"/>
            <w:vAlign w:val="center"/>
          </w:tcPr>
          <w:p w14:paraId="68EA9100">
            <w:pPr>
              <w:jc w:val="right"/>
            </w:pPr>
            <w:r>
              <w:t>2,728,716.74</w:t>
            </w:r>
          </w:p>
        </w:tc>
      </w:tr>
      <w:tr w14:paraId="4B15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pct"/>
            <w:vAlign w:val="center"/>
          </w:tcPr>
          <w:p w14:paraId="50F2DAFE">
            <w:pPr>
              <w:jc w:val="center"/>
              <w:rPr>
                <w:rFonts w:ascii="宋体" w:hAnsi="宋体"/>
                <w:color w:val="000000"/>
              </w:rPr>
            </w:pPr>
            <w:r>
              <w:rPr>
                <w:rFonts w:hint="eastAsia"/>
                <w:color w:val="000000"/>
              </w:rPr>
              <w:t>消费税</w:t>
            </w:r>
          </w:p>
        </w:tc>
        <w:tc>
          <w:tcPr>
            <w:tcW w:w="1697" w:type="pct"/>
            <w:vAlign w:val="center"/>
          </w:tcPr>
          <w:p w14:paraId="0E6BCE3B">
            <w:pPr>
              <w:jc w:val="right"/>
            </w:pPr>
            <w:r>
              <w:t>26,448,005.09</w:t>
            </w:r>
          </w:p>
        </w:tc>
        <w:tc>
          <w:tcPr>
            <w:tcW w:w="1697" w:type="pct"/>
            <w:vAlign w:val="center"/>
          </w:tcPr>
          <w:p w14:paraId="532870C7">
            <w:pPr>
              <w:jc w:val="right"/>
            </w:pPr>
            <w:r>
              <w:t>21,399,547.02</w:t>
            </w:r>
          </w:p>
        </w:tc>
      </w:tr>
      <w:tr w14:paraId="609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pct"/>
            <w:vAlign w:val="center"/>
          </w:tcPr>
          <w:p w14:paraId="4583ED2E">
            <w:pPr>
              <w:jc w:val="center"/>
              <w:rPr>
                <w:rFonts w:ascii="宋体" w:hAnsi="宋体"/>
                <w:color w:val="000000"/>
              </w:rPr>
            </w:pPr>
            <w:r>
              <w:rPr>
                <w:rFonts w:hint="eastAsia"/>
                <w:color w:val="000000"/>
              </w:rPr>
              <w:t>教育费附加</w:t>
            </w:r>
          </w:p>
        </w:tc>
        <w:tc>
          <w:tcPr>
            <w:tcW w:w="1697" w:type="pct"/>
            <w:vAlign w:val="center"/>
          </w:tcPr>
          <w:p w14:paraId="2CC69A0B">
            <w:pPr>
              <w:jc w:val="right"/>
            </w:pPr>
            <w:r>
              <w:t>1,422,277.57</w:t>
            </w:r>
          </w:p>
        </w:tc>
        <w:tc>
          <w:tcPr>
            <w:tcW w:w="1697" w:type="pct"/>
            <w:vAlign w:val="center"/>
          </w:tcPr>
          <w:p w14:paraId="29472542">
            <w:pPr>
              <w:jc w:val="right"/>
            </w:pPr>
            <w:r>
              <w:t>1,178,686.59</w:t>
            </w:r>
          </w:p>
        </w:tc>
      </w:tr>
      <w:tr w14:paraId="4479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pct"/>
            <w:vAlign w:val="center"/>
          </w:tcPr>
          <w:p w14:paraId="00635F13">
            <w:pPr>
              <w:jc w:val="center"/>
              <w:rPr>
                <w:rFonts w:ascii="宋体" w:hAnsi="宋体"/>
                <w:color w:val="000000"/>
              </w:rPr>
            </w:pPr>
            <w:r>
              <w:rPr>
                <w:rFonts w:hint="eastAsia"/>
                <w:color w:val="000000"/>
              </w:rPr>
              <w:t>地方教育附加</w:t>
            </w:r>
          </w:p>
        </w:tc>
        <w:tc>
          <w:tcPr>
            <w:tcW w:w="1697" w:type="pct"/>
            <w:vAlign w:val="center"/>
          </w:tcPr>
          <w:p w14:paraId="02B86A92">
            <w:pPr>
              <w:jc w:val="right"/>
            </w:pPr>
            <w:r>
              <w:t>948,011.39</w:t>
            </w:r>
          </w:p>
        </w:tc>
        <w:tc>
          <w:tcPr>
            <w:tcW w:w="1697" w:type="pct"/>
            <w:vAlign w:val="center"/>
          </w:tcPr>
          <w:p w14:paraId="2690BE58">
            <w:pPr>
              <w:jc w:val="right"/>
            </w:pPr>
            <w:r>
              <w:t>785,758.26</w:t>
            </w:r>
          </w:p>
        </w:tc>
      </w:tr>
      <w:tr w14:paraId="6FF3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pct"/>
            <w:vAlign w:val="center"/>
          </w:tcPr>
          <w:p w14:paraId="2280D633">
            <w:pPr>
              <w:jc w:val="center"/>
              <w:rPr>
                <w:rFonts w:ascii="宋体" w:hAnsi="宋体"/>
                <w:color w:val="000000"/>
              </w:rPr>
            </w:pPr>
            <w:r>
              <w:rPr>
                <w:rFonts w:hint="eastAsia"/>
                <w:color w:val="000000"/>
              </w:rPr>
              <w:t>房产税</w:t>
            </w:r>
          </w:p>
        </w:tc>
        <w:tc>
          <w:tcPr>
            <w:tcW w:w="1697" w:type="pct"/>
            <w:vAlign w:val="center"/>
          </w:tcPr>
          <w:p w14:paraId="58A849C4">
            <w:pPr>
              <w:jc w:val="right"/>
            </w:pPr>
            <w:r>
              <w:t>10,155,498.05</w:t>
            </w:r>
          </w:p>
        </w:tc>
        <w:tc>
          <w:tcPr>
            <w:tcW w:w="1697" w:type="pct"/>
            <w:vAlign w:val="center"/>
          </w:tcPr>
          <w:p w14:paraId="5AFDBD1C">
            <w:pPr>
              <w:jc w:val="right"/>
            </w:pPr>
            <w:r>
              <w:t>10,643,402.42</w:t>
            </w:r>
          </w:p>
        </w:tc>
      </w:tr>
      <w:tr w14:paraId="6DC2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5" w:type="pct"/>
            <w:vAlign w:val="center"/>
          </w:tcPr>
          <w:p w14:paraId="097279B5">
            <w:pPr>
              <w:jc w:val="center"/>
              <w:rPr>
                <w:rFonts w:ascii="宋体" w:hAnsi="宋体"/>
                <w:color w:val="000000"/>
              </w:rPr>
            </w:pPr>
            <w:r>
              <w:rPr>
                <w:rFonts w:hint="eastAsia"/>
                <w:color w:val="000000"/>
              </w:rPr>
              <w:t>土地使用税</w:t>
            </w:r>
          </w:p>
        </w:tc>
        <w:tc>
          <w:tcPr>
            <w:tcW w:w="1697" w:type="pct"/>
            <w:vAlign w:val="center"/>
          </w:tcPr>
          <w:p w14:paraId="7B1E1A2F">
            <w:pPr>
              <w:jc w:val="right"/>
            </w:pPr>
            <w:r>
              <w:t>6,669,865.61</w:t>
            </w:r>
          </w:p>
        </w:tc>
        <w:tc>
          <w:tcPr>
            <w:tcW w:w="1697" w:type="pct"/>
            <w:vAlign w:val="center"/>
          </w:tcPr>
          <w:p w14:paraId="337CA3EB">
            <w:pPr>
              <w:jc w:val="right"/>
            </w:pPr>
            <w:r>
              <w:t>6,630,606.78</w:t>
            </w:r>
          </w:p>
        </w:tc>
      </w:tr>
      <w:tr w14:paraId="600E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pct"/>
            <w:vAlign w:val="center"/>
          </w:tcPr>
          <w:p w14:paraId="669292BD">
            <w:pPr>
              <w:jc w:val="center"/>
              <w:rPr>
                <w:rFonts w:ascii="宋体" w:hAnsi="宋体"/>
                <w:color w:val="000000"/>
              </w:rPr>
            </w:pPr>
            <w:r>
              <w:rPr>
                <w:rFonts w:hint="eastAsia"/>
                <w:color w:val="000000"/>
              </w:rPr>
              <w:t>印花税</w:t>
            </w:r>
          </w:p>
        </w:tc>
        <w:tc>
          <w:tcPr>
            <w:tcW w:w="1697" w:type="pct"/>
            <w:vAlign w:val="center"/>
          </w:tcPr>
          <w:p w14:paraId="62B2301A">
            <w:pPr>
              <w:jc w:val="right"/>
            </w:pPr>
            <w:r>
              <w:t>2,736,341.05</w:t>
            </w:r>
          </w:p>
        </w:tc>
        <w:tc>
          <w:tcPr>
            <w:tcW w:w="1697" w:type="pct"/>
            <w:vAlign w:val="center"/>
          </w:tcPr>
          <w:p w14:paraId="587579BA">
            <w:pPr>
              <w:jc w:val="right"/>
            </w:pPr>
            <w:r>
              <w:t>4,840,698.91</w:t>
            </w:r>
          </w:p>
        </w:tc>
      </w:tr>
      <w:tr w14:paraId="7237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05" w:type="pct"/>
            <w:vAlign w:val="center"/>
          </w:tcPr>
          <w:p w14:paraId="6EEAC3CF">
            <w:pPr>
              <w:jc w:val="center"/>
              <w:rPr>
                <w:rFonts w:ascii="宋体" w:hAnsi="宋体"/>
                <w:color w:val="000000"/>
              </w:rPr>
            </w:pPr>
            <w:r>
              <w:rPr>
                <w:rFonts w:hint="eastAsia"/>
                <w:color w:val="000000"/>
              </w:rPr>
              <w:t>车船使用税</w:t>
            </w:r>
          </w:p>
        </w:tc>
        <w:tc>
          <w:tcPr>
            <w:tcW w:w="1697" w:type="pct"/>
            <w:vAlign w:val="center"/>
          </w:tcPr>
          <w:p w14:paraId="0EBF64E4">
            <w:pPr>
              <w:jc w:val="right"/>
            </w:pPr>
            <w:r>
              <w:t>3,011.70</w:t>
            </w:r>
          </w:p>
        </w:tc>
        <w:tc>
          <w:tcPr>
            <w:tcW w:w="1697" w:type="pct"/>
            <w:vAlign w:val="center"/>
          </w:tcPr>
          <w:p w14:paraId="6D42D682">
            <w:pPr>
              <w:jc w:val="right"/>
            </w:pPr>
            <w:r>
              <w:t>10,666.13</w:t>
            </w:r>
          </w:p>
        </w:tc>
      </w:tr>
      <w:tr w14:paraId="0F5C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pct"/>
            <w:vAlign w:val="center"/>
          </w:tcPr>
          <w:p w14:paraId="479282A2">
            <w:pPr>
              <w:jc w:val="center"/>
              <w:rPr>
                <w:rFonts w:ascii="宋体" w:hAnsi="宋体"/>
                <w:color w:val="000000"/>
              </w:rPr>
            </w:pPr>
            <w:r>
              <w:rPr>
                <w:rFonts w:hint="eastAsia"/>
                <w:color w:val="000000"/>
              </w:rPr>
              <w:t>其他</w:t>
            </w:r>
          </w:p>
        </w:tc>
        <w:tc>
          <w:tcPr>
            <w:tcW w:w="1697" w:type="pct"/>
            <w:vAlign w:val="center"/>
          </w:tcPr>
          <w:p w14:paraId="2405F6DB">
            <w:pPr>
              <w:jc w:val="right"/>
            </w:pPr>
            <w:r>
              <w:t>55,349.03</w:t>
            </w:r>
          </w:p>
        </w:tc>
        <w:tc>
          <w:tcPr>
            <w:tcW w:w="1697" w:type="pct"/>
            <w:vAlign w:val="center"/>
          </w:tcPr>
          <w:p w14:paraId="4D151AF0">
            <w:pPr>
              <w:jc w:val="right"/>
            </w:pPr>
            <w:r>
              <w:t>83,793.28</w:t>
            </w:r>
          </w:p>
        </w:tc>
      </w:tr>
      <w:tr w14:paraId="6BB0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pct"/>
            <w:vAlign w:val="center"/>
          </w:tcPr>
          <w:p w14:paraId="6E4F0772">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97" w:type="pct"/>
            <w:vAlign w:val="center"/>
          </w:tcPr>
          <w:p w14:paraId="68CE3D26">
            <w:pPr>
              <w:jc w:val="right"/>
            </w:pPr>
            <w:r>
              <w:t>51,728,514.16</w:t>
            </w:r>
          </w:p>
        </w:tc>
        <w:tc>
          <w:tcPr>
            <w:tcW w:w="1697" w:type="pct"/>
            <w:vAlign w:val="center"/>
          </w:tcPr>
          <w:p w14:paraId="13E16562">
            <w:pPr>
              <w:jc w:val="right"/>
            </w:pPr>
            <w:r>
              <w:t>48,301,876.13</w:t>
            </w:r>
          </w:p>
        </w:tc>
      </w:tr>
    </w:tbl>
    <w:p w14:paraId="2E421008">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税金及附加说明"/>
        <w:tag w:val="_GBC_f78e413320ad4d20a3dab91dff935491"/>
        <w:id w:val="1135986847"/>
        <w:placeholder>
          <w:docPart w:val="GBC22222222222222222222222222222"/>
        </w:placeholder>
      </w:sdtPr>
      <w:sdtEndPr>
        <w:rPr>
          <w:rFonts w:hint="eastAsia"/>
          <w:color w:val="000000" w:themeColor="text1"/>
          <w14:textFill>
            <w14:solidFill>
              <w14:schemeClr w14:val="tx1"/>
            </w14:solidFill>
          </w14:textFill>
        </w:rPr>
      </w:sdtEndPr>
      <w:sdtContent>
        <w:p w14:paraId="79FA920D">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AE70EC4">
      <w:pPr>
        <w:rPr>
          <w:color w:val="000000" w:themeColor="text1"/>
          <w14:textFill>
            <w14:solidFill>
              <w14:schemeClr w14:val="tx1"/>
            </w14:solidFill>
          </w14:textFill>
        </w:rPr>
      </w:pPr>
    </w:p>
    <w:p w14:paraId="4B2B5C0D">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销售费用</w:t>
      </w:r>
    </w:p>
    <w:sdt>
      <w:sdtPr>
        <w:rPr>
          <w:color w:val="000000" w:themeColor="text1"/>
          <w14:textFill>
            <w14:solidFill>
              <w14:schemeClr w14:val="tx1"/>
            </w14:solidFill>
          </w14:textFill>
        </w:rPr>
        <w:alias w:val="是否适用：销售费用[双击切换]"/>
        <w:tag w:val="_GBC_5302d6af48674660a2279c7c8a87bb8c"/>
        <w:id w:val="-178813356"/>
        <w:placeholder>
          <w:docPart w:val="GBC22222222222222222222222222222"/>
        </w:placeholder>
      </w:sdtPr>
      <w:sdtEndPr>
        <w:rPr>
          <w:color w:val="000000" w:themeColor="text1"/>
          <w14:textFill>
            <w14:solidFill>
              <w14:schemeClr w14:val="tx1"/>
            </w14:solidFill>
          </w14:textFill>
        </w:rPr>
      </w:sdtEndPr>
      <w:sdtContent>
        <w:p w14:paraId="3E51581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A85886A">
      <w:pPr>
        <w:pStyle w:val="92"/>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销售费用"/>
          <w:tag w:val="_GBC_893203a5a3df44649aef388407d22c68"/>
          <w:id w:val="-12723156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销售费用"/>
          <w:tag w:val="_GBC_4954a9fca98d4f279270fb28f987aa6f"/>
          <w:id w:val="-11214472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2693"/>
        <w:gridCol w:w="2420"/>
      </w:tblGrid>
      <w:tr w14:paraId="35EF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16c47970a3b145c98f438f3cb34ff636"/>
            <w:id w:val="-1349170731"/>
          </w:sdtPr>
          <w:sdtContent>
            <w:tc>
              <w:tcPr>
                <w:tcW w:w="2175" w:type="pct"/>
                <w:tcBorders>
                  <w:top w:val="single" w:color="auto" w:sz="4" w:space="0"/>
                  <w:left w:val="single" w:color="auto" w:sz="4" w:space="0"/>
                  <w:bottom w:val="single" w:color="auto" w:sz="4" w:space="0"/>
                  <w:right w:val="single" w:color="auto" w:sz="4" w:space="0"/>
                </w:tcBorders>
                <w:vAlign w:val="center"/>
              </w:tcPr>
              <w:p w14:paraId="3C37829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b3ce435531054240b373e649bc9ae7a1"/>
            <w:id w:val="-955554734"/>
          </w:sdtPr>
          <w:sdtContent>
            <w:tc>
              <w:tcPr>
                <w:tcW w:w="1488" w:type="pct"/>
                <w:tcBorders>
                  <w:top w:val="single" w:color="auto" w:sz="4" w:space="0"/>
                  <w:left w:val="single" w:color="auto" w:sz="4" w:space="0"/>
                  <w:bottom w:val="single" w:color="auto" w:sz="4" w:space="0"/>
                  <w:right w:val="single" w:color="auto" w:sz="4" w:space="0"/>
                </w:tcBorders>
                <w:vAlign w:val="center"/>
              </w:tcPr>
              <w:p w14:paraId="3898F46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9480cd5806624557b975b5d0ce06575b"/>
            <w:id w:val="-48696042"/>
          </w:sdtPr>
          <w:sdtContent>
            <w:tc>
              <w:tcPr>
                <w:tcW w:w="1337" w:type="pct"/>
                <w:tcBorders>
                  <w:top w:val="single" w:color="auto" w:sz="4" w:space="0"/>
                  <w:left w:val="single" w:color="auto" w:sz="4" w:space="0"/>
                  <w:bottom w:val="single" w:color="auto" w:sz="4" w:space="0"/>
                  <w:right w:val="single" w:color="auto" w:sz="4" w:space="0"/>
                </w:tcBorders>
                <w:vAlign w:val="center"/>
              </w:tcPr>
              <w:p w14:paraId="5EE5EE2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1C22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3E22EAC7">
            <w:pPr>
              <w:jc w:val="center"/>
            </w:pPr>
            <w:r>
              <w:t>工资及社保</w:t>
            </w:r>
          </w:p>
        </w:tc>
        <w:tc>
          <w:tcPr>
            <w:tcW w:w="1488" w:type="pct"/>
            <w:tcBorders>
              <w:top w:val="single" w:color="auto" w:sz="4" w:space="0"/>
              <w:left w:val="single" w:color="auto" w:sz="4" w:space="0"/>
              <w:bottom w:val="single" w:color="auto" w:sz="4" w:space="0"/>
              <w:right w:val="single" w:color="auto" w:sz="4" w:space="0"/>
            </w:tcBorders>
            <w:vAlign w:val="center"/>
          </w:tcPr>
          <w:p w14:paraId="5C95B52D">
            <w:pPr>
              <w:jc w:val="right"/>
            </w:pPr>
            <w:r>
              <w:t>49,374,402.42</w:t>
            </w:r>
          </w:p>
        </w:tc>
        <w:tc>
          <w:tcPr>
            <w:tcW w:w="1337" w:type="pct"/>
            <w:tcBorders>
              <w:top w:val="single" w:color="auto" w:sz="4" w:space="0"/>
              <w:left w:val="single" w:color="auto" w:sz="4" w:space="0"/>
              <w:bottom w:val="single" w:color="auto" w:sz="4" w:space="0"/>
              <w:right w:val="single" w:color="auto" w:sz="4" w:space="0"/>
            </w:tcBorders>
            <w:vAlign w:val="center"/>
          </w:tcPr>
          <w:p w14:paraId="765453DD">
            <w:pPr>
              <w:jc w:val="right"/>
            </w:pPr>
            <w:r>
              <w:t>50,741,123.31</w:t>
            </w:r>
          </w:p>
        </w:tc>
      </w:tr>
      <w:tr w14:paraId="1881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692FA566">
            <w:pPr>
              <w:jc w:val="center"/>
            </w:pPr>
            <w:r>
              <w:t>广告费及宣传费</w:t>
            </w:r>
          </w:p>
        </w:tc>
        <w:tc>
          <w:tcPr>
            <w:tcW w:w="1488" w:type="pct"/>
            <w:tcBorders>
              <w:top w:val="single" w:color="auto" w:sz="4" w:space="0"/>
              <w:left w:val="single" w:color="auto" w:sz="4" w:space="0"/>
              <w:bottom w:val="single" w:color="auto" w:sz="4" w:space="0"/>
              <w:right w:val="single" w:color="auto" w:sz="4" w:space="0"/>
            </w:tcBorders>
            <w:vAlign w:val="center"/>
          </w:tcPr>
          <w:p w14:paraId="63E91B03">
            <w:pPr>
              <w:jc w:val="right"/>
            </w:pPr>
            <w:r>
              <w:t>33,135,452.04</w:t>
            </w:r>
          </w:p>
        </w:tc>
        <w:tc>
          <w:tcPr>
            <w:tcW w:w="1337" w:type="pct"/>
            <w:tcBorders>
              <w:top w:val="single" w:color="auto" w:sz="4" w:space="0"/>
              <w:left w:val="single" w:color="auto" w:sz="4" w:space="0"/>
              <w:bottom w:val="single" w:color="auto" w:sz="4" w:space="0"/>
              <w:right w:val="single" w:color="auto" w:sz="4" w:space="0"/>
            </w:tcBorders>
            <w:vAlign w:val="center"/>
          </w:tcPr>
          <w:p w14:paraId="00BE1D95">
            <w:pPr>
              <w:jc w:val="right"/>
            </w:pPr>
            <w:r>
              <w:t>73,462,739.27</w:t>
            </w:r>
          </w:p>
        </w:tc>
      </w:tr>
      <w:tr w14:paraId="6BA3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3C564A56">
            <w:pPr>
              <w:jc w:val="center"/>
            </w:pPr>
            <w:r>
              <w:t>服务费</w:t>
            </w:r>
          </w:p>
        </w:tc>
        <w:tc>
          <w:tcPr>
            <w:tcW w:w="1488" w:type="pct"/>
            <w:tcBorders>
              <w:top w:val="single" w:color="auto" w:sz="4" w:space="0"/>
              <w:left w:val="single" w:color="auto" w:sz="4" w:space="0"/>
              <w:bottom w:val="single" w:color="auto" w:sz="4" w:space="0"/>
              <w:right w:val="single" w:color="auto" w:sz="4" w:space="0"/>
            </w:tcBorders>
            <w:vAlign w:val="center"/>
          </w:tcPr>
          <w:p w14:paraId="556EA736">
            <w:pPr>
              <w:jc w:val="right"/>
            </w:pPr>
            <w:r>
              <w:t>20,197,388.29</w:t>
            </w:r>
          </w:p>
        </w:tc>
        <w:tc>
          <w:tcPr>
            <w:tcW w:w="1337" w:type="pct"/>
            <w:tcBorders>
              <w:top w:val="single" w:color="auto" w:sz="4" w:space="0"/>
              <w:left w:val="single" w:color="auto" w:sz="4" w:space="0"/>
              <w:bottom w:val="single" w:color="auto" w:sz="4" w:space="0"/>
              <w:right w:val="single" w:color="auto" w:sz="4" w:space="0"/>
            </w:tcBorders>
            <w:vAlign w:val="center"/>
          </w:tcPr>
          <w:p w14:paraId="11119C3C">
            <w:pPr>
              <w:jc w:val="right"/>
            </w:pPr>
            <w:r>
              <w:t>7,706,196.68</w:t>
            </w:r>
          </w:p>
        </w:tc>
      </w:tr>
      <w:tr w14:paraId="2972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76A28810">
            <w:pPr>
              <w:jc w:val="center"/>
            </w:pPr>
            <w:r>
              <w:t>租赁费</w:t>
            </w:r>
          </w:p>
        </w:tc>
        <w:tc>
          <w:tcPr>
            <w:tcW w:w="1488" w:type="pct"/>
            <w:tcBorders>
              <w:top w:val="single" w:color="auto" w:sz="4" w:space="0"/>
              <w:left w:val="single" w:color="auto" w:sz="4" w:space="0"/>
              <w:bottom w:val="single" w:color="auto" w:sz="4" w:space="0"/>
              <w:right w:val="single" w:color="auto" w:sz="4" w:space="0"/>
            </w:tcBorders>
            <w:vAlign w:val="center"/>
          </w:tcPr>
          <w:p w14:paraId="544AC16D">
            <w:pPr>
              <w:jc w:val="right"/>
            </w:pPr>
            <w:r>
              <w:t>8,147,235.12</w:t>
            </w:r>
          </w:p>
        </w:tc>
        <w:tc>
          <w:tcPr>
            <w:tcW w:w="1337" w:type="pct"/>
            <w:tcBorders>
              <w:top w:val="single" w:color="auto" w:sz="4" w:space="0"/>
              <w:left w:val="single" w:color="auto" w:sz="4" w:space="0"/>
              <w:bottom w:val="single" w:color="auto" w:sz="4" w:space="0"/>
              <w:right w:val="single" w:color="auto" w:sz="4" w:space="0"/>
            </w:tcBorders>
            <w:vAlign w:val="center"/>
          </w:tcPr>
          <w:p w14:paraId="52EB56ED">
            <w:pPr>
              <w:jc w:val="right"/>
            </w:pPr>
            <w:r>
              <w:t>9,500,029.28</w:t>
            </w:r>
          </w:p>
        </w:tc>
      </w:tr>
      <w:tr w14:paraId="6960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2E142981">
            <w:pPr>
              <w:jc w:val="center"/>
            </w:pPr>
            <w:r>
              <w:t>售后服务费</w:t>
            </w:r>
          </w:p>
        </w:tc>
        <w:tc>
          <w:tcPr>
            <w:tcW w:w="1488" w:type="pct"/>
            <w:tcBorders>
              <w:top w:val="single" w:color="auto" w:sz="4" w:space="0"/>
              <w:left w:val="single" w:color="auto" w:sz="4" w:space="0"/>
              <w:bottom w:val="single" w:color="auto" w:sz="4" w:space="0"/>
              <w:right w:val="single" w:color="auto" w:sz="4" w:space="0"/>
            </w:tcBorders>
            <w:vAlign w:val="center"/>
          </w:tcPr>
          <w:p w14:paraId="5689162D">
            <w:pPr>
              <w:jc w:val="right"/>
            </w:pPr>
            <w:r>
              <w:t>6,512,705.33</w:t>
            </w:r>
          </w:p>
        </w:tc>
        <w:tc>
          <w:tcPr>
            <w:tcW w:w="1337" w:type="pct"/>
            <w:tcBorders>
              <w:top w:val="single" w:color="auto" w:sz="4" w:space="0"/>
              <w:left w:val="single" w:color="auto" w:sz="4" w:space="0"/>
              <w:bottom w:val="single" w:color="auto" w:sz="4" w:space="0"/>
              <w:right w:val="single" w:color="auto" w:sz="4" w:space="0"/>
            </w:tcBorders>
            <w:vAlign w:val="center"/>
          </w:tcPr>
          <w:p w14:paraId="64248DCB">
            <w:pPr>
              <w:jc w:val="right"/>
            </w:pPr>
            <w:r>
              <w:t>6,733,898.15</w:t>
            </w:r>
          </w:p>
        </w:tc>
      </w:tr>
      <w:tr w14:paraId="0968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387194CF">
            <w:pPr>
              <w:jc w:val="center"/>
            </w:pPr>
            <w:r>
              <w:t>差旅费及交际应酬费</w:t>
            </w:r>
          </w:p>
        </w:tc>
        <w:tc>
          <w:tcPr>
            <w:tcW w:w="1488" w:type="pct"/>
            <w:tcBorders>
              <w:top w:val="single" w:color="auto" w:sz="4" w:space="0"/>
              <w:left w:val="single" w:color="auto" w:sz="4" w:space="0"/>
              <w:bottom w:val="single" w:color="auto" w:sz="4" w:space="0"/>
              <w:right w:val="single" w:color="auto" w:sz="4" w:space="0"/>
            </w:tcBorders>
            <w:vAlign w:val="center"/>
          </w:tcPr>
          <w:p w14:paraId="786693D3">
            <w:pPr>
              <w:jc w:val="right"/>
            </w:pPr>
            <w:r>
              <w:t>6,209,428.07</w:t>
            </w:r>
          </w:p>
        </w:tc>
        <w:tc>
          <w:tcPr>
            <w:tcW w:w="1337" w:type="pct"/>
            <w:tcBorders>
              <w:top w:val="single" w:color="auto" w:sz="4" w:space="0"/>
              <w:left w:val="single" w:color="auto" w:sz="4" w:space="0"/>
              <w:bottom w:val="single" w:color="auto" w:sz="4" w:space="0"/>
              <w:right w:val="single" w:color="auto" w:sz="4" w:space="0"/>
            </w:tcBorders>
            <w:vAlign w:val="center"/>
          </w:tcPr>
          <w:p w14:paraId="12420290">
            <w:pPr>
              <w:jc w:val="right"/>
            </w:pPr>
            <w:r>
              <w:t>7,134,519.32</w:t>
            </w:r>
          </w:p>
        </w:tc>
      </w:tr>
      <w:tr w14:paraId="6BAF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1B4B8182">
            <w:pPr>
              <w:jc w:val="center"/>
            </w:pPr>
            <w:r>
              <w:t>中介机构费</w:t>
            </w:r>
          </w:p>
        </w:tc>
        <w:tc>
          <w:tcPr>
            <w:tcW w:w="1488" w:type="pct"/>
            <w:tcBorders>
              <w:top w:val="single" w:color="auto" w:sz="4" w:space="0"/>
              <w:left w:val="single" w:color="auto" w:sz="4" w:space="0"/>
              <w:bottom w:val="single" w:color="auto" w:sz="4" w:space="0"/>
              <w:right w:val="single" w:color="auto" w:sz="4" w:space="0"/>
            </w:tcBorders>
            <w:vAlign w:val="center"/>
          </w:tcPr>
          <w:p w14:paraId="3AB411D9">
            <w:pPr>
              <w:jc w:val="right"/>
            </w:pPr>
            <w:r>
              <w:t>3,629,231.44</w:t>
            </w:r>
          </w:p>
        </w:tc>
        <w:tc>
          <w:tcPr>
            <w:tcW w:w="1337" w:type="pct"/>
            <w:tcBorders>
              <w:top w:val="single" w:color="auto" w:sz="4" w:space="0"/>
              <w:left w:val="single" w:color="auto" w:sz="4" w:space="0"/>
              <w:bottom w:val="single" w:color="auto" w:sz="4" w:space="0"/>
              <w:right w:val="single" w:color="auto" w:sz="4" w:space="0"/>
            </w:tcBorders>
            <w:vAlign w:val="center"/>
          </w:tcPr>
          <w:p w14:paraId="291D7F76">
            <w:pPr>
              <w:jc w:val="right"/>
            </w:pPr>
            <w:r>
              <w:t>3,611,030.99</w:t>
            </w:r>
          </w:p>
        </w:tc>
      </w:tr>
      <w:tr w14:paraId="7EA0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48A3C6BE">
            <w:pPr>
              <w:jc w:val="center"/>
            </w:pPr>
            <w:r>
              <w:t>折旧与摊销</w:t>
            </w:r>
          </w:p>
        </w:tc>
        <w:tc>
          <w:tcPr>
            <w:tcW w:w="1488" w:type="pct"/>
            <w:tcBorders>
              <w:top w:val="single" w:color="auto" w:sz="4" w:space="0"/>
              <w:left w:val="single" w:color="auto" w:sz="4" w:space="0"/>
              <w:bottom w:val="single" w:color="auto" w:sz="4" w:space="0"/>
              <w:right w:val="single" w:color="auto" w:sz="4" w:space="0"/>
            </w:tcBorders>
            <w:vAlign w:val="center"/>
          </w:tcPr>
          <w:p w14:paraId="4E0C450F">
            <w:pPr>
              <w:jc w:val="right"/>
            </w:pPr>
            <w:r>
              <w:t>3,276,424.35</w:t>
            </w:r>
          </w:p>
        </w:tc>
        <w:tc>
          <w:tcPr>
            <w:tcW w:w="1337" w:type="pct"/>
            <w:tcBorders>
              <w:top w:val="single" w:color="auto" w:sz="4" w:space="0"/>
              <w:left w:val="single" w:color="auto" w:sz="4" w:space="0"/>
              <w:bottom w:val="single" w:color="auto" w:sz="4" w:space="0"/>
              <w:right w:val="single" w:color="auto" w:sz="4" w:space="0"/>
            </w:tcBorders>
            <w:vAlign w:val="center"/>
          </w:tcPr>
          <w:p w14:paraId="47C228B7">
            <w:pPr>
              <w:jc w:val="right"/>
            </w:pPr>
            <w:r>
              <w:t>4,441,343.27</w:t>
            </w:r>
          </w:p>
        </w:tc>
      </w:tr>
      <w:tr w14:paraId="7B16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79EFB345">
            <w:pPr>
              <w:jc w:val="center"/>
            </w:pPr>
            <w:r>
              <w:t>出口信用保险</w:t>
            </w:r>
          </w:p>
        </w:tc>
        <w:tc>
          <w:tcPr>
            <w:tcW w:w="1488" w:type="pct"/>
            <w:tcBorders>
              <w:top w:val="single" w:color="auto" w:sz="4" w:space="0"/>
              <w:left w:val="single" w:color="auto" w:sz="4" w:space="0"/>
              <w:bottom w:val="single" w:color="auto" w:sz="4" w:space="0"/>
              <w:right w:val="single" w:color="auto" w:sz="4" w:space="0"/>
            </w:tcBorders>
            <w:vAlign w:val="center"/>
          </w:tcPr>
          <w:p w14:paraId="7BBD4AC9">
            <w:pPr>
              <w:jc w:val="right"/>
            </w:pPr>
            <w:r>
              <w:t>3,252,821.90</w:t>
            </w:r>
          </w:p>
        </w:tc>
        <w:tc>
          <w:tcPr>
            <w:tcW w:w="1337" w:type="pct"/>
            <w:tcBorders>
              <w:top w:val="single" w:color="auto" w:sz="4" w:space="0"/>
              <w:left w:val="single" w:color="auto" w:sz="4" w:space="0"/>
              <w:bottom w:val="single" w:color="auto" w:sz="4" w:space="0"/>
              <w:right w:val="single" w:color="auto" w:sz="4" w:space="0"/>
            </w:tcBorders>
            <w:vAlign w:val="center"/>
          </w:tcPr>
          <w:p w14:paraId="27EAF071">
            <w:pPr>
              <w:jc w:val="right"/>
            </w:pPr>
            <w:r>
              <w:t>1,953,446.89</w:t>
            </w:r>
          </w:p>
        </w:tc>
      </w:tr>
      <w:tr w14:paraId="3E43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362CCFFE">
            <w:pPr>
              <w:jc w:val="center"/>
            </w:pPr>
            <w:r>
              <w:t>展览费</w:t>
            </w:r>
          </w:p>
        </w:tc>
        <w:tc>
          <w:tcPr>
            <w:tcW w:w="1488" w:type="pct"/>
            <w:tcBorders>
              <w:top w:val="single" w:color="auto" w:sz="4" w:space="0"/>
              <w:left w:val="single" w:color="auto" w:sz="4" w:space="0"/>
              <w:bottom w:val="single" w:color="auto" w:sz="4" w:space="0"/>
              <w:right w:val="single" w:color="auto" w:sz="4" w:space="0"/>
            </w:tcBorders>
            <w:vAlign w:val="center"/>
          </w:tcPr>
          <w:p w14:paraId="70340655">
            <w:pPr>
              <w:jc w:val="right"/>
            </w:pPr>
            <w:r>
              <w:t>2,574,553.03</w:t>
            </w:r>
          </w:p>
        </w:tc>
        <w:tc>
          <w:tcPr>
            <w:tcW w:w="1337" w:type="pct"/>
            <w:tcBorders>
              <w:top w:val="single" w:color="auto" w:sz="4" w:space="0"/>
              <w:left w:val="single" w:color="auto" w:sz="4" w:space="0"/>
              <w:bottom w:val="single" w:color="auto" w:sz="4" w:space="0"/>
              <w:right w:val="single" w:color="auto" w:sz="4" w:space="0"/>
            </w:tcBorders>
            <w:vAlign w:val="center"/>
          </w:tcPr>
          <w:p w14:paraId="16E3DA86">
            <w:pPr>
              <w:jc w:val="right"/>
            </w:pPr>
            <w:r>
              <w:t>1,448,421.70</w:t>
            </w:r>
          </w:p>
        </w:tc>
      </w:tr>
      <w:tr w14:paraId="193F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2E3DF745">
            <w:pPr>
              <w:jc w:val="center"/>
            </w:pPr>
            <w:r>
              <w:t>劳务费</w:t>
            </w:r>
          </w:p>
        </w:tc>
        <w:tc>
          <w:tcPr>
            <w:tcW w:w="1488" w:type="pct"/>
            <w:tcBorders>
              <w:top w:val="single" w:color="auto" w:sz="4" w:space="0"/>
              <w:left w:val="single" w:color="auto" w:sz="4" w:space="0"/>
              <w:bottom w:val="single" w:color="auto" w:sz="4" w:space="0"/>
              <w:right w:val="single" w:color="auto" w:sz="4" w:space="0"/>
            </w:tcBorders>
            <w:vAlign w:val="center"/>
          </w:tcPr>
          <w:p w14:paraId="1A43D1FC">
            <w:pPr>
              <w:jc w:val="right"/>
            </w:pPr>
            <w:r>
              <w:t>1,377,510.67</w:t>
            </w:r>
          </w:p>
        </w:tc>
        <w:tc>
          <w:tcPr>
            <w:tcW w:w="1337" w:type="pct"/>
            <w:tcBorders>
              <w:top w:val="single" w:color="auto" w:sz="4" w:space="0"/>
              <w:left w:val="single" w:color="auto" w:sz="4" w:space="0"/>
              <w:bottom w:val="single" w:color="auto" w:sz="4" w:space="0"/>
              <w:right w:val="single" w:color="auto" w:sz="4" w:space="0"/>
            </w:tcBorders>
            <w:vAlign w:val="center"/>
          </w:tcPr>
          <w:p w14:paraId="36DB61B3">
            <w:pPr>
              <w:jc w:val="right"/>
            </w:pPr>
            <w:r>
              <w:t>2,628,936.96</w:t>
            </w:r>
          </w:p>
        </w:tc>
      </w:tr>
      <w:tr w14:paraId="019D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44E1B0F9">
            <w:pPr>
              <w:jc w:val="center"/>
            </w:pPr>
            <w:r>
              <w:t>使用权资产累计折旧</w:t>
            </w:r>
          </w:p>
        </w:tc>
        <w:tc>
          <w:tcPr>
            <w:tcW w:w="1488" w:type="pct"/>
            <w:tcBorders>
              <w:top w:val="single" w:color="auto" w:sz="4" w:space="0"/>
              <w:left w:val="single" w:color="auto" w:sz="4" w:space="0"/>
              <w:bottom w:val="single" w:color="auto" w:sz="4" w:space="0"/>
              <w:right w:val="single" w:color="auto" w:sz="4" w:space="0"/>
            </w:tcBorders>
            <w:vAlign w:val="center"/>
          </w:tcPr>
          <w:p w14:paraId="214F296F">
            <w:pPr>
              <w:jc w:val="right"/>
            </w:pPr>
            <w:r>
              <w:t>776,940.99</w:t>
            </w:r>
          </w:p>
        </w:tc>
        <w:tc>
          <w:tcPr>
            <w:tcW w:w="1337" w:type="pct"/>
            <w:tcBorders>
              <w:top w:val="single" w:color="auto" w:sz="4" w:space="0"/>
              <w:left w:val="single" w:color="auto" w:sz="4" w:space="0"/>
              <w:bottom w:val="single" w:color="auto" w:sz="4" w:space="0"/>
              <w:right w:val="single" w:color="auto" w:sz="4" w:space="0"/>
            </w:tcBorders>
            <w:vAlign w:val="center"/>
          </w:tcPr>
          <w:p w14:paraId="74F54D28">
            <w:pPr>
              <w:jc w:val="right"/>
            </w:pPr>
            <w:r>
              <w:t>2,283,170.17</w:t>
            </w:r>
          </w:p>
        </w:tc>
      </w:tr>
      <w:tr w14:paraId="0ECB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201F681F">
            <w:pPr>
              <w:jc w:val="center"/>
            </w:pPr>
            <w:r>
              <w:t>办公费</w:t>
            </w:r>
          </w:p>
        </w:tc>
        <w:tc>
          <w:tcPr>
            <w:tcW w:w="1488" w:type="pct"/>
            <w:tcBorders>
              <w:top w:val="single" w:color="auto" w:sz="4" w:space="0"/>
              <w:left w:val="single" w:color="auto" w:sz="4" w:space="0"/>
              <w:bottom w:val="single" w:color="auto" w:sz="4" w:space="0"/>
              <w:right w:val="single" w:color="auto" w:sz="4" w:space="0"/>
            </w:tcBorders>
            <w:vAlign w:val="center"/>
          </w:tcPr>
          <w:p w14:paraId="6FEA2B27">
            <w:pPr>
              <w:jc w:val="right"/>
            </w:pPr>
            <w:r>
              <w:t>523,635.05</w:t>
            </w:r>
          </w:p>
        </w:tc>
        <w:tc>
          <w:tcPr>
            <w:tcW w:w="1337" w:type="pct"/>
            <w:tcBorders>
              <w:top w:val="single" w:color="auto" w:sz="4" w:space="0"/>
              <w:left w:val="single" w:color="auto" w:sz="4" w:space="0"/>
              <w:bottom w:val="single" w:color="auto" w:sz="4" w:space="0"/>
              <w:right w:val="single" w:color="auto" w:sz="4" w:space="0"/>
            </w:tcBorders>
            <w:vAlign w:val="center"/>
          </w:tcPr>
          <w:p w14:paraId="05865DDC">
            <w:pPr>
              <w:jc w:val="right"/>
            </w:pPr>
            <w:r>
              <w:t>567,717.67</w:t>
            </w:r>
          </w:p>
        </w:tc>
      </w:tr>
      <w:tr w14:paraId="3A01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30C6E180">
            <w:pPr>
              <w:jc w:val="center"/>
            </w:pPr>
            <w:r>
              <w:t>运输费</w:t>
            </w:r>
          </w:p>
        </w:tc>
        <w:tc>
          <w:tcPr>
            <w:tcW w:w="1488" w:type="pct"/>
            <w:tcBorders>
              <w:top w:val="single" w:color="auto" w:sz="4" w:space="0"/>
              <w:left w:val="single" w:color="auto" w:sz="4" w:space="0"/>
              <w:bottom w:val="single" w:color="auto" w:sz="4" w:space="0"/>
              <w:right w:val="single" w:color="auto" w:sz="4" w:space="0"/>
            </w:tcBorders>
            <w:vAlign w:val="center"/>
          </w:tcPr>
          <w:p w14:paraId="58C5BA40">
            <w:pPr>
              <w:jc w:val="right"/>
            </w:pPr>
            <w:r>
              <w:t>25,911.95</w:t>
            </w:r>
          </w:p>
        </w:tc>
        <w:tc>
          <w:tcPr>
            <w:tcW w:w="1337" w:type="pct"/>
            <w:tcBorders>
              <w:top w:val="single" w:color="auto" w:sz="4" w:space="0"/>
              <w:left w:val="single" w:color="auto" w:sz="4" w:space="0"/>
              <w:bottom w:val="single" w:color="auto" w:sz="4" w:space="0"/>
              <w:right w:val="single" w:color="auto" w:sz="4" w:space="0"/>
            </w:tcBorders>
            <w:vAlign w:val="center"/>
          </w:tcPr>
          <w:p w14:paraId="3486FF6B">
            <w:pPr>
              <w:jc w:val="right"/>
            </w:pPr>
            <w:r>
              <w:t>679,193.53</w:t>
            </w:r>
          </w:p>
        </w:tc>
      </w:tr>
      <w:tr w14:paraId="39AD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66CCB04A">
            <w:pPr>
              <w:jc w:val="center"/>
            </w:pPr>
            <w:r>
              <w:t>其他</w:t>
            </w:r>
          </w:p>
        </w:tc>
        <w:tc>
          <w:tcPr>
            <w:tcW w:w="1488" w:type="pct"/>
            <w:tcBorders>
              <w:top w:val="single" w:color="auto" w:sz="4" w:space="0"/>
              <w:left w:val="single" w:color="auto" w:sz="4" w:space="0"/>
              <w:bottom w:val="single" w:color="auto" w:sz="4" w:space="0"/>
              <w:right w:val="single" w:color="auto" w:sz="4" w:space="0"/>
            </w:tcBorders>
            <w:vAlign w:val="center"/>
          </w:tcPr>
          <w:p w14:paraId="5593E91D">
            <w:pPr>
              <w:jc w:val="right"/>
            </w:pPr>
            <w:r>
              <w:t>3,883,629.74</w:t>
            </w:r>
          </w:p>
        </w:tc>
        <w:tc>
          <w:tcPr>
            <w:tcW w:w="1337" w:type="pct"/>
            <w:tcBorders>
              <w:top w:val="single" w:color="auto" w:sz="4" w:space="0"/>
              <w:left w:val="single" w:color="auto" w:sz="4" w:space="0"/>
              <w:bottom w:val="single" w:color="auto" w:sz="4" w:space="0"/>
              <w:right w:val="single" w:color="auto" w:sz="4" w:space="0"/>
            </w:tcBorders>
            <w:vAlign w:val="center"/>
          </w:tcPr>
          <w:p w14:paraId="2662DC65">
            <w:pPr>
              <w:jc w:val="right"/>
            </w:pPr>
            <w:r>
              <w:t>8,423,729.54</w:t>
            </w:r>
          </w:p>
        </w:tc>
      </w:tr>
      <w:tr w14:paraId="330B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5" w:type="pct"/>
            <w:tcBorders>
              <w:top w:val="single" w:color="auto" w:sz="4" w:space="0"/>
              <w:left w:val="single" w:color="auto" w:sz="4" w:space="0"/>
              <w:bottom w:val="single" w:color="auto" w:sz="4" w:space="0"/>
              <w:right w:val="single" w:color="auto" w:sz="4" w:space="0"/>
            </w:tcBorders>
            <w:vAlign w:val="center"/>
          </w:tcPr>
          <w:p w14:paraId="5F7F3DE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88" w:type="pct"/>
            <w:tcBorders>
              <w:top w:val="single" w:color="auto" w:sz="4" w:space="0"/>
              <w:left w:val="single" w:color="auto" w:sz="4" w:space="0"/>
              <w:bottom w:val="single" w:color="auto" w:sz="4" w:space="0"/>
              <w:right w:val="single" w:color="auto" w:sz="4" w:space="0"/>
            </w:tcBorders>
            <w:vAlign w:val="center"/>
          </w:tcPr>
          <w:p w14:paraId="2F776E10">
            <w:pPr>
              <w:jc w:val="right"/>
              <w:rPr>
                <w:color w:val="000000"/>
                <w:sz w:val="20"/>
                <w:szCs w:val="20"/>
              </w:rPr>
            </w:pPr>
            <w:r>
              <w:rPr>
                <w:rFonts w:hint="eastAsia"/>
                <w:color w:val="000000"/>
                <w:sz w:val="20"/>
                <w:szCs w:val="20"/>
              </w:rPr>
              <w:t xml:space="preserve">142,897,270.39 </w:t>
            </w:r>
          </w:p>
        </w:tc>
        <w:tc>
          <w:tcPr>
            <w:tcW w:w="1337" w:type="pct"/>
            <w:tcBorders>
              <w:top w:val="single" w:color="auto" w:sz="4" w:space="0"/>
              <w:left w:val="single" w:color="auto" w:sz="4" w:space="0"/>
              <w:bottom w:val="single" w:color="auto" w:sz="4" w:space="0"/>
              <w:right w:val="single" w:color="auto" w:sz="4" w:space="0"/>
            </w:tcBorders>
            <w:vAlign w:val="center"/>
          </w:tcPr>
          <w:p w14:paraId="13C621CC">
            <w:pPr>
              <w:jc w:val="right"/>
              <w:rPr>
                <w:color w:val="000000"/>
                <w:sz w:val="20"/>
                <w:szCs w:val="20"/>
              </w:rPr>
            </w:pPr>
            <w:r>
              <w:rPr>
                <w:color w:val="000000"/>
                <w:sz w:val="20"/>
                <w:szCs w:val="20"/>
              </w:rPr>
              <w:t>181,315,496.73</w:t>
            </w:r>
          </w:p>
        </w:tc>
      </w:tr>
    </w:tbl>
    <w:p w14:paraId="55C65AF8"/>
    <w:p w14:paraId="41D14645">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销售费用的其他说明事项"/>
        <w:tag w:val="_GBC_42921bca5478449e9dd3932a8303975a"/>
        <w:id w:val="1830250487"/>
        <w:placeholder>
          <w:docPart w:val="GBC22222222222222222222222222222"/>
        </w:placeholder>
      </w:sdtPr>
      <w:sdtEndPr>
        <w:rPr>
          <w:color w:val="000000" w:themeColor="text1"/>
          <w14:textFill>
            <w14:solidFill>
              <w14:schemeClr w14:val="tx1"/>
            </w14:solidFill>
          </w14:textFill>
        </w:rPr>
      </w:sdtEndPr>
      <w:sdtContent>
        <w:p w14:paraId="58AFF3B4">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7460BF6">
      <w:pPr>
        <w:rPr>
          <w:color w:val="000000" w:themeColor="text1"/>
          <w14:textFill>
            <w14:solidFill>
              <w14:schemeClr w14:val="tx1"/>
            </w14:solidFill>
          </w14:textFill>
        </w:rPr>
      </w:pPr>
    </w:p>
    <w:p w14:paraId="30334EB5">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管理费用</w:t>
      </w:r>
    </w:p>
    <w:sdt>
      <w:sdtPr>
        <w:rPr>
          <w:color w:val="000000" w:themeColor="text1"/>
          <w14:textFill>
            <w14:solidFill>
              <w14:schemeClr w14:val="tx1"/>
            </w14:solidFill>
          </w14:textFill>
        </w:rPr>
        <w:alias w:val="是否适用：管理费用[双击切换]"/>
        <w:tag w:val="_GBC_864c9dd9adce435698261f1da02ab8fb"/>
        <w:id w:val="-905070479"/>
        <w:placeholder>
          <w:docPart w:val="GBC22222222222222222222222222222"/>
        </w:placeholder>
      </w:sdtPr>
      <w:sdtEndPr>
        <w:rPr>
          <w:color w:val="000000" w:themeColor="text1"/>
          <w14:textFill>
            <w14:solidFill>
              <w14:schemeClr w14:val="tx1"/>
            </w14:solidFill>
          </w14:textFill>
        </w:rPr>
      </w:sdtEndPr>
      <w:sdtContent>
        <w:p w14:paraId="426A1A8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E7E1E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管理费用"/>
          <w:tag w:val="_GBC_b8198aec3f7748d28785c1eebbf02df7"/>
          <w:id w:val="10075694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管理费用"/>
          <w:tag w:val="_GBC_f92af61f8b3b45ba9ec818ede9725428"/>
          <w:id w:val="1755444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14:paraId="0FD1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49fd0c096ba421285089a0fada9d43a"/>
            <w:id w:val="1652100957"/>
          </w:sdtPr>
          <w:sdtContent>
            <w:tc>
              <w:tcPr>
                <w:tcW w:w="2213" w:type="pct"/>
                <w:tcBorders>
                  <w:top w:val="single" w:color="auto" w:sz="4" w:space="0"/>
                  <w:left w:val="single" w:color="auto" w:sz="4" w:space="0"/>
                  <w:bottom w:val="single" w:color="auto" w:sz="4" w:space="0"/>
                  <w:right w:val="single" w:color="auto" w:sz="4" w:space="0"/>
                </w:tcBorders>
              </w:tcPr>
              <w:p w14:paraId="5A76D97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acf5bcbf929244268be56ad5d0f3ea18"/>
            <w:id w:val="-1487467121"/>
          </w:sdtPr>
          <w:sdtContent>
            <w:tc>
              <w:tcPr>
                <w:tcW w:w="1439" w:type="pct"/>
                <w:tcBorders>
                  <w:top w:val="single" w:color="auto" w:sz="4" w:space="0"/>
                  <w:left w:val="single" w:color="auto" w:sz="4" w:space="0"/>
                  <w:bottom w:val="single" w:color="auto" w:sz="4" w:space="0"/>
                  <w:right w:val="single" w:color="auto" w:sz="4" w:space="0"/>
                </w:tcBorders>
              </w:tcPr>
              <w:p w14:paraId="1C80A29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d37d8a59d4d74c26ac22dc33983efa29"/>
            <w:id w:val="1866797830"/>
          </w:sdtPr>
          <w:sdtContent>
            <w:tc>
              <w:tcPr>
                <w:tcW w:w="1348" w:type="pct"/>
                <w:tcBorders>
                  <w:top w:val="single" w:color="auto" w:sz="4" w:space="0"/>
                  <w:left w:val="single" w:color="auto" w:sz="4" w:space="0"/>
                  <w:bottom w:val="single" w:color="auto" w:sz="4" w:space="0"/>
                  <w:right w:val="single" w:color="auto" w:sz="4" w:space="0"/>
                </w:tcBorders>
              </w:tcPr>
              <w:p w14:paraId="0DEB1D5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763B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2BE2DD5">
            <w:pPr>
              <w:jc w:val="center"/>
            </w:pPr>
            <w:r>
              <w:t>工资及社保</w:t>
            </w:r>
          </w:p>
        </w:tc>
        <w:tc>
          <w:tcPr>
            <w:tcW w:w="1439" w:type="pct"/>
            <w:tcBorders>
              <w:top w:val="single" w:color="auto" w:sz="4" w:space="0"/>
              <w:left w:val="single" w:color="auto" w:sz="4" w:space="0"/>
              <w:bottom w:val="single" w:color="auto" w:sz="4" w:space="0"/>
              <w:right w:val="single" w:color="auto" w:sz="4" w:space="0"/>
            </w:tcBorders>
          </w:tcPr>
          <w:p w14:paraId="54F0F216">
            <w:pPr>
              <w:jc w:val="right"/>
            </w:pPr>
            <w:r>
              <w:t>102,700,962.88</w:t>
            </w:r>
          </w:p>
        </w:tc>
        <w:tc>
          <w:tcPr>
            <w:tcW w:w="1348" w:type="pct"/>
            <w:tcBorders>
              <w:top w:val="single" w:color="auto" w:sz="4" w:space="0"/>
              <w:left w:val="single" w:color="auto" w:sz="4" w:space="0"/>
              <w:bottom w:val="single" w:color="auto" w:sz="4" w:space="0"/>
              <w:right w:val="single" w:color="auto" w:sz="4" w:space="0"/>
            </w:tcBorders>
          </w:tcPr>
          <w:p w14:paraId="3A840831">
            <w:pPr>
              <w:jc w:val="right"/>
            </w:pPr>
            <w:r>
              <w:t>75,379,719.42</w:t>
            </w:r>
          </w:p>
        </w:tc>
      </w:tr>
      <w:tr w14:paraId="53B5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3848390">
            <w:pPr>
              <w:jc w:val="center"/>
            </w:pPr>
            <w:r>
              <w:t>折旧及摊销</w:t>
            </w:r>
          </w:p>
        </w:tc>
        <w:tc>
          <w:tcPr>
            <w:tcW w:w="1439" w:type="pct"/>
            <w:tcBorders>
              <w:top w:val="single" w:color="auto" w:sz="4" w:space="0"/>
              <w:left w:val="single" w:color="auto" w:sz="4" w:space="0"/>
              <w:bottom w:val="single" w:color="auto" w:sz="4" w:space="0"/>
              <w:right w:val="single" w:color="auto" w:sz="4" w:space="0"/>
            </w:tcBorders>
          </w:tcPr>
          <w:p w14:paraId="1DB7FAAA">
            <w:pPr>
              <w:jc w:val="right"/>
            </w:pPr>
            <w:r>
              <w:t>28,114,127.14</w:t>
            </w:r>
          </w:p>
        </w:tc>
        <w:tc>
          <w:tcPr>
            <w:tcW w:w="1348" w:type="pct"/>
            <w:tcBorders>
              <w:top w:val="single" w:color="auto" w:sz="4" w:space="0"/>
              <w:left w:val="single" w:color="auto" w:sz="4" w:space="0"/>
              <w:bottom w:val="single" w:color="auto" w:sz="4" w:space="0"/>
              <w:right w:val="single" w:color="auto" w:sz="4" w:space="0"/>
            </w:tcBorders>
          </w:tcPr>
          <w:p w14:paraId="36180CF2">
            <w:pPr>
              <w:jc w:val="right"/>
            </w:pPr>
            <w:r>
              <w:t>32,202,748.68</w:t>
            </w:r>
          </w:p>
        </w:tc>
      </w:tr>
      <w:tr w14:paraId="08E8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7434F0F9">
            <w:pPr>
              <w:jc w:val="center"/>
            </w:pPr>
            <w:r>
              <w:t>中介机构费</w:t>
            </w:r>
          </w:p>
        </w:tc>
        <w:tc>
          <w:tcPr>
            <w:tcW w:w="1439" w:type="pct"/>
            <w:tcBorders>
              <w:top w:val="single" w:color="auto" w:sz="4" w:space="0"/>
              <w:left w:val="single" w:color="auto" w:sz="4" w:space="0"/>
              <w:bottom w:val="single" w:color="auto" w:sz="4" w:space="0"/>
              <w:right w:val="single" w:color="auto" w:sz="4" w:space="0"/>
            </w:tcBorders>
          </w:tcPr>
          <w:p w14:paraId="2E0D6CE1">
            <w:pPr>
              <w:jc w:val="right"/>
            </w:pPr>
            <w:r>
              <w:t>13,480,336.40</w:t>
            </w:r>
          </w:p>
        </w:tc>
        <w:tc>
          <w:tcPr>
            <w:tcW w:w="1348" w:type="pct"/>
            <w:tcBorders>
              <w:top w:val="single" w:color="auto" w:sz="4" w:space="0"/>
              <w:left w:val="single" w:color="auto" w:sz="4" w:space="0"/>
              <w:bottom w:val="single" w:color="auto" w:sz="4" w:space="0"/>
              <w:right w:val="single" w:color="auto" w:sz="4" w:space="0"/>
            </w:tcBorders>
          </w:tcPr>
          <w:p w14:paraId="5416C748">
            <w:pPr>
              <w:jc w:val="right"/>
            </w:pPr>
            <w:r>
              <w:t>4,400,495.48</w:t>
            </w:r>
          </w:p>
        </w:tc>
      </w:tr>
      <w:tr w14:paraId="027B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7D37B43">
            <w:pPr>
              <w:jc w:val="center"/>
            </w:pPr>
            <w:r>
              <w:t>差旅费及交际应酬费</w:t>
            </w:r>
          </w:p>
        </w:tc>
        <w:tc>
          <w:tcPr>
            <w:tcW w:w="1439" w:type="pct"/>
            <w:tcBorders>
              <w:top w:val="single" w:color="auto" w:sz="4" w:space="0"/>
              <w:left w:val="single" w:color="auto" w:sz="4" w:space="0"/>
              <w:bottom w:val="single" w:color="auto" w:sz="4" w:space="0"/>
              <w:right w:val="single" w:color="auto" w:sz="4" w:space="0"/>
            </w:tcBorders>
          </w:tcPr>
          <w:p w14:paraId="172C8E76">
            <w:pPr>
              <w:jc w:val="right"/>
            </w:pPr>
            <w:r>
              <w:t>7,152,474.40</w:t>
            </w:r>
          </w:p>
        </w:tc>
        <w:tc>
          <w:tcPr>
            <w:tcW w:w="1348" w:type="pct"/>
            <w:tcBorders>
              <w:top w:val="single" w:color="auto" w:sz="4" w:space="0"/>
              <w:left w:val="single" w:color="auto" w:sz="4" w:space="0"/>
              <w:bottom w:val="single" w:color="auto" w:sz="4" w:space="0"/>
              <w:right w:val="single" w:color="auto" w:sz="4" w:space="0"/>
            </w:tcBorders>
          </w:tcPr>
          <w:p w14:paraId="23620588">
            <w:pPr>
              <w:jc w:val="right"/>
            </w:pPr>
            <w:r>
              <w:t>3,885,703.76</w:t>
            </w:r>
          </w:p>
        </w:tc>
      </w:tr>
      <w:tr w14:paraId="7EFF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42A4EB9">
            <w:pPr>
              <w:jc w:val="center"/>
            </w:pPr>
            <w:r>
              <w:t>服务费</w:t>
            </w:r>
          </w:p>
        </w:tc>
        <w:tc>
          <w:tcPr>
            <w:tcW w:w="1439" w:type="pct"/>
            <w:tcBorders>
              <w:top w:val="single" w:color="auto" w:sz="4" w:space="0"/>
              <w:left w:val="single" w:color="auto" w:sz="4" w:space="0"/>
              <w:bottom w:val="single" w:color="auto" w:sz="4" w:space="0"/>
              <w:right w:val="single" w:color="auto" w:sz="4" w:space="0"/>
            </w:tcBorders>
          </w:tcPr>
          <w:p w14:paraId="261AF903">
            <w:pPr>
              <w:jc w:val="right"/>
            </w:pPr>
            <w:r>
              <w:t>3,363,812.61</w:t>
            </w:r>
          </w:p>
        </w:tc>
        <w:tc>
          <w:tcPr>
            <w:tcW w:w="1348" w:type="pct"/>
            <w:tcBorders>
              <w:top w:val="single" w:color="auto" w:sz="4" w:space="0"/>
              <w:left w:val="single" w:color="auto" w:sz="4" w:space="0"/>
              <w:bottom w:val="single" w:color="auto" w:sz="4" w:space="0"/>
              <w:right w:val="single" w:color="auto" w:sz="4" w:space="0"/>
            </w:tcBorders>
          </w:tcPr>
          <w:p w14:paraId="73CF9E7C">
            <w:pPr>
              <w:jc w:val="right"/>
            </w:pPr>
            <w:r>
              <w:t>12,189,413.37</w:t>
            </w:r>
          </w:p>
        </w:tc>
      </w:tr>
      <w:tr w14:paraId="1182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3C98E088">
            <w:pPr>
              <w:jc w:val="center"/>
            </w:pPr>
            <w:r>
              <w:t>修理费</w:t>
            </w:r>
          </w:p>
        </w:tc>
        <w:tc>
          <w:tcPr>
            <w:tcW w:w="1439" w:type="pct"/>
            <w:tcBorders>
              <w:top w:val="single" w:color="auto" w:sz="4" w:space="0"/>
              <w:left w:val="single" w:color="auto" w:sz="4" w:space="0"/>
              <w:bottom w:val="single" w:color="auto" w:sz="4" w:space="0"/>
              <w:right w:val="single" w:color="auto" w:sz="4" w:space="0"/>
            </w:tcBorders>
          </w:tcPr>
          <w:p w14:paraId="4FEAA549">
            <w:pPr>
              <w:jc w:val="right"/>
            </w:pPr>
            <w:r>
              <w:t>3,098,829.14</w:t>
            </w:r>
          </w:p>
        </w:tc>
        <w:tc>
          <w:tcPr>
            <w:tcW w:w="1348" w:type="pct"/>
            <w:tcBorders>
              <w:top w:val="single" w:color="auto" w:sz="4" w:space="0"/>
              <w:left w:val="single" w:color="auto" w:sz="4" w:space="0"/>
              <w:bottom w:val="single" w:color="auto" w:sz="4" w:space="0"/>
              <w:right w:val="single" w:color="auto" w:sz="4" w:space="0"/>
            </w:tcBorders>
          </w:tcPr>
          <w:p w14:paraId="77D3C03A">
            <w:pPr>
              <w:jc w:val="right"/>
            </w:pPr>
            <w:r>
              <w:t>2,850,535.15</w:t>
            </w:r>
          </w:p>
        </w:tc>
      </w:tr>
      <w:tr w14:paraId="63C3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1EA7713">
            <w:pPr>
              <w:jc w:val="center"/>
            </w:pPr>
            <w:r>
              <w:t>租赁费</w:t>
            </w:r>
          </w:p>
        </w:tc>
        <w:tc>
          <w:tcPr>
            <w:tcW w:w="1439" w:type="pct"/>
            <w:tcBorders>
              <w:top w:val="single" w:color="auto" w:sz="4" w:space="0"/>
              <w:left w:val="single" w:color="auto" w:sz="4" w:space="0"/>
              <w:bottom w:val="single" w:color="auto" w:sz="4" w:space="0"/>
              <w:right w:val="single" w:color="auto" w:sz="4" w:space="0"/>
            </w:tcBorders>
          </w:tcPr>
          <w:p w14:paraId="2AE70173">
            <w:pPr>
              <w:jc w:val="right"/>
            </w:pPr>
            <w:r>
              <w:t>816,696.96</w:t>
            </w:r>
          </w:p>
        </w:tc>
        <w:tc>
          <w:tcPr>
            <w:tcW w:w="1348" w:type="pct"/>
            <w:tcBorders>
              <w:top w:val="single" w:color="auto" w:sz="4" w:space="0"/>
              <w:left w:val="single" w:color="auto" w:sz="4" w:space="0"/>
              <w:bottom w:val="single" w:color="auto" w:sz="4" w:space="0"/>
              <w:right w:val="single" w:color="auto" w:sz="4" w:space="0"/>
            </w:tcBorders>
          </w:tcPr>
          <w:p w14:paraId="7B2F61AE">
            <w:pPr>
              <w:jc w:val="right"/>
            </w:pPr>
            <w:r>
              <w:t>1,134,354.43</w:t>
            </w:r>
          </w:p>
        </w:tc>
      </w:tr>
      <w:tr w14:paraId="5B92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56CB5A3">
            <w:pPr>
              <w:jc w:val="center"/>
            </w:pPr>
            <w:r>
              <w:t>水电气费</w:t>
            </w:r>
          </w:p>
        </w:tc>
        <w:tc>
          <w:tcPr>
            <w:tcW w:w="1439" w:type="pct"/>
            <w:tcBorders>
              <w:top w:val="single" w:color="auto" w:sz="4" w:space="0"/>
              <w:left w:val="single" w:color="auto" w:sz="4" w:space="0"/>
              <w:bottom w:val="single" w:color="auto" w:sz="4" w:space="0"/>
              <w:right w:val="single" w:color="auto" w:sz="4" w:space="0"/>
            </w:tcBorders>
          </w:tcPr>
          <w:p w14:paraId="46811ADC">
            <w:pPr>
              <w:jc w:val="right"/>
            </w:pPr>
            <w:r>
              <w:t>698,490.62</w:t>
            </w:r>
          </w:p>
        </w:tc>
        <w:tc>
          <w:tcPr>
            <w:tcW w:w="1348" w:type="pct"/>
            <w:tcBorders>
              <w:top w:val="single" w:color="auto" w:sz="4" w:space="0"/>
              <w:left w:val="single" w:color="auto" w:sz="4" w:space="0"/>
              <w:bottom w:val="single" w:color="auto" w:sz="4" w:space="0"/>
              <w:right w:val="single" w:color="auto" w:sz="4" w:space="0"/>
            </w:tcBorders>
          </w:tcPr>
          <w:p w14:paraId="61F0524C">
            <w:pPr>
              <w:jc w:val="right"/>
            </w:pPr>
            <w:r>
              <w:t>1,220,773.54</w:t>
            </w:r>
          </w:p>
        </w:tc>
      </w:tr>
      <w:tr w14:paraId="6996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C59F6C5">
            <w:pPr>
              <w:jc w:val="center"/>
            </w:pPr>
            <w:r>
              <w:t>办公费</w:t>
            </w:r>
          </w:p>
        </w:tc>
        <w:tc>
          <w:tcPr>
            <w:tcW w:w="1439" w:type="pct"/>
            <w:tcBorders>
              <w:top w:val="single" w:color="auto" w:sz="4" w:space="0"/>
              <w:left w:val="single" w:color="auto" w:sz="4" w:space="0"/>
              <w:bottom w:val="single" w:color="auto" w:sz="4" w:space="0"/>
              <w:right w:val="single" w:color="auto" w:sz="4" w:space="0"/>
            </w:tcBorders>
          </w:tcPr>
          <w:p w14:paraId="725CADBE">
            <w:pPr>
              <w:jc w:val="right"/>
            </w:pPr>
            <w:r>
              <w:t>484,666.72</w:t>
            </w:r>
          </w:p>
        </w:tc>
        <w:tc>
          <w:tcPr>
            <w:tcW w:w="1348" w:type="pct"/>
            <w:tcBorders>
              <w:top w:val="single" w:color="auto" w:sz="4" w:space="0"/>
              <w:left w:val="single" w:color="auto" w:sz="4" w:space="0"/>
              <w:bottom w:val="single" w:color="auto" w:sz="4" w:space="0"/>
              <w:right w:val="single" w:color="auto" w:sz="4" w:space="0"/>
            </w:tcBorders>
          </w:tcPr>
          <w:p w14:paraId="68824B7B">
            <w:pPr>
              <w:jc w:val="right"/>
            </w:pPr>
            <w:r>
              <w:t>973,828.61</w:t>
            </w:r>
          </w:p>
        </w:tc>
      </w:tr>
      <w:tr w14:paraId="027D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1639420">
            <w:pPr>
              <w:jc w:val="center"/>
            </w:pPr>
            <w:r>
              <w:t>运输费</w:t>
            </w:r>
          </w:p>
        </w:tc>
        <w:tc>
          <w:tcPr>
            <w:tcW w:w="1439" w:type="pct"/>
            <w:tcBorders>
              <w:top w:val="single" w:color="auto" w:sz="4" w:space="0"/>
              <w:left w:val="single" w:color="auto" w:sz="4" w:space="0"/>
              <w:bottom w:val="single" w:color="auto" w:sz="4" w:space="0"/>
              <w:right w:val="single" w:color="auto" w:sz="4" w:space="0"/>
            </w:tcBorders>
          </w:tcPr>
          <w:p w14:paraId="74365E5F">
            <w:pPr>
              <w:jc w:val="right"/>
            </w:pPr>
            <w:r>
              <w:t>471,577.89</w:t>
            </w:r>
          </w:p>
        </w:tc>
        <w:tc>
          <w:tcPr>
            <w:tcW w:w="1348" w:type="pct"/>
            <w:tcBorders>
              <w:top w:val="single" w:color="auto" w:sz="4" w:space="0"/>
              <w:left w:val="single" w:color="auto" w:sz="4" w:space="0"/>
              <w:bottom w:val="single" w:color="auto" w:sz="4" w:space="0"/>
              <w:right w:val="single" w:color="auto" w:sz="4" w:space="0"/>
            </w:tcBorders>
          </w:tcPr>
          <w:p w14:paraId="64CF5F0A">
            <w:pPr>
              <w:jc w:val="right"/>
            </w:pPr>
            <w:r>
              <w:t>208,999.43</w:t>
            </w:r>
          </w:p>
        </w:tc>
      </w:tr>
      <w:tr w14:paraId="425C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369EA4A8">
            <w:pPr>
              <w:jc w:val="center"/>
            </w:pPr>
            <w:r>
              <w:t>机物料消耗</w:t>
            </w:r>
          </w:p>
        </w:tc>
        <w:tc>
          <w:tcPr>
            <w:tcW w:w="1439" w:type="pct"/>
            <w:tcBorders>
              <w:top w:val="single" w:color="auto" w:sz="4" w:space="0"/>
              <w:left w:val="single" w:color="auto" w:sz="4" w:space="0"/>
              <w:bottom w:val="single" w:color="auto" w:sz="4" w:space="0"/>
              <w:right w:val="single" w:color="auto" w:sz="4" w:space="0"/>
            </w:tcBorders>
          </w:tcPr>
          <w:p w14:paraId="7F1F9B05">
            <w:pPr>
              <w:jc w:val="right"/>
            </w:pPr>
            <w:r>
              <w:t>297,296.57</w:t>
            </w:r>
          </w:p>
        </w:tc>
        <w:tc>
          <w:tcPr>
            <w:tcW w:w="1348" w:type="pct"/>
            <w:tcBorders>
              <w:top w:val="single" w:color="auto" w:sz="4" w:space="0"/>
              <w:left w:val="single" w:color="auto" w:sz="4" w:space="0"/>
              <w:bottom w:val="single" w:color="auto" w:sz="4" w:space="0"/>
              <w:right w:val="single" w:color="auto" w:sz="4" w:space="0"/>
            </w:tcBorders>
          </w:tcPr>
          <w:p w14:paraId="7A8B056D">
            <w:pPr>
              <w:jc w:val="right"/>
            </w:pPr>
            <w:r>
              <w:t>254,972.85</w:t>
            </w:r>
          </w:p>
        </w:tc>
      </w:tr>
      <w:tr w14:paraId="4052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61A2F6BD">
            <w:pPr>
              <w:jc w:val="center"/>
            </w:pPr>
            <w:r>
              <w:t>使用权资产折旧</w:t>
            </w:r>
          </w:p>
        </w:tc>
        <w:tc>
          <w:tcPr>
            <w:tcW w:w="1439" w:type="pct"/>
            <w:tcBorders>
              <w:top w:val="single" w:color="auto" w:sz="4" w:space="0"/>
              <w:left w:val="single" w:color="auto" w:sz="4" w:space="0"/>
              <w:bottom w:val="single" w:color="auto" w:sz="4" w:space="0"/>
              <w:right w:val="single" w:color="auto" w:sz="4" w:space="0"/>
            </w:tcBorders>
          </w:tcPr>
          <w:p w14:paraId="43E09E81">
            <w:pPr>
              <w:jc w:val="right"/>
            </w:pPr>
          </w:p>
        </w:tc>
        <w:tc>
          <w:tcPr>
            <w:tcW w:w="1348" w:type="pct"/>
            <w:tcBorders>
              <w:top w:val="single" w:color="auto" w:sz="4" w:space="0"/>
              <w:left w:val="single" w:color="auto" w:sz="4" w:space="0"/>
              <w:bottom w:val="single" w:color="auto" w:sz="4" w:space="0"/>
              <w:right w:val="single" w:color="auto" w:sz="4" w:space="0"/>
            </w:tcBorders>
          </w:tcPr>
          <w:p w14:paraId="1B2D9FA5">
            <w:pPr>
              <w:jc w:val="right"/>
            </w:pPr>
            <w:r>
              <w:t>156,600.74</w:t>
            </w:r>
          </w:p>
        </w:tc>
      </w:tr>
      <w:tr w14:paraId="106C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2DDB963D">
            <w:pPr>
              <w:jc w:val="center"/>
            </w:pPr>
            <w:r>
              <w:t>其他</w:t>
            </w:r>
          </w:p>
        </w:tc>
        <w:tc>
          <w:tcPr>
            <w:tcW w:w="1439" w:type="pct"/>
            <w:tcBorders>
              <w:top w:val="single" w:color="auto" w:sz="4" w:space="0"/>
              <w:left w:val="single" w:color="auto" w:sz="4" w:space="0"/>
              <w:bottom w:val="single" w:color="auto" w:sz="4" w:space="0"/>
              <w:right w:val="single" w:color="auto" w:sz="4" w:space="0"/>
            </w:tcBorders>
          </w:tcPr>
          <w:p w14:paraId="5C1F80B8">
            <w:pPr>
              <w:jc w:val="right"/>
            </w:pPr>
            <w:r>
              <w:t>6,483,839.17</w:t>
            </w:r>
          </w:p>
        </w:tc>
        <w:tc>
          <w:tcPr>
            <w:tcW w:w="1348" w:type="pct"/>
            <w:tcBorders>
              <w:top w:val="single" w:color="auto" w:sz="4" w:space="0"/>
              <w:left w:val="single" w:color="auto" w:sz="4" w:space="0"/>
              <w:bottom w:val="single" w:color="auto" w:sz="4" w:space="0"/>
              <w:right w:val="single" w:color="auto" w:sz="4" w:space="0"/>
            </w:tcBorders>
          </w:tcPr>
          <w:p w14:paraId="3F99F586">
            <w:pPr>
              <w:jc w:val="right"/>
            </w:pPr>
            <w:r>
              <w:t>6,682,363.76</w:t>
            </w:r>
          </w:p>
        </w:tc>
      </w:tr>
      <w:tr w14:paraId="75C1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3F72646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39" w:type="pct"/>
            <w:tcBorders>
              <w:top w:val="single" w:color="auto" w:sz="4" w:space="0"/>
              <w:left w:val="single" w:color="auto" w:sz="4" w:space="0"/>
              <w:bottom w:val="single" w:color="auto" w:sz="4" w:space="0"/>
              <w:right w:val="single" w:color="auto" w:sz="4" w:space="0"/>
            </w:tcBorders>
            <w:vAlign w:val="center"/>
          </w:tcPr>
          <w:p w14:paraId="22818AF2">
            <w:pPr>
              <w:jc w:val="right"/>
            </w:pPr>
            <w:r>
              <w:rPr>
                <w:rFonts w:hint="eastAsia"/>
                <w:color w:val="000000"/>
                <w:sz w:val="20"/>
                <w:szCs w:val="20"/>
              </w:rPr>
              <w:t xml:space="preserve"> 167,163,110.50 </w:t>
            </w:r>
          </w:p>
        </w:tc>
        <w:tc>
          <w:tcPr>
            <w:tcW w:w="1348" w:type="pct"/>
            <w:tcBorders>
              <w:top w:val="single" w:color="auto" w:sz="4" w:space="0"/>
              <w:left w:val="single" w:color="auto" w:sz="4" w:space="0"/>
              <w:bottom w:val="single" w:color="auto" w:sz="4" w:space="0"/>
              <w:right w:val="single" w:color="auto" w:sz="4" w:space="0"/>
            </w:tcBorders>
            <w:vAlign w:val="center"/>
          </w:tcPr>
          <w:p w14:paraId="5EBC381C">
            <w:pPr>
              <w:jc w:val="right"/>
            </w:pPr>
            <w:r>
              <w:rPr>
                <w:rFonts w:hint="eastAsia"/>
                <w:color w:val="000000"/>
                <w:sz w:val="20"/>
                <w:szCs w:val="20"/>
              </w:rPr>
              <w:t xml:space="preserve">  141,540,509.22 </w:t>
            </w:r>
          </w:p>
        </w:tc>
      </w:tr>
    </w:tbl>
    <w:p w14:paraId="18A4E790"/>
    <w:p w14:paraId="5C3718BC">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管理费用的其他说明事项"/>
        <w:tag w:val="_GBC_2ddba7c397f842b2a457e4f7fe020aca"/>
        <w:id w:val="-492646173"/>
        <w:placeholder>
          <w:docPart w:val="GBC22222222222222222222222222222"/>
        </w:placeholder>
      </w:sdtPr>
      <w:sdtEndPr>
        <w:rPr>
          <w:color w:val="000000" w:themeColor="text1"/>
          <w14:textFill>
            <w14:solidFill>
              <w14:schemeClr w14:val="tx1"/>
            </w14:solidFill>
          </w14:textFill>
        </w:rPr>
      </w:sdtEndPr>
      <w:sdtContent>
        <w:p w14:paraId="39B53657">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30DD343A">
      <w:pPr>
        <w:rPr>
          <w:color w:val="000000" w:themeColor="text1"/>
          <w14:textFill>
            <w14:solidFill>
              <w14:schemeClr w14:val="tx1"/>
            </w14:solidFill>
          </w14:textFill>
        </w:rPr>
      </w:pPr>
    </w:p>
    <w:p w14:paraId="42705EA4">
      <w:pPr>
        <w:pStyle w:val="4"/>
        <w:numPr>
          <w:ilvl w:val="0"/>
          <w:numId w:val="41"/>
        </w:numPr>
        <w:rPr>
          <w:color w:val="000000" w:themeColor="text1"/>
          <w:szCs w:val="21"/>
          <w14:textFill>
            <w14:solidFill>
              <w14:schemeClr w14:val="tx1"/>
            </w14:solidFill>
          </w14:textFill>
        </w:rPr>
      </w:pPr>
      <w:bookmarkStart w:id="342" w:name="_Hlk10538261"/>
      <w:r>
        <w:rPr>
          <w:color w:val="000000" w:themeColor="text1"/>
          <w:szCs w:val="21"/>
          <w14:textFill>
            <w14:solidFill>
              <w14:schemeClr w14:val="tx1"/>
            </w14:solidFill>
          </w14:textFill>
        </w:rPr>
        <w:t>研发费用</w:t>
      </w:r>
    </w:p>
    <w:sdt>
      <w:sdtPr>
        <w:rPr>
          <w:color w:val="000000" w:themeColor="text1"/>
          <w14:textFill>
            <w14:solidFill>
              <w14:schemeClr w14:val="tx1"/>
            </w14:solidFill>
          </w14:textFill>
        </w:rPr>
        <w:alias w:val="是否适用：研发费用[双击切换]"/>
        <w:tag w:val="_GBC_48b4a6beb6f54c3ba7c01af3727337bb"/>
        <w:id w:val="-346941172"/>
        <w:placeholder>
          <w:docPart w:val="4570334EBDCC49A594824A5F0B5CD8DB"/>
        </w:placeholder>
      </w:sdtPr>
      <w:sdtEndPr>
        <w:rPr>
          <w:color w:val="000000" w:themeColor="text1"/>
          <w14:textFill>
            <w14:solidFill>
              <w14:schemeClr w14:val="tx1"/>
            </w14:solidFill>
          </w14:textFill>
        </w:rPr>
      </w:sdtEndPr>
      <w:sdtContent>
        <w:p w14:paraId="6BEB9F8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54EC98">
      <w:pPr>
        <w:pStyle w:val="68"/>
        <w:ind w:left="420"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研发费用"/>
          <w:tag w:val="_GBC_a0292321d82f46b8823ab163b1084fea"/>
          <w:id w:val="482747852"/>
          <w:placeholder>
            <w:docPart w:val="4570334EBDCC49A594824A5F0B5CD8DB"/>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研发费用"/>
          <w:tag w:val="_GBC_a0b2b92cacc24641a2d69fc025b920ea"/>
          <w:id w:val="1476493310"/>
          <w:placeholder>
            <w:docPart w:val="4570334EBDCC49A594824A5F0B5CD8D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14:paraId="7526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78c2bf88dff43e8bf48fe187921cf85"/>
            <w:id w:val="-2046818440"/>
          </w:sdtPr>
          <w:sdtContent>
            <w:tc>
              <w:tcPr>
                <w:tcW w:w="2213" w:type="pct"/>
                <w:tcBorders>
                  <w:top w:val="single" w:color="auto" w:sz="4" w:space="0"/>
                  <w:left w:val="single" w:color="auto" w:sz="4" w:space="0"/>
                  <w:bottom w:val="single" w:color="auto" w:sz="4" w:space="0"/>
                  <w:right w:val="single" w:color="auto" w:sz="4" w:space="0"/>
                </w:tcBorders>
              </w:tcPr>
              <w:p w14:paraId="5A054D2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043e1c3ae76a497c9be9c1eef3db33c6"/>
            <w:id w:val="-781180734"/>
          </w:sdtPr>
          <w:sdtContent>
            <w:tc>
              <w:tcPr>
                <w:tcW w:w="1439" w:type="pct"/>
                <w:tcBorders>
                  <w:top w:val="single" w:color="auto" w:sz="4" w:space="0"/>
                  <w:left w:val="single" w:color="auto" w:sz="4" w:space="0"/>
                  <w:bottom w:val="single" w:color="auto" w:sz="4" w:space="0"/>
                  <w:right w:val="single" w:color="auto" w:sz="4" w:space="0"/>
                </w:tcBorders>
              </w:tcPr>
              <w:p w14:paraId="186E75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d0588c88282b4dae9e42d7ffd38d27c6"/>
            <w:id w:val="-195151104"/>
          </w:sdtPr>
          <w:sdtContent>
            <w:tc>
              <w:tcPr>
                <w:tcW w:w="1348" w:type="pct"/>
                <w:tcBorders>
                  <w:top w:val="single" w:color="auto" w:sz="4" w:space="0"/>
                  <w:left w:val="single" w:color="auto" w:sz="4" w:space="0"/>
                  <w:bottom w:val="single" w:color="auto" w:sz="4" w:space="0"/>
                  <w:right w:val="single" w:color="auto" w:sz="4" w:space="0"/>
                </w:tcBorders>
              </w:tcPr>
              <w:p w14:paraId="609FFFD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17E3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B53F6B7">
            <w:pPr>
              <w:jc w:val="center"/>
            </w:pPr>
            <w:r>
              <w:t>职工薪酬</w:t>
            </w:r>
          </w:p>
        </w:tc>
        <w:tc>
          <w:tcPr>
            <w:tcW w:w="1439" w:type="pct"/>
            <w:tcBorders>
              <w:top w:val="single" w:color="auto" w:sz="4" w:space="0"/>
              <w:left w:val="single" w:color="auto" w:sz="4" w:space="0"/>
              <w:bottom w:val="single" w:color="auto" w:sz="4" w:space="0"/>
              <w:right w:val="single" w:color="auto" w:sz="4" w:space="0"/>
            </w:tcBorders>
            <w:vAlign w:val="center"/>
          </w:tcPr>
          <w:p w14:paraId="3F2CB7CD">
            <w:pPr>
              <w:jc w:val="right"/>
              <w:rPr>
                <w:color w:val="000000"/>
              </w:rPr>
            </w:pPr>
            <w:r>
              <w:rPr>
                <w:rFonts w:hint="eastAsia"/>
                <w:color w:val="000000"/>
              </w:rPr>
              <w:t>97,368,288.90</w:t>
            </w:r>
          </w:p>
        </w:tc>
        <w:tc>
          <w:tcPr>
            <w:tcW w:w="1348" w:type="pct"/>
            <w:tcBorders>
              <w:top w:val="single" w:color="auto" w:sz="4" w:space="0"/>
              <w:left w:val="single" w:color="auto" w:sz="4" w:space="0"/>
              <w:bottom w:val="single" w:color="auto" w:sz="4" w:space="0"/>
              <w:right w:val="single" w:color="auto" w:sz="4" w:space="0"/>
            </w:tcBorders>
          </w:tcPr>
          <w:p w14:paraId="31940DD6">
            <w:pPr>
              <w:jc w:val="right"/>
            </w:pPr>
            <w:r>
              <w:t>18,607,936.26</w:t>
            </w:r>
          </w:p>
        </w:tc>
      </w:tr>
      <w:tr w14:paraId="545E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1383F5ED">
            <w:pPr>
              <w:jc w:val="center"/>
            </w:pPr>
            <w:r>
              <w:t>研发领料</w:t>
            </w:r>
          </w:p>
        </w:tc>
        <w:tc>
          <w:tcPr>
            <w:tcW w:w="1439" w:type="pct"/>
            <w:tcBorders>
              <w:top w:val="single" w:color="auto" w:sz="4" w:space="0"/>
              <w:left w:val="single" w:color="auto" w:sz="4" w:space="0"/>
              <w:bottom w:val="single" w:color="auto" w:sz="4" w:space="0"/>
              <w:right w:val="single" w:color="auto" w:sz="4" w:space="0"/>
            </w:tcBorders>
            <w:vAlign w:val="center"/>
          </w:tcPr>
          <w:p w14:paraId="487E2F95">
            <w:pPr>
              <w:jc w:val="right"/>
              <w:rPr>
                <w:color w:val="000000"/>
              </w:rPr>
            </w:pPr>
            <w:r>
              <w:rPr>
                <w:rFonts w:hint="eastAsia"/>
                <w:color w:val="000000"/>
              </w:rPr>
              <w:t>5,724,623.58</w:t>
            </w:r>
          </w:p>
        </w:tc>
        <w:tc>
          <w:tcPr>
            <w:tcW w:w="1348" w:type="pct"/>
            <w:tcBorders>
              <w:top w:val="single" w:color="auto" w:sz="4" w:space="0"/>
              <w:left w:val="single" w:color="auto" w:sz="4" w:space="0"/>
              <w:bottom w:val="single" w:color="auto" w:sz="4" w:space="0"/>
              <w:right w:val="single" w:color="auto" w:sz="4" w:space="0"/>
            </w:tcBorders>
          </w:tcPr>
          <w:p w14:paraId="2BF44098">
            <w:pPr>
              <w:jc w:val="right"/>
            </w:pPr>
            <w:r>
              <w:t>6,560,721.30</w:t>
            </w:r>
          </w:p>
        </w:tc>
      </w:tr>
      <w:tr w14:paraId="24C2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63A9623">
            <w:pPr>
              <w:jc w:val="center"/>
            </w:pPr>
            <w:r>
              <w:t>折旧及摊销</w:t>
            </w:r>
          </w:p>
        </w:tc>
        <w:tc>
          <w:tcPr>
            <w:tcW w:w="1439" w:type="pct"/>
            <w:tcBorders>
              <w:top w:val="single" w:color="auto" w:sz="4" w:space="0"/>
              <w:left w:val="single" w:color="auto" w:sz="4" w:space="0"/>
              <w:bottom w:val="single" w:color="auto" w:sz="4" w:space="0"/>
              <w:right w:val="single" w:color="auto" w:sz="4" w:space="0"/>
            </w:tcBorders>
            <w:vAlign w:val="center"/>
          </w:tcPr>
          <w:p w14:paraId="209EAF6F">
            <w:pPr>
              <w:jc w:val="right"/>
              <w:rPr>
                <w:color w:val="000000"/>
              </w:rPr>
            </w:pPr>
            <w:r>
              <w:rPr>
                <w:rFonts w:hint="eastAsia"/>
                <w:color w:val="000000"/>
              </w:rPr>
              <w:t>165,646,780.60</w:t>
            </w:r>
          </w:p>
        </w:tc>
        <w:tc>
          <w:tcPr>
            <w:tcW w:w="1348" w:type="pct"/>
            <w:tcBorders>
              <w:top w:val="single" w:color="auto" w:sz="4" w:space="0"/>
              <w:left w:val="single" w:color="auto" w:sz="4" w:space="0"/>
              <w:bottom w:val="single" w:color="auto" w:sz="4" w:space="0"/>
              <w:right w:val="single" w:color="auto" w:sz="4" w:space="0"/>
            </w:tcBorders>
          </w:tcPr>
          <w:p w14:paraId="02BCEC53">
            <w:pPr>
              <w:jc w:val="right"/>
            </w:pPr>
            <w:r>
              <w:t>150,645,142.32</w:t>
            </w:r>
          </w:p>
        </w:tc>
      </w:tr>
      <w:tr w14:paraId="72C3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64E71FB1">
            <w:pPr>
              <w:jc w:val="center"/>
            </w:pPr>
            <w:r>
              <w:t>直接费用</w:t>
            </w:r>
          </w:p>
        </w:tc>
        <w:tc>
          <w:tcPr>
            <w:tcW w:w="1439" w:type="pct"/>
            <w:tcBorders>
              <w:top w:val="single" w:color="auto" w:sz="4" w:space="0"/>
              <w:left w:val="single" w:color="auto" w:sz="4" w:space="0"/>
              <w:bottom w:val="single" w:color="auto" w:sz="4" w:space="0"/>
              <w:right w:val="single" w:color="auto" w:sz="4" w:space="0"/>
            </w:tcBorders>
            <w:vAlign w:val="center"/>
          </w:tcPr>
          <w:p w14:paraId="11B7C024">
            <w:pPr>
              <w:jc w:val="right"/>
              <w:rPr>
                <w:color w:val="000000"/>
              </w:rPr>
            </w:pPr>
            <w:r>
              <w:rPr>
                <w:rFonts w:hint="eastAsia"/>
                <w:color w:val="000000"/>
              </w:rPr>
              <w:t>4,198,577.02</w:t>
            </w:r>
          </w:p>
        </w:tc>
        <w:tc>
          <w:tcPr>
            <w:tcW w:w="1348" w:type="pct"/>
            <w:tcBorders>
              <w:top w:val="single" w:color="auto" w:sz="4" w:space="0"/>
              <w:left w:val="single" w:color="auto" w:sz="4" w:space="0"/>
              <w:bottom w:val="single" w:color="auto" w:sz="4" w:space="0"/>
              <w:right w:val="single" w:color="auto" w:sz="4" w:space="0"/>
            </w:tcBorders>
          </w:tcPr>
          <w:p w14:paraId="5152DBB3">
            <w:pPr>
              <w:jc w:val="right"/>
            </w:pPr>
            <w:r>
              <w:t>1,308,826.90</w:t>
            </w:r>
          </w:p>
        </w:tc>
      </w:tr>
      <w:tr w14:paraId="0BA8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940C9C6">
            <w:pPr>
              <w:jc w:val="center"/>
            </w:pPr>
            <w:r>
              <w:t>其他</w:t>
            </w:r>
          </w:p>
        </w:tc>
        <w:tc>
          <w:tcPr>
            <w:tcW w:w="1439" w:type="pct"/>
            <w:tcBorders>
              <w:top w:val="single" w:color="auto" w:sz="4" w:space="0"/>
              <w:left w:val="single" w:color="auto" w:sz="4" w:space="0"/>
              <w:bottom w:val="single" w:color="auto" w:sz="4" w:space="0"/>
              <w:right w:val="single" w:color="auto" w:sz="4" w:space="0"/>
            </w:tcBorders>
            <w:vAlign w:val="center"/>
          </w:tcPr>
          <w:p w14:paraId="55898EF7">
            <w:pPr>
              <w:jc w:val="right"/>
              <w:rPr>
                <w:color w:val="000000"/>
              </w:rPr>
            </w:pPr>
            <w:r>
              <w:rPr>
                <w:rFonts w:hint="eastAsia"/>
                <w:color w:val="000000"/>
              </w:rPr>
              <w:t>14,649,765.82</w:t>
            </w:r>
          </w:p>
        </w:tc>
        <w:tc>
          <w:tcPr>
            <w:tcW w:w="1348" w:type="pct"/>
            <w:tcBorders>
              <w:top w:val="single" w:color="auto" w:sz="4" w:space="0"/>
              <w:left w:val="single" w:color="auto" w:sz="4" w:space="0"/>
              <w:bottom w:val="single" w:color="auto" w:sz="4" w:space="0"/>
              <w:right w:val="single" w:color="auto" w:sz="4" w:space="0"/>
            </w:tcBorders>
          </w:tcPr>
          <w:p w14:paraId="193E7200">
            <w:pPr>
              <w:jc w:val="right"/>
            </w:pPr>
            <w:r>
              <w:t>2,990,889.61</w:t>
            </w:r>
          </w:p>
        </w:tc>
      </w:tr>
      <w:tr w14:paraId="47E4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B5764C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39" w:type="pct"/>
            <w:tcBorders>
              <w:top w:val="single" w:color="auto" w:sz="4" w:space="0"/>
              <w:left w:val="single" w:color="auto" w:sz="4" w:space="0"/>
              <w:bottom w:val="single" w:color="auto" w:sz="4" w:space="0"/>
              <w:right w:val="single" w:color="auto" w:sz="4" w:space="0"/>
            </w:tcBorders>
            <w:vAlign w:val="center"/>
          </w:tcPr>
          <w:p w14:paraId="72C2F931">
            <w:pPr>
              <w:jc w:val="right"/>
              <w:rPr>
                <w:color w:val="000000"/>
              </w:rPr>
            </w:pPr>
            <w:r>
              <w:rPr>
                <w:rFonts w:hint="eastAsia"/>
                <w:color w:val="000000"/>
              </w:rPr>
              <w:t>287,588,035.92</w:t>
            </w:r>
          </w:p>
        </w:tc>
        <w:tc>
          <w:tcPr>
            <w:tcW w:w="1348" w:type="pct"/>
            <w:tcBorders>
              <w:top w:val="single" w:color="auto" w:sz="4" w:space="0"/>
              <w:left w:val="single" w:color="auto" w:sz="4" w:space="0"/>
              <w:bottom w:val="single" w:color="auto" w:sz="4" w:space="0"/>
              <w:right w:val="single" w:color="auto" w:sz="4" w:space="0"/>
            </w:tcBorders>
            <w:vAlign w:val="center"/>
          </w:tcPr>
          <w:p w14:paraId="3CDEBC25">
            <w:pPr>
              <w:jc w:val="right"/>
            </w:pPr>
            <w:r>
              <w:t>180,113,516.39</w:t>
            </w:r>
          </w:p>
        </w:tc>
      </w:tr>
    </w:tbl>
    <w:p w14:paraId="2AFEEE01"/>
    <w:p w14:paraId="10FD5AC8">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研发费用其他说明"/>
        <w:tag w:val="_GBC_f09ad1e9748e43059f8db34f9454426c"/>
        <w:id w:val="-1004583321"/>
        <w:placeholder>
          <w:docPart w:val="4570334EBDCC49A594824A5F0B5CD8DB"/>
        </w:placeholder>
      </w:sdtPr>
      <w:sdtEndPr>
        <w:rPr>
          <w:color w:val="000000" w:themeColor="text1"/>
          <w14:textFill>
            <w14:solidFill>
              <w14:schemeClr w14:val="tx1"/>
            </w14:solidFill>
          </w14:textFill>
        </w:rPr>
      </w:sdtEndPr>
      <w:sdtContent>
        <w:p w14:paraId="629069E5">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93B5BB8">
      <w:pPr>
        <w:rPr>
          <w:color w:val="000000" w:themeColor="text1"/>
          <w14:textFill>
            <w14:solidFill>
              <w14:schemeClr w14:val="tx1"/>
            </w14:solidFill>
          </w14:textFill>
        </w:rPr>
      </w:pPr>
    </w:p>
    <w:p w14:paraId="443E6047">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财务费用</w:t>
      </w:r>
    </w:p>
    <w:sdt>
      <w:sdtPr>
        <w:rPr>
          <w:color w:val="000000" w:themeColor="text1"/>
          <w14:textFill>
            <w14:solidFill>
              <w14:schemeClr w14:val="tx1"/>
            </w14:solidFill>
          </w14:textFill>
        </w:rPr>
        <w:alias w:val="是否适用：财务费用[双击切换]"/>
        <w:tag w:val="_GBC_699d8bdb2f1f4504a0ea4ccbc8889cfa"/>
        <w:id w:val="726888608"/>
        <w:placeholder>
          <w:docPart w:val="89761A5795A346E2A0272437AF187592"/>
        </w:placeholder>
      </w:sdtPr>
      <w:sdtEndPr>
        <w:rPr>
          <w:color w:val="000000" w:themeColor="text1"/>
          <w14:textFill>
            <w14:solidFill>
              <w14:schemeClr w14:val="tx1"/>
            </w14:solidFill>
          </w14:textFill>
        </w:rPr>
      </w:sdtEndPr>
      <w:sdtContent>
        <w:p w14:paraId="28005C3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0DE5AF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费用"/>
          <w:tag w:val="_GBC_eb9e02dce68144759561a3427fb3099a"/>
          <w:id w:val="-173350361"/>
          <w:placeholder>
            <w:docPart w:val="89761A5795A346E2A0272437AF18759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费用"/>
          <w:tag w:val="_GBC_8e992a76854b4bd0a3f5cd49b31a4604"/>
          <w:id w:val="1799025023"/>
          <w:placeholder>
            <w:docPart w:val="89761A5795A346E2A0272437AF18759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14:paraId="03DC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57c227174f044c4bfa2c0fda1e37156"/>
            <w:id w:val="-247265532"/>
          </w:sdtPr>
          <w:sdtContent>
            <w:tc>
              <w:tcPr>
                <w:tcW w:w="2213" w:type="pct"/>
                <w:tcBorders>
                  <w:top w:val="single" w:color="auto" w:sz="4" w:space="0"/>
                  <w:left w:val="single" w:color="auto" w:sz="4" w:space="0"/>
                  <w:bottom w:val="single" w:color="auto" w:sz="4" w:space="0"/>
                  <w:right w:val="single" w:color="auto" w:sz="4" w:space="0"/>
                </w:tcBorders>
              </w:tcPr>
              <w:p w14:paraId="5D55477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7b23aa0bcb6433894875c858270ab7f"/>
            <w:id w:val="1550265421"/>
          </w:sdtPr>
          <w:sdtContent>
            <w:tc>
              <w:tcPr>
                <w:tcW w:w="1439" w:type="pct"/>
                <w:tcBorders>
                  <w:top w:val="single" w:color="auto" w:sz="4" w:space="0"/>
                  <w:left w:val="single" w:color="auto" w:sz="4" w:space="0"/>
                  <w:bottom w:val="single" w:color="auto" w:sz="4" w:space="0"/>
                  <w:right w:val="single" w:color="auto" w:sz="4" w:space="0"/>
                </w:tcBorders>
              </w:tcPr>
              <w:p w14:paraId="2BA2A85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d79245f93e3d475b953b3e44bb1c6425"/>
            <w:id w:val="-737399861"/>
          </w:sdtPr>
          <w:sdtContent>
            <w:tc>
              <w:tcPr>
                <w:tcW w:w="1348" w:type="pct"/>
                <w:tcBorders>
                  <w:top w:val="single" w:color="auto" w:sz="4" w:space="0"/>
                  <w:left w:val="single" w:color="auto" w:sz="4" w:space="0"/>
                  <w:bottom w:val="single" w:color="auto" w:sz="4" w:space="0"/>
                  <w:right w:val="single" w:color="auto" w:sz="4" w:space="0"/>
                </w:tcBorders>
              </w:tcPr>
              <w:p w14:paraId="1A21203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4D71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D31C668">
            <w:pPr>
              <w:jc w:val="center"/>
            </w:pPr>
            <w:r>
              <w:t>利息支出</w:t>
            </w:r>
          </w:p>
        </w:tc>
        <w:tc>
          <w:tcPr>
            <w:tcW w:w="1439" w:type="pct"/>
            <w:tcBorders>
              <w:top w:val="single" w:color="auto" w:sz="4" w:space="0"/>
              <w:left w:val="single" w:color="auto" w:sz="4" w:space="0"/>
              <w:bottom w:val="single" w:color="auto" w:sz="4" w:space="0"/>
              <w:right w:val="single" w:color="auto" w:sz="4" w:space="0"/>
            </w:tcBorders>
            <w:vAlign w:val="center"/>
          </w:tcPr>
          <w:p w14:paraId="09957394">
            <w:pPr>
              <w:jc w:val="right"/>
            </w:pPr>
            <w:r>
              <w:rPr>
                <w:rFonts w:hint="eastAsia"/>
                <w:color w:val="000000"/>
                <w:sz w:val="20"/>
                <w:szCs w:val="20"/>
              </w:rPr>
              <w:t>41,181,873.33</w:t>
            </w:r>
          </w:p>
        </w:tc>
        <w:tc>
          <w:tcPr>
            <w:tcW w:w="1348" w:type="pct"/>
            <w:tcBorders>
              <w:top w:val="single" w:color="auto" w:sz="4" w:space="0"/>
              <w:left w:val="single" w:color="auto" w:sz="4" w:space="0"/>
              <w:bottom w:val="single" w:color="auto" w:sz="4" w:space="0"/>
              <w:right w:val="single" w:color="auto" w:sz="4" w:space="0"/>
            </w:tcBorders>
          </w:tcPr>
          <w:p w14:paraId="457FA88B">
            <w:pPr>
              <w:jc w:val="right"/>
            </w:pPr>
            <w:r>
              <w:t>48,857,582.48</w:t>
            </w:r>
          </w:p>
        </w:tc>
      </w:tr>
      <w:tr w14:paraId="2DD5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1BA1131E">
            <w:r>
              <w:t>减：利息收入</w:t>
            </w:r>
          </w:p>
        </w:tc>
        <w:tc>
          <w:tcPr>
            <w:tcW w:w="1439" w:type="pct"/>
            <w:tcBorders>
              <w:top w:val="single" w:color="auto" w:sz="4" w:space="0"/>
              <w:left w:val="single" w:color="auto" w:sz="4" w:space="0"/>
              <w:bottom w:val="single" w:color="auto" w:sz="4" w:space="0"/>
              <w:right w:val="single" w:color="auto" w:sz="4" w:space="0"/>
            </w:tcBorders>
            <w:vAlign w:val="center"/>
          </w:tcPr>
          <w:p w14:paraId="0D6735A0">
            <w:pPr>
              <w:jc w:val="right"/>
            </w:pPr>
            <w:r>
              <w:rPr>
                <w:rFonts w:hint="eastAsia"/>
                <w:color w:val="000000"/>
                <w:sz w:val="20"/>
                <w:szCs w:val="20"/>
              </w:rPr>
              <w:t>30,301,137.77</w:t>
            </w:r>
          </w:p>
        </w:tc>
        <w:tc>
          <w:tcPr>
            <w:tcW w:w="1348" w:type="pct"/>
            <w:tcBorders>
              <w:top w:val="single" w:color="auto" w:sz="4" w:space="0"/>
              <w:left w:val="single" w:color="auto" w:sz="4" w:space="0"/>
              <w:bottom w:val="single" w:color="auto" w:sz="4" w:space="0"/>
              <w:right w:val="single" w:color="auto" w:sz="4" w:space="0"/>
            </w:tcBorders>
          </w:tcPr>
          <w:p w14:paraId="4B80F8CA">
            <w:pPr>
              <w:jc w:val="right"/>
            </w:pPr>
            <w:r>
              <w:t>29,414,532.49</w:t>
            </w:r>
          </w:p>
        </w:tc>
      </w:tr>
      <w:tr w14:paraId="2FF1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6A85D6EA">
            <w:r>
              <w:t>加：汇兑损益</w:t>
            </w:r>
          </w:p>
        </w:tc>
        <w:tc>
          <w:tcPr>
            <w:tcW w:w="1439" w:type="pct"/>
            <w:tcBorders>
              <w:top w:val="single" w:color="auto" w:sz="4" w:space="0"/>
              <w:left w:val="single" w:color="auto" w:sz="4" w:space="0"/>
              <w:bottom w:val="single" w:color="auto" w:sz="4" w:space="0"/>
              <w:right w:val="single" w:color="auto" w:sz="4" w:space="0"/>
            </w:tcBorders>
            <w:vAlign w:val="center"/>
          </w:tcPr>
          <w:p w14:paraId="2B92D030">
            <w:pPr>
              <w:jc w:val="right"/>
            </w:pPr>
            <w:r>
              <w:rPr>
                <w:rFonts w:hint="eastAsia"/>
                <w:color w:val="000000"/>
                <w:sz w:val="20"/>
                <w:szCs w:val="20"/>
              </w:rPr>
              <w:t>-114,610,772.35</w:t>
            </w:r>
          </w:p>
        </w:tc>
        <w:tc>
          <w:tcPr>
            <w:tcW w:w="1348" w:type="pct"/>
            <w:tcBorders>
              <w:top w:val="single" w:color="auto" w:sz="4" w:space="0"/>
              <w:left w:val="single" w:color="auto" w:sz="4" w:space="0"/>
              <w:bottom w:val="single" w:color="auto" w:sz="4" w:space="0"/>
              <w:right w:val="single" w:color="auto" w:sz="4" w:space="0"/>
            </w:tcBorders>
          </w:tcPr>
          <w:p w14:paraId="3A497A9C">
            <w:pPr>
              <w:jc w:val="right"/>
            </w:pPr>
            <w:r>
              <w:t>-44,594,354.23</w:t>
            </w:r>
          </w:p>
        </w:tc>
      </w:tr>
      <w:tr w14:paraId="24A0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5E4F8A4A">
            <w:r>
              <w:t>加：其他</w:t>
            </w:r>
          </w:p>
        </w:tc>
        <w:tc>
          <w:tcPr>
            <w:tcW w:w="1439" w:type="pct"/>
            <w:tcBorders>
              <w:top w:val="single" w:color="auto" w:sz="4" w:space="0"/>
              <w:left w:val="single" w:color="auto" w:sz="4" w:space="0"/>
              <w:bottom w:val="single" w:color="auto" w:sz="4" w:space="0"/>
              <w:right w:val="single" w:color="auto" w:sz="4" w:space="0"/>
            </w:tcBorders>
            <w:vAlign w:val="center"/>
          </w:tcPr>
          <w:p w14:paraId="2C792395">
            <w:pPr>
              <w:jc w:val="right"/>
            </w:pPr>
            <w:r>
              <w:rPr>
                <w:rFonts w:hint="eastAsia"/>
                <w:color w:val="000000"/>
                <w:sz w:val="20"/>
                <w:szCs w:val="20"/>
              </w:rPr>
              <w:t>2,981,283.83</w:t>
            </w:r>
          </w:p>
        </w:tc>
        <w:tc>
          <w:tcPr>
            <w:tcW w:w="1348" w:type="pct"/>
            <w:tcBorders>
              <w:top w:val="single" w:color="auto" w:sz="4" w:space="0"/>
              <w:left w:val="single" w:color="auto" w:sz="4" w:space="0"/>
              <w:bottom w:val="single" w:color="auto" w:sz="4" w:space="0"/>
              <w:right w:val="single" w:color="auto" w:sz="4" w:space="0"/>
            </w:tcBorders>
          </w:tcPr>
          <w:p w14:paraId="3E56D7C8">
            <w:pPr>
              <w:jc w:val="right"/>
            </w:pPr>
            <w:r>
              <w:t>1,383,421.85</w:t>
            </w:r>
          </w:p>
        </w:tc>
      </w:tr>
      <w:tr w14:paraId="3636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tcPr>
          <w:p w14:paraId="4BB89ED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39" w:type="pct"/>
            <w:tcBorders>
              <w:top w:val="single" w:color="auto" w:sz="4" w:space="0"/>
              <w:left w:val="single" w:color="auto" w:sz="4" w:space="0"/>
              <w:bottom w:val="single" w:color="auto" w:sz="4" w:space="0"/>
              <w:right w:val="single" w:color="auto" w:sz="4" w:space="0"/>
            </w:tcBorders>
            <w:vAlign w:val="center"/>
          </w:tcPr>
          <w:p w14:paraId="04B250C3">
            <w:pPr>
              <w:jc w:val="right"/>
              <w:rPr>
                <w:color w:val="000000"/>
                <w:sz w:val="20"/>
                <w:szCs w:val="20"/>
              </w:rPr>
            </w:pPr>
            <w:r>
              <w:rPr>
                <w:rFonts w:hint="eastAsia"/>
                <w:color w:val="000000"/>
                <w:sz w:val="20"/>
                <w:szCs w:val="20"/>
              </w:rPr>
              <w:t>-100,748,752.96</w:t>
            </w:r>
          </w:p>
        </w:tc>
        <w:tc>
          <w:tcPr>
            <w:tcW w:w="1348" w:type="pct"/>
            <w:tcBorders>
              <w:top w:val="single" w:color="auto" w:sz="4" w:space="0"/>
              <w:left w:val="single" w:color="auto" w:sz="4" w:space="0"/>
              <w:bottom w:val="single" w:color="auto" w:sz="4" w:space="0"/>
              <w:right w:val="single" w:color="auto" w:sz="4" w:space="0"/>
            </w:tcBorders>
            <w:vAlign w:val="center"/>
          </w:tcPr>
          <w:p w14:paraId="47D0F439">
            <w:pPr>
              <w:jc w:val="right"/>
              <w:rPr>
                <w:color w:val="000000"/>
                <w:sz w:val="20"/>
                <w:szCs w:val="20"/>
              </w:rPr>
            </w:pPr>
            <w:r>
              <w:rPr>
                <w:rFonts w:hint="eastAsia"/>
                <w:color w:val="000000"/>
                <w:sz w:val="20"/>
                <w:szCs w:val="20"/>
              </w:rPr>
              <w:t>-23,767,882.39</w:t>
            </w:r>
          </w:p>
        </w:tc>
      </w:tr>
    </w:tbl>
    <w:p w14:paraId="52ECC947"/>
    <w:p w14:paraId="60F29B48">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财务费用的其他说明事项"/>
        <w:tag w:val="_GBC_5bd15645edcc4a51b94ddca48ee9be98"/>
        <w:id w:val="1482418032"/>
        <w:placeholder>
          <w:docPart w:val="89761A5795A346E2A0272437AF187592"/>
        </w:placeholder>
      </w:sdtPr>
      <w:sdtEndPr>
        <w:rPr>
          <w:color w:val="000000" w:themeColor="text1"/>
          <w14:textFill>
            <w14:solidFill>
              <w14:schemeClr w14:val="tx1"/>
            </w14:solidFill>
          </w14:textFill>
        </w:rPr>
      </w:sdtEndPr>
      <w:sdtContent>
        <w:p w14:paraId="563C07F9">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80ACE19">
      <w:pPr>
        <w:rPr>
          <w:color w:val="000000" w:themeColor="text1"/>
          <w14:textFill>
            <w14:solidFill>
              <w14:schemeClr w14:val="tx1"/>
            </w14:solidFill>
          </w14:textFill>
        </w:rPr>
      </w:pPr>
    </w:p>
    <w:p w14:paraId="51FBBF88">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其他收益</w:t>
      </w:r>
    </w:p>
    <w:sdt>
      <w:sdtPr>
        <w:rPr>
          <w:color w:val="000000" w:themeColor="text1"/>
          <w14:textFill>
            <w14:solidFill>
              <w14:schemeClr w14:val="tx1"/>
            </w14:solidFill>
          </w14:textFill>
        </w:rPr>
        <w:alias w:val="是否适用：财务报表其他收益[双击切换]"/>
        <w:tag w:val="_GBC_86fde94b0d4e4b1f997adc6f063babf7"/>
        <w:id w:val="389082121"/>
        <w:placeholder>
          <w:docPart w:val="CB82F8C679AE4BA383530239D97AF073"/>
        </w:placeholder>
      </w:sdtPr>
      <w:sdtEndPr>
        <w:rPr>
          <w:color w:val="000000" w:themeColor="text1"/>
          <w14:textFill>
            <w14:solidFill>
              <w14:schemeClr w14:val="tx1"/>
            </w14:solidFill>
          </w14:textFill>
        </w:rPr>
      </w:sdtEndPr>
      <w:sdtContent>
        <w:p w14:paraId="41EFB0D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5F887D">
      <w:pPr>
        <w:jc w:val="right"/>
        <w:rPr>
          <w:rFonts w:cstheme="minorBidi"/>
          <w:bCs/>
          <w:color w:val="000000" w:themeColor="text1"/>
          <w:szCs w:val="22"/>
          <w14:textFill>
            <w14:solidFill>
              <w14:schemeClr w14:val="tx1"/>
            </w14:solidFill>
          </w14:textFill>
        </w:rPr>
      </w:pPr>
      <w:r>
        <w:rPr>
          <w:rFonts w:cstheme="minorBidi"/>
          <w:color w:val="000000" w:themeColor="text1"/>
          <w:szCs w:val="22"/>
          <w14:textFill>
            <w14:solidFill>
              <w14:schemeClr w14:val="tx1"/>
            </w14:solidFill>
          </w14:textFill>
        </w:rPr>
        <w:t>单位：</w:t>
      </w:r>
      <w:sdt>
        <w:sdtPr>
          <w:rPr>
            <w:rFonts w:cstheme="minorBidi"/>
            <w:bCs/>
            <w:color w:val="000000" w:themeColor="text1"/>
            <w:szCs w:val="22"/>
            <w14:textFill>
              <w14:solidFill>
                <w14:schemeClr w14:val="tx1"/>
              </w14:solidFill>
            </w14:textFill>
          </w:rPr>
          <w:alias w:val="单位：财务报表其他收益明细"/>
          <w:tag w:val="_GBC_12755937dc3b48a489abda6cc5cda8d6"/>
          <w:id w:val="2127968874"/>
          <w:placeholder>
            <w:docPart w:val="CB82F8C679AE4BA383530239D97AF073"/>
          </w:placeholder>
          <w:comboBox>
            <w:listItem w:displayText="元" w:value="元"/>
            <w:listItem w:displayText="千元" w:value="千元"/>
            <w:listItem w:displayText="万元" w:value="万元"/>
            <w:listItem w:displayText="百万元" w:value="百万元"/>
            <w:listItem w:displayText="亿元" w:value="亿元"/>
          </w:comboBox>
        </w:sdtPr>
        <w:sdtEndPr>
          <w:rPr>
            <w:rFonts w:cstheme="minorBidi"/>
            <w:bCs/>
            <w:color w:val="000000" w:themeColor="text1"/>
            <w:szCs w:val="22"/>
            <w14:textFill>
              <w14:solidFill>
                <w14:schemeClr w14:val="tx1"/>
              </w14:solidFill>
            </w14:textFill>
          </w:rPr>
        </w:sdtEndPr>
        <w:sdtContent>
          <w:r>
            <w:rPr>
              <w:rFonts w:cstheme="minorBidi"/>
              <w:color w:val="000000" w:themeColor="text1"/>
              <w:szCs w:val="22"/>
              <w14:textFill>
                <w14:solidFill>
                  <w14:schemeClr w14:val="tx1"/>
                </w14:solidFill>
              </w14:textFill>
            </w:rPr>
            <w:t>元</w:t>
          </w:r>
        </w:sdtContent>
      </w:sdt>
      <w:r>
        <w:rPr>
          <w:rFonts w:cstheme="minorBidi"/>
          <w:color w:val="000000" w:themeColor="text1"/>
          <w:szCs w:val="22"/>
          <w14:textFill>
            <w14:solidFill>
              <w14:schemeClr w14:val="tx1"/>
            </w14:solidFill>
          </w14:textFill>
        </w:rPr>
        <w:t xml:space="preserve">  币种：</w:t>
      </w:r>
      <w:sdt>
        <w:sdtPr>
          <w:rPr>
            <w:rFonts w:cstheme="minorBidi"/>
            <w:bCs/>
            <w:color w:val="000000" w:themeColor="text1"/>
            <w:szCs w:val="22"/>
            <w14:textFill>
              <w14:solidFill>
                <w14:schemeClr w14:val="tx1"/>
              </w14:solidFill>
            </w14:textFill>
          </w:rPr>
          <w:alias w:val="币种：财务报表其他收益明细"/>
          <w:tag w:val="_GBC_3daaaf66c73e4201b067378f3d17e13f"/>
          <w:id w:val="1346909110"/>
          <w:placeholder>
            <w:docPart w:val="CB82F8C679AE4BA383530239D97AF07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cstheme="minorBidi"/>
            <w:bCs/>
            <w:color w:val="000000" w:themeColor="text1"/>
            <w:szCs w:val="22"/>
            <w14:textFill>
              <w14:solidFill>
                <w14:schemeClr w14:val="tx1"/>
              </w14:solidFill>
            </w14:textFill>
          </w:rPr>
        </w:sdtEndPr>
        <w:sdtContent>
          <w:r>
            <w:rPr>
              <w:rFonts w:cstheme="minorBidi"/>
              <w:color w:val="000000" w:themeColor="text1"/>
              <w:szCs w:val="22"/>
              <w14:textFill>
                <w14:solidFill>
                  <w14:schemeClr w14:val="tx1"/>
                </w14:solidFill>
              </w14:textFill>
            </w:rPr>
            <w:t>人民币</w:t>
          </w:r>
        </w:sdtContent>
      </w:sdt>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2552"/>
        <w:gridCol w:w="2420"/>
      </w:tblGrid>
      <w:tr w14:paraId="114A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sdt>
            <w:sdtPr>
              <w:tag w:val="_PLD_92b33ced889140b7b84894c5f486f4e6"/>
              <w:id w:val="299738415"/>
            </w:sdtPr>
            <w:sdtContent>
              <w:p w14:paraId="2303E43A">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按性质分类</w:t>
                </w:r>
              </w:p>
            </w:sdtContent>
          </w:sdt>
        </w:tc>
        <w:tc>
          <w:tcPr>
            <w:tcW w:w="2552" w:type="dxa"/>
          </w:tcPr>
          <w:sdt>
            <w:sdtPr>
              <w:tag w:val="_PLD_73b3023fbaed423bbb8ca1ec42a2eaf9"/>
              <w:id w:val="1877047202"/>
            </w:sdtPr>
            <w:sdtContent>
              <w:p w14:paraId="67573D1D">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sdtContent>
          </w:sdt>
        </w:tc>
        <w:tc>
          <w:tcPr>
            <w:tcW w:w="2420" w:type="dxa"/>
          </w:tcPr>
          <w:sdt>
            <w:sdtPr>
              <w:tag w:val="_PLD_9f39351a333c497da22a0955aff07b4c"/>
              <w:id w:val="-443924249"/>
            </w:sdtPr>
            <w:sdtContent>
              <w:p w14:paraId="18D07CA5">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sdtContent>
          </w:sdt>
        </w:tc>
      </w:tr>
      <w:tr w14:paraId="65F7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14:paraId="73A1D2B3">
            <w:pPr>
              <w:widowControl w:val="0"/>
              <w:jc w:val="center"/>
            </w:pPr>
            <w:r>
              <w:t>进项税加计扣除</w:t>
            </w:r>
          </w:p>
        </w:tc>
        <w:tc>
          <w:tcPr>
            <w:tcW w:w="2552" w:type="dxa"/>
          </w:tcPr>
          <w:p w14:paraId="221D1E81">
            <w:pPr>
              <w:widowControl w:val="0"/>
              <w:jc w:val="right"/>
            </w:pPr>
            <w:r>
              <w:t>9,061,103.26</w:t>
            </w:r>
          </w:p>
        </w:tc>
        <w:tc>
          <w:tcPr>
            <w:tcW w:w="2420" w:type="dxa"/>
          </w:tcPr>
          <w:p w14:paraId="52280FE8">
            <w:pPr>
              <w:widowControl w:val="0"/>
              <w:jc w:val="right"/>
            </w:pPr>
            <w:r>
              <w:t>5,851,819.80</w:t>
            </w:r>
          </w:p>
        </w:tc>
      </w:tr>
      <w:tr w14:paraId="08729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14:paraId="53473933">
            <w:pPr>
              <w:widowControl w:val="0"/>
              <w:jc w:val="center"/>
            </w:pPr>
            <w:r>
              <w:t>政府补助</w:t>
            </w:r>
          </w:p>
        </w:tc>
        <w:tc>
          <w:tcPr>
            <w:tcW w:w="2552" w:type="dxa"/>
          </w:tcPr>
          <w:p w14:paraId="6E6A3623">
            <w:pPr>
              <w:widowControl w:val="0"/>
              <w:jc w:val="right"/>
            </w:pPr>
            <w:r>
              <w:t>169,760,786.48</w:t>
            </w:r>
          </w:p>
        </w:tc>
        <w:tc>
          <w:tcPr>
            <w:tcW w:w="2420" w:type="dxa"/>
          </w:tcPr>
          <w:p w14:paraId="7BABCA08">
            <w:pPr>
              <w:widowControl w:val="0"/>
              <w:jc w:val="right"/>
            </w:pPr>
            <w:r>
              <w:t>757,689.00</w:t>
            </w:r>
          </w:p>
        </w:tc>
      </w:tr>
      <w:tr w14:paraId="29B1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14:paraId="2EE623E3">
            <w:pPr>
              <w:widowControl w:val="0"/>
              <w:jc w:val="center"/>
            </w:pPr>
            <w:r>
              <w:t>其他</w:t>
            </w:r>
          </w:p>
        </w:tc>
        <w:tc>
          <w:tcPr>
            <w:tcW w:w="2552" w:type="dxa"/>
          </w:tcPr>
          <w:p w14:paraId="4DFB7ADB">
            <w:pPr>
              <w:widowControl w:val="0"/>
              <w:jc w:val="right"/>
            </w:pPr>
            <w:r>
              <w:t>468,103.85</w:t>
            </w:r>
          </w:p>
        </w:tc>
        <w:tc>
          <w:tcPr>
            <w:tcW w:w="2420" w:type="dxa"/>
          </w:tcPr>
          <w:p w14:paraId="43A4F0A9">
            <w:pPr>
              <w:widowControl w:val="0"/>
              <w:jc w:val="right"/>
            </w:pPr>
            <w:r>
              <w:t>524,716.20</w:t>
            </w:r>
          </w:p>
        </w:tc>
      </w:tr>
      <w:tr w14:paraId="349D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tcPr>
          <w:p w14:paraId="13CB7E8D">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552" w:type="dxa"/>
          </w:tcPr>
          <w:p w14:paraId="00C29C20">
            <w:pPr>
              <w:widowControl w:val="0"/>
              <w:jc w:val="right"/>
            </w:pPr>
            <w:r>
              <w:t>179,289,993.59</w:t>
            </w:r>
          </w:p>
        </w:tc>
        <w:tc>
          <w:tcPr>
            <w:tcW w:w="2420" w:type="dxa"/>
          </w:tcPr>
          <w:p w14:paraId="44EC343E">
            <w:pPr>
              <w:widowControl w:val="0"/>
              <w:jc w:val="right"/>
            </w:pPr>
            <w:r>
              <w:t>7,134,225.00</w:t>
            </w:r>
          </w:p>
        </w:tc>
      </w:tr>
    </w:tbl>
    <w:p w14:paraId="0709186B"/>
    <w:p w14:paraId="02FA6810">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color w:val="000000" w:themeColor="text1"/>
          <w14:textFill>
            <w14:solidFill>
              <w14:schemeClr w14:val="tx1"/>
            </w14:solidFill>
          </w14:textFill>
        </w:rPr>
        <w:alias w:val="财务报表其他收益其他说明"/>
        <w:tag w:val="_GBC_9489a93c45754a9ea78d3a872093a735"/>
        <w:id w:val="751468428"/>
        <w:placeholder>
          <w:docPart w:val="CB82F8C679AE4BA383530239D97AF073"/>
        </w:placeholder>
      </w:sdtPr>
      <w:sdtEndPr>
        <w:rPr>
          <w:color w:val="auto"/>
        </w:rPr>
      </w:sdtEndPr>
      <w:sdtContent>
        <w:p w14:paraId="5B76E136">
          <w:pPr>
            <w:rPr>
              <w:color w:val="000000" w:themeColor="text1"/>
              <w14:textFill>
                <w14:solidFill>
                  <w14:schemeClr w14:val="tx1"/>
                </w14:solidFill>
              </w14:textFill>
            </w:rPr>
          </w:pPr>
        </w:p>
        <w:tbl>
          <w:tblPr>
            <w:tblStyle w:val="37"/>
            <w:tblW w:w="9180" w:type="dxa"/>
            <w:tblInd w:w="0" w:type="dxa"/>
            <w:tblLayout w:type="autofit"/>
            <w:tblCellMar>
              <w:top w:w="0" w:type="dxa"/>
              <w:left w:w="108" w:type="dxa"/>
              <w:bottom w:w="0" w:type="dxa"/>
              <w:right w:w="108" w:type="dxa"/>
            </w:tblCellMar>
          </w:tblPr>
          <w:tblGrid>
            <w:gridCol w:w="2800"/>
            <w:gridCol w:w="2240"/>
            <w:gridCol w:w="1620"/>
            <w:gridCol w:w="2520"/>
          </w:tblGrid>
          <w:tr w14:paraId="34D9CD70">
            <w:tblPrEx>
              <w:tblCellMar>
                <w:top w:w="0" w:type="dxa"/>
                <w:left w:w="108" w:type="dxa"/>
                <w:bottom w:w="0" w:type="dxa"/>
                <w:right w:w="108" w:type="dxa"/>
              </w:tblCellMar>
            </w:tblPrEx>
            <w:trPr>
              <w:trHeight w:val="260" w:hRule="atLeast"/>
            </w:trPr>
            <w:tc>
              <w:tcPr>
                <w:tcW w:w="2800" w:type="dxa"/>
                <w:tcBorders>
                  <w:top w:val="nil"/>
                  <w:left w:val="nil"/>
                  <w:bottom w:val="nil"/>
                  <w:right w:val="nil"/>
                </w:tcBorders>
                <w:noWrap/>
                <w:vAlign w:val="bottom"/>
              </w:tcPr>
              <w:p w14:paraId="144233F5">
                <w:pPr>
                  <w:rPr>
                    <w:rFonts w:ascii="宋体" w:hAnsi="宋体" w:cs="Arial"/>
                    <w:color w:val="000000"/>
                    <w:sz w:val="20"/>
                    <w:szCs w:val="20"/>
                  </w:rPr>
                </w:pPr>
                <w:r>
                  <w:rPr>
                    <w:rFonts w:hint="eastAsia" w:ascii="宋体" w:hAnsi="宋体" w:cs="Arial"/>
                    <w:color w:val="000000"/>
                    <w:sz w:val="20"/>
                    <w:szCs w:val="20"/>
                  </w:rPr>
                  <w:t>计入其他收益的政府补助：</w:t>
                </w:r>
              </w:p>
            </w:tc>
            <w:tc>
              <w:tcPr>
                <w:tcW w:w="2240" w:type="dxa"/>
                <w:tcBorders>
                  <w:top w:val="nil"/>
                  <w:left w:val="nil"/>
                  <w:bottom w:val="nil"/>
                  <w:right w:val="nil"/>
                </w:tcBorders>
                <w:noWrap/>
                <w:vAlign w:val="bottom"/>
              </w:tcPr>
              <w:p w14:paraId="4ACFF261">
                <w:pPr>
                  <w:rPr>
                    <w:rFonts w:ascii="宋体" w:hAnsi="宋体" w:cs="Arial"/>
                    <w:color w:val="000000"/>
                    <w:sz w:val="20"/>
                    <w:szCs w:val="20"/>
                  </w:rPr>
                </w:pPr>
              </w:p>
            </w:tc>
            <w:tc>
              <w:tcPr>
                <w:tcW w:w="1620" w:type="dxa"/>
                <w:tcBorders>
                  <w:top w:val="nil"/>
                  <w:left w:val="nil"/>
                  <w:bottom w:val="nil"/>
                  <w:right w:val="nil"/>
                </w:tcBorders>
                <w:noWrap/>
                <w:vAlign w:val="bottom"/>
              </w:tcPr>
              <w:p w14:paraId="26924BCE">
                <w:pPr>
                  <w:rPr>
                    <w:rFonts w:eastAsia="Times New Roman" w:cs="Times New Roman"/>
                    <w:sz w:val="20"/>
                    <w:szCs w:val="20"/>
                  </w:rPr>
                </w:pPr>
              </w:p>
            </w:tc>
            <w:tc>
              <w:tcPr>
                <w:tcW w:w="2520" w:type="dxa"/>
                <w:tcBorders>
                  <w:top w:val="nil"/>
                  <w:left w:val="nil"/>
                  <w:bottom w:val="nil"/>
                  <w:right w:val="nil"/>
                </w:tcBorders>
                <w:noWrap/>
                <w:vAlign w:val="bottom"/>
              </w:tcPr>
              <w:p w14:paraId="5572EC23">
                <w:pPr>
                  <w:rPr>
                    <w:rFonts w:eastAsia="Times New Roman" w:cs="Times New Roman"/>
                    <w:sz w:val="20"/>
                    <w:szCs w:val="20"/>
                  </w:rPr>
                </w:pPr>
              </w:p>
            </w:tc>
          </w:tr>
          <w:tr w14:paraId="6BAF305A">
            <w:tblPrEx>
              <w:tblCellMar>
                <w:top w:w="0" w:type="dxa"/>
                <w:left w:w="108" w:type="dxa"/>
                <w:bottom w:w="0" w:type="dxa"/>
                <w:right w:w="108" w:type="dxa"/>
              </w:tblCellMar>
            </w:tblPrEx>
            <w:trPr>
              <w:trHeight w:val="260" w:hRule="atLeast"/>
            </w:trPr>
            <w:tc>
              <w:tcPr>
                <w:tcW w:w="2800" w:type="dxa"/>
                <w:tcBorders>
                  <w:top w:val="nil"/>
                  <w:left w:val="nil"/>
                  <w:bottom w:val="nil"/>
                  <w:right w:val="nil"/>
                </w:tcBorders>
                <w:noWrap/>
                <w:vAlign w:val="bottom"/>
              </w:tcPr>
              <w:p w14:paraId="22AB098C">
                <w:pPr>
                  <w:rPr>
                    <w:rFonts w:eastAsia="Times New Roman" w:cs="Times New Roman"/>
                    <w:sz w:val="20"/>
                    <w:szCs w:val="20"/>
                  </w:rPr>
                </w:pPr>
              </w:p>
            </w:tc>
            <w:tc>
              <w:tcPr>
                <w:tcW w:w="2240" w:type="dxa"/>
                <w:tcBorders>
                  <w:top w:val="nil"/>
                  <w:left w:val="nil"/>
                  <w:bottom w:val="nil"/>
                  <w:right w:val="nil"/>
                </w:tcBorders>
                <w:noWrap/>
                <w:vAlign w:val="bottom"/>
              </w:tcPr>
              <w:p w14:paraId="1699FAC2">
                <w:pPr>
                  <w:rPr>
                    <w:rFonts w:eastAsia="Times New Roman" w:cs="Times New Roman"/>
                    <w:sz w:val="20"/>
                    <w:szCs w:val="20"/>
                  </w:rPr>
                </w:pPr>
              </w:p>
            </w:tc>
            <w:tc>
              <w:tcPr>
                <w:tcW w:w="1620" w:type="dxa"/>
                <w:tcBorders>
                  <w:top w:val="nil"/>
                  <w:left w:val="nil"/>
                  <w:bottom w:val="nil"/>
                  <w:right w:val="nil"/>
                </w:tcBorders>
                <w:noWrap/>
                <w:vAlign w:val="bottom"/>
              </w:tcPr>
              <w:p w14:paraId="2C358F1D">
                <w:pPr>
                  <w:rPr>
                    <w:rFonts w:eastAsia="Times New Roman" w:cs="Times New Roman"/>
                    <w:sz w:val="20"/>
                    <w:szCs w:val="20"/>
                  </w:rPr>
                </w:pPr>
              </w:p>
            </w:tc>
            <w:tc>
              <w:tcPr>
                <w:tcW w:w="2520" w:type="dxa"/>
                <w:tcBorders>
                  <w:top w:val="nil"/>
                  <w:left w:val="nil"/>
                  <w:bottom w:val="nil"/>
                  <w:right w:val="nil"/>
                </w:tcBorders>
                <w:noWrap/>
                <w:vAlign w:val="center"/>
              </w:tcPr>
              <w:p w14:paraId="1DC00C93">
                <w:pPr>
                  <w:rPr>
                    <w:rFonts w:ascii="宋体" w:hAnsi="宋体" w:cs="Arial"/>
                    <w:color w:val="000000"/>
                    <w:sz w:val="20"/>
                    <w:szCs w:val="20"/>
                  </w:rPr>
                </w:pPr>
                <w:r>
                  <w:rPr>
                    <w:rFonts w:hint="eastAsia" w:ascii="宋体" w:hAnsi="宋体" w:cs="Arial"/>
                    <w:color w:val="000000"/>
                    <w:sz w:val="20"/>
                    <w:szCs w:val="20"/>
                  </w:rPr>
                  <w:t>单位：元  币种：人民币</w:t>
                </w:r>
              </w:p>
            </w:tc>
          </w:tr>
          <w:tr w14:paraId="7F98DBE6">
            <w:tblPrEx>
              <w:tblCellMar>
                <w:top w:w="0" w:type="dxa"/>
                <w:left w:w="108" w:type="dxa"/>
                <w:bottom w:w="0" w:type="dxa"/>
                <w:right w:w="108" w:type="dxa"/>
              </w:tblCellMar>
            </w:tblPrEx>
            <w:trPr>
              <w:trHeight w:val="260" w:hRule="atLeast"/>
            </w:trPr>
            <w:tc>
              <w:tcPr>
                <w:tcW w:w="2800" w:type="dxa"/>
                <w:tcBorders>
                  <w:top w:val="single" w:color="auto" w:sz="4" w:space="0"/>
                  <w:left w:val="single" w:color="auto" w:sz="4" w:space="0"/>
                  <w:bottom w:val="single" w:color="auto" w:sz="4" w:space="0"/>
                  <w:right w:val="single" w:color="auto" w:sz="4" w:space="0"/>
                </w:tcBorders>
                <w:noWrap/>
                <w:vAlign w:val="center"/>
              </w:tcPr>
              <w:p w14:paraId="3ADEDB71">
                <w:pPr>
                  <w:jc w:val="center"/>
                  <w:rPr>
                    <w:rFonts w:ascii="宋体" w:hAnsi="宋体" w:cs="Arial"/>
                    <w:color w:val="000000"/>
                    <w:sz w:val="20"/>
                    <w:szCs w:val="20"/>
                  </w:rPr>
                </w:pPr>
                <w:r>
                  <w:rPr>
                    <w:rFonts w:hint="eastAsia" w:ascii="宋体" w:hAnsi="宋体" w:cs="Arial"/>
                    <w:color w:val="000000"/>
                    <w:sz w:val="20"/>
                    <w:szCs w:val="20"/>
                  </w:rPr>
                  <w:t>项目</w:t>
                </w:r>
              </w:p>
            </w:tc>
            <w:tc>
              <w:tcPr>
                <w:tcW w:w="2240" w:type="dxa"/>
                <w:tcBorders>
                  <w:top w:val="single" w:color="auto" w:sz="4" w:space="0"/>
                  <w:left w:val="nil"/>
                  <w:bottom w:val="single" w:color="auto" w:sz="4" w:space="0"/>
                  <w:right w:val="single" w:color="auto" w:sz="4" w:space="0"/>
                </w:tcBorders>
                <w:noWrap/>
                <w:vAlign w:val="center"/>
              </w:tcPr>
              <w:p w14:paraId="12954383">
                <w:pPr>
                  <w:jc w:val="center"/>
                  <w:rPr>
                    <w:rFonts w:ascii="宋体" w:hAnsi="宋体" w:cs="Arial"/>
                    <w:color w:val="000000"/>
                    <w:sz w:val="20"/>
                    <w:szCs w:val="20"/>
                  </w:rPr>
                </w:pPr>
                <w:r>
                  <w:rPr>
                    <w:rFonts w:hint="eastAsia" w:ascii="宋体" w:hAnsi="宋体" w:cs="Arial"/>
                    <w:color w:val="000000"/>
                    <w:sz w:val="20"/>
                    <w:szCs w:val="20"/>
                  </w:rPr>
                  <w:t>本期发生额</w:t>
                </w:r>
              </w:p>
            </w:tc>
            <w:tc>
              <w:tcPr>
                <w:tcW w:w="1620" w:type="dxa"/>
                <w:tcBorders>
                  <w:top w:val="single" w:color="auto" w:sz="4" w:space="0"/>
                  <w:left w:val="nil"/>
                  <w:bottom w:val="single" w:color="auto" w:sz="4" w:space="0"/>
                  <w:right w:val="single" w:color="auto" w:sz="4" w:space="0"/>
                </w:tcBorders>
                <w:noWrap/>
                <w:vAlign w:val="center"/>
              </w:tcPr>
              <w:p w14:paraId="034BBAAE">
                <w:pPr>
                  <w:jc w:val="center"/>
                  <w:rPr>
                    <w:rFonts w:ascii="宋体" w:hAnsi="宋体" w:cs="Arial"/>
                    <w:color w:val="000000"/>
                    <w:sz w:val="20"/>
                    <w:szCs w:val="20"/>
                  </w:rPr>
                </w:pPr>
                <w:r>
                  <w:rPr>
                    <w:rFonts w:hint="eastAsia" w:ascii="宋体" w:hAnsi="宋体" w:cs="Arial"/>
                    <w:color w:val="000000"/>
                    <w:sz w:val="20"/>
                    <w:szCs w:val="20"/>
                  </w:rPr>
                  <w:t>上期发生额</w:t>
                </w:r>
              </w:p>
            </w:tc>
            <w:tc>
              <w:tcPr>
                <w:tcW w:w="2520" w:type="dxa"/>
                <w:tcBorders>
                  <w:top w:val="single" w:color="auto" w:sz="4" w:space="0"/>
                  <w:left w:val="nil"/>
                  <w:bottom w:val="single" w:color="auto" w:sz="4" w:space="0"/>
                  <w:right w:val="single" w:color="auto" w:sz="4" w:space="0"/>
                </w:tcBorders>
                <w:noWrap/>
                <w:vAlign w:val="center"/>
              </w:tcPr>
              <w:p w14:paraId="0B4560A2">
                <w:pPr>
                  <w:jc w:val="center"/>
                  <w:rPr>
                    <w:rFonts w:ascii="宋体" w:hAnsi="宋体" w:cs="Arial"/>
                    <w:color w:val="000000"/>
                    <w:sz w:val="20"/>
                    <w:szCs w:val="20"/>
                  </w:rPr>
                </w:pPr>
                <w:r>
                  <w:rPr>
                    <w:rFonts w:hint="eastAsia" w:ascii="宋体" w:hAnsi="宋体" w:cs="Arial"/>
                    <w:color w:val="000000"/>
                    <w:sz w:val="20"/>
                    <w:szCs w:val="20"/>
                  </w:rPr>
                  <w:t>与资产相关/与收益相关</w:t>
                </w:r>
              </w:p>
            </w:tc>
          </w:tr>
          <w:tr w14:paraId="0F1F2F3D">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26390E78">
                <w:pPr>
                  <w:jc w:val="center"/>
                  <w:rPr>
                    <w:rFonts w:ascii="宋体" w:hAnsi="宋体" w:cs="Arial"/>
                    <w:color w:val="000000"/>
                    <w:sz w:val="20"/>
                    <w:szCs w:val="20"/>
                  </w:rPr>
                </w:pPr>
                <w:r>
                  <w:rPr>
                    <w:rFonts w:hint="eastAsia" w:ascii="宋体" w:hAnsi="宋体" w:cs="Arial"/>
                    <w:color w:val="000000"/>
                    <w:sz w:val="20"/>
                    <w:szCs w:val="20"/>
                  </w:rPr>
                  <w:t>重大项目相关的补助</w:t>
                </w:r>
              </w:p>
            </w:tc>
            <w:tc>
              <w:tcPr>
                <w:tcW w:w="2240" w:type="dxa"/>
                <w:tcBorders>
                  <w:top w:val="nil"/>
                  <w:left w:val="nil"/>
                  <w:bottom w:val="single" w:color="auto" w:sz="4" w:space="0"/>
                  <w:right w:val="single" w:color="auto" w:sz="4" w:space="0"/>
                </w:tcBorders>
                <w:noWrap/>
                <w:vAlign w:val="bottom"/>
              </w:tcPr>
              <w:p w14:paraId="75ECC8F6">
                <w:pPr>
                  <w:rPr>
                    <w:rFonts w:ascii="宋体" w:hAnsi="宋体" w:cs="Arial"/>
                    <w:color w:val="000000"/>
                    <w:sz w:val="20"/>
                    <w:szCs w:val="20"/>
                  </w:rPr>
                </w:pPr>
                <w:r>
                  <w:rPr>
                    <w:rFonts w:hint="eastAsia" w:ascii="宋体" w:hAnsi="宋体" w:cs="Arial"/>
                    <w:color w:val="000000"/>
                    <w:sz w:val="20"/>
                    <w:szCs w:val="20"/>
                  </w:rPr>
                  <w:t xml:space="preserve">      100,000,000.00 </w:t>
                </w:r>
              </w:p>
            </w:tc>
            <w:tc>
              <w:tcPr>
                <w:tcW w:w="1620" w:type="dxa"/>
                <w:tcBorders>
                  <w:top w:val="nil"/>
                  <w:left w:val="nil"/>
                  <w:bottom w:val="single" w:color="auto" w:sz="4" w:space="0"/>
                  <w:right w:val="single" w:color="auto" w:sz="4" w:space="0"/>
                </w:tcBorders>
                <w:noWrap/>
                <w:vAlign w:val="bottom"/>
              </w:tcPr>
              <w:p w14:paraId="17E68E7D">
                <w:pPr>
                  <w:rPr>
                    <w:rFonts w:ascii="宋体" w:hAnsi="宋体" w:cs="Arial"/>
                    <w:color w:val="000000"/>
                    <w:sz w:val="20"/>
                    <w:szCs w:val="20"/>
                  </w:rPr>
                </w:pPr>
                <w:r>
                  <w:rPr>
                    <w:rFonts w:hint="eastAsia" w:ascii="宋体" w:hAnsi="宋体" w:cs="Arial"/>
                    <w:color w:val="000000"/>
                    <w:sz w:val="20"/>
                    <w:szCs w:val="20"/>
                  </w:rPr>
                  <w:t>　</w:t>
                </w:r>
              </w:p>
            </w:tc>
            <w:tc>
              <w:tcPr>
                <w:tcW w:w="2520" w:type="dxa"/>
                <w:tcBorders>
                  <w:top w:val="nil"/>
                  <w:left w:val="nil"/>
                  <w:bottom w:val="single" w:color="auto" w:sz="4" w:space="0"/>
                  <w:right w:val="single" w:color="auto" w:sz="4" w:space="0"/>
                </w:tcBorders>
                <w:noWrap/>
                <w:vAlign w:val="center"/>
              </w:tcPr>
              <w:p w14:paraId="02F5147A">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6D0840CA">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3A64035E">
                <w:pPr>
                  <w:jc w:val="center"/>
                  <w:rPr>
                    <w:rFonts w:ascii="宋体" w:hAnsi="宋体" w:cs="Arial"/>
                    <w:color w:val="000000"/>
                    <w:sz w:val="20"/>
                    <w:szCs w:val="20"/>
                  </w:rPr>
                </w:pPr>
                <w:r>
                  <w:rPr>
                    <w:rFonts w:hint="eastAsia" w:ascii="宋体" w:hAnsi="宋体" w:cs="Arial"/>
                    <w:color w:val="000000"/>
                    <w:sz w:val="20"/>
                    <w:szCs w:val="20"/>
                  </w:rPr>
                  <w:t>费用化研发投入相关的补助</w:t>
                </w:r>
              </w:p>
            </w:tc>
            <w:tc>
              <w:tcPr>
                <w:tcW w:w="2240" w:type="dxa"/>
                <w:tcBorders>
                  <w:top w:val="nil"/>
                  <w:left w:val="nil"/>
                  <w:bottom w:val="single" w:color="auto" w:sz="4" w:space="0"/>
                  <w:right w:val="single" w:color="auto" w:sz="4" w:space="0"/>
                </w:tcBorders>
                <w:noWrap/>
                <w:vAlign w:val="bottom"/>
              </w:tcPr>
              <w:p w14:paraId="29E1ED37">
                <w:pPr>
                  <w:rPr>
                    <w:rFonts w:ascii="宋体" w:hAnsi="宋体" w:cs="Arial"/>
                    <w:color w:val="000000"/>
                    <w:sz w:val="20"/>
                    <w:szCs w:val="20"/>
                  </w:rPr>
                </w:pPr>
                <w:r>
                  <w:rPr>
                    <w:rFonts w:hint="eastAsia" w:ascii="宋体" w:hAnsi="宋体" w:cs="Arial"/>
                    <w:color w:val="000000"/>
                    <w:sz w:val="20"/>
                    <w:szCs w:val="20"/>
                  </w:rPr>
                  <w:t xml:space="preserve">       41,590,000.00 </w:t>
                </w:r>
              </w:p>
            </w:tc>
            <w:tc>
              <w:tcPr>
                <w:tcW w:w="1620" w:type="dxa"/>
                <w:tcBorders>
                  <w:top w:val="nil"/>
                  <w:left w:val="nil"/>
                  <w:bottom w:val="single" w:color="auto" w:sz="4" w:space="0"/>
                  <w:right w:val="single" w:color="auto" w:sz="4" w:space="0"/>
                </w:tcBorders>
                <w:noWrap/>
                <w:vAlign w:val="bottom"/>
              </w:tcPr>
              <w:p w14:paraId="5B561612">
                <w:pPr>
                  <w:rPr>
                    <w:rFonts w:ascii="宋体" w:hAnsi="宋体" w:cs="Arial"/>
                    <w:color w:val="000000"/>
                    <w:sz w:val="20"/>
                    <w:szCs w:val="20"/>
                  </w:rPr>
                </w:pPr>
                <w:r>
                  <w:rPr>
                    <w:rFonts w:hint="eastAsia" w:ascii="宋体" w:hAnsi="宋体" w:cs="Arial"/>
                    <w:color w:val="000000"/>
                    <w:sz w:val="20"/>
                    <w:szCs w:val="20"/>
                  </w:rPr>
                  <w:t>　</w:t>
                </w:r>
              </w:p>
            </w:tc>
            <w:tc>
              <w:tcPr>
                <w:tcW w:w="2520" w:type="dxa"/>
                <w:tcBorders>
                  <w:top w:val="nil"/>
                  <w:left w:val="nil"/>
                  <w:bottom w:val="single" w:color="auto" w:sz="4" w:space="0"/>
                  <w:right w:val="single" w:color="auto" w:sz="4" w:space="0"/>
                </w:tcBorders>
                <w:noWrap/>
                <w:vAlign w:val="center"/>
              </w:tcPr>
              <w:p w14:paraId="10998822">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40C9912E">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70AA6750">
                <w:pPr>
                  <w:jc w:val="center"/>
                  <w:rPr>
                    <w:rFonts w:ascii="宋体" w:hAnsi="宋体" w:cs="Arial"/>
                    <w:color w:val="000000"/>
                    <w:sz w:val="20"/>
                    <w:szCs w:val="20"/>
                  </w:rPr>
                </w:pPr>
                <w:r>
                  <w:rPr>
                    <w:rFonts w:hint="eastAsia" w:ascii="宋体" w:hAnsi="宋体" w:cs="Arial"/>
                    <w:color w:val="000000"/>
                    <w:sz w:val="20"/>
                    <w:szCs w:val="20"/>
                  </w:rPr>
                  <w:t>企业获得技术中心相关补助</w:t>
                </w:r>
              </w:p>
            </w:tc>
            <w:tc>
              <w:tcPr>
                <w:tcW w:w="2240" w:type="dxa"/>
                <w:tcBorders>
                  <w:top w:val="nil"/>
                  <w:left w:val="nil"/>
                  <w:bottom w:val="single" w:color="auto" w:sz="4" w:space="0"/>
                  <w:right w:val="single" w:color="auto" w:sz="4" w:space="0"/>
                </w:tcBorders>
                <w:noWrap/>
                <w:vAlign w:val="bottom"/>
              </w:tcPr>
              <w:p w14:paraId="544A517C">
                <w:pPr>
                  <w:rPr>
                    <w:rFonts w:ascii="宋体" w:hAnsi="宋体" w:cs="Arial"/>
                    <w:color w:val="000000"/>
                    <w:sz w:val="20"/>
                    <w:szCs w:val="20"/>
                  </w:rPr>
                </w:pPr>
                <w:r>
                  <w:rPr>
                    <w:rFonts w:hint="eastAsia" w:ascii="宋体" w:hAnsi="宋体" w:cs="Arial"/>
                    <w:color w:val="000000"/>
                    <w:sz w:val="20"/>
                    <w:szCs w:val="20"/>
                  </w:rPr>
                  <w:t xml:space="preserve">       20,000,000.00 </w:t>
                </w:r>
              </w:p>
            </w:tc>
            <w:tc>
              <w:tcPr>
                <w:tcW w:w="1620" w:type="dxa"/>
                <w:tcBorders>
                  <w:top w:val="nil"/>
                  <w:left w:val="nil"/>
                  <w:bottom w:val="single" w:color="auto" w:sz="4" w:space="0"/>
                  <w:right w:val="single" w:color="auto" w:sz="4" w:space="0"/>
                </w:tcBorders>
                <w:noWrap/>
                <w:vAlign w:val="bottom"/>
              </w:tcPr>
              <w:p w14:paraId="4224F1C4">
                <w:pPr>
                  <w:rPr>
                    <w:rFonts w:ascii="宋体" w:hAnsi="宋体" w:cs="Arial"/>
                    <w:color w:val="000000"/>
                    <w:sz w:val="20"/>
                    <w:szCs w:val="20"/>
                  </w:rPr>
                </w:pPr>
                <w:r>
                  <w:rPr>
                    <w:rFonts w:hint="eastAsia" w:ascii="宋体" w:hAnsi="宋体" w:cs="Arial"/>
                    <w:color w:val="000000"/>
                    <w:sz w:val="20"/>
                    <w:szCs w:val="20"/>
                  </w:rPr>
                  <w:t>　</w:t>
                </w:r>
              </w:p>
            </w:tc>
            <w:tc>
              <w:tcPr>
                <w:tcW w:w="2520" w:type="dxa"/>
                <w:tcBorders>
                  <w:top w:val="nil"/>
                  <w:left w:val="nil"/>
                  <w:bottom w:val="single" w:color="auto" w:sz="4" w:space="0"/>
                  <w:right w:val="single" w:color="auto" w:sz="4" w:space="0"/>
                </w:tcBorders>
                <w:noWrap/>
                <w:vAlign w:val="center"/>
              </w:tcPr>
              <w:p w14:paraId="1E5BBF60">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42AF0EB4">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59A1B327">
                <w:pPr>
                  <w:jc w:val="center"/>
                  <w:rPr>
                    <w:rFonts w:ascii="宋体" w:hAnsi="宋体" w:cs="Arial"/>
                    <w:sz w:val="20"/>
                    <w:szCs w:val="20"/>
                    <w:highlight w:val="yellow"/>
                  </w:rPr>
                </w:pPr>
                <w:r>
                  <w:t>递延收益-工业结构调整项目补助</w:t>
                </w:r>
              </w:p>
            </w:tc>
            <w:tc>
              <w:tcPr>
                <w:tcW w:w="2240" w:type="dxa"/>
                <w:tcBorders>
                  <w:top w:val="nil"/>
                  <w:left w:val="nil"/>
                  <w:bottom w:val="single" w:color="auto" w:sz="4" w:space="0"/>
                  <w:right w:val="single" w:color="auto" w:sz="4" w:space="0"/>
                </w:tcBorders>
                <w:noWrap/>
                <w:vAlign w:val="bottom"/>
              </w:tcPr>
              <w:p w14:paraId="2B62B556">
                <w:pPr>
                  <w:jc w:val="right"/>
                  <w:rPr>
                    <w:rFonts w:ascii="宋体" w:hAnsi="宋体" w:cs="Arial"/>
                    <w:color w:val="000000"/>
                    <w:sz w:val="20"/>
                    <w:szCs w:val="20"/>
                  </w:rPr>
                </w:pPr>
                <w:r>
                  <w:rPr>
                    <w:rFonts w:ascii="宋体" w:hAnsi="宋体" w:cs="Arial"/>
                    <w:color w:val="000000"/>
                    <w:sz w:val="20"/>
                    <w:szCs w:val="20"/>
                  </w:rPr>
                  <w:t>55,000.40</w:t>
                </w:r>
              </w:p>
            </w:tc>
            <w:tc>
              <w:tcPr>
                <w:tcW w:w="1620" w:type="dxa"/>
                <w:tcBorders>
                  <w:top w:val="nil"/>
                  <w:left w:val="nil"/>
                  <w:bottom w:val="single" w:color="auto" w:sz="4" w:space="0"/>
                  <w:right w:val="single" w:color="auto" w:sz="4" w:space="0"/>
                </w:tcBorders>
                <w:noWrap/>
                <w:vAlign w:val="bottom"/>
              </w:tcPr>
              <w:p w14:paraId="04D379BD">
                <w:pPr>
                  <w:jc w:val="right"/>
                  <w:rPr>
                    <w:rFonts w:ascii="宋体" w:hAnsi="宋体" w:cs="Arial"/>
                    <w:color w:val="000000"/>
                    <w:sz w:val="20"/>
                    <w:szCs w:val="20"/>
                  </w:rPr>
                </w:pPr>
                <w:r>
                  <w:rPr>
                    <w:rFonts w:ascii="宋体" w:hAnsi="宋体" w:cs="Arial"/>
                    <w:color w:val="000000"/>
                    <w:sz w:val="20"/>
                    <w:szCs w:val="20"/>
                  </w:rPr>
                  <w:t>54,999.60</w:t>
                </w:r>
              </w:p>
            </w:tc>
            <w:tc>
              <w:tcPr>
                <w:tcW w:w="2520" w:type="dxa"/>
                <w:tcBorders>
                  <w:top w:val="nil"/>
                  <w:left w:val="nil"/>
                  <w:bottom w:val="single" w:color="auto" w:sz="4" w:space="0"/>
                  <w:right w:val="single" w:color="auto" w:sz="4" w:space="0"/>
                </w:tcBorders>
                <w:noWrap/>
                <w:vAlign w:val="center"/>
              </w:tcPr>
              <w:p w14:paraId="3FF204CD">
                <w:pPr>
                  <w:jc w:val="center"/>
                  <w:rPr>
                    <w:rFonts w:ascii="宋体" w:hAnsi="宋体" w:cs="Arial"/>
                    <w:sz w:val="20"/>
                    <w:szCs w:val="20"/>
                  </w:rPr>
                </w:pPr>
                <w:r>
                  <w:t>与资产相关</w:t>
                </w:r>
              </w:p>
            </w:tc>
          </w:tr>
          <w:tr w14:paraId="6924D296">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50D3EE40">
                <w:pPr>
                  <w:jc w:val="center"/>
                  <w:rPr>
                    <w:rFonts w:ascii="宋体" w:hAnsi="宋体" w:cs="Arial"/>
                    <w:sz w:val="20"/>
                    <w:szCs w:val="20"/>
                    <w:highlight w:val="yellow"/>
                  </w:rPr>
                </w:pPr>
                <w:r>
                  <w:t>递延收益-第四批民营经济发展专项资金</w:t>
                </w:r>
              </w:p>
            </w:tc>
            <w:tc>
              <w:tcPr>
                <w:tcW w:w="2240" w:type="dxa"/>
                <w:tcBorders>
                  <w:top w:val="nil"/>
                  <w:left w:val="nil"/>
                  <w:bottom w:val="single" w:color="auto" w:sz="4" w:space="0"/>
                  <w:right w:val="single" w:color="auto" w:sz="4" w:space="0"/>
                </w:tcBorders>
                <w:noWrap/>
                <w:vAlign w:val="bottom"/>
              </w:tcPr>
              <w:p w14:paraId="6D67E570">
                <w:pPr>
                  <w:jc w:val="right"/>
                  <w:rPr>
                    <w:rFonts w:ascii="宋体" w:hAnsi="宋体" w:cs="Arial"/>
                    <w:color w:val="000000"/>
                    <w:sz w:val="20"/>
                    <w:szCs w:val="20"/>
                  </w:rPr>
                </w:pPr>
                <w:r>
                  <w:rPr>
                    <w:rFonts w:ascii="宋体" w:hAnsi="宋体" w:cs="Arial"/>
                    <w:color w:val="000000"/>
                    <w:sz w:val="20"/>
                    <w:szCs w:val="20"/>
                  </w:rPr>
                  <w:t>96,666.68</w:t>
                </w:r>
              </w:p>
            </w:tc>
            <w:tc>
              <w:tcPr>
                <w:tcW w:w="1620" w:type="dxa"/>
                <w:tcBorders>
                  <w:top w:val="nil"/>
                  <w:left w:val="nil"/>
                  <w:bottom w:val="single" w:color="auto" w:sz="4" w:space="0"/>
                  <w:right w:val="single" w:color="auto" w:sz="4" w:space="0"/>
                </w:tcBorders>
                <w:noWrap/>
                <w:vAlign w:val="bottom"/>
              </w:tcPr>
              <w:p w14:paraId="45D9F1DF">
                <w:pPr>
                  <w:jc w:val="right"/>
                  <w:rPr>
                    <w:rFonts w:ascii="宋体" w:hAnsi="宋体" w:cs="Arial"/>
                    <w:color w:val="000000"/>
                    <w:sz w:val="20"/>
                    <w:szCs w:val="20"/>
                  </w:rPr>
                </w:pPr>
                <w:r>
                  <w:rPr>
                    <w:rFonts w:ascii="宋体" w:hAnsi="宋体" w:cs="Arial"/>
                    <w:color w:val="000000"/>
                    <w:sz w:val="20"/>
                    <w:szCs w:val="20"/>
                  </w:rPr>
                  <w:t>96,666.68</w:t>
                </w:r>
              </w:p>
            </w:tc>
            <w:tc>
              <w:tcPr>
                <w:tcW w:w="2520" w:type="dxa"/>
                <w:tcBorders>
                  <w:top w:val="nil"/>
                  <w:left w:val="nil"/>
                  <w:bottom w:val="single" w:color="auto" w:sz="4" w:space="0"/>
                  <w:right w:val="single" w:color="auto" w:sz="4" w:space="0"/>
                </w:tcBorders>
                <w:noWrap/>
                <w:vAlign w:val="center"/>
              </w:tcPr>
              <w:p w14:paraId="5520DF56">
                <w:pPr>
                  <w:jc w:val="center"/>
                  <w:rPr>
                    <w:rFonts w:ascii="宋体" w:hAnsi="宋体" w:cs="Arial"/>
                    <w:sz w:val="20"/>
                    <w:szCs w:val="20"/>
                  </w:rPr>
                </w:pPr>
                <w:r>
                  <w:t>与资产相关</w:t>
                </w:r>
              </w:p>
            </w:tc>
          </w:tr>
          <w:tr w14:paraId="6F61C256">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44AFB75B">
                <w:pPr>
                  <w:jc w:val="center"/>
                  <w:rPr>
                    <w:rFonts w:ascii="宋体" w:hAnsi="宋体" w:cs="Arial"/>
                    <w:sz w:val="20"/>
                    <w:szCs w:val="20"/>
                    <w:highlight w:val="yellow"/>
                  </w:rPr>
                </w:pPr>
                <w:r>
                  <w:t>递延收益-</w:t>
                </w:r>
                <w:r>
                  <w:rPr>
                    <w:rFonts w:hint="eastAsia"/>
                  </w:rPr>
                  <w:t>千里</w:t>
                </w:r>
                <w:r>
                  <w:t>科技员工公寓保障性租赁住房项目补助资金</w:t>
                </w:r>
              </w:p>
            </w:tc>
            <w:tc>
              <w:tcPr>
                <w:tcW w:w="2240" w:type="dxa"/>
                <w:tcBorders>
                  <w:top w:val="nil"/>
                  <w:left w:val="nil"/>
                  <w:bottom w:val="single" w:color="auto" w:sz="4" w:space="0"/>
                  <w:right w:val="single" w:color="auto" w:sz="4" w:space="0"/>
                </w:tcBorders>
                <w:noWrap/>
                <w:vAlign w:val="bottom"/>
              </w:tcPr>
              <w:p w14:paraId="241A095C">
                <w:pPr>
                  <w:jc w:val="right"/>
                  <w:rPr>
                    <w:rFonts w:ascii="宋体" w:hAnsi="宋体" w:cs="Arial"/>
                    <w:color w:val="000000"/>
                    <w:sz w:val="20"/>
                    <w:szCs w:val="20"/>
                  </w:rPr>
                </w:pPr>
                <w:r>
                  <w:rPr>
                    <w:rFonts w:ascii="宋体" w:hAnsi="宋体" w:cs="Arial"/>
                    <w:color w:val="000000"/>
                    <w:sz w:val="20"/>
                    <w:szCs w:val="20"/>
                  </w:rPr>
                  <w:t>816,784.27</w:t>
                </w:r>
              </w:p>
            </w:tc>
            <w:tc>
              <w:tcPr>
                <w:tcW w:w="1620" w:type="dxa"/>
                <w:tcBorders>
                  <w:top w:val="nil"/>
                  <w:left w:val="nil"/>
                  <w:bottom w:val="single" w:color="auto" w:sz="4" w:space="0"/>
                  <w:right w:val="single" w:color="auto" w:sz="4" w:space="0"/>
                </w:tcBorders>
                <w:noWrap/>
                <w:vAlign w:val="bottom"/>
              </w:tcPr>
              <w:p w14:paraId="15E5C619">
                <w:pPr>
                  <w:rPr>
                    <w:rFonts w:ascii="宋体" w:hAnsi="宋体" w:cs="Arial"/>
                    <w:sz w:val="20"/>
                    <w:szCs w:val="20"/>
                  </w:rPr>
                </w:pPr>
              </w:p>
            </w:tc>
            <w:tc>
              <w:tcPr>
                <w:tcW w:w="2520" w:type="dxa"/>
                <w:tcBorders>
                  <w:top w:val="nil"/>
                  <w:left w:val="nil"/>
                  <w:bottom w:val="single" w:color="auto" w:sz="4" w:space="0"/>
                  <w:right w:val="single" w:color="auto" w:sz="4" w:space="0"/>
                </w:tcBorders>
                <w:noWrap/>
                <w:vAlign w:val="center"/>
              </w:tcPr>
              <w:p w14:paraId="2AED5EFC">
                <w:pPr>
                  <w:jc w:val="center"/>
                  <w:rPr>
                    <w:rFonts w:ascii="宋体" w:hAnsi="宋体" w:cs="Arial"/>
                    <w:sz w:val="20"/>
                    <w:szCs w:val="20"/>
                  </w:rPr>
                </w:pPr>
                <w:r>
                  <w:t>与收益相关</w:t>
                </w:r>
              </w:p>
            </w:tc>
          </w:tr>
          <w:tr w14:paraId="410CE2F8">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14694073">
                <w:pPr>
                  <w:jc w:val="center"/>
                  <w:rPr>
                    <w:rFonts w:ascii="宋体" w:hAnsi="宋体" w:cs="Arial"/>
                    <w:sz w:val="20"/>
                    <w:szCs w:val="20"/>
                    <w:highlight w:val="yellow"/>
                  </w:rPr>
                </w:pPr>
                <w:r>
                  <w:t>递延收益-固定投入相关补助</w:t>
                </w:r>
              </w:p>
            </w:tc>
            <w:tc>
              <w:tcPr>
                <w:tcW w:w="2240" w:type="dxa"/>
                <w:tcBorders>
                  <w:top w:val="nil"/>
                  <w:left w:val="nil"/>
                  <w:bottom w:val="single" w:color="auto" w:sz="4" w:space="0"/>
                  <w:right w:val="single" w:color="auto" w:sz="4" w:space="0"/>
                </w:tcBorders>
                <w:noWrap/>
                <w:vAlign w:val="bottom"/>
              </w:tcPr>
              <w:p w14:paraId="24DA4223">
                <w:pPr>
                  <w:jc w:val="right"/>
                  <w:rPr>
                    <w:rFonts w:ascii="宋体" w:hAnsi="宋体" w:cs="Arial"/>
                    <w:color w:val="000000"/>
                    <w:sz w:val="20"/>
                    <w:szCs w:val="20"/>
                  </w:rPr>
                </w:pPr>
                <w:r>
                  <w:rPr>
                    <w:rFonts w:ascii="宋体" w:hAnsi="宋体" w:cs="Arial"/>
                    <w:color w:val="000000"/>
                    <w:sz w:val="20"/>
                    <w:szCs w:val="20"/>
                  </w:rPr>
                  <w:t>731,122.80</w:t>
                </w:r>
              </w:p>
            </w:tc>
            <w:tc>
              <w:tcPr>
                <w:tcW w:w="1620" w:type="dxa"/>
                <w:tcBorders>
                  <w:top w:val="nil"/>
                  <w:left w:val="nil"/>
                  <w:bottom w:val="single" w:color="auto" w:sz="4" w:space="0"/>
                  <w:right w:val="single" w:color="auto" w:sz="4" w:space="0"/>
                </w:tcBorders>
                <w:noWrap/>
                <w:vAlign w:val="bottom"/>
              </w:tcPr>
              <w:p w14:paraId="642801B1">
                <w:pPr>
                  <w:rPr>
                    <w:rFonts w:ascii="宋体" w:hAnsi="宋体" w:cs="Arial"/>
                    <w:sz w:val="20"/>
                    <w:szCs w:val="20"/>
                  </w:rPr>
                </w:pPr>
              </w:p>
            </w:tc>
            <w:tc>
              <w:tcPr>
                <w:tcW w:w="2520" w:type="dxa"/>
                <w:tcBorders>
                  <w:top w:val="nil"/>
                  <w:left w:val="nil"/>
                  <w:bottom w:val="single" w:color="auto" w:sz="4" w:space="0"/>
                  <w:right w:val="single" w:color="auto" w:sz="4" w:space="0"/>
                </w:tcBorders>
                <w:noWrap/>
                <w:vAlign w:val="center"/>
              </w:tcPr>
              <w:p w14:paraId="6DD5E05B">
                <w:pPr>
                  <w:jc w:val="center"/>
                  <w:rPr>
                    <w:rFonts w:ascii="宋体" w:hAnsi="宋体" w:cs="Arial"/>
                    <w:sz w:val="20"/>
                    <w:szCs w:val="20"/>
                  </w:rPr>
                </w:pPr>
                <w:r>
                  <w:t>与资产相关</w:t>
                </w:r>
              </w:p>
            </w:tc>
          </w:tr>
          <w:tr w14:paraId="7B2C895A">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266C0AC1">
                <w:pPr>
                  <w:jc w:val="center"/>
                  <w:rPr>
                    <w:rFonts w:ascii="宋体" w:hAnsi="宋体" w:cs="Arial"/>
                    <w:sz w:val="20"/>
                    <w:szCs w:val="20"/>
                    <w:highlight w:val="yellow"/>
                  </w:rPr>
                </w:pPr>
                <w:r>
                  <w:t>递延收益-资本化研发投入相关补助</w:t>
                </w:r>
              </w:p>
            </w:tc>
            <w:tc>
              <w:tcPr>
                <w:tcW w:w="2240" w:type="dxa"/>
                <w:tcBorders>
                  <w:top w:val="nil"/>
                  <w:left w:val="nil"/>
                  <w:bottom w:val="single" w:color="auto" w:sz="4" w:space="0"/>
                  <w:right w:val="single" w:color="auto" w:sz="4" w:space="0"/>
                </w:tcBorders>
                <w:noWrap/>
                <w:vAlign w:val="bottom"/>
              </w:tcPr>
              <w:p w14:paraId="19E54C9B">
                <w:pPr>
                  <w:jc w:val="right"/>
                  <w:rPr>
                    <w:rFonts w:ascii="宋体" w:hAnsi="宋体" w:cs="Arial"/>
                    <w:color w:val="000000"/>
                    <w:sz w:val="20"/>
                    <w:szCs w:val="20"/>
                  </w:rPr>
                </w:pPr>
                <w:r>
                  <w:rPr>
                    <w:rFonts w:ascii="宋体" w:hAnsi="宋体" w:cs="Arial"/>
                    <w:color w:val="000000"/>
                    <w:sz w:val="20"/>
                    <w:szCs w:val="20"/>
                  </w:rPr>
                  <w:t>5,954,502.38</w:t>
                </w:r>
              </w:p>
            </w:tc>
            <w:tc>
              <w:tcPr>
                <w:tcW w:w="1620" w:type="dxa"/>
                <w:tcBorders>
                  <w:top w:val="nil"/>
                  <w:left w:val="nil"/>
                  <w:bottom w:val="single" w:color="auto" w:sz="4" w:space="0"/>
                  <w:right w:val="single" w:color="auto" w:sz="4" w:space="0"/>
                </w:tcBorders>
                <w:noWrap/>
                <w:vAlign w:val="bottom"/>
              </w:tcPr>
              <w:p w14:paraId="0CB89C85">
                <w:pPr>
                  <w:rPr>
                    <w:rFonts w:ascii="宋体" w:hAnsi="宋体" w:cs="Arial"/>
                    <w:sz w:val="20"/>
                    <w:szCs w:val="20"/>
                  </w:rPr>
                </w:pPr>
              </w:p>
            </w:tc>
            <w:tc>
              <w:tcPr>
                <w:tcW w:w="2520" w:type="dxa"/>
                <w:tcBorders>
                  <w:top w:val="nil"/>
                  <w:left w:val="nil"/>
                  <w:bottom w:val="single" w:color="auto" w:sz="4" w:space="0"/>
                  <w:right w:val="single" w:color="auto" w:sz="4" w:space="0"/>
                </w:tcBorders>
                <w:noWrap/>
                <w:vAlign w:val="center"/>
              </w:tcPr>
              <w:p w14:paraId="2159555D">
                <w:pPr>
                  <w:jc w:val="center"/>
                  <w:rPr>
                    <w:rFonts w:ascii="宋体" w:hAnsi="宋体" w:cs="Arial"/>
                    <w:sz w:val="20"/>
                    <w:szCs w:val="20"/>
                  </w:rPr>
                </w:pPr>
                <w:r>
                  <w:t>与资产相关</w:t>
                </w:r>
              </w:p>
            </w:tc>
          </w:tr>
          <w:tr w14:paraId="2F466AF8">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769E4737">
                <w:pPr>
                  <w:jc w:val="center"/>
                  <w:rPr>
                    <w:rFonts w:ascii="宋体" w:hAnsi="宋体" w:cs="Arial"/>
                    <w:color w:val="000000"/>
                    <w:sz w:val="20"/>
                    <w:szCs w:val="20"/>
                  </w:rPr>
                </w:pPr>
                <w:r>
                  <w:rPr>
                    <w:rFonts w:hint="eastAsia" w:ascii="宋体" w:hAnsi="宋体" w:cs="Arial"/>
                    <w:color w:val="000000"/>
                    <w:sz w:val="20"/>
                    <w:szCs w:val="20"/>
                  </w:rPr>
                  <w:t>稳岗补贴</w:t>
                </w:r>
              </w:p>
            </w:tc>
            <w:tc>
              <w:tcPr>
                <w:tcW w:w="2240" w:type="dxa"/>
                <w:tcBorders>
                  <w:top w:val="nil"/>
                  <w:left w:val="nil"/>
                  <w:bottom w:val="single" w:color="auto" w:sz="4" w:space="0"/>
                  <w:right w:val="single" w:color="auto" w:sz="4" w:space="0"/>
                </w:tcBorders>
                <w:noWrap/>
                <w:vAlign w:val="bottom"/>
              </w:tcPr>
              <w:p w14:paraId="311EFD32">
                <w:pPr>
                  <w:rPr>
                    <w:rFonts w:ascii="宋体" w:hAnsi="宋体" w:cs="Arial"/>
                    <w:color w:val="000000"/>
                    <w:sz w:val="20"/>
                    <w:szCs w:val="20"/>
                  </w:rPr>
                </w:pPr>
                <w:r>
                  <w:rPr>
                    <w:rFonts w:hint="eastAsia" w:ascii="宋体" w:hAnsi="宋体" w:cs="Arial"/>
                    <w:color w:val="000000"/>
                    <w:sz w:val="20"/>
                    <w:szCs w:val="20"/>
                  </w:rPr>
                  <w:t xml:space="preserve">          196,219.61 </w:t>
                </w:r>
              </w:p>
            </w:tc>
            <w:tc>
              <w:tcPr>
                <w:tcW w:w="1620" w:type="dxa"/>
                <w:tcBorders>
                  <w:top w:val="nil"/>
                  <w:left w:val="nil"/>
                  <w:bottom w:val="single" w:color="auto" w:sz="4" w:space="0"/>
                  <w:right w:val="single" w:color="auto" w:sz="4" w:space="0"/>
                </w:tcBorders>
                <w:noWrap/>
                <w:vAlign w:val="bottom"/>
              </w:tcPr>
              <w:p w14:paraId="0CE43684">
                <w:pPr>
                  <w:rPr>
                    <w:rFonts w:ascii="宋体" w:hAnsi="宋体" w:cs="Arial"/>
                    <w:color w:val="000000"/>
                    <w:sz w:val="20"/>
                    <w:szCs w:val="20"/>
                  </w:rPr>
                </w:pPr>
                <w:r>
                  <w:rPr>
                    <w:rFonts w:hint="eastAsia" w:ascii="宋体" w:hAnsi="宋体" w:cs="Arial"/>
                    <w:color w:val="000000"/>
                    <w:sz w:val="20"/>
                    <w:szCs w:val="20"/>
                  </w:rPr>
                  <w:t>　</w:t>
                </w:r>
              </w:p>
            </w:tc>
            <w:tc>
              <w:tcPr>
                <w:tcW w:w="2520" w:type="dxa"/>
                <w:tcBorders>
                  <w:top w:val="nil"/>
                  <w:left w:val="nil"/>
                  <w:bottom w:val="single" w:color="auto" w:sz="4" w:space="0"/>
                  <w:right w:val="single" w:color="auto" w:sz="4" w:space="0"/>
                </w:tcBorders>
                <w:noWrap/>
                <w:vAlign w:val="center"/>
              </w:tcPr>
              <w:p w14:paraId="2A0C2724">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75A64040">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3B826C3C">
                <w:pPr>
                  <w:jc w:val="center"/>
                  <w:rPr>
                    <w:rFonts w:ascii="宋体" w:hAnsi="宋体" w:cs="Arial"/>
                    <w:color w:val="000000"/>
                    <w:sz w:val="20"/>
                    <w:szCs w:val="20"/>
                  </w:rPr>
                </w:pPr>
                <w:r>
                  <w:rPr>
                    <w:rFonts w:hint="eastAsia" w:ascii="宋体" w:hAnsi="宋体" w:cs="Arial"/>
                    <w:color w:val="000000"/>
                    <w:sz w:val="20"/>
                    <w:szCs w:val="20"/>
                  </w:rPr>
                  <w:t>社会保险补贴款</w:t>
                </w:r>
              </w:p>
            </w:tc>
            <w:tc>
              <w:tcPr>
                <w:tcW w:w="2240" w:type="dxa"/>
                <w:tcBorders>
                  <w:top w:val="nil"/>
                  <w:left w:val="nil"/>
                  <w:bottom w:val="single" w:color="auto" w:sz="4" w:space="0"/>
                  <w:right w:val="single" w:color="auto" w:sz="4" w:space="0"/>
                </w:tcBorders>
                <w:noWrap/>
                <w:vAlign w:val="bottom"/>
              </w:tcPr>
              <w:p w14:paraId="157EFFDC">
                <w:pPr>
                  <w:rPr>
                    <w:rFonts w:ascii="宋体" w:hAnsi="宋体" w:cs="Arial"/>
                    <w:color w:val="000000"/>
                    <w:sz w:val="20"/>
                    <w:szCs w:val="20"/>
                  </w:rPr>
                </w:pPr>
                <w:r>
                  <w:rPr>
                    <w:rFonts w:hint="eastAsia" w:ascii="宋体" w:hAnsi="宋体" w:cs="Arial"/>
                    <w:color w:val="000000"/>
                    <w:sz w:val="20"/>
                    <w:szCs w:val="20"/>
                  </w:rPr>
                  <w:t xml:space="preserve">          174,050.92 </w:t>
                </w:r>
              </w:p>
            </w:tc>
            <w:tc>
              <w:tcPr>
                <w:tcW w:w="1620" w:type="dxa"/>
                <w:tcBorders>
                  <w:top w:val="nil"/>
                  <w:left w:val="nil"/>
                  <w:bottom w:val="single" w:color="auto" w:sz="4" w:space="0"/>
                  <w:right w:val="single" w:color="auto" w:sz="4" w:space="0"/>
                </w:tcBorders>
                <w:noWrap/>
                <w:vAlign w:val="bottom"/>
              </w:tcPr>
              <w:p w14:paraId="442A4807">
                <w:pPr>
                  <w:rPr>
                    <w:rFonts w:ascii="宋体" w:hAnsi="宋体" w:cs="Arial"/>
                    <w:color w:val="000000"/>
                    <w:sz w:val="20"/>
                    <w:szCs w:val="20"/>
                  </w:rPr>
                </w:pPr>
                <w:r>
                  <w:rPr>
                    <w:rFonts w:hint="eastAsia" w:ascii="宋体" w:hAnsi="宋体" w:cs="Arial"/>
                    <w:color w:val="000000"/>
                    <w:sz w:val="20"/>
                    <w:szCs w:val="20"/>
                  </w:rPr>
                  <w:t>　</w:t>
                </w:r>
              </w:p>
            </w:tc>
            <w:tc>
              <w:tcPr>
                <w:tcW w:w="2520" w:type="dxa"/>
                <w:tcBorders>
                  <w:top w:val="nil"/>
                  <w:left w:val="nil"/>
                  <w:bottom w:val="single" w:color="auto" w:sz="4" w:space="0"/>
                  <w:right w:val="single" w:color="auto" w:sz="4" w:space="0"/>
                </w:tcBorders>
                <w:noWrap/>
                <w:vAlign w:val="center"/>
              </w:tcPr>
              <w:p w14:paraId="251A1BB9">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1FB1FB84">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05FBD25C">
                <w:pPr>
                  <w:jc w:val="center"/>
                  <w:rPr>
                    <w:rFonts w:ascii="宋体" w:hAnsi="宋体" w:cs="Arial"/>
                    <w:color w:val="000000"/>
                    <w:sz w:val="20"/>
                    <w:szCs w:val="20"/>
                  </w:rPr>
                </w:pPr>
                <w:r>
                  <w:rPr>
                    <w:rFonts w:hint="eastAsia" w:ascii="宋体" w:hAnsi="宋体" w:cs="Arial"/>
                    <w:color w:val="000000"/>
                    <w:sz w:val="20"/>
                    <w:szCs w:val="20"/>
                  </w:rPr>
                  <w:t>涉外贸易补贴</w:t>
                </w:r>
              </w:p>
            </w:tc>
            <w:tc>
              <w:tcPr>
                <w:tcW w:w="2240" w:type="dxa"/>
                <w:tcBorders>
                  <w:top w:val="nil"/>
                  <w:left w:val="nil"/>
                  <w:bottom w:val="single" w:color="auto" w:sz="4" w:space="0"/>
                  <w:right w:val="single" w:color="auto" w:sz="4" w:space="0"/>
                </w:tcBorders>
                <w:noWrap/>
                <w:vAlign w:val="bottom"/>
              </w:tcPr>
              <w:p w14:paraId="28C1D7AF">
                <w:pPr>
                  <w:rPr>
                    <w:rFonts w:ascii="宋体" w:hAnsi="宋体" w:cs="Arial"/>
                    <w:color w:val="000000"/>
                    <w:sz w:val="20"/>
                    <w:szCs w:val="20"/>
                  </w:rPr>
                </w:pPr>
                <w:r>
                  <w:rPr>
                    <w:rFonts w:hint="eastAsia" w:ascii="宋体" w:hAnsi="宋体" w:cs="Arial"/>
                    <w:color w:val="000000"/>
                    <w:sz w:val="20"/>
                    <w:szCs w:val="20"/>
                  </w:rPr>
                  <w:t xml:space="preserve">           93,000.00 </w:t>
                </w:r>
              </w:p>
            </w:tc>
            <w:tc>
              <w:tcPr>
                <w:tcW w:w="1620" w:type="dxa"/>
                <w:tcBorders>
                  <w:top w:val="nil"/>
                  <w:left w:val="nil"/>
                  <w:bottom w:val="single" w:color="auto" w:sz="4" w:space="0"/>
                  <w:right w:val="single" w:color="auto" w:sz="4" w:space="0"/>
                </w:tcBorders>
                <w:noWrap/>
                <w:vAlign w:val="bottom"/>
              </w:tcPr>
              <w:p w14:paraId="2F7C1A42">
                <w:pPr>
                  <w:rPr>
                    <w:rFonts w:ascii="宋体" w:hAnsi="宋体" w:cs="Arial"/>
                    <w:color w:val="000000"/>
                    <w:sz w:val="20"/>
                    <w:szCs w:val="20"/>
                  </w:rPr>
                </w:pPr>
                <w:r>
                  <w:rPr>
                    <w:rFonts w:hint="eastAsia" w:ascii="宋体" w:hAnsi="宋体" w:cs="Arial"/>
                    <w:color w:val="000000"/>
                    <w:sz w:val="20"/>
                    <w:szCs w:val="20"/>
                  </w:rPr>
                  <w:t>　</w:t>
                </w:r>
              </w:p>
            </w:tc>
            <w:tc>
              <w:tcPr>
                <w:tcW w:w="2520" w:type="dxa"/>
                <w:tcBorders>
                  <w:top w:val="nil"/>
                  <w:left w:val="nil"/>
                  <w:bottom w:val="single" w:color="auto" w:sz="4" w:space="0"/>
                  <w:right w:val="single" w:color="auto" w:sz="4" w:space="0"/>
                </w:tcBorders>
                <w:noWrap/>
                <w:vAlign w:val="center"/>
              </w:tcPr>
              <w:p w14:paraId="47082CF8">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60F9FDC9">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0A0AAD21">
                <w:pPr>
                  <w:jc w:val="center"/>
                  <w:rPr>
                    <w:rFonts w:ascii="宋体" w:hAnsi="宋体" w:cs="Arial"/>
                    <w:color w:val="000000"/>
                    <w:sz w:val="20"/>
                    <w:szCs w:val="20"/>
                  </w:rPr>
                </w:pPr>
                <w:r>
                  <w:rPr>
                    <w:rFonts w:hint="eastAsia" w:ascii="宋体" w:hAnsi="宋体" w:cs="Arial"/>
                    <w:color w:val="000000"/>
                    <w:sz w:val="20"/>
                    <w:szCs w:val="20"/>
                  </w:rPr>
                  <w:t>商务发展专项资金</w:t>
                </w:r>
              </w:p>
            </w:tc>
            <w:tc>
              <w:tcPr>
                <w:tcW w:w="2240" w:type="dxa"/>
                <w:tcBorders>
                  <w:top w:val="nil"/>
                  <w:left w:val="nil"/>
                  <w:bottom w:val="single" w:color="auto" w:sz="4" w:space="0"/>
                  <w:right w:val="single" w:color="auto" w:sz="4" w:space="0"/>
                </w:tcBorders>
                <w:noWrap/>
                <w:vAlign w:val="bottom"/>
              </w:tcPr>
              <w:p w14:paraId="56A08AFA">
                <w:pPr>
                  <w:rPr>
                    <w:rFonts w:ascii="宋体" w:hAnsi="宋体" w:cs="Arial"/>
                    <w:color w:val="000000"/>
                    <w:sz w:val="20"/>
                    <w:szCs w:val="20"/>
                  </w:rPr>
                </w:pPr>
                <w:r>
                  <w:rPr>
                    <w:rFonts w:hint="eastAsia" w:ascii="宋体" w:hAnsi="宋体" w:cs="Arial"/>
                    <w:color w:val="000000"/>
                    <w:sz w:val="20"/>
                    <w:szCs w:val="20"/>
                  </w:rPr>
                  <w:t xml:space="preserve">           50,000.00 </w:t>
                </w:r>
              </w:p>
            </w:tc>
            <w:tc>
              <w:tcPr>
                <w:tcW w:w="1620" w:type="dxa"/>
                <w:tcBorders>
                  <w:top w:val="nil"/>
                  <w:left w:val="nil"/>
                  <w:bottom w:val="single" w:color="auto" w:sz="4" w:space="0"/>
                  <w:right w:val="single" w:color="auto" w:sz="4" w:space="0"/>
                </w:tcBorders>
                <w:noWrap/>
                <w:vAlign w:val="bottom"/>
              </w:tcPr>
              <w:p w14:paraId="6800774E">
                <w:pPr>
                  <w:rPr>
                    <w:rFonts w:ascii="宋体" w:hAnsi="宋体" w:cs="Arial"/>
                    <w:color w:val="000000"/>
                    <w:sz w:val="20"/>
                    <w:szCs w:val="20"/>
                  </w:rPr>
                </w:pPr>
                <w:r>
                  <w:rPr>
                    <w:rFonts w:hint="eastAsia" w:ascii="宋体" w:hAnsi="宋体" w:cs="Arial"/>
                    <w:color w:val="000000"/>
                    <w:sz w:val="20"/>
                    <w:szCs w:val="20"/>
                  </w:rPr>
                  <w:t>　</w:t>
                </w:r>
              </w:p>
            </w:tc>
            <w:tc>
              <w:tcPr>
                <w:tcW w:w="2520" w:type="dxa"/>
                <w:tcBorders>
                  <w:top w:val="nil"/>
                  <w:left w:val="nil"/>
                  <w:bottom w:val="single" w:color="auto" w:sz="4" w:space="0"/>
                  <w:right w:val="single" w:color="auto" w:sz="4" w:space="0"/>
                </w:tcBorders>
                <w:noWrap/>
                <w:vAlign w:val="center"/>
              </w:tcPr>
              <w:p w14:paraId="74EDC70C">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7BD548A6">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7189ED8B">
                <w:pPr>
                  <w:jc w:val="center"/>
                  <w:rPr>
                    <w:rFonts w:ascii="宋体" w:hAnsi="宋体" w:cs="Arial"/>
                    <w:color w:val="000000"/>
                    <w:sz w:val="20"/>
                    <w:szCs w:val="20"/>
                  </w:rPr>
                </w:pPr>
                <w:r>
                  <w:rPr>
                    <w:rFonts w:hint="eastAsia" w:ascii="宋体" w:hAnsi="宋体" w:cs="Arial"/>
                    <w:color w:val="000000"/>
                    <w:sz w:val="20"/>
                    <w:szCs w:val="20"/>
                  </w:rPr>
                  <w:t>人才引进补贴</w:t>
                </w:r>
              </w:p>
            </w:tc>
            <w:tc>
              <w:tcPr>
                <w:tcW w:w="2240" w:type="dxa"/>
                <w:tcBorders>
                  <w:top w:val="nil"/>
                  <w:left w:val="nil"/>
                  <w:bottom w:val="single" w:color="auto" w:sz="4" w:space="0"/>
                  <w:right w:val="single" w:color="auto" w:sz="4" w:space="0"/>
                </w:tcBorders>
                <w:noWrap/>
                <w:vAlign w:val="bottom"/>
              </w:tcPr>
              <w:p w14:paraId="536AF26B">
                <w:pPr>
                  <w:rPr>
                    <w:rFonts w:ascii="宋体" w:hAnsi="宋体" w:cs="Arial"/>
                    <w:color w:val="000000"/>
                    <w:sz w:val="20"/>
                    <w:szCs w:val="20"/>
                  </w:rPr>
                </w:pPr>
                <w:r>
                  <w:rPr>
                    <w:rFonts w:hint="eastAsia" w:ascii="宋体" w:hAnsi="宋体" w:cs="Arial"/>
                    <w:color w:val="000000"/>
                    <w:sz w:val="20"/>
                    <w:szCs w:val="20"/>
                  </w:rPr>
                  <w:t>　</w:t>
                </w:r>
              </w:p>
            </w:tc>
            <w:tc>
              <w:tcPr>
                <w:tcW w:w="1620" w:type="dxa"/>
                <w:tcBorders>
                  <w:top w:val="nil"/>
                  <w:left w:val="nil"/>
                  <w:bottom w:val="single" w:color="auto" w:sz="4" w:space="0"/>
                  <w:right w:val="single" w:color="auto" w:sz="4" w:space="0"/>
                </w:tcBorders>
                <w:noWrap/>
                <w:vAlign w:val="bottom"/>
              </w:tcPr>
              <w:p w14:paraId="48E2D5B4">
                <w:pPr>
                  <w:rPr>
                    <w:rFonts w:ascii="宋体" w:hAnsi="宋体" w:cs="Arial"/>
                    <w:color w:val="000000"/>
                    <w:sz w:val="20"/>
                    <w:szCs w:val="20"/>
                  </w:rPr>
                </w:pPr>
                <w:r>
                  <w:rPr>
                    <w:rFonts w:hint="eastAsia" w:ascii="宋体" w:hAnsi="宋体" w:cs="Arial"/>
                    <w:color w:val="000000"/>
                    <w:sz w:val="20"/>
                    <w:szCs w:val="20"/>
                  </w:rPr>
                  <w:t xml:space="preserve">    375,693.49 </w:t>
                </w:r>
              </w:p>
            </w:tc>
            <w:tc>
              <w:tcPr>
                <w:tcW w:w="2520" w:type="dxa"/>
                <w:tcBorders>
                  <w:top w:val="nil"/>
                  <w:left w:val="nil"/>
                  <w:bottom w:val="single" w:color="auto" w:sz="4" w:space="0"/>
                  <w:right w:val="single" w:color="auto" w:sz="4" w:space="0"/>
                </w:tcBorders>
                <w:noWrap/>
                <w:vAlign w:val="center"/>
              </w:tcPr>
              <w:p w14:paraId="412D2445">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0215F0DA">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4051037D">
                <w:pPr>
                  <w:jc w:val="center"/>
                  <w:rPr>
                    <w:rFonts w:ascii="宋体" w:hAnsi="宋体" w:cs="Arial"/>
                    <w:color w:val="000000"/>
                    <w:sz w:val="20"/>
                    <w:szCs w:val="20"/>
                  </w:rPr>
                </w:pPr>
                <w:r>
                  <w:rPr>
                    <w:rFonts w:hint="eastAsia" w:ascii="宋体" w:hAnsi="宋体" w:cs="Arial"/>
                    <w:color w:val="000000"/>
                    <w:sz w:val="20"/>
                    <w:szCs w:val="20"/>
                  </w:rPr>
                  <w:t>高校毕业生就业见习补贴</w:t>
                </w:r>
              </w:p>
            </w:tc>
            <w:tc>
              <w:tcPr>
                <w:tcW w:w="2240" w:type="dxa"/>
                <w:tcBorders>
                  <w:top w:val="nil"/>
                  <w:left w:val="nil"/>
                  <w:bottom w:val="single" w:color="auto" w:sz="4" w:space="0"/>
                  <w:right w:val="single" w:color="auto" w:sz="4" w:space="0"/>
                </w:tcBorders>
                <w:noWrap/>
                <w:vAlign w:val="bottom"/>
              </w:tcPr>
              <w:p w14:paraId="7EFF9D8F">
                <w:pPr>
                  <w:rPr>
                    <w:rFonts w:ascii="宋体" w:hAnsi="宋体" w:cs="Arial"/>
                    <w:color w:val="000000"/>
                    <w:sz w:val="20"/>
                    <w:szCs w:val="20"/>
                  </w:rPr>
                </w:pPr>
                <w:r>
                  <w:rPr>
                    <w:rFonts w:hint="eastAsia" w:ascii="宋体" w:hAnsi="宋体" w:cs="Arial"/>
                    <w:color w:val="000000"/>
                    <w:sz w:val="20"/>
                    <w:szCs w:val="20"/>
                  </w:rPr>
                  <w:t>　</w:t>
                </w:r>
              </w:p>
            </w:tc>
            <w:tc>
              <w:tcPr>
                <w:tcW w:w="1620" w:type="dxa"/>
                <w:tcBorders>
                  <w:top w:val="nil"/>
                  <w:left w:val="nil"/>
                  <w:bottom w:val="single" w:color="auto" w:sz="4" w:space="0"/>
                  <w:right w:val="single" w:color="auto" w:sz="4" w:space="0"/>
                </w:tcBorders>
                <w:noWrap/>
                <w:vAlign w:val="bottom"/>
              </w:tcPr>
              <w:p w14:paraId="2F4C7E45">
                <w:pPr>
                  <w:rPr>
                    <w:rFonts w:ascii="宋体" w:hAnsi="宋体" w:cs="Arial"/>
                    <w:color w:val="000000"/>
                    <w:sz w:val="20"/>
                    <w:szCs w:val="20"/>
                  </w:rPr>
                </w:pPr>
                <w:r>
                  <w:rPr>
                    <w:rFonts w:hint="eastAsia" w:ascii="宋体" w:hAnsi="宋体" w:cs="Arial"/>
                    <w:color w:val="000000"/>
                    <w:sz w:val="20"/>
                    <w:szCs w:val="20"/>
                  </w:rPr>
                  <w:t xml:space="preserve">    182,900.00 </w:t>
                </w:r>
              </w:p>
            </w:tc>
            <w:tc>
              <w:tcPr>
                <w:tcW w:w="2520" w:type="dxa"/>
                <w:tcBorders>
                  <w:top w:val="nil"/>
                  <w:left w:val="nil"/>
                  <w:bottom w:val="single" w:color="auto" w:sz="4" w:space="0"/>
                  <w:right w:val="single" w:color="auto" w:sz="4" w:space="0"/>
                </w:tcBorders>
                <w:noWrap/>
                <w:vAlign w:val="center"/>
              </w:tcPr>
              <w:p w14:paraId="2494F8B5">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35E6A50B">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1EC59E69">
                <w:pPr>
                  <w:jc w:val="center"/>
                  <w:rPr>
                    <w:rFonts w:ascii="宋体" w:hAnsi="宋体" w:cs="Arial"/>
                    <w:color w:val="000000"/>
                    <w:sz w:val="20"/>
                    <w:szCs w:val="20"/>
                  </w:rPr>
                </w:pPr>
                <w:r>
                  <w:rPr>
                    <w:rFonts w:hint="eastAsia" w:ascii="宋体" w:hAnsi="宋体" w:cs="Arial"/>
                    <w:color w:val="000000"/>
                    <w:sz w:val="20"/>
                    <w:szCs w:val="20"/>
                  </w:rPr>
                  <w:t>其他</w:t>
                </w:r>
              </w:p>
            </w:tc>
            <w:tc>
              <w:tcPr>
                <w:tcW w:w="2240" w:type="dxa"/>
                <w:tcBorders>
                  <w:top w:val="nil"/>
                  <w:left w:val="nil"/>
                  <w:bottom w:val="single" w:color="auto" w:sz="4" w:space="0"/>
                  <w:right w:val="single" w:color="auto" w:sz="4" w:space="0"/>
                </w:tcBorders>
                <w:noWrap/>
                <w:vAlign w:val="bottom"/>
              </w:tcPr>
              <w:p w14:paraId="1E5AD301">
                <w:pPr>
                  <w:rPr>
                    <w:rFonts w:ascii="宋体" w:hAnsi="宋体" w:cs="Arial"/>
                    <w:color w:val="000000"/>
                    <w:sz w:val="20"/>
                    <w:szCs w:val="20"/>
                  </w:rPr>
                </w:pPr>
                <w:r>
                  <w:rPr>
                    <w:rFonts w:hint="eastAsia" w:ascii="宋体" w:hAnsi="宋体" w:cs="Arial"/>
                    <w:color w:val="000000"/>
                    <w:sz w:val="20"/>
                    <w:szCs w:val="20"/>
                  </w:rPr>
                  <w:t xml:space="preserve">            3,439.42 </w:t>
                </w:r>
              </w:p>
            </w:tc>
            <w:tc>
              <w:tcPr>
                <w:tcW w:w="1620" w:type="dxa"/>
                <w:tcBorders>
                  <w:top w:val="nil"/>
                  <w:left w:val="nil"/>
                  <w:bottom w:val="single" w:color="auto" w:sz="4" w:space="0"/>
                  <w:right w:val="single" w:color="auto" w:sz="4" w:space="0"/>
                </w:tcBorders>
                <w:noWrap/>
                <w:vAlign w:val="bottom"/>
              </w:tcPr>
              <w:p w14:paraId="1D5D81F7">
                <w:pPr>
                  <w:rPr>
                    <w:rFonts w:ascii="宋体" w:hAnsi="宋体" w:cs="Arial"/>
                    <w:color w:val="000000"/>
                    <w:sz w:val="20"/>
                    <w:szCs w:val="20"/>
                  </w:rPr>
                </w:pPr>
                <w:r>
                  <w:rPr>
                    <w:rFonts w:hint="eastAsia" w:ascii="宋体" w:hAnsi="宋体" w:cs="Arial"/>
                    <w:color w:val="000000"/>
                    <w:sz w:val="20"/>
                    <w:szCs w:val="20"/>
                  </w:rPr>
                  <w:t xml:space="preserve">     47,429.23 </w:t>
                </w:r>
              </w:p>
            </w:tc>
            <w:tc>
              <w:tcPr>
                <w:tcW w:w="2520" w:type="dxa"/>
                <w:tcBorders>
                  <w:top w:val="nil"/>
                  <w:left w:val="nil"/>
                  <w:bottom w:val="single" w:color="auto" w:sz="4" w:space="0"/>
                  <w:right w:val="single" w:color="auto" w:sz="4" w:space="0"/>
                </w:tcBorders>
                <w:noWrap/>
                <w:vAlign w:val="center"/>
              </w:tcPr>
              <w:p w14:paraId="274FA7D7">
                <w:pPr>
                  <w:jc w:val="center"/>
                  <w:rPr>
                    <w:rFonts w:ascii="宋体" w:hAnsi="宋体" w:cs="Arial"/>
                    <w:color w:val="000000"/>
                    <w:sz w:val="20"/>
                    <w:szCs w:val="20"/>
                  </w:rPr>
                </w:pPr>
                <w:r>
                  <w:rPr>
                    <w:rFonts w:hint="eastAsia" w:ascii="宋体" w:hAnsi="宋体" w:cs="Arial"/>
                    <w:color w:val="000000"/>
                    <w:sz w:val="20"/>
                    <w:szCs w:val="20"/>
                  </w:rPr>
                  <w:t>与收益相关</w:t>
                </w:r>
              </w:p>
            </w:tc>
          </w:tr>
          <w:tr w14:paraId="3A560DAC">
            <w:tblPrEx>
              <w:tblCellMar>
                <w:top w:w="0" w:type="dxa"/>
                <w:left w:w="108" w:type="dxa"/>
                <w:bottom w:w="0" w:type="dxa"/>
                <w:right w:w="108" w:type="dxa"/>
              </w:tblCellMar>
            </w:tblPrEx>
            <w:trPr>
              <w:trHeight w:val="260" w:hRule="atLeast"/>
            </w:trPr>
            <w:tc>
              <w:tcPr>
                <w:tcW w:w="2800" w:type="dxa"/>
                <w:tcBorders>
                  <w:top w:val="nil"/>
                  <w:left w:val="single" w:color="auto" w:sz="4" w:space="0"/>
                  <w:bottom w:val="single" w:color="auto" w:sz="4" w:space="0"/>
                  <w:right w:val="single" w:color="auto" w:sz="4" w:space="0"/>
                </w:tcBorders>
                <w:noWrap/>
                <w:vAlign w:val="center"/>
              </w:tcPr>
              <w:p w14:paraId="6C566AD7">
                <w:pPr>
                  <w:jc w:val="center"/>
                  <w:rPr>
                    <w:rFonts w:ascii="宋体" w:hAnsi="宋体" w:cs="Arial"/>
                    <w:color w:val="000000"/>
                    <w:sz w:val="20"/>
                    <w:szCs w:val="20"/>
                  </w:rPr>
                </w:pPr>
                <w:r>
                  <w:rPr>
                    <w:rFonts w:hint="eastAsia" w:ascii="宋体" w:hAnsi="宋体" w:cs="Arial"/>
                    <w:color w:val="000000"/>
                    <w:sz w:val="20"/>
                    <w:szCs w:val="20"/>
                  </w:rPr>
                  <w:t>合计</w:t>
                </w:r>
              </w:p>
            </w:tc>
            <w:tc>
              <w:tcPr>
                <w:tcW w:w="2240" w:type="dxa"/>
                <w:tcBorders>
                  <w:top w:val="nil"/>
                  <w:left w:val="nil"/>
                  <w:bottom w:val="single" w:color="auto" w:sz="4" w:space="0"/>
                  <w:right w:val="single" w:color="auto" w:sz="4" w:space="0"/>
                </w:tcBorders>
                <w:noWrap/>
                <w:vAlign w:val="bottom"/>
              </w:tcPr>
              <w:p w14:paraId="4A4D9DC3">
                <w:pPr>
                  <w:rPr>
                    <w:rFonts w:ascii="宋体" w:hAnsi="宋体" w:cs="Arial"/>
                    <w:color w:val="000000"/>
                    <w:sz w:val="20"/>
                    <w:szCs w:val="20"/>
                  </w:rPr>
                </w:pPr>
                <w:r>
                  <w:rPr>
                    <w:rFonts w:hint="eastAsia" w:ascii="宋体" w:hAnsi="宋体" w:cs="Arial"/>
                    <w:color w:val="000000"/>
                    <w:sz w:val="20"/>
                    <w:szCs w:val="20"/>
                  </w:rPr>
                  <w:t xml:space="preserve">      169,760,786.48 </w:t>
                </w:r>
              </w:p>
            </w:tc>
            <w:tc>
              <w:tcPr>
                <w:tcW w:w="1620" w:type="dxa"/>
                <w:tcBorders>
                  <w:top w:val="nil"/>
                  <w:left w:val="nil"/>
                  <w:bottom w:val="single" w:color="auto" w:sz="4" w:space="0"/>
                  <w:right w:val="single" w:color="auto" w:sz="4" w:space="0"/>
                </w:tcBorders>
                <w:noWrap/>
                <w:vAlign w:val="bottom"/>
              </w:tcPr>
              <w:p w14:paraId="1EAA0BCC">
                <w:pPr>
                  <w:rPr>
                    <w:rFonts w:ascii="宋体" w:hAnsi="宋体" w:cs="Arial"/>
                    <w:color w:val="000000"/>
                    <w:sz w:val="20"/>
                    <w:szCs w:val="20"/>
                  </w:rPr>
                </w:pPr>
                <w:r>
                  <w:rPr>
                    <w:rFonts w:hint="eastAsia" w:ascii="宋体" w:hAnsi="宋体" w:cs="Arial"/>
                    <w:color w:val="000000"/>
                    <w:sz w:val="20"/>
                    <w:szCs w:val="20"/>
                  </w:rPr>
                  <w:t xml:space="preserve">    757,689.00 </w:t>
                </w:r>
              </w:p>
            </w:tc>
            <w:tc>
              <w:tcPr>
                <w:tcW w:w="2520" w:type="dxa"/>
                <w:tcBorders>
                  <w:top w:val="nil"/>
                  <w:left w:val="nil"/>
                  <w:bottom w:val="single" w:color="auto" w:sz="4" w:space="0"/>
                  <w:right w:val="single" w:color="auto" w:sz="4" w:space="0"/>
                </w:tcBorders>
                <w:noWrap/>
                <w:vAlign w:val="center"/>
              </w:tcPr>
              <w:p w14:paraId="7C934F4C">
                <w:pPr>
                  <w:jc w:val="center"/>
                  <w:rPr>
                    <w:rFonts w:ascii="宋体" w:hAnsi="宋体" w:cs="Arial"/>
                    <w:color w:val="000000"/>
                    <w:sz w:val="20"/>
                    <w:szCs w:val="20"/>
                  </w:rPr>
                </w:pPr>
                <w:r>
                  <w:rPr>
                    <w:rFonts w:hint="eastAsia" w:ascii="宋体" w:hAnsi="宋体" w:cs="Arial"/>
                    <w:color w:val="000000"/>
                    <w:sz w:val="20"/>
                    <w:szCs w:val="20"/>
                  </w:rPr>
                  <w:t>　</w:t>
                </w:r>
              </w:p>
            </w:tc>
          </w:tr>
        </w:tbl>
        <w:p w14:paraId="220EF0D7"/>
      </w:sdtContent>
    </w:sdt>
    <w:bookmarkEnd w:id="342"/>
    <w:p w14:paraId="0DD28C81">
      <w:pPr>
        <w:pStyle w:val="4"/>
        <w:numPr>
          <w:ilvl w:val="0"/>
          <w:numId w:val="41"/>
        </w:numPr>
        <w:rPr>
          <w:color w:val="000000" w:themeColor="text1"/>
          <w:szCs w:val="21"/>
          <w14:textFill>
            <w14:solidFill>
              <w14:schemeClr w14:val="tx1"/>
            </w14:solidFill>
          </w14:textFill>
        </w:rPr>
      </w:pPr>
      <w:bookmarkStart w:id="343" w:name="_Hlk11857276"/>
      <w:r>
        <w:rPr>
          <w:color w:val="000000" w:themeColor="text1"/>
          <w:szCs w:val="21"/>
          <w14:textFill>
            <w14:solidFill>
              <w14:schemeClr w14:val="tx1"/>
            </w14:solidFill>
          </w14:textFill>
        </w:rPr>
        <w:t>投资收益</w:t>
      </w:r>
    </w:p>
    <w:sdt>
      <w:sdtPr>
        <w:rPr>
          <w:color w:val="000000" w:themeColor="text1"/>
          <w14:textFill>
            <w14:solidFill>
              <w14:schemeClr w14:val="tx1"/>
            </w14:solidFill>
          </w14:textFill>
        </w:rPr>
        <w:alias w:val="是否适用：投资收益[双击切换]"/>
        <w:tag w:val="_GBC_39356fd9dd9e4f5497d61d781210b2fe"/>
        <w:id w:val="-2032564990"/>
        <w:placeholder>
          <w:docPart w:val="GBC22222222222222222222222222222"/>
        </w:placeholder>
      </w:sdtPr>
      <w:sdtEndPr>
        <w:rPr>
          <w:color w:val="000000" w:themeColor="text1"/>
          <w14:textFill>
            <w14:solidFill>
              <w14:schemeClr w14:val="tx1"/>
            </w14:solidFill>
          </w14:textFill>
        </w:rPr>
      </w:sdtEndPr>
      <w:sdtContent>
        <w:p w14:paraId="6EDD281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0F63E86">
      <w:pPr>
        <w:jc w:val="right"/>
        <w:rPr>
          <w:b/>
          <w:color w:val="000000" w:themeColor="text1"/>
          <w14:textFill>
            <w14:solidFill>
              <w14:schemeClr w14:val="tx1"/>
            </w14:solidFill>
          </w14:textFill>
        </w:rPr>
      </w:pPr>
      <w:bookmarkStart w:id="344" w:name="_Hlk10538462"/>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单位：财务附注：会计报表中的投资收益项目增加"/>
          <w:tag w:val="_GBC_8785b82a02ca4b0db1de3227128775b4"/>
          <w:id w:val="-1479846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币种：财务附注：会计报表中的投资收益项目增加"/>
          <w:tag w:val="_GBC_c4394dc445a94e9a8a4b83889c79fcb1"/>
          <w:id w:val="19770238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7"/>
        <w:gridCol w:w="2201"/>
        <w:gridCol w:w="2201"/>
      </w:tblGrid>
      <w:tr w14:paraId="42C9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ef67a5db2c453288257a2dfe03fd6e"/>
            <w:id w:val="-342011840"/>
          </w:sdtPr>
          <w:sdtContent>
            <w:tc>
              <w:tcPr>
                <w:tcW w:w="2568" w:type="pct"/>
                <w:vAlign w:val="center"/>
              </w:tcPr>
              <w:p w14:paraId="13B8E486">
                <w:pPr>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3f927d0ff25c47abb0f9b18794554af6"/>
            <w:id w:val="-351499288"/>
          </w:sdtPr>
          <w:sdtContent>
            <w:tc>
              <w:tcPr>
                <w:tcW w:w="1216" w:type="pct"/>
                <w:vAlign w:val="center"/>
              </w:tcPr>
              <w:p w14:paraId="462DB92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a6cbfed1438f48b7947079a5821a9eba"/>
            <w:id w:val="-1630086897"/>
          </w:sdtPr>
          <w:sdtContent>
            <w:tc>
              <w:tcPr>
                <w:tcW w:w="1216" w:type="pct"/>
                <w:vAlign w:val="center"/>
              </w:tcPr>
              <w:p w14:paraId="0463430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02FE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514E29F1">
            <w:pPr>
              <w:rPr>
                <w:color w:val="000000" w:themeColor="text1"/>
                <w14:textFill>
                  <w14:solidFill>
                    <w14:schemeClr w14:val="tx1"/>
                  </w14:solidFill>
                </w14:textFill>
              </w:rPr>
            </w:pPr>
            <w:r>
              <w:rPr>
                <w:rFonts w:hint="eastAsia"/>
                <w:color w:val="000000" w:themeColor="text1"/>
                <w14:textFill>
                  <w14:solidFill>
                    <w14:schemeClr w14:val="tx1"/>
                  </w14:solidFill>
                </w14:textFill>
              </w:rPr>
              <w:t>权益法核算的长期股权投资收益</w:t>
            </w:r>
          </w:p>
        </w:tc>
        <w:tc>
          <w:tcPr>
            <w:tcW w:w="1216" w:type="pct"/>
            <w:vAlign w:val="center"/>
          </w:tcPr>
          <w:p w14:paraId="2D50D27B">
            <w:pPr>
              <w:jc w:val="right"/>
            </w:pPr>
            <w:r>
              <w:t>251,937,163.70</w:t>
            </w:r>
          </w:p>
        </w:tc>
        <w:tc>
          <w:tcPr>
            <w:tcW w:w="1216" w:type="pct"/>
            <w:vAlign w:val="center"/>
          </w:tcPr>
          <w:p w14:paraId="01E162C9">
            <w:pPr>
              <w:jc w:val="right"/>
            </w:pPr>
            <w:r>
              <w:t>189,698,936.31</w:t>
            </w:r>
          </w:p>
        </w:tc>
      </w:tr>
      <w:tr w14:paraId="7465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75419703">
            <w:pPr>
              <w:rPr>
                <w:color w:val="000000" w:themeColor="text1"/>
                <w14:textFill>
                  <w14:solidFill>
                    <w14:schemeClr w14:val="tx1"/>
                  </w14:solidFill>
                </w14:textFill>
              </w:rPr>
            </w:pPr>
            <w:r>
              <w:rPr>
                <w:rFonts w:hint="eastAsia"/>
                <w:color w:val="000000" w:themeColor="text1"/>
                <w14:textFill>
                  <w14:solidFill>
                    <w14:schemeClr w14:val="tx1"/>
                  </w14:solidFill>
                </w14:textFill>
              </w:rPr>
              <w:t>处置长期股权投资产生的投资收益</w:t>
            </w:r>
          </w:p>
        </w:tc>
        <w:tc>
          <w:tcPr>
            <w:tcW w:w="1216" w:type="pct"/>
            <w:vAlign w:val="center"/>
          </w:tcPr>
          <w:p w14:paraId="65377842">
            <w:pPr>
              <w:jc w:val="right"/>
            </w:pPr>
            <w:r>
              <w:t>32,122,321.06</w:t>
            </w:r>
          </w:p>
        </w:tc>
        <w:tc>
          <w:tcPr>
            <w:tcW w:w="1216" w:type="pct"/>
            <w:vAlign w:val="center"/>
          </w:tcPr>
          <w:p w14:paraId="59F8B23F">
            <w:pPr>
              <w:jc w:val="right"/>
            </w:pPr>
            <w:r>
              <w:t>460,297.46</w:t>
            </w:r>
          </w:p>
        </w:tc>
      </w:tr>
      <w:tr w14:paraId="0809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46FCA965">
            <w:pPr>
              <w:rPr>
                <w:color w:val="000000" w:themeColor="text1"/>
                <w14:textFill>
                  <w14:solidFill>
                    <w14:schemeClr w14:val="tx1"/>
                  </w14:solidFill>
                </w14:textFill>
              </w:rPr>
            </w:pPr>
            <w:r>
              <w:rPr>
                <w:rFonts w:hint="eastAsia"/>
                <w:color w:val="000000" w:themeColor="text1"/>
                <w14:textFill>
                  <w14:solidFill>
                    <w14:schemeClr w14:val="tx1"/>
                  </w14:solidFill>
                </w14:textFill>
              </w:rPr>
              <w:t>债务重组收益</w:t>
            </w:r>
          </w:p>
        </w:tc>
        <w:tc>
          <w:tcPr>
            <w:tcW w:w="1216" w:type="pct"/>
            <w:vAlign w:val="center"/>
          </w:tcPr>
          <w:p w14:paraId="6A4CCFFB">
            <w:pPr>
              <w:jc w:val="right"/>
            </w:pPr>
            <w:r>
              <w:t>-873.48</w:t>
            </w:r>
          </w:p>
        </w:tc>
        <w:tc>
          <w:tcPr>
            <w:tcW w:w="1216" w:type="pct"/>
            <w:vAlign w:val="center"/>
          </w:tcPr>
          <w:p w14:paraId="19D0938F">
            <w:pPr>
              <w:jc w:val="right"/>
            </w:pPr>
            <w:r>
              <w:t>172,681.10</w:t>
            </w:r>
          </w:p>
        </w:tc>
      </w:tr>
      <w:tr w14:paraId="35A5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399D8E81">
            <w:r>
              <w:rPr>
                <w:rFonts w:hint="eastAsia"/>
              </w:rPr>
              <w:t>贴现及手续费</w:t>
            </w:r>
          </w:p>
        </w:tc>
        <w:tc>
          <w:tcPr>
            <w:tcW w:w="1216" w:type="pct"/>
            <w:vAlign w:val="center"/>
          </w:tcPr>
          <w:p w14:paraId="753CA5B3">
            <w:pPr>
              <w:jc w:val="right"/>
            </w:pPr>
            <w:r>
              <w:t>-10,740,180.73</w:t>
            </w:r>
          </w:p>
        </w:tc>
        <w:tc>
          <w:tcPr>
            <w:tcW w:w="1216" w:type="pct"/>
            <w:vAlign w:val="center"/>
          </w:tcPr>
          <w:p w14:paraId="194D0A92">
            <w:pPr>
              <w:jc w:val="right"/>
            </w:pPr>
            <w:r>
              <w:t>-5,485,407.46</w:t>
            </w:r>
          </w:p>
        </w:tc>
      </w:tr>
      <w:tr w14:paraId="1F05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vAlign w:val="center"/>
          </w:tcPr>
          <w:p w14:paraId="68EF4F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16" w:type="pct"/>
          </w:tcPr>
          <w:p w14:paraId="74EFAC0F">
            <w:pPr>
              <w:jc w:val="right"/>
            </w:pPr>
            <w:r>
              <w:t>273,318,430.55</w:t>
            </w:r>
          </w:p>
        </w:tc>
        <w:tc>
          <w:tcPr>
            <w:tcW w:w="1216" w:type="pct"/>
          </w:tcPr>
          <w:p w14:paraId="17AF7222">
            <w:pPr>
              <w:jc w:val="right"/>
            </w:pPr>
            <w:r>
              <w:t>184,846,507.41</w:t>
            </w:r>
          </w:p>
        </w:tc>
      </w:tr>
      <w:bookmarkEnd w:id="344"/>
    </w:tbl>
    <w:p w14:paraId="0FC01864">
      <w:pPr>
        <w:spacing w:before="60" w:after="60"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投资收益说明"/>
        <w:tag w:val="_GBC_911712f239a14e98b4c6c89180ceef27"/>
        <w:id w:val="-2118592488"/>
        <w:placeholder>
          <w:docPart w:val="GBC22222222222222222222222222222"/>
        </w:placeholder>
      </w:sdtPr>
      <w:sdtEndPr>
        <w:rPr>
          <w:rFonts w:hint="eastAsia"/>
          <w:color w:val="000000" w:themeColor="text1"/>
          <w14:textFill>
            <w14:solidFill>
              <w14:schemeClr w14:val="tx1"/>
            </w14:solidFill>
          </w14:textFill>
        </w:rPr>
      </w:sdtEndPr>
      <w:sdtContent>
        <w:p w14:paraId="605F9290">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343"/>
    <w:p w14:paraId="01137A0D">
      <w:pPr>
        <w:autoSpaceDE w:val="0"/>
        <w:autoSpaceDN w:val="0"/>
        <w:adjustRightInd w:val="0"/>
        <w:rPr>
          <w:color w:val="000000" w:themeColor="text1"/>
          <w14:textFill>
            <w14:solidFill>
              <w14:schemeClr w14:val="tx1"/>
            </w14:solidFill>
          </w14:textFill>
        </w:rPr>
      </w:pPr>
    </w:p>
    <w:p w14:paraId="222C8F0C">
      <w:pPr>
        <w:pStyle w:val="4"/>
        <w:numPr>
          <w:ilvl w:val="0"/>
          <w:numId w:val="41"/>
        </w:numPr>
        <w:rPr>
          <w:color w:val="000000" w:themeColor="text1"/>
          <w:szCs w:val="21"/>
          <w14:textFill>
            <w14:solidFill>
              <w14:schemeClr w14:val="tx1"/>
            </w14:solidFill>
          </w14:textFill>
        </w:rPr>
      </w:pPr>
      <w:bookmarkStart w:id="345" w:name="_Hlk10538831"/>
      <w:r>
        <w:rPr>
          <w:color w:val="000000" w:themeColor="text1"/>
          <w:szCs w:val="21"/>
          <w14:textFill>
            <w14:solidFill>
              <w14:schemeClr w14:val="tx1"/>
            </w14:solidFill>
          </w14:textFill>
        </w:rPr>
        <w:t>净敞口套期收益</w:t>
      </w:r>
    </w:p>
    <w:sdt>
      <w:sdtPr>
        <w:rPr>
          <w:color w:val="000000" w:themeColor="text1"/>
          <w14:textFill>
            <w14:solidFill>
              <w14:schemeClr w14:val="tx1"/>
            </w14:solidFill>
          </w14:textFill>
        </w:rPr>
        <w:alias w:val="是否适用：净敞口套期收益[双击切换]"/>
        <w:tag w:val="_GBC_33e106b71ec640cd9126570421557bda"/>
        <w:id w:val="1984971145"/>
        <w:placeholder>
          <w:docPart w:val="GBC22222222222222222222222222222"/>
        </w:placeholder>
      </w:sdtPr>
      <w:sdtEndPr>
        <w:rPr>
          <w:color w:val="000000" w:themeColor="text1"/>
          <w14:textFill>
            <w14:solidFill>
              <w14:schemeClr w14:val="tx1"/>
            </w14:solidFill>
          </w14:textFill>
        </w:rPr>
      </w:sdtEndPr>
      <w:sdtContent>
        <w:p w14:paraId="715681F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45"/>
    <w:p w14:paraId="02DDF645">
      <w:pPr>
        <w:rPr>
          <w:color w:val="000000" w:themeColor="text1"/>
          <w14:textFill>
            <w14:solidFill>
              <w14:schemeClr w14:val="tx1"/>
            </w14:solidFill>
          </w14:textFill>
        </w:rPr>
      </w:pPr>
    </w:p>
    <w:p w14:paraId="33212757">
      <w:pPr>
        <w:pStyle w:val="4"/>
        <w:numPr>
          <w:ilvl w:val="0"/>
          <w:numId w:val="41"/>
        </w:numPr>
        <w:rPr>
          <w:color w:val="000000" w:themeColor="text1"/>
          <w:szCs w:val="21"/>
          <w14:textFill>
            <w14:solidFill>
              <w14:schemeClr w14:val="tx1"/>
            </w14:solidFill>
          </w14:textFill>
        </w:rPr>
      </w:pPr>
      <w:bookmarkStart w:id="346" w:name="_Hlk10538896"/>
      <w:r>
        <w:rPr>
          <w:color w:val="000000" w:themeColor="text1"/>
          <w:szCs w:val="21"/>
          <w14:textFill>
            <w14:solidFill>
              <w14:schemeClr w14:val="tx1"/>
            </w14:solidFill>
          </w14:textFill>
        </w:rPr>
        <w:t>公允价值变动收益</w:t>
      </w:r>
    </w:p>
    <w:sdt>
      <w:sdtPr>
        <w:rPr>
          <w:color w:val="000000" w:themeColor="text1"/>
          <w14:textFill>
            <w14:solidFill>
              <w14:schemeClr w14:val="tx1"/>
            </w14:solidFill>
          </w14:textFill>
        </w:rPr>
        <w:alias w:val="是否适用：公允价值变动收益[双击切换]"/>
        <w:tag w:val="_GBC_21669fdeb74c4273a55facece1a56109"/>
        <w:id w:val="-2031400144"/>
        <w:placeholder>
          <w:docPart w:val="GBC22222222222222222222222222222"/>
        </w:placeholder>
      </w:sdtPr>
      <w:sdtEndPr>
        <w:rPr>
          <w:color w:val="000000" w:themeColor="text1"/>
          <w14:textFill>
            <w14:solidFill>
              <w14:schemeClr w14:val="tx1"/>
            </w14:solidFill>
          </w14:textFill>
        </w:rPr>
      </w:sdtEndPr>
      <w:sdtContent>
        <w:p w14:paraId="225D7D0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0F0DD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公允价值变动收益"/>
          <w:tag w:val="_GBC_a2b6fb2423244bbaa3600e1be3b4d548"/>
          <w:id w:val="1655095535"/>
          <w:placeholder>
            <w:docPart w:val="DBE6AC09F5874DED87DFAB4B5D6B1E9B"/>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公允价值变动收益"/>
          <w:tag w:val="_GBC_0343c5436a0742acbf5d87cc18c51638"/>
          <w:id w:val="-82148900"/>
          <w:placeholder>
            <w:docPart w:val="DBE6AC09F5874DED87DFAB4B5D6B1E9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7"/>
        <w:gridCol w:w="2826"/>
        <w:gridCol w:w="2826"/>
      </w:tblGrid>
      <w:tr w14:paraId="53E0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07c0df95be549039f5bf24c4a595cbd"/>
            <w:id w:val="904260826"/>
          </w:sdtPr>
          <w:sdtContent>
            <w:tc>
              <w:tcPr>
                <w:tcW w:w="1877" w:type="pct"/>
                <w:tcBorders>
                  <w:top w:val="single" w:color="auto" w:sz="4" w:space="0"/>
                  <w:left w:val="single" w:color="auto" w:sz="4" w:space="0"/>
                  <w:bottom w:val="single" w:color="auto" w:sz="4" w:space="0"/>
                  <w:right w:val="single" w:color="auto" w:sz="4" w:space="0"/>
                </w:tcBorders>
                <w:vAlign w:val="center"/>
              </w:tcPr>
              <w:p w14:paraId="7A92B284">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产生公允价值变动收益的来源</w:t>
                </w:r>
              </w:p>
            </w:tc>
          </w:sdtContent>
        </w:sdt>
        <w:sdt>
          <w:sdtPr>
            <w:tag w:val="_PLD_b9803e3282e549d5b5e179588ec75dc3"/>
            <w:id w:val="-509057649"/>
          </w:sdtPr>
          <w:sdtContent>
            <w:tc>
              <w:tcPr>
                <w:tcW w:w="1561" w:type="pct"/>
                <w:tcBorders>
                  <w:top w:val="single" w:color="auto" w:sz="4" w:space="0"/>
                  <w:left w:val="single" w:color="auto" w:sz="4" w:space="0"/>
                  <w:bottom w:val="single" w:color="auto" w:sz="4" w:space="0"/>
                  <w:right w:val="single" w:color="auto" w:sz="4" w:space="0"/>
                </w:tcBorders>
                <w:vAlign w:val="center"/>
              </w:tcPr>
              <w:p w14:paraId="68D761B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943dd94af7be43cd9f57756acf9a8c19"/>
            <w:id w:val="1867562243"/>
          </w:sdtPr>
          <w:sdtContent>
            <w:tc>
              <w:tcPr>
                <w:tcW w:w="1561" w:type="pct"/>
                <w:tcBorders>
                  <w:top w:val="single" w:color="auto" w:sz="4" w:space="0"/>
                  <w:left w:val="single" w:color="auto" w:sz="4" w:space="0"/>
                  <w:bottom w:val="single" w:color="auto" w:sz="4" w:space="0"/>
                  <w:right w:val="single" w:color="auto" w:sz="4" w:space="0"/>
                </w:tcBorders>
                <w:vAlign w:val="center"/>
              </w:tcPr>
              <w:p w14:paraId="29CDB687">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3A4E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tcPr>
          <w:p w14:paraId="20A4A98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按公允价值计量的投资性房地产</w:t>
            </w:r>
          </w:p>
        </w:tc>
        <w:tc>
          <w:tcPr>
            <w:tcW w:w="1561" w:type="pct"/>
            <w:tcBorders>
              <w:top w:val="single" w:color="auto" w:sz="4" w:space="0"/>
              <w:left w:val="single" w:color="auto" w:sz="4" w:space="0"/>
              <w:bottom w:val="single" w:color="auto" w:sz="4" w:space="0"/>
              <w:right w:val="single" w:color="auto" w:sz="4" w:space="0"/>
            </w:tcBorders>
            <w:vAlign w:val="center"/>
          </w:tcPr>
          <w:p w14:paraId="6808FEE1">
            <w:pPr>
              <w:autoSpaceDE w:val="0"/>
              <w:autoSpaceDN w:val="0"/>
              <w:adjustRightInd w:val="0"/>
              <w:jc w:val="right"/>
            </w:pPr>
            <w:r>
              <w:rPr>
                <w:rFonts w:hint="eastAsia"/>
              </w:rPr>
              <w:t xml:space="preserve">-23,416,700.00 </w:t>
            </w:r>
          </w:p>
        </w:tc>
        <w:tc>
          <w:tcPr>
            <w:tcW w:w="1561" w:type="pct"/>
            <w:tcBorders>
              <w:top w:val="single" w:color="auto" w:sz="4" w:space="0"/>
              <w:left w:val="single" w:color="auto" w:sz="4" w:space="0"/>
              <w:bottom w:val="single" w:color="auto" w:sz="4" w:space="0"/>
              <w:right w:val="single" w:color="auto" w:sz="4" w:space="0"/>
            </w:tcBorders>
          </w:tcPr>
          <w:p w14:paraId="3C26DF38">
            <w:pPr>
              <w:autoSpaceDE w:val="0"/>
              <w:autoSpaceDN w:val="0"/>
              <w:adjustRightInd w:val="0"/>
              <w:jc w:val="right"/>
            </w:pPr>
          </w:p>
        </w:tc>
      </w:tr>
      <w:tr w14:paraId="0F0A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pct"/>
            <w:tcBorders>
              <w:top w:val="single" w:color="auto" w:sz="4" w:space="0"/>
              <w:left w:val="single" w:color="auto" w:sz="4" w:space="0"/>
              <w:bottom w:val="single" w:color="auto" w:sz="4" w:space="0"/>
              <w:right w:val="single" w:color="auto" w:sz="4" w:space="0"/>
            </w:tcBorders>
            <w:vAlign w:val="center"/>
          </w:tcPr>
          <w:p w14:paraId="5188A92A">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561" w:type="pct"/>
            <w:tcBorders>
              <w:top w:val="single" w:color="auto" w:sz="4" w:space="0"/>
              <w:left w:val="single" w:color="auto" w:sz="4" w:space="0"/>
              <w:bottom w:val="single" w:color="auto" w:sz="4" w:space="0"/>
              <w:right w:val="single" w:color="auto" w:sz="4" w:space="0"/>
            </w:tcBorders>
            <w:vAlign w:val="center"/>
          </w:tcPr>
          <w:p w14:paraId="02CE9E1B">
            <w:pPr>
              <w:jc w:val="right"/>
            </w:pPr>
            <w:r>
              <w:t>-23,416,700.00</w:t>
            </w:r>
            <w:r>
              <w:rPr>
                <w:rFonts w:hint="eastAsia"/>
              </w:rPr>
              <w:t xml:space="preserve"> </w:t>
            </w:r>
          </w:p>
        </w:tc>
        <w:tc>
          <w:tcPr>
            <w:tcW w:w="1561" w:type="pct"/>
            <w:tcBorders>
              <w:top w:val="single" w:color="auto" w:sz="4" w:space="0"/>
              <w:left w:val="single" w:color="auto" w:sz="4" w:space="0"/>
              <w:bottom w:val="single" w:color="auto" w:sz="4" w:space="0"/>
              <w:right w:val="single" w:color="auto" w:sz="4" w:space="0"/>
            </w:tcBorders>
          </w:tcPr>
          <w:p w14:paraId="4B943039">
            <w:pPr>
              <w:autoSpaceDE w:val="0"/>
              <w:autoSpaceDN w:val="0"/>
              <w:adjustRightInd w:val="0"/>
              <w:jc w:val="right"/>
            </w:pPr>
          </w:p>
        </w:tc>
      </w:tr>
    </w:tbl>
    <w:p w14:paraId="2F4C333B">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公允价值变动收益的说明"/>
        <w:tag w:val="_GBC_ca97bf4455704ba1b8c90a97a9d856f0"/>
        <w:id w:val="-2020532914"/>
        <w:placeholder>
          <w:docPart w:val="DBE6AC09F5874DED87DFAB4B5D6B1E9B"/>
        </w:placeholder>
      </w:sdtPr>
      <w:sdtEndPr>
        <w:rPr>
          <w:rFonts w:hint="eastAsia"/>
          <w:color w:val="000000" w:themeColor="text1"/>
          <w14:textFill>
            <w14:solidFill>
              <w14:schemeClr w14:val="tx1"/>
            </w14:solidFill>
          </w14:textFill>
        </w:rPr>
      </w:sdtEndPr>
      <w:sdtContent>
        <w:p w14:paraId="195633EE">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bookmarkEnd w:id="346"/>
    <w:p w14:paraId="2301086D">
      <w:pPr>
        <w:rPr>
          <w:color w:val="000000" w:themeColor="text1"/>
          <w14:textFill>
            <w14:solidFill>
              <w14:schemeClr w14:val="tx1"/>
            </w14:solidFill>
          </w14:textFill>
        </w:rPr>
      </w:pPr>
    </w:p>
    <w:p w14:paraId="0D1563BC">
      <w:pPr>
        <w:pStyle w:val="4"/>
        <w:numPr>
          <w:ilvl w:val="0"/>
          <w:numId w:val="41"/>
        </w:numPr>
        <w:rPr>
          <w:color w:val="000000" w:themeColor="text1"/>
          <w:szCs w:val="21"/>
          <w14:textFill>
            <w14:solidFill>
              <w14:schemeClr w14:val="tx1"/>
            </w14:solidFill>
          </w14:textFill>
        </w:rPr>
      </w:pPr>
      <w:bookmarkStart w:id="347" w:name="_Hlk167969990"/>
      <w:r>
        <w:rPr>
          <w:color w:val="000000" w:themeColor="text1"/>
          <w:szCs w:val="21"/>
          <w14:textFill>
            <w14:solidFill>
              <w14:schemeClr w14:val="tx1"/>
            </w14:solidFill>
          </w14:textFill>
        </w:rPr>
        <w:t>信用减值损失</w:t>
      </w:r>
    </w:p>
    <w:sdt>
      <w:sdtPr>
        <w:rPr>
          <w:color w:val="000000" w:themeColor="text1"/>
          <w14:textFill>
            <w14:solidFill>
              <w14:schemeClr w14:val="tx1"/>
            </w14:solidFill>
          </w14:textFill>
        </w:rPr>
        <w:alias w:val="是否适用：信用减值损失[双击切换]"/>
        <w:tag w:val="_GBC_7f51453d7f2c4601a61d6f9899836b88"/>
        <w:id w:val="-853650760"/>
        <w:placeholder>
          <w:docPart w:val="GBC22222222222222222222222222222"/>
        </w:placeholder>
      </w:sdtPr>
      <w:sdtEndPr>
        <w:rPr>
          <w:color w:val="000000" w:themeColor="text1"/>
          <w14:textFill>
            <w14:solidFill>
              <w14:schemeClr w14:val="tx1"/>
            </w14:solidFill>
          </w14:textFill>
        </w:rPr>
      </w:sdtEndPr>
      <w:sdtContent>
        <w:p w14:paraId="6197138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A85095A">
      <w:pPr>
        <w:pStyle w:val="92"/>
        <w:ind w:left="420"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信用减值损失"/>
          <w:tag w:val="_GBC_04574a815f0f459c8817f0fb84a3e2d6"/>
          <w:id w:val="-5997262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信用减值损失"/>
          <w:tag w:val="_GBC_5ba737d77bb34cc79c6966984148e6e6"/>
          <w:id w:val="-4309632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0"/>
        <w:gridCol w:w="2688"/>
        <w:gridCol w:w="2711"/>
      </w:tblGrid>
      <w:tr w14:paraId="1CCE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c5ebd0cdc447b691d0c5739979c390"/>
            <w:id w:val="727193339"/>
          </w:sdtPr>
          <w:sdtContent>
            <w:tc>
              <w:tcPr>
                <w:tcW w:w="2017" w:type="pct"/>
                <w:vAlign w:val="center"/>
              </w:tcPr>
              <w:p w14:paraId="2A5AC7E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67ef9498e104cfdabeee4ef172c6ab3"/>
            <w:id w:val="-511995576"/>
          </w:sdtPr>
          <w:sdtContent>
            <w:tc>
              <w:tcPr>
                <w:tcW w:w="1485" w:type="pct"/>
                <w:vAlign w:val="center"/>
              </w:tcPr>
              <w:p w14:paraId="2F1A9E1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8c64052cb7e64d9095f4b7e849e06d53"/>
            <w:id w:val="-833300779"/>
          </w:sdtPr>
          <w:sdtContent>
            <w:tc>
              <w:tcPr>
                <w:tcW w:w="1498" w:type="pct"/>
                <w:vAlign w:val="center"/>
              </w:tcPr>
              <w:p w14:paraId="6ABB2C2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0D92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14:paraId="0897B6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应收票据坏账损失</w:t>
            </w:r>
          </w:p>
        </w:tc>
        <w:tc>
          <w:tcPr>
            <w:tcW w:w="1485" w:type="pct"/>
          </w:tcPr>
          <w:p w14:paraId="75E99695">
            <w:pPr>
              <w:jc w:val="right"/>
            </w:pPr>
          </w:p>
        </w:tc>
        <w:tc>
          <w:tcPr>
            <w:tcW w:w="1498" w:type="pct"/>
          </w:tcPr>
          <w:p w14:paraId="7F02F085">
            <w:pPr>
              <w:jc w:val="right"/>
            </w:pPr>
          </w:p>
        </w:tc>
      </w:tr>
      <w:tr w14:paraId="2006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14:paraId="4B87125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应收账款坏账损失</w:t>
            </w:r>
          </w:p>
        </w:tc>
        <w:tc>
          <w:tcPr>
            <w:tcW w:w="1485" w:type="pct"/>
            <w:vAlign w:val="center"/>
          </w:tcPr>
          <w:p w14:paraId="526DF3C0">
            <w:pPr>
              <w:jc w:val="right"/>
              <w:rPr>
                <w:rFonts w:asciiTheme="minorEastAsia" w:hAnsiTheme="minorEastAsia" w:eastAsiaTheme="minorEastAsia"/>
                <w:sz w:val="20"/>
                <w:szCs w:val="20"/>
              </w:rPr>
            </w:pPr>
            <w:r>
              <w:rPr>
                <w:rFonts w:hint="eastAsia"/>
              </w:rPr>
              <w:t>-1,698,072.87</w:t>
            </w:r>
          </w:p>
        </w:tc>
        <w:tc>
          <w:tcPr>
            <w:tcW w:w="1498" w:type="pct"/>
            <w:vAlign w:val="center"/>
          </w:tcPr>
          <w:p w14:paraId="4CF6870B">
            <w:pPr>
              <w:jc w:val="right"/>
            </w:pPr>
            <w:r>
              <w:t>-5,876,480.08</w:t>
            </w:r>
          </w:p>
        </w:tc>
      </w:tr>
      <w:tr w14:paraId="0756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14:paraId="35C904D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其他应收款坏账损失</w:t>
            </w:r>
          </w:p>
        </w:tc>
        <w:tc>
          <w:tcPr>
            <w:tcW w:w="1485" w:type="pct"/>
            <w:vAlign w:val="center"/>
          </w:tcPr>
          <w:p w14:paraId="3CE4F543">
            <w:pPr>
              <w:jc w:val="right"/>
            </w:pPr>
            <w:r>
              <w:rPr>
                <w:rFonts w:hint="eastAsia"/>
              </w:rPr>
              <w:t>-21,758,646.00</w:t>
            </w:r>
          </w:p>
        </w:tc>
        <w:tc>
          <w:tcPr>
            <w:tcW w:w="1498" w:type="pct"/>
            <w:vAlign w:val="center"/>
          </w:tcPr>
          <w:p w14:paraId="7FAAFFD9">
            <w:pPr>
              <w:jc w:val="right"/>
            </w:pPr>
            <w:r>
              <w:t>-1,391,379.07</w:t>
            </w:r>
          </w:p>
        </w:tc>
      </w:tr>
      <w:tr w14:paraId="22DB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14:paraId="000B352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债权投资减值损失</w:t>
            </w:r>
          </w:p>
        </w:tc>
        <w:tc>
          <w:tcPr>
            <w:tcW w:w="1485" w:type="pct"/>
          </w:tcPr>
          <w:p w14:paraId="30FB6F1A">
            <w:pPr>
              <w:jc w:val="right"/>
            </w:pPr>
          </w:p>
        </w:tc>
        <w:tc>
          <w:tcPr>
            <w:tcW w:w="1498" w:type="pct"/>
          </w:tcPr>
          <w:p w14:paraId="1FB39647">
            <w:pPr>
              <w:jc w:val="right"/>
            </w:pPr>
          </w:p>
        </w:tc>
      </w:tr>
      <w:tr w14:paraId="3F06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14:paraId="2E081FA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其他债权投资减值损失</w:t>
            </w:r>
          </w:p>
        </w:tc>
        <w:tc>
          <w:tcPr>
            <w:tcW w:w="1485" w:type="pct"/>
          </w:tcPr>
          <w:p w14:paraId="63012974">
            <w:pPr>
              <w:jc w:val="right"/>
            </w:pPr>
          </w:p>
        </w:tc>
        <w:tc>
          <w:tcPr>
            <w:tcW w:w="1498" w:type="pct"/>
          </w:tcPr>
          <w:p w14:paraId="71C4B574">
            <w:pPr>
              <w:jc w:val="right"/>
            </w:pPr>
          </w:p>
        </w:tc>
      </w:tr>
      <w:tr w14:paraId="4893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14:paraId="71F5D1A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长期应收款坏账损失</w:t>
            </w:r>
          </w:p>
        </w:tc>
        <w:tc>
          <w:tcPr>
            <w:tcW w:w="1485" w:type="pct"/>
          </w:tcPr>
          <w:p w14:paraId="02ED1BB9">
            <w:pPr>
              <w:jc w:val="right"/>
            </w:pPr>
          </w:p>
        </w:tc>
        <w:tc>
          <w:tcPr>
            <w:tcW w:w="1498" w:type="pct"/>
          </w:tcPr>
          <w:p w14:paraId="532FE8F1">
            <w:pPr>
              <w:jc w:val="right"/>
            </w:pPr>
          </w:p>
        </w:tc>
      </w:tr>
      <w:tr w14:paraId="49C2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14:paraId="20F52AF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财务担保相关减值损失</w:t>
            </w:r>
          </w:p>
        </w:tc>
        <w:tc>
          <w:tcPr>
            <w:tcW w:w="1485" w:type="pct"/>
          </w:tcPr>
          <w:p w14:paraId="07F249B0">
            <w:pPr>
              <w:jc w:val="right"/>
            </w:pPr>
          </w:p>
        </w:tc>
        <w:tc>
          <w:tcPr>
            <w:tcW w:w="1498" w:type="pct"/>
          </w:tcPr>
          <w:p w14:paraId="78B4FF7A">
            <w:pPr>
              <w:jc w:val="right"/>
            </w:pPr>
          </w:p>
        </w:tc>
      </w:tr>
      <w:tr w14:paraId="6D37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pct"/>
            <w:vAlign w:val="center"/>
          </w:tcPr>
          <w:p w14:paraId="74FD600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85" w:type="pct"/>
          </w:tcPr>
          <w:p w14:paraId="465917A3">
            <w:pPr>
              <w:jc w:val="right"/>
            </w:pPr>
            <w:r>
              <w:rPr>
                <w:rFonts w:hint="eastAsia"/>
              </w:rPr>
              <w:t xml:space="preserve">-23,456,718.87 </w:t>
            </w:r>
          </w:p>
        </w:tc>
        <w:tc>
          <w:tcPr>
            <w:tcW w:w="1498" w:type="pct"/>
          </w:tcPr>
          <w:p w14:paraId="50FDC846">
            <w:pPr>
              <w:jc w:val="right"/>
            </w:pPr>
            <w:r>
              <w:t>-7,267,859.15</w:t>
            </w:r>
          </w:p>
        </w:tc>
      </w:tr>
    </w:tbl>
    <w:p w14:paraId="165E9860">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r>
        <w:rPr>
          <w:rFonts w:hint="eastAsia"/>
          <w:color w:val="000000" w:themeColor="text1"/>
          <w14:textFill>
            <w14:solidFill>
              <w14:schemeClr w14:val="tx1"/>
            </w14:solidFill>
          </w14:textFill>
        </w:rPr>
        <w:t>：</w:t>
      </w:r>
    </w:p>
    <w:sdt>
      <w:sdtPr>
        <w:rPr>
          <w:color w:val="000000" w:themeColor="text1"/>
          <w14:textFill>
            <w14:solidFill>
              <w14:schemeClr w14:val="tx1"/>
            </w14:solidFill>
          </w14:textFill>
        </w:rPr>
        <w:alias w:val="信用减值损失其他说明"/>
        <w:tag w:val="_GBC_9228576c4e3741acb19023ad6b79421f"/>
        <w:id w:val="484206302"/>
        <w:placeholder>
          <w:docPart w:val="GBC22222222222222222222222222222"/>
        </w:placeholder>
      </w:sdtPr>
      <w:sdtEndPr>
        <w:rPr>
          <w:color w:val="000000" w:themeColor="text1"/>
          <w14:textFill>
            <w14:solidFill>
              <w14:schemeClr w14:val="tx1"/>
            </w14:solidFill>
          </w14:textFill>
        </w:rPr>
      </w:sdtEndPr>
      <w:sdtContent>
        <w:p w14:paraId="4E65BAC9">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21F7911">
      <w:pPr>
        <w:rPr>
          <w:color w:val="000000" w:themeColor="text1"/>
          <w14:textFill>
            <w14:solidFill>
              <w14:schemeClr w14:val="tx1"/>
            </w14:solidFill>
          </w14:textFill>
        </w:rPr>
      </w:pPr>
    </w:p>
    <w:bookmarkEnd w:id="347"/>
    <w:p w14:paraId="3F4807E3">
      <w:pPr>
        <w:pStyle w:val="4"/>
        <w:numPr>
          <w:ilvl w:val="0"/>
          <w:numId w:val="41"/>
        </w:numPr>
        <w:rPr>
          <w:color w:val="000000" w:themeColor="text1"/>
          <w:szCs w:val="21"/>
          <w14:textFill>
            <w14:solidFill>
              <w14:schemeClr w14:val="tx1"/>
            </w14:solidFill>
          </w14:textFill>
        </w:rPr>
      </w:pPr>
      <w:bookmarkStart w:id="348" w:name="_Hlk167970079"/>
      <w:r>
        <w:rPr>
          <w:color w:val="000000" w:themeColor="text1"/>
          <w:szCs w:val="21"/>
          <w14:textFill>
            <w14:solidFill>
              <w14:schemeClr w14:val="tx1"/>
            </w14:solidFill>
          </w14:textFill>
        </w:rPr>
        <w:t>资产减值损失</w:t>
      </w:r>
    </w:p>
    <w:sdt>
      <w:sdtPr>
        <w:rPr>
          <w:color w:val="000000" w:themeColor="text1"/>
          <w14:textFill>
            <w14:solidFill>
              <w14:schemeClr w14:val="tx1"/>
            </w14:solidFill>
          </w14:textFill>
        </w:rPr>
        <w:alias w:val="是否适用：资产减值损失[双击切换]"/>
        <w:tag w:val="_GBC_d729834ad00147fc807d3aad7ca8698d"/>
        <w:id w:val="-1624774140"/>
        <w:placeholder>
          <w:docPart w:val="GBC22222222222222222222222222222"/>
        </w:placeholder>
      </w:sdtPr>
      <w:sdtEndPr>
        <w:rPr>
          <w:color w:val="000000" w:themeColor="text1"/>
          <w14:textFill>
            <w14:solidFill>
              <w14:schemeClr w14:val="tx1"/>
            </w14:solidFill>
          </w14:textFill>
        </w:rPr>
      </w:sdtEndPr>
      <w:sdtContent>
        <w:p w14:paraId="3ADD454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F0EBB1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资产减值损失"/>
          <w:tag w:val="_GBC_5d74a968092c4c99a3fdb43c04a992ef"/>
          <w:id w:val="440330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资产减值损失"/>
          <w:tag w:val="_GBC_9cac437936ec413c943d5e1475abfd21"/>
          <w:id w:val="6867988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8"/>
        <w:gridCol w:w="2574"/>
        <w:gridCol w:w="3077"/>
      </w:tblGrid>
      <w:tr w14:paraId="75DC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3f6f45e6360d44d4b7b42549a3560832"/>
            <w:id w:val="1775596203"/>
          </w:sdtPr>
          <w:sdtContent>
            <w:tc>
              <w:tcPr>
                <w:tcW w:w="1878" w:type="pct"/>
                <w:tcBorders>
                  <w:top w:val="single" w:color="auto" w:sz="4" w:space="0"/>
                  <w:left w:val="single" w:color="auto" w:sz="4" w:space="0"/>
                  <w:bottom w:val="single" w:color="auto" w:sz="4" w:space="0"/>
                  <w:right w:val="single" w:color="auto" w:sz="4" w:space="0"/>
                </w:tcBorders>
                <w:vAlign w:val="center"/>
              </w:tcPr>
              <w:p w14:paraId="300C963A">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3f2aa2c829b6428e99a0c7c8da36e428"/>
            <w:id w:val="1698806720"/>
          </w:sdtPr>
          <w:sdtContent>
            <w:tc>
              <w:tcPr>
                <w:tcW w:w="1422" w:type="pct"/>
                <w:tcBorders>
                  <w:top w:val="single" w:color="auto" w:sz="4" w:space="0"/>
                  <w:left w:val="single" w:color="auto" w:sz="4" w:space="0"/>
                  <w:bottom w:val="single" w:color="auto" w:sz="4" w:space="0"/>
                  <w:right w:val="single" w:color="auto" w:sz="4" w:space="0"/>
                </w:tcBorders>
                <w:vAlign w:val="center"/>
              </w:tcPr>
              <w:p w14:paraId="3AF97345">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071b09715e3b43be922c6fbde3b45eb6"/>
            <w:id w:val="612940861"/>
          </w:sdtPr>
          <w:sdtContent>
            <w:tc>
              <w:tcPr>
                <w:tcW w:w="1700" w:type="pct"/>
                <w:tcBorders>
                  <w:top w:val="single" w:color="auto" w:sz="4" w:space="0"/>
                  <w:left w:val="single" w:color="auto" w:sz="4" w:space="0"/>
                  <w:bottom w:val="single" w:color="auto" w:sz="4" w:space="0"/>
                  <w:right w:val="single" w:color="auto" w:sz="4" w:space="0"/>
                </w:tcBorders>
                <w:vAlign w:val="center"/>
              </w:tcPr>
              <w:p w14:paraId="294F05B5">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6CCF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6B1297DB">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一、合同资产减值损失</w:t>
            </w:r>
          </w:p>
        </w:tc>
        <w:tc>
          <w:tcPr>
            <w:tcW w:w="1422" w:type="pct"/>
            <w:tcBorders>
              <w:top w:val="single" w:color="auto" w:sz="4" w:space="0"/>
              <w:left w:val="single" w:color="auto" w:sz="4" w:space="0"/>
              <w:bottom w:val="single" w:color="auto" w:sz="4" w:space="0"/>
              <w:right w:val="single" w:color="auto" w:sz="4" w:space="0"/>
            </w:tcBorders>
          </w:tcPr>
          <w:p w14:paraId="62939819">
            <w:pPr>
              <w:jc w:val="right"/>
            </w:pPr>
          </w:p>
        </w:tc>
        <w:tc>
          <w:tcPr>
            <w:tcW w:w="1700" w:type="pct"/>
            <w:tcBorders>
              <w:top w:val="single" w:color="auto" w:sz="4" w:space="0"/>
              <w:left w:val="single" w:color="auto" w:sz="4" w:space="0"/>
              <w:bottom w:val="single" w:color="auto" w:sz="4" w:space="0"/>
              <w:right w:val="single" w:color="auto" w:sz="4" w:space="0"/>
            </w:tcBorders>
          </w:tcPr>
          <w:p w14:paraId="3B16A49B">
            <w:pPr>
              <w:jc w:val="right"/>
            </w:pPr>
          </w:p>
        </w:tc>
      </w:tr>
      <w:tr w14:paraId="52C8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5B8B342B">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二、存货跌价损失及合同履约成本减值损失</w:t>
            </w:r>
          </w:p>
        </w:tc>
        <w:tc>
          <w:tcPr>
            <w:tcW w:w="1422" w:type="pct"/>
            <w:tcBorders>
              <w:top w:val="single" w:color="auto" w:sz="4" w:space="0"/>
              <w:left w:val="single" w:color="auto" w:sz="4" w:space="0"/>
              <w:bottom w:val="single" w:color="auto" w:sz="4" w:space="0"/>
              <w:right w:val="single" w:color="auto" w:sz="4" w:space="0"/>
            </w:tcBorders>
            <w:vAlign w:val="center"/>
          </w:tcPr>
          <w:p w14:paraId="233B564D">
            <w:pPr>
              <w:jc w:val="right"/>
            </w:pPr>
            <w:r>
              <w:t>-86,863,473.55</w:t>
            </w:r>
          </w:p>
        </w:tc>
        <w:tc>
          <w:tcPr>
            <w:tcW w:w="1700" w:type="pct"/>
            <w:tcBorders>
              <w:top w:val="single" w:color="auto" w:sz="4" w:space="0"/>
              <w:left w:val="single" w:color="auto" w:sz="4" w:space="0"/>
              <w:bottom w:val="single" w:color="auto" w:sz="4" w:space="0"/>
              <w:right w:val="single" w:color="auto" w:sz="4" w:space="0"/>
            </w:tcBorders>
            <w:vAlign w:val="center"/>
          </w:tcPr>
          <w:p w14:paraId="041A0602">
            <w:pPr>
              <w:jc w:val="right"/>
            </w:pPr>
            <w:r>
              <w:t>-39,300,312.69</w:t>
            </w:r>
          </w:p>
        </w:tc>
      </w:tr>
      <w:tr w14:paraId="71E8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357BE518">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三、长期股权投资减值损失</w:t>
            </w:r>
          </w:p>
        </w:tc>
        <w:tc>
          <w:tcPr>
            <w:tcW w:w="1422" w:type="pct"/>
            <w:tcBorders>
              <w:top w:val="single" w:color="auto" w:sz="4" w:space="0"/>
              <w:left w:val="single" w:color="auto" w:sz="4" w:space="0"/>
              <w:bottom w:val="single" w:color="auto" w:sz="4" w:space="0"/>
              <w:right w:val="single" w:color="auto" w:sz="4" w:space="0"/>
            </w:tcBorders>
          </w:tcPr>
          <w:p w14:paraId="4B74A0A9">
            <w:pPr>
              <w:autoSpaceDE w:val="0"/>
              <w:autoSpaceDN w:val="0"/>
              <w:adjustRightInd w:val="0"/>
              <w:jc w:val="right"/>
            </w:pPr>
          </w:p>
        </w:tc>
        <w:tc>
          <w:tcPr>
            <w:tcW w:w="1700" w:type="pct"/>
            <w:tcBorders>
              <w:top w:val="single" w:color="auto" w:sz="4" w:space="0"/>
              <w:left w:val="single" w:color="auto" w:sz="4" w:space="0"/>
              <w:bottom w:val="single" w:color="auto" w:sz="4" w:space="0"/>
              <w:right w:val="single" w:color="auto" w:sz="4" w:space="0"/>
            </w:tcBorders>
            <w:vAlign w:val="center"/>
          </w:tcPr>
          <w:p w14:paraId="39B29E6B">
            <w:pPr>
              <w:jc w:val="right"/>
            </w:pPr>
          </w:p>
        </w:tc>
      </w:tr>
      <w:tr w14:paraId="378C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2AFCC1B5">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四、投资性房地产减值损失</w:t>
            </w:r>
          </w:p>
        </w:tc>
        <w:tc>
          <w:tcPr>
            <w:tcW w:w="1422" w:type="pct"/>
            <w:tcBorders>
              <w:top w:val="single" w:color="auto" w:sz="4" w:space="0"/>
              <w:left w:val="single" w:color="auto" w:sz="4" w:space="0"/>
              <w:bottom w:val="single" w:color="auto" w:sz="4" w:space="0"/>
              <w:right w:val="single" w:color="auto" w:sz="4" w:space="0"/>
            </w:tcBorders>
          </w:tcPr>
          <w:p w14:paraId="576140F6">
            <w:pPr>
              <w:jc w:val="right"/>
            </w:pPr>
          </w:p>
        </w:tc>
        <w:tc>
          <w:tcPr>
            <w:tcW w:w="1700" w:type="pct"/>
            <w:tcBorders>
              <w:top w:val="single" w:color="auto" w:sz="4" w:space="0"/>
              <w:left w:val="single" w:color="auto" w:sz="4" w:space="0"/>
              <w:bottom w:val="single" w:color="auto" w:sz="4" w:space="0"/>
              <w:right w:val="single" w:color="auto" w:sz="4" w:space="0"/>
            </w:tcBorders>
            <w:vAlign w:val="center"/>
          </w:tcPr>
          <w:p w14:paraId="0A9A63E9">
            <w:pPr>
              <w:jc w:val="right"/>
              <w:rPr>
                <w:rFonts w:eastAsia="Times New Roman" w:cs="Times New Roman"/>
                <w:sz w:val="20"/>
                <w:szCs w:val="20"/>
              </w:rPr>
            </w:pPr>
          </w:p>
        </w:tc>
      </w:tr>
      <w:tr w14:paraId="10DE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46843124">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五、固定资产减值损失</w:t>
            </w:r>
          </w:p>
        </w:tc>
        <w:tc>
          <w:tcPr>
            <w:tcW w:w="1422" w:type="pct"/>
            <w:tcBorders>
              <w:top w:val="single" w:color="auto" w:sz="4" w:space="0"/>
              <w:left w:val="single" w:color="auto" w:sz="4" w:space="0"/>
              <w:bottom w:val="single" w:color="auto" w:sz="4" w:space="0"/>
              <w:right w:val="single" w:color="auto" w:sz="4" w:space="0"/>
            </w:tcBorders>
          </w:tcPr>
          <w:p w14:paraId="2889993F">
            <w:pPr>
              <w:jc w:val="right"/>
            </w:pPr>
            <w:r>
              <w:t>-23,451,596.94</w:t>
            </w:r>
          </w:p>
        </w:tc>
        <w:tc>
          <w:tcPr>
            <w:tcW w:w="1700" w:type="pct"/>
            <w:tcBorders>
              <w:top w:val="single" w:color="auto" w:sz="4" w:space="0"/>
              <w:left w:val="single" w:color="auto" w:sz="4" w:space="0"/>
              <w:bottom w:val="single" w:color="auto" w:sz="4" w:space="0"/>
              <w:right w:val="single" w:color="auto" w:sz="4" w:space="0"/>
            </w:tcBorders>
            <w:vAlign w:val="center"/>
          </w:tcPr>
          <w:p w14:paraId="7781F8D7">
            <w:pPr>
              <w:jc w:val="right"/>
              <w:rPr>
                <w:rFonts w:eastAsia="Times New Roman" w:cs="Times New Roman"/>
                <w:sz w:val="20"/>
                <w:szCs w:val="20"/>
              </w:rPr>
            </w:pPr>
          </w:p>
        </w:tc>
      </w:tr>
      <w:tr w14:paraId="4075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1D61DE4D">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六、工程物资减值损失</w:t>
            </w:r>
          </w:p>
        </w:tc>
        <w:tc>
          <w:tcPr>
            <w:tcW w:w="1422" w:type="pct"/>
            <w:tcBorders>
              <w:top w:val="single" w:color="auto" w:sz="4" w:space="0"/>
              <w:left w:val="single" w:color="auto" w:sz="4" w:space="0"/>
              <w:bottom w:val="single" w:color="auto" w:sz="4" w:space="0"/>
              <w:right w:val="single" w:color="auto" w:sz="4" w:space="0"/>
            </w:tcBorders>
          </w:tcPr>
          <w:p w14:paraId="20AB4CB2">
            <w:pPr>
              <w:jc w:val="right"/>
            </w:pPr>
          </w:p>
        </w:tc>
        <w:tc>
          <w:tcPr>
            <w:tcW w:w="1700" w:type="pct"/>
            <w:tcBorders>
              <w:top w:val="single" w:color="auto" w:sz="4" w:space="0"/>
              <w:left w:val="single" w:color="auto" w:sz="4" w:space="0"/>
              <w:bottom w:val="single" w:color="auto" w:sz="4" w:space="0"/>
              <w:right w:val="single" w:color="auto" w:sz="4" w:space="0"/>
            </w:tcBorders>
            <w:vAlign w:val="center"/>
          </w:tcPr>
          <w:p w14:paraId="5E4994D9">
            <w:pPr>
              <w:jc w:val="right"/>
              <w:rPr>
                <w:rFonts w:eastAsia="Times New Roman" w:cs="Times New Roman"/>
                <w:sz w:val="20"/>
                <w:szCs w:val="20"/>
              </w:rPr>
            </w:pPr>
          </w:p>
        </w:tc>
      </w:tr>
      <w:tr w14:paraId="6EDD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72255911">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七、在建工程减值损失</w:t>
            </w:r>
          </w:p>
        </w:tc>
        <w:tc>
          <w:tcPr>
            <w:tcW w:w="1422" w:type="pct"/>
            <w:tcBorders>
              <w:top w:val="single" w:color="auto" w:sz="4" w:space="0"/>
              <w:left w:val="single" w:color="auto" w:sz="4" w:space="0"/>
              <w:bottom w:val="single" w:color="auto" w:sz="4" w:space="0"/>
              <w:right w:val="single" w:color="auto" w:sz="4" w:space="0"/>
            </w:tcBorders>
          </w:tcPr>
          <w:p w14:paraId="12F9BA8F">
            <w:pPr>
              <w:jc w:val="right"/>
            </w:pPr>
          </w:p>
        </w:tc>
        <w:tc>
          <w:tcPr>
            <w:tcW w:w="1700" w:type="pct"/>
            <w:tcBorders>
              <w:top w:val="single" w:color="auto" w:sz="4" w:space="0"/>
              <w:left w:val="single" w:color="auto" w:sz="4" w:space="0"/>
              <w:bottom w:val="single" w:color="auto" w:sz="4" w:space="0"/>
              <w:right w:val="single" w:color="auto" w:sz="4" w:space="0"/>
            </w:tcBorders>
            <w:vAlign w:val="center"/>
          </w:tcPr>
          <w:p w14:paraId="11FD6DE3">
            <w:pPr>
              <w:jc w:val="right"/>
              <w:rPr>
                <w:rFonts w:eastAsia="Times New Roman" w:cs="Times New Roman"/>
                <w:sz w:val="20"/>
                <w:szCs w:val="20"/>
              </w:rPr>
            </w:pPr>
          </w:p>
        </w:tc>
      </w:tr>
      <w:tr w14:paraId="0376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78" w:type="pct"/>
            <w:tcBorders>
              <w:top w:val="single" w:color="auto" w:sz="4" w:space="0"/>
              <w:left w:val="single" w:color="auto" w:sz="4" w:space="0"/>
              <w:bottom w:val="single" w:color="auto" w:sz="4" w:space="0"/>
              <w:right w:val="single" w:color="auto" w:sz="4" w:space="0"/>
            </w:tcBorders>
          </w:tcPr>
          <w:p w14:paraId="5DFED0E2">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八、生产性生物资产减值损失</w:t>
            </w:r>
          </w:p>
        </w:tc>
        <w:tc>
          <w:tcPr>
            <w:tcW w:w="1422" w:type="pct"/>
            <w:tcBorders>
              <w:top w:val="single" w:color="auto" w:sz="4" w:space="0"/>
              <w:left w:val="single" w:color="auto" w:sz="4" w:space="0"/>
              <w:bottom w:val="single" w:color="auto" w:sz="4" w:space="0"/>
              <w:right w:val="single" w:color="auto" w:sz="4" w:space="0"/>
            </w:tcBorders>
          </w:tcPr>
          <w:p w14:paraId="3F7FF8C2">
            <w:pPr>
              <w:jc w:val="right"/>
            </w:pPr>
          </w:p>
        </w:tc>
        <w:tc>
          <w:tcPr>
            <w:tcW w:w="1700" w:type="pct"/>
            <w:tcBorders>
              <w:top w:val="single" w:color="auto" w:sz="4" w:space="0"/>
              <w:left w:val="single" w:color="auto" w:sz="4" w:space="0"/>
              <w:bottom w:val="single" w:color="auto" w:sz="4" w:space="0"/>
              <w:right w:val="single" w:color="auto" w:sz="4" w:space="0"/>
            </w:tcBorders>
            <w:vAlign w:val="center"/>
          </w:tcPr>
          <w:p w14:paraId="389B5ECD">
            <w:pPr>
              <w:jc w:val="right"/>
              <w:rPr>
                <w:rFonts w:eastAsia="Times New Roman" w:cs="Times New Roman"/>
                <w:sz w:val="20"/>
                <w:szCs w:val="20"/>
              </w:rPr>
            </w:pPr>
          </w:p>
        </w:tc>
      </w:tr>
      <w:tr w14:paraId="6DBB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76EBA0A0">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九、油气资产减值损失</w:t>
            </w:r>
          </w:p>
        </w:tc>
        <w:tc>
          <w:tcPr>
            <w:tcW w:w="1422" w:type="pct"/>
            <w:tcBorders>
              <w:top w:val="single" w:color="auto" w:sz="4" w:space="0"/>
              <w:left w:val="single" w:color="auto" w:sz="4" w:space="0"/>
              <w:bottom w:val="single" w:color="auto" w:sz="4" w:space="0"/>
              <w:right w:val="single" w:color="auto" w:sz="4" w:space="0"/>
            </w:tcBorders>
          </w:tcPr>
          <w:p w14:paraId="3D1A8D90">
            <w:pPr>
              <w:jc w:val="right"/>
            </w:pPr>
          </w:p>
        </w:tc>
        <w:tc>
          <w:tcPr>
            <w:tcW w:w="1700" w:type="pct"/>
            <w:tcBorders>
              <w:top w:val="single" w:color="auto" w:sz="4" w:space="0"/>
              <w:left w:val="single" w:color="auto" w:sz="4" w:space="0"/>
              <w:bottom w:val="single" w:color="auto" w:sz="4" w:space="0"/>
              <w:right w:val="single" w:color="auto" w:sz="4" w:space="0"/>
            </w:tcBorders>
            <w:vAlign w:val="center"/>
          </w:tcPr>
          <w:p w14:paraId="559A6506">
            <w:pPr>
              <w:jc w:val="right"/>
              <w:rPr>
                <w:rFonts w:eastAsia="Times New Roman" w:cs="Times New Roman"/>
                <w:sz w:val="20"/>
                <w:szCs w:val="20"/>
              </w:rPr>
            </w:pPr>
          </w:p>
        </w:tc>
      </w:tr>
      <w:tr w14:paraId="4B60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2F120410">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十、无形资产减值损失</w:t>
            </w:r>
          </w:p>
        </w:tc>
        <w:tc>
          <w:tcPr>
            <w:tcW w:w="1422" w:type="pct"/>
            <w:tcBorders>
              <w:top w:val="single" w:color="auto" w:sz="4" w:space="0"/>
              <w:left w:val="single" w:color="auto" w:sz="4" w:space="0"/>
              <w:bottom w:val="single" w:color="auto" w:sz="4" w:space="0"/>
              <w:right w:val="single" w:color="auto" w:sz="4" w:space="0"/>
            </w:tcBorders>
          </w:tcPr>
          <w:p w14:paraId="1A089351">
            <w:pPr>
              <w:jc w:val="right"/>
            </w:pPr>
          </w:p>
        </w:tc>
        <w:tc>
          <w:tcPr>
            <w:tcW w:w="1700" w:type="pct"/>
            <w:tcBorders>
              <w:top w:val="single" w:color="auto" w:sz="4" w:space="0"/>
              <w:left w:val="single" w:color="auto" w:sz="4" w:space="0"/>
              <w:bottom w:val="single" w:color="auto" w:sz="4" w:space="0"/>
              <w:right w:val="single" w:color="auto" w:sz="4" w:space="0"/>
            </w:tcBorders>
            <w:vAlign w:val="center"/>
          </w:tcPr>
          <w:p w14:paraId="61D10A15">
            <w:pPr>
              <w:jc w:val="right"/>
              <w:rPr>
                <w:rFonts w:eastAsia="Times New Roman" w:cs="Times New Roman"/>
                <w:sz w:val="20"/>
                <w:szCs w:val="20"/>
              </w:rPr>
            </w:pPr>
          </w:p>
        </w:tc>
      </w:tr>
      <w:tr w14:paraId="358B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4DB27315">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十一、商誉减值损失</w:t>
            </w:r>
          </w:p>
        </w:tc>
        <w:tc>
          <w:tcPr>
            <w:tcW w:w="1422" w:type="pct"/>
            <w:tcBorders>
              <w:top w:val="single" w:color="auto" w:sz="4" w:space="0"/>
              <w:left w:val="single" w:color="auto" w:sz="4" w:space="0"/>
              <w:bottom w:val="single" w:color="auto" w:sz="4" w:space="0"/>
              <w:right w:val="single" w:color="auto" w:sz="4" w:space="0"/>
            </w:tcBorders>
            <w:vAlign w:val="center"/>
          </w:tcPr>
          <w:p w14:paraId="4653E565">
            <w:pPr>
              <w:jc w:val="right"/>
            </w:pPr>
            <w:r>
              <w:t>-34,530,539.01</w:t>
            </w:r>
          </w:p>
        </w:tc>
        <w:tc>
          <w:tcPr>
            <w:tcW w:w="1700" w:type="pct"/>
            <w:tcBorders>
              <w:top w:val="single" w:color="auto" w:sz="4" w:space="0"/>
              <w:left w:val="single" w:color="auto" w:sz="4" w:space="0"/>
              <w:bottom w:val="single" w:color="auto" w:sz="4" w:space="0"/>
              <w:right w:val="single" w:color="auto" w:sz="4" w:space="0"/>
            </w:tcBorders>
            <w:vAlign w:val="center"/>
          </w:tcPr>
          <w:p w14:paraId="759FC8E7">
            <w:pPr>
              <w:jc w:val="right"/>
              <w:rPr>
                <w:rFonts w:eastAsia="Times New Roman" w:cs="Times New Roman"/>
                <w:sz w:val="20"/>
                <w:szCs w:val="20"/>
              </w:rPr>
            </w:pPr>
          </w:p>
        </w:tc>
      </w:tr>
      <w:tr w14:paraId="3E75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1F9AE74D">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十二、其他</w:t>
            </w:r>
          </w:p>
        </w:tc>
        <w:tc>
          <w:tcPr>
            <w:tcW w:w="1422" w:type="pct"/>
            <w:tcBorders>
              <w:top w:val="single" w:color="auto" w:sz="4" w:space="0"/>
              <w:left w:val="single" w:color="auto" w:sz="4" w:space="0"/>
              <w:bottom w:val="single" w:color="auto" w:sz="4" w:space="0"/>
              <w:right w:val="single" w:color="auto" w:sz="4" w:space="0"/>
            </w:tcBorders>
            <w:vAlign w:val="center"/>
          </w:tcPr>
          <w:p w14:paraId="6B81496D">
            <w:pPr>
              <w:jc w:val="right"/>
            </w:pPr>
          </w:p>
        </w:tc>
        <w:tc>
          <w:tcPr>
            <w:tcW w:w="1700" w:type="pct"/>
            <w:tcBorders>
              <w:top w:val="single" w:color="auto" w:sz="4" w:space="0"/>
              <w:left w:val="single" w:color="auto" w:sz="4" w:space="0"/>
              <w:bottom w:val="single" w:color="auto" w:sz="4" w:space="0"/>
              <w:right w:val="single" w:color="auto" w:sz="4" w:space="0"/>
            </w:tcBorders>
            <w:vAlign w:val="center"/>
          </w:tcPr>
          <w:p w14:paraId="144ADC75">
            <w:pPr>
              <w:jc w:val="right"/>
              <w:rPr>
                <w:rFonts w:eastAsia="Times New Roman" w:cs="Times New Roman"/>
                <w:sz w:val="20"/>
                <w:szCs w:val="20"/>
              </w:rPr>
            </w:pPr>
          </w:p>
        </w:tc>
      </w:tr>
      <w:tr w14:paraId="459F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p w14:paraId="4EBFD8FF">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22" w:type="pct"/>
            <w:tcBorders>
              <w:top w:val="single" w:color="auto" w:sz="4" w:space="0"/>
              <w:left w:val="single" w:color="auto" w:sz="4" w:space="0"/>
              <w:bottom w:val="single" w:color="auto" w:sz="4" w:space="0"/>
              <w:right w:val="single" w:color="auto" w:sz="4" w:space="0"/>
            </w:tcBorders>
            <w:vAlign w:val="center"/>
          </w:tcPr>
          <w:p w14:paraId="6E0B6712">
            <w:pPr>
              <w:jc w:val="right"/>
            </w:pPr>
            <w:r>
              <w:rPr>
                <w:rFonts w:hint="eastAsia"/>
              </w:rPr>
              <w:t xml:space="preserve">-144,845,609.50 </w:t>
            </w:r>
          </w:p>
        </w:tc>
        <w:tc>
          <w:tcPr>
            <w:tcW w:w="1700" w:type="pct"/>
            <w:tcBorders>
              <w:top w:val="single" w:color="auto" w:sz="4" w:space="0"/>
              <w:left w:val="single" w:color="auto" w:sz="4" w:space="0"/>
              <w:bottom w:val="single" w:color="auto" w:sz="4" w:space="0"/>
              <w:right w:val="single" w:color="auto" w:sz="4" w:space="0"/>
            </w:tcBorders>
            <w:vAlign w:val="center"/>
          </w:tcPr>
          <w:p w14:paraId="5AB5DB73">
            <w:pPr>
              <w:jc w:val="right"/>
            </w:pPr>
            <w:r>
              <w:t>-39,300,312.69</w:t>
            </w:r>
          </w:p>
        </w:tc>
      </w:tr>
    </w:tbl>
    <w:p w14:paraId="1798812B">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p w14:paraId="0BA41906">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p w14:paraId="62CA6DAF">
      <w:pPr>
        <w:rPr>
          <w:rFonts w:asciiTheme="minorHAnsi" w:hAnsiTheme="minorHAnsi" w:eastAsiaTheme="minorEastAsia"/>
          <w:color w:val="000000" w:themeColor="text1"/>
          <w:szCs w:val="22"/>
          <w14:textFill>
            <w14:solidFill>
              <w14:schemeClr w14:val="tx1"/>
            </w14:solidFill>
          </w14:textFill>
        </w:rPr>
      </w:pPr>
    </w:p>
    <w:bookmarkEnd w:id="348"/>
    <w:p w14:paraId="2F0AD0F8">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资产处置收益</w:t>
      </w:r>
    </w:p>
    <w:sdt>
      <w:sdtPr>
        <w:rPr>
          <w:rFonts w:hint="eastAsia"/>
          <w:color w:val="000000" w:themeColor="text1"/>
          <w14:textFill>
            <w14:solidFill>
              <w14:schemeClr w14:val="tx1"/>
            </w14:solidFill>
          </w14:textFill>
        </w:rPr>
        <w:alias w:val="是否适用：资产处置收益[双击切换]"/>
        <w:tag w:val="_GBC_9e584d6f46c648d195946caa434a4619"/>
        <w:id w:val="-426960167"/>
        <w:placeholder>
          <w:docPart w:val="GBC22222222222222222222222222222"/>
        </w:placeholder>
      </w:sdtPr>
      <w:sdtEndPr>
        <w:rPr>
          <w:rFonts w:hint="eastAsia"/>
          <w:color w:val="000000" w:themeColor="text1"/>
          <w14:textFill>
            <w14:solidFill>
              <w14:schemeClr w14:val="tx1"/>
            </w14:solidFill>
          </w14:textFill>
        </w:rPr>
      </w:sdtEndPr>
      <w:sdtContent>
        <w:p w14:paraId="7B722EE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5AEC67">
      <w:pPr>
        <w:jc w:val="right"/>
        <w:rPr>
          <w:bCs/>
          <w:color w:val="000000" w:themeColor="text1"/>
          <w14:textFill>
            <w14:solidFill>
              <w14:schemeClr w14:val="tx1"/>
            </w14:solidFill>
          </w14:textFill>
        </w:rPr>
      </w:pPr>
      <w:r>
        <w:rPr>
          <w:color w:val="000000" w:themeColor="text1"/>
          <w14:textFill>
            <w14:solidFill>
              <w14:schemeClr w14:val="tx1"/>
            </w14:solidFill>
          </w14:textFill>
        </w:rPr>
        <w:t>单位：</w:t>
      </w:r>
      <w:sdt>
        <w:sdtPr>
          <w:rPr>
            <w:bCs/>
            <w:color w:val="000000" w:themeColor="text1"/>
            <w14:textFill>
              <w14:solidFill>
                <w14:schemeClr w14:val="tx1"/>
              </w14:solidFill>
            </w14:textFill>
          </w:rPr>
          <w:alias w:val="单位：资产处置收益明细"/>
          <w:tag w:val="_GBC_72dc168499e249b988d6753a6df1ce44"/>
          <w:id w:val="84189702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bCs/>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bCs/>
            <w:color w:val="000000" w:themeColor="text1"/>
            <w14:textFill>
              <w14:solidFill>
                <w14:schemeClr w14:val="tx1"/>
              </w14:solidFill>
            </w14:textFill>
          </w:rPr>
          <w:alias w:val="币种：资产处置收益明细"/>
          <w:tag w:val="_GBC_d68880ec5b074fdc8846b703ead631e2"/>
          <w:id w:val="16991918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2146"/>
        <w:gridCol w:w="2146"/>
      </w:tblGrid>
      <w:tr w14:paraId="5768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sdt>
            <w:sdtPr>
              <w:tag w:val="_PLD_5ae5d7d7d48342e7bc1da8d90a245459"/>
              <w:id w:val="-1367754050"/>
            </w:sdtPr>
            <w:sdtContent>
              <w:p w14:paraId="6540BCB9">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sdtContent>
          </w:sdt>
        </w:tc>
        <w:tc>
          <w:tcPr>
            <w:tcW w:w="2146" w:type="dxa"/>
          </w:tcPr>
          <w:sdt>
            <w:sdtPr>
              <w:tag w:val="_PLD_879cf215b86c45c790218e646c831e7d"/>
              <w:id w:val="-2111270720"/>
            </w:sdtPr>
            <w:sdtContent>
              <w:p w14:paraId="1DF896A0">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sdtContent>
          </w:sdt>
        </w:tc>
        <w:tc>
          <w:tcPr>
            <w:tcW w:w="2146" w:type="dxa"/>
          </w:tcPr>
          <w:sdt>
            <w:sdtPr>
              <w:tag w:val="_PLD_8860a002ccc44e14bf36aa3e10fb5d70"/>
              <w:id w:val="1800793460"/>
            </w:sdtPr>
            <w:sdtContent>
              <w:p w14:paraId="2EB9C80C">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sdtContent>
          </w:sdt>
        </w:tc>
      </w:tr>
      <w:tr w14:paraId="592F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14:paraId="2DED5F21">
            <w:pPr>
              <w:widowControl w:val="0"/>
              <w:jc w:val="center"/>
            </w:pPr>
            <w:r>
              <w:t>处置未划分为持有待售的固定资产利得或损失</w:t>
            </w:r>
          </w:p>
        </w:tc>
        <w:tc>
          <w:tcPr>
            <w:tcW w:w="2146" w:type="dxa"/>
            <w:vAlign w:val="center"/>
          </w:tcPr>
          <w:p w14:paraId="5149554E">
            <w:pPr>
              <w:widowControl w:val="0"/>
              <w:jc w:val="right"/>
            </w:pPr>
            <w:r>
              <w:t>5,356,611.40</w:t>
            </w:r>
          </w:p>
        </w:tc>
        <w:tc>
          <w:tcPr>
            <w:tcW w:w="2146" w:type="dxa"/>
            <w:vAlign w:val="center"/>
          </w:tcPr>
          <w:p w14:paraId="6A2E6538">
            <w:pPr>
              <w:widowControl w:val="0"/>
              <w:jc w:val="right"/>
            </w:pPr>
            <w:r>
              <w:t>723,625.33</w:t>
            </w:r>
          </w:p>
        </w:tc>
      </w:tr>
      <w:tr w14:paraId="394A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14:paraId="12CE7C09">
            <w:pPr>
              <w:widowControl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146" w:type="dxa"/>
            <w:vAlign w:val="center"/>
          </w:tcPr>
          <w:p w14:paraId="65D5BDF7">
            <w:pPr>
              <w:widowControl w:val="0"/>
              <w:jc w:val="right"/>
            </w:pPr>
            <w:r>
              <w:t>5,356,611.40</w:t>
            </w:r>
          </w:p>
        </w:tc>
        <w:tc>
          <w:tcPr>
            <w:tcW w:w="2146" w:type="dxa"/>
            <w:vAlign w:val="center"/>
          </w:tcPr>
          <w:p w14:paraId="6BFC9C8F">
            <w:pPr>
              <w:widowControl w:val="0"/>
              <w:jc w:val="right"/>
            </w:pPr>
            <w:r>
              <w:t>723,625.33</w:t>
            </w:r>
          </w:p>
        </w:tc>
      </w:tr>
    </w:tbl>
    <w:p w14:paraId="1FAB2FEA"/>
    <w:p w14:paraId="4B270F94">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rFonts w:hint="eastAsia"/>
          <w:color w:val="000000" w:themeColor="text1"/>
          <w14:textFill>
            <w14:solidFill>
              <w14:schemeClr w14:val="tx1"/>
            </w14:solidFill>
          </w14:textFill>
        </w:rPr>
        <w:alias w:val="是否适用：资产处置收益其他说明[双击切换]"/>
        <w:tag w:val="_GBC_15965d17bc0a4e6788b5c6faf8c51b58"/>
        <w:id w:val="-553382975"/>
        <w:placeholder>
          <w:docPart w:val="GBC22222222222222222222222222222"/>
        </w:placeholder>
      </w:sdtPr>
      <w:sdtEndPr>
        <w:rPr>
          <w:rFonts w:hint="eastAsia"/>
          <w:color w:val="000000" w:themeColor="text1"/>
          <w14:textFill>
            <w14:solidFill>
              <w14:schemeClr w14:val="tx1"/>
            </w14:solidFill>
          </w14:textFill>
        </w:rPr>
      </w:sdtEndPr>
      <w:sdtContent>
        <w:p w14:paraId="7FB3BF6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600172D">
      <w:pPr>
        <w:rPr>
          <w:color w:val="000000" w:themeColor="text1"/>
          <w14:textFill>
            <w14:solidFill>
              <w14:schemeClr w14:val="tx1"/>
            </w14:solidFill>
          </w14:textFill>
        </w:rPr>
      </w:pPr>
    </w:p>
    <w:p w14:paraId="6E546B32">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营业外收入</w:t>
      </w:r>
    </w:p>
    <w:sdt>
      <w:sdtPr>
        <w:rPr>
          <w:rFonts w:hint="eastAsia" w:cstheme="minorBidi"/>
          <w:bCs/>
          <w:color w:val="000000" w:themeColor="text1"/>
          <w:szCs w:val="22"/>
          <w14:textFill>
            <w14:solidFill>
              <w14:schemeClr w14:val="tx1"/>
            </w14:solidFill>
          </w14:textFill>
        </w:rPr>
        <w:alias w:val="是否适用：营业外收入情况 [双击切换]"/>
        <w:tag w:val="_GBC_b6e9df1124844122abb2dde58392c605"/>
        <w:id w:val="1162043152"/>
        <w:lock w:val="contentLocked"/>
        <w:placeholder>
          <w:docPart w:val="GBC22222222222222222222222222222"/>
        </w:placeholder>
      </w:sdtPr>
      <w:sdtEndPr>
        <w:rPr>
          <w:rFonts w:hint="eastAsia" w:cstheme="minorBidi"/>
          <w:bCs/>
          <w:color w:val="000000" w:themeColor="text1"/>
          <w:szCs w:val="22"/>
          <w14:textFill>
            <w14:solidFill>
              <w14:schemeClr w14:val="tx1"/>
            </w14:solidFill>
          </w14:textFill>
        </w:rPr>
      </w:sdtEndPr>
      <w:sdtContent>
        <w:p w14:paraId="405AB033">
          <w:pPr>
            <w:rPr>
              <w:rFonts w:cstheme="minorBidi"/>
              <w:bCs/>
              <w:color w:val="000000" w:themeColor="text1"/>
              <w:szCs w:val="22"/>
              <w14:textFill>
                <w14:solidFill>
                  <w14:schemeClr w14:val="tx1"/>
                </w14:solidFill>
              </w14:textFill>
            </w:rPr>
          </w:pP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w:instrText>
          </w:r>
          <w:r>
            <w:rPr>
              <w:rFonts w:hint="eastAsia" w:ascii="宋体" w:hAnsi="宋体" w:cstheme="minorBidi"/>
              <w:color w:val="000000" w:themeColor="text1"/>
              <w:szCs w:val="22"/>
              <w14:textFill>
                <w14:solidFill>
                  <w14:schemeClr w14:val="tx1"/>
                </w14:solidFill>
              </w14:textFill>
            </w:rPr>
            <w:instrText xml:space="preserve">MACROBUTTON  SnrToggleCheckbox √适用</w:instrText>
          </w:r>
          <w:r>
            <w:rPr>
              <w:rFonts w:ascii="宋体" w:hAnsi="宋体" w:cstheme="minorBidi"/>
              <w:color w:val="000000" w:themeColor="text1"/>
              <w:szCs w:val="22"/>
              <w14:textFill>
                <w14:solidFill>
                  <w14:schemeClr w14:val="tx1"/>
                </w14:solidFill>
              </w14:textFill>
            </w:rPr>
            <w:instrText xml:space="preserve"> </w:instrText>
          </w:r>
          <w:r>
            <w:rPr>
              <w:rFonts w:ascii="宋体" w:hAnsi="宋体" w:cstheme="minorBidi"/>
              <w:bCs/>
              <w:color w:val="000000" w:themeColor="text1"/>
              <w:szCs w:val="22"/>
              <w14:textFill>
                <w14:solidFill>
                  <w14:schemeClr w14:val="tx1"/>
                </w14:solidFill>
              </w14:textFill>
            </w:rPr>
            <w:fldChar w:fldCharType="end"/>
          </w:r>
          <w:r>
            <w:rPr>
              <w:rFonts w:ascii="宋体" w:hAnsi="宋体" w:cstheme="minorBidi"/>
              <w:bCs/>
              <w:color w:val="000000" w:themeColor="text1"/>
              <w:szCs w:val="22"/>
              <w14:textFill>
                <w14:solidFill>
                  <w14:schemeClr w14:val="tx1"/>
                </w14:solidFill>
              </w14:textFill>
            </w:rPr>
            <w:fldChar w:fldCharType="begin"/>
          </w:r>
          <w:r>
            <w:rPr>
              <w:rFonts w:ascii="宋体" w:hAnsi="宋体" w:cstheme="minorBidi"/>
              <w:color w:val="000000" w:themeColor="text1"/>
              <w:szCs w:val="22"/>
              <w14:textFill>
                <w14:solidFill>
                  <w14:schemeClr w14:val="tx1"/>
                </w14:solidFill>
              </w14:textFill>
            </w:rPr>
            <w:instrText xml:space="preserve"> MACROBUTTON  SnrToggleCheckbox □不适用 </w:instrText>
          </w:r>
          <w:r>
            <w:rPr>
              <w:rFonts w:ascii="宋体" w:hAnsi="宋体" w:cstheme="minorBidi"/>
              <w:bCs/>
              <w:color w:val="000000" w:themeColor="text1"/>
              <w:szCs w:val="22"/>
              <w14:textFill>
                <w14:solidFill>
                  <w14:schemeClr w14:val="tx1"/>
                </w14:solidFill>
              </w14:textFill>
            </w:rPr>
            <w:fldChar w:fldCharType="end"/>
          </w:r>
        </w:p>
      </w:sdtContent>
    </w:sdt>
    <w:p w14:paraId="70793FC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营业外收入"/>
          <w:tag w:val="_GBC_dd93a692e0c045038f9ddf46f86e7289"/>
          <w:id w:val="9229135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营业外收入"/>
          <w:tag w:val="_GBC_598cac7504eb4ef39ddc19fb969bdd53"/>
          <w:id w:val="-12584407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1"/>
        <w:gridCol w:w="2181"/>
        <w:gridCol w:w="1940"/>
        <w:gridCol w:w="2317"/>
      </w:tblGrid>
      <w:tr w14:paraId="1A2E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649e0d07dd047a497e69591bf3e322c"/>
            <w:id w:val="540876206"/>
          </w:sdtPr>
          <w:sdtContent>
            <w:tc>
              <w:tcPr>
                <w:tcW w:w="1443" w:type="pct"/>
                <w:tcBorders>
                  <w:top w:val="single" w:color="auto" w:sz="4" w:space="0"/>
                  <w:left w:val="single" w:color="auto" w:sz="4" w:space="0"/>
                  <w:bottom w:val="single" w:color="auto" w:sz="4" w:space="0"/>
                  <w:right w:val="single" w:color="auto" w:sz="4" w:space="0"/>
                </w:tcBorders>
                <w:vAlign w:val="center"/>
              </w:tcPr>
              <w:p w14:paraId="2F5E2523">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abf358cb2c947a9b4e7bacb394074db"/>
            <w:id w:val="-448554828"/>
          </w:sdtPr>
          <w:sdtContent>
            <w:tc>
              <w:tcPr>
                <w:tcW w:w="1205" w:type="pct"/>
                <w:tcBorders>
                  <w:top w:val="single" w:color="auto" w:sz="4" w:space="0"/>
                  <w:left w:val="single" w:color="auto" w:sz="4" w:space="0"/>
                  <w:bottom w:val="single" w:color="auto" w:sz="4" w:space="0"/>
                  <w:right w:val="single" w:color="auto" w:sz="4" w:space="0"/>
                </w:tcBorders>
                <w:vAlign w:val="center"/>
              </w:tcPr>
              <w:p w14:paraId="195907E0">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0469d808d7334ff0ab3460273b0c8f8f"/>
            <w:id w:val="-1814712599"/>
          </w:sdtPr>
          <w:sdtContent>
            <w:tc>
              <w:tcPr>
                <w:tcW w:w="1072" w:type="pct"/>
                <w:tcBorders>
                  <w:top w:val="single" w:color="auto" w:sz="4" w:space="0"/>
                  <w:left w:val="single" w:color="auto" w:sz="4" w:space="0"/>
                  <w:bottom w:val="single" w:color="auto" w:sz="4" w:space="0"/>
                  <w:right w:val="single" w:color="auto" w:sz="4" w:space="0"/>
                </w:tcBorders>
                <w:vAlign w:val="center"/>
              </w:tcPr>
              <w:p w14:paraId="536A1C5C">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sdt>
          <w:sdtPr>
            <w:tag w:val="_PLD_121bda757dda46918753fabf9329298f"/>
            <w:id w:val="1921213343"/>
          </w:sdtPr>
          <w:sdtContent>
            <w:tc>
              <w:tcPr>
                <w:tcW w:w="1280" w:type="pct"/>
                <w:tcBorders>
                  <w:top w:val="single" w:color="auto" w:sz="4" w:space="0"/>
                  <w:left w:val="single" w:color="auto" w:sz="4" w:space="0"/>
                  <w:bottom w:val="single" w:color="auto" w:sz="4" w:space="0"/>
                  <w:right w:val="single" w:color="auto" w:sz="4" w:space="0"/>
                </w:tcBorders>
                <w:vAlign w:val="center"/>
              </w:tcPr>
              <w:p w14:paraId="2816040C">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计入当期非经常性损益的金额</w:t>
                </w:r>
              </w:p>
            </w:tc>
          </w:sdtContent>
        </w:sdt>
      </w:tr>
      <w:tr w14:paraId="07AC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14:paraId="25F2CFEE">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非流动资产处置利得合计</w:t>
            </w:r>
          </w:p>
        </w:tc>
        <w:tc>
          <w:tcPr>
            <w:tcW w:w="1205" w:type="pct"/>
            <w:tcBorders>
              <w:top w:val="single" w:color="auto" w:sz="4" w:space="0"/>
              <w:left w:val="single" w:color="auto" w:sz="4" w:space="0"/>
              <w:bottom w:val="single" w:color="auto" w:sz="4" w:space="0"/>
              <w:right w:val="single" w:color="auto" w:sz="4" w:space="0"/>
            </w:tcBorders>
          </w:tcPr>
          <w:p w14:paraId="38BEC889">
            <w:pPr>
              <w:jc w:val="right"/>
            </w:pPr>
          </w:p>
        </w:tc>
        <w:tc>
          <w:tcPr>
            <w:tcW w:w="1072" w:type="pct"/>
            <w:tcBorders>
              <w:top w:val="single" w:color="auto" w:sz="4" w:space="0"/>
              <w:left w:val="single" w:color="auto" w:sz="4" w:space="0"/>
              <w:bottom w:val="single" w:color="auto" w:sz="4" w:space="0"/>
              <w:right w:val="single" w:color="auto" w:sz="4" w:space="0"/>
            </w:tcBorders>
          </w:tcPr>
          <w:p w14:paraId="229CD026">
            <w:pPr>
              <w:jc w:val="right"/>
            </w:pPr>
          </w:p>
        </w:tc>
        <w:tc>
          <w:tcPr>
            <w:tcW w:w="1280" w:type="pct"/>
            <w:tcBorders>
              <w:top w:val="single" w:color="auto" w:sz="4" w:space="0"/>
              <w:left w:val="single" w:color="auto" w:sz="4" w:space="0"/>
              <w:bottom w:val="single" w:color="auto" w:sz="4" w:space="0"/>
              <w:right w:val="single" w:color="auto" w:sz="4" w:space="0"/>
            </w:tcBorders>
          </w:tcPr>
          <w:p w14:paraId="41104525">
            <w:pPr>
              <w:autoSpaceDE w:val="0"/>
              <w:autoSpaceDN w:val="0"/>
              <w:adjustRightInd w:val="0"/>
              <w:jc w:val="right"/>
            </w:pPr>
          </w:p>
        </w:tc>
      </w:tr>
      <w:tr w14:paraId="313F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14:paraId="4F64862F">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其中：固定资产处置利得</w:t>
            </w:r>
          </w:p>
        </w:tc>
        <w:tc>
          <w:tcPr>
            <w:tcW w:w="1205" w:type="pct"/>
            <w:tcBorders>
              <w:top w:val="single" w:color="auto" w:sz="4" w:space="0"/>
              <w:left w:val="single" w:color="auto" w:sz="4" w:space="0"/>
              <w:bottom w:val="single" w:color="auto" w:sz="4" w:space="0"/>
              <w:right w:val="single" w:color="auto" w:sz="4" w:space="0"/>
            </w:tcBorders>
          </w:tcPr>
          <w:p w14:paraId="0FAB2206">
            <w:pPr>
              <w:jc w:val="right"/>
            </w:pPr>
          </w:p>
        </w:tc>
        <w:tc>
          <w:tcPr>
            <w:tcW w:w="1072" w:type="pct"/>
            <w:tcBorders>
              <w:top w:val="single" w:color="auto" w:sz="4" w:space="0"/>
              <w:left w:val="single" w:color="auto" w:sz="4" w:space="0"/>
              <w:bottom w:val="single" w:color="auto" w:sz="4" w:space="0"/>
              <w:right w:val="single" w:color="auto" w:sz="4" w:space="0"/>
            </w:tcBorders>
          </w:tcPr>
          <w:p w14:paraId="0FCCA4F3">
            <w:pPr>
              <w:jc w:val="right"/>
            </w:pPr>
          </w:p>
        </w:tc>
        <w:tc>
          <w:tcPr>
            <w:tcW w:w="1280" w:type="pct"/>
            <w:tcBorders>
              <w:top w:val="single" w:color="auto" w:sz="4" w:space="0"/>
              <w:left w:val="single" w:color="auto" w:sz="4" w:space="0"/>
              <w:bottom w:val="single" w:color="auto" w:sz="4" w:space="0"/>
              <w:right w:val="single" w:color="auto" w:sz="4" w:space="0"/>
            </w:tcBorders>
          </w:tcPr>
          <w:p w14:paraId="30D9A3C4">
            <w:pPr>
              <w:autoSpaceDE w:val="0"/>
              <w:autoSpaceDN w:val="0"/>
              <w:adjustRightInd w:val="0"/>
              <w:jc w:val="right"/>
            </w:pPr>
          </w:p>
        </w:tc>
      </w:tr>
      <w:tr w14:paraId="6954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14:paraId="6B9BE870">
            <w:pPr>
              <w:autoSpaceDE w:val="0"/>
              <w:autoSpaceDN w:val="0"/>
              <w:adjustRightInd w:val="0"/>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无形资产处置利得</w:t>
            </w:r>
          </w:p>
        </w:tc>
        <w:tc>
          <w:tcPr>
            <w:tcW w:w="1205" w:type="pct"/>
            <w:tcBorders>
              <w:top w:val="single" w:color="auto" w:sz="4" w:space="0"/>
              <w:left w:val="single" w:color="auto" w:sz="4" w:space="0"/>
              <w:bottom w:val="single" w:color="auto" w:sz="4" w:space="0"/>
              <w:right w:val="single" w:color="auto" w:sz="4" w:space="0"/>
            </w:tcBorders>
          </w:tcPr>
          <w:p w14:paraId="4CA7C63D">
            <w:pPr>
              <w:jc w:val="right"/>
            </w:pPr>
          </w:p>
        </w:tc>
        <w:tc>
          <w:tcPr>
            <w:tcW w:w="1072" w:type="pct"/>
            <w:tcBorders>
              <w:top w:val="single" w:color="auto" w:sz="4" w:space="0"/>
              <w:left w:val="single" w:color="auto" w:sz="4" w:space="0"/>
              <w:bottom w:val="single" w:color="auto" w:sz="4" w:space="0"/>
              <w:right w:val="single" w:color="auto" w:sz="4" w:space="0"/>
            </w:tcBorders>
          </w:tcPr>
          <w:p w14:paraId="665A4388">
            <w:pPr>
              <w:jc w:val="right"/>
            </w:pPr>
          </w:p>
        </w:tc>
        <w:tc>
          <w:tcPr>
            <w:tcW w:w="1280" w:type="pct"/>
            <w:tcBorders>
              <w:top w:val="single" w:color="auto" w:sz="4" w:space="0"/>
              <w:left w:val="single" w:color="auto" w:sz="4" w:space="0"/>
              <w:bottom w:val="single" w:color="auto" w:sz="4" w:space="0"/>
              <w:right w:val="single" w:color="auto" w:sz="4" w:space="0"/>
            </w:tcBorders>
          </w:tcPr>
          <w:p w14:paraId="66FCBAA0">
            <w:pPr>
              <w:autoSpaceDE w:val="0"/>
              <w:autoSpaceDN w:val="0"/>
              <w:adjustRightInd w:val="0"/>
              <w:jc w:val="right"/>
            </w:pPr>
          </w:p>
        </w:tc>
      </w:tr>
      <w:tr w14:paraId="079E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14:paraId="1E06FEBD">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债务重组利得</w:t>
            </w:r>
          </w:p>
        </w:tc>
        <w:tc>
          <w:tcPr>
            <w:tcW w:w="1205" w:type="pct"/>
            <w:tcBorders>
              <w:top w:val="single" w:color="auto" w:sz="4" w:space="0"/>
              <w:left w:val="single" w:color="auto" w:sz="4" w:space="0"/>
              <w:bottom w:val="single" w:color="auto" w:sz="4" w:space="0"/>
              <w:right w:val="single" w:color="auto" w:sz="4" w:space="0"/>
            </w:tcBorders>
          </w:tcPr>
          <w:p w14:paraId="58744107">
            <w:pPr>
              <w:jc w:val="right"/>
            </w:pPr>
          </w:p>
        </w:tc>
        <w:tc>
          <w:tcPr>
            <w:tcW w:w="1072" w:type="pct"/>
            <w:tcBorders>
              <w:top w:val="single" w:color="auto" w:sz="4" w:space="0"/>
              <w:left w:val="single" w:color="auto" w:sz="4" w:space="0"/>
              <w:bottom w:val="single" w:color="auto" w:sz="4" w:space="0"/>
              <w:right w:val="single" w:color="auto" w:sz="4" w:space="0"/>
            </w:tcBorders>
          </w:tcPr>
          <w:p w14:paraId="1A37EB65">
            <w:pPr>
              <w:jc w:val="right"/>
            </w:pPr>
          </w:p>
        </w:tc>
        <w:tc>
          <w:tcPr>
            <w:tcW w:w="1280" w:type="pct"/>
            <w:tcBorders>
              <w:top w:val="single" w:color="auto" w:sz="4" w:space="0"/>
              <w:left w:val="single" w:color="auto" w:sz="4" w:space="0"/>
              <w:bottom w:val="single" w:color="auto" w:sz="4" w:space="0"/>
              <w:right w:val="single" w:color="auto" w:sz="4" w:space="0"/>
            </w:tcBorders>
          </w:tcPr>
          <w:p w14:paraId="7EEC84F4">
            <w:pPr>
              <w:autoSpaceDE w:val="0"/>
              <w:autoSpaceDN w:val="0"/>
              <w:adjustRightInd w:val="0"/>
              <w:jc w:val="right"/>
            </w:pPr>
          </w:p>
        </w:tc>
      </w:tr>
      <w:tr w14:paraId="7879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14:paraId="06D56F1D">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非货币性资产交换利得</w:t>
            </w:r>
          </w:p>
        </w:tc>
        <w:tc>
          <w:tcPr>
            <w:tcW w:w="1205" w:type="pct"/>
            <w:tcBorders>
              <w:top w:val="single" w:color="auto" w:sz="4" w:space="0"/>
              <w:left w:val="single" w:color="auto" w:sz="4" w:space="0"/>
              <w:bottom w:val="single" w:color="auto" w:sz="4" w:space="0"/>
              <w:right w:val="single" w:color="auto" w:sz="4" w:space="0"/>
            </w:tcBorders>
          </w:tcPr>
          <w:p w14:paraId="513A1944">
            <w:pPr>
              <w:jc w:val="right"/>
            </w:pPr>
          </w:p>
        </w:tc>
        <w:tc>
          <w:tcPr>
            <w:tcW w:w="1072" w:type="pct"/>
            <w:tcBorders>
              <w:top w:val="single" w:color="auto" w:sz="4" w:space="0"/>
              <w:left w:val="single" w:color="auto" w:sz="4" w:space="0"/>
              <w:bottom w:val="single" w:color="auto" w:sz="4" w:space="0"/>
              <w:right w:val="single" w:color="auto" w:sz="4" w:space="0"/>
            </w:tcBorders>
          </w:tcPr>
          <w:p w14:paraId="4CC1CA3F">
            <w:pPr>
              <w:jc w:val="right"/>
            </w:pPr>
          </w:p>
        </w:tc>
        <w:tc>
          <w:tcPr>
            <w:tcW w:w="1280" w:type="pct"/>
            <w:tcBorders>
              <w:top w:val="single" w:color="auto" w:sz="4" w:space="0"/>
              <w:left w:val="single" w:color="auto" w:sz="4" w:space="0"/>
              <w:bottom w:val="single" w:color="auto" w:sz="4" w:space="0"/>
              <w:right w:val="single" w:color="auto" w:sz="4" w:space="0"/>
            </w:tcBorders>
          </w:tcPr>
          <w:p w14:paraId="44F908B4">
            <w:pPr>
              <w:autoSpaceDE w:val="0"/>
              <w:autoSpaceDN w:val="0"/>
              <w:adjustRightInd w:val="0"/>
              <w:jc w:val="right"/>
            </w:pPr>
          </w:p>
        </w:tc>
      </w:tr>
      <w:tr w14:paraId="46AD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14:paraId="7F16DF35">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接受捐赠</w:t>
            </w:r>
          </w:p>
        </w:tc>
        <w:tc>
          <w:tcPr>
            <w:tcW w:w="1205" w:type="pct"/>
            <w:tcBorders>
              <w:top w:val="single" w:color="auto" w:sz="4" w:space="0"/>
              <w:left w:val="single" w:color="auto" w:sz="4" w:space="0"/>
              <w:bottom w:val="single" w:color="auto" w:sz="4" w:space="0"/>
              <w:right w:val="single" w:color="auto" w:sz="4" w:space="0"/>
            </w:tcBorders>
          </w:tcPr>
          <w:p w14:paraId="705870C3">
            <w:pPr>
              <w:jc w:val="right"/>
            </w:pPr>
          </w:p>
        </w:tc>
        <w:tc>
          <w:tcPr>
            <w:tcW w:w="1072" w:type="pct"/>
            <w:tcBorders>
              <w:top w:val="single" w:color="auto" w:sz="4" w:space="0"/>
              <w:left w:val="single" w:color="auto" w:sz="4" w:space="0"/>
              <w:bottom w:val="single" w:color="auto" w:sz="4" w:space="0"/>
              <w:right w:val="single" w:color="auto" w:sz="4" w:space="0"/>
            </w:tcBorders>
          </w:tcPr>
          <w:p w14:paraId="0946F124">
            <w:pPr>
              <w:jc w:val="right"/>
            </w:pPr>
          </w:p>
        </w:tc>
        <w:tc>
          <w:tcPr>
            <w:tcW w:w="1280" w:type="pct"/>
            <w:tcBorders>
              <w:top w:val="single" w:color="auto" w:sz="4" w:space="0"/>
              <w:left w:val="single" w:color="auto" w:sz="4" w:space="0"/>
              <w:bottom w:val="single" w:color="auto" w:sz="4" w:space="0"/>
              <w:right w:val="single" w:color="auto" w:sz="4" w:space="0"/>
            </w:tcBorders>
          </w:tcPr>
          <w:p w14:paraId="43ACC0A1">
            <w:pPr>
              <w:autoSpaceDE w:val="0"/>
              <w:autoSpaceDN w:val="0"/>
              <w:adjustRightInd w:val="0"/>
              <w:jc w:val="right"/>
            </w:pPr>
          </w:p>
        </w:tc>
      </w:tr>
      <w:tr w14:paraId="3F74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14:paraId="3BFAC1A5">
            <w:pPr>
              <w:ind w:right="6"/>
              <w:rPr>
                <w:bCs/>
                <w:color w:val="000000" w:themeColor="text1"/>
                <w14:textFill>
                  <w14:solidFill>
                    <w14:schemeClr w14:val="tx1"/>
                  </w14:solidFill>
                </w14:textFill>
              </w:rPr>
            </w:pPr>
            <w:r>
              <w:rPr>
                <w:rFonts w:hint="eastAsia"/>
                <w:color w:val="000000" w:themeColor="text1"/>
                <w14:textFill>
                  <w14:solidFill>
                    <w14:schemeClr w14:val="tx1"/>
                  </w14:solidFill>
                </w14:textFill>
              </w:rPr>
              <w:t>政府补助</w:t>
            </w:r>
          </w:p>
        </w:tc>
        <w:tc>
          <w:tcPr>
            <w:tcW w:w="1205" w:type="pct"/>
            <w:tcBorders>
              <w:top w:val="single" w:color="auto" w:sz="4" w:space="0"/>
              <w:left w:val="single" w:color="auto" w:sz="4" w:space="0"/>
              <w:bottom w:val="single" w:color="auto" w:sz="4" w:space="0"/>
              <w:right w:val="single" w:color="auto" w:sz="4" w:space="0"/>
            </w:tcBorders>
          </w:tcPr>
          <w:p w14:paraId="6069E4BD">
            <w:pPr>
              <w:jc w:val="right"/>
            </w:pPr>
          </w:p>
        </w:tc>
        <w:tc>
          <w:tcPr>
            <w:tcW w:w="1072" w:type="pct"/>
            <w:tcBorders>
              <w:top w:val="single" w:color="auto" w:sz="4" w:space="0"/>
              <w:left w:val="single" w:color="auto" w:sz="4" w:space="0"/>
              <w:bottom w:val="single" w:color="auto" w:sz="4" w:space="0"/>
              <w:right w:val="single" w:color="auto" w:sz="4" w:space="0"/>
            </w:tcBorders>
          </w:tcPr>
          <w:p w14:paraId="48E791ED">
            <w:pPr>
              <w:jc w:val="right"/>
            </w:pPr>
          </w:p>
        </w:tc>
        <w:tc>
          <w:tcPr>
            <w:tcW w:w="1280" w:type="pct"/>
            <w:tcBorders>
              <w:top w:val="single" w:color="auto" w:sz="4" w:space="0"/>
              <w:left w:val="single" w:color="auto" w:sz="4" w:space="0"/>
              <w:bottom w:val="single" w:color="auto" w:sz="4" w:space="0"/>
              <w:right w:val="single" w:color="auto" w:sz="4" w:space="0"/>
            </w:tcBorders>
          </w:tcPr>
          <w:p w14:paraId="25834A65">
            <w:pPr>
              <w:autoSpaceDE w:val="0"/>
              <w:autoSpaceDN w:val="0"/>
              <w:adjustRightInd w:val="0"/>
              <w:jc w:val="right"/>
            </w:pPr>
          </w:p>
        </w:tc>
      </w:tr>
      <w:tr w14:paraId="100A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14:paraId="621402F6">
            <w:r>
              <w:t>罚款收入</w:t>
            </w:r>
          </w:p>
        </w:tc>
        <w:tc>
          <w:tcPr>
            <w:tcW w:w="1205" w:type="pct"/>
            <w:tcBorders>
              <w:top w:val="single" w:color="auto" w:sz="4" w:space="0"/>
              <w:left w:val="single" w:color="auto" w:sz="4" w:space="0"/>
              <w:bottom w:val="single" w:color="auto" w:sz="4" w:space="0"/>
              <w:right w:val="single" w:color="auto" w:sz="4" w:space="0"/>
            </w:tcBorders>
          </w:tcPr>
          <w:p w14:paraId="4F60F792">
            <w:pPr>
              <w:jc w:val="right"/>
            </w:pPr>
            <w:r>
              <w:t>445,523.28</w:t>
            </w:r>
          </w:p>
        </w:tc>
        <w:tc>
          <w:tcPr>
            <w:tcW w:w="1072" w:type="pct"/>
            <w:tcBorders>
              <w:top w:val="single" w:color="auto" w:sz="4" w:space="0"/>
              <w:left w:val="single" w:color="auto" w:sz="4" w:space="0"/>
              <w:bottom w:val="single" w:color="auto" w:sz="4" w:space="0"/>
              <w:right w:val="single" w:color="auto" w:sz="4" w:space="0"/>
            </w:tcBorders>
            <w:vAlign w:val="center"/>
          </w:tcPr>
          <w:p w14:paraId="514FB860">
            <w:pPr>
              <w:jc w:val="right"/>
            </w:pPr>
            <w:r>
              <w:t>744,114.84</w:t>
            </w:r>
          </w:p>
        </w:tc>
        <w:tc>
          <w:tcPr>
            <w:tcW w:w="1280" w:type="pct"/>
            <w:tcBorders>
              <w:top w:val="single" w:color="auto" w:sz="4" w:space="0"/>
              <w:left w:val="single" w:color="auto" w:sz="4" w:space="0"/>
              <w:bottom w:val="single" w:color="auto" w:sz="4" w:space="0"/>
              <w:right w:val="single" w:color="auto" w:sz="4" w:space="0"/>
            </w:tcBorders>
          </w:tcPr>
          <w:p w14:paraId="05877AE6">
            <w:pPr>
              <w:jc w:val="right"/>
            </w:pPr>
            <w:r>
              <w:t>445,523.28</w:t>
            </w:r>
          </w:p>
        </w:tc>
      </w:tr>
      <w:tr w14:paraId="143E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14:paraId="365D2E17">
            <w:pPr>
              <w:autoSpaceDE w:val="0"/>
              <w:autoSpaceDN w:val="0"/>
              <w:adjustRightInd w:val="0"/>
            </w:pPr>
            <w:r>
              <w:rPr>
                <w:rFonts w:hint="eastAsia"/>
              </w:rPr>
              <w:t>无法支付的应付款项</w:t>
            </w:r>
          </w:p>
        </w:tc>
        <w:tc>
          <w:tcPr>
            <w:tcW w:w="1205" w:type="pct"/>
            <w:tcBorders>
              <w:top w:val="single" w:color="auto" w:sz="4" w:space="0"/>
              <w:left w:val="single" w:color="auto" w:sz="4" w:space="0"/>
              <w:bottom w:val="single" w:color="auto" w:sz="4" w:space="0"/>
              <w:right w:val="single" w:color="auto" w:sz="4" w:space="0"/>
            </w:tcBorders>
          </w:tcPr>
          <w:p w14:paraId="391293D7">
            <w:pPr>
              <w:jc w:val="right"/>
            </w:pPr>
            <w:r>
              <w:t>300,477.93</w:t>
            </w:r>
          </w:p>
        </w:tc>
        <w:tc>
          <w:tcPr>
            <w:tcW w:w="1072" w:type="pct"/>
            <w:tcBorders>
              <w:top w:val="single" w:color="auto" w:sz="4" w:space="0"/>
              <w:left w:val="single" w:color="auto" w:sz="4" w:space="0"/>
              <w:bottom w:val="single" w:color="auto" w:sz="4" w:space="0"/>
              <w:right w:val="single" w:color="auto" w:sz="4" w:space="0"/>
            </w:tcBorders>
            <w:vAlign w:val="center"/>
          </w:tcPr>
          <w:p w14:paraId="2A9C2BA2">
            <w:pPr>
              <w:jc w:val="right"/>
            </w:pPr>
            <w:r>
              <w:t>98,433.34</w:t>
            </w:r>
          </w:p>
        </w:tc>
        <w:tc>
          <w:tcPr>
            <w:tcW w:w="1280" w:type="pct"/>
            <w:tcBorders>
              <w:top w:val="single" w:color="auto" w:sz="4" w:space="0"/>
              <w:left w:val="single" w:color="auto" w:sz="4" w:space="0"/>
              <w:bottom w:val="single" w:color="auto" w:sz="4" w:space="0"/>
              <w:right w:val="single" w:color="auto" w:sz="4" w:space="0"/>
            </w:tcBorders>
          </w:tcPr>
          <w:p w14:paraId="0043AB2C">
            <w:pPr>
              <w:jc w:val="right"/>
            </w:pPr>
            <w:r>
              <w:t>300,477.93</w:t>
            </w:r>
          </w:p>
        </w:tc>
      </w:tr>
      <w:tr w14:paraId="59B0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14:paraId="0F9E2420">
            <w:pPr>
              <w:autoSpaceDE w:val="0"/>
              <w:autoSpaceDN w:val="0"/>
              <w:adjustRightInd w:val="0"/>
            </w:pPr>
            <w:r>
              <w:rPr>
                <w:rFonts w:hint="eastAsia"/>
              </w:rPr>
              <w:t>违约赔偿收入</w:t>
            </w:r>
          </w:p>
        </w:tc>
        <w:tc>
          <w:tcPr>
            <w:tcW w:w="1205" w:type="pct"/>
            <w:tcBorders>
              <w:top w:val="single" w:color="auto" w:sz="4" w:space="0"/>
              <w:left w:val="single" w:color="auto" w:sz="4" w:space="0"/>
              <w:bottom w:val="single" w:color="auto" w:sz="4" w:space="0"/>
              <w:right w:val="single" w:color="auto" w:sz="4" w:space="0"/>
            </w:tcBorders>
          </w:tcPr>
          <w:p w14:paraId="2566BE6A">
            <w:pPr>
              <w:jc w:val="right"/>
            </w:pPr>
            <w:r>
              <w:t>32,847.29</w:t>
            </w:r>
          </w:p>
        </w:tc>
        <w:tc>
          <w:tcPr>
            <w:tcW w:w="1072" w:type="pct"/>
            <w:tcBorders>
              <w:top w:val="single" w:color="auto" w:sz="4" w:space="0"/>
              <w:left w:val="single" w:color="auto" w:sz="4" w:space="0"/>
              <w:bottom w:val="single" w:color="auto" w:sz="4" w:space="0"/>
              <w:right w:val="single" w:color="auto" w:sz="4" w:space="0"/>
            </w:tcBorders>
            <w:vAlign w:val="center"/>
          </w:tcPr>
          <w:p w14:paraId="066D4B8B">
            <w:pPr>
              <w:jc w:val="right"/>
            </w:pPr>
            <w:r>
              <w:t>415,963.73</w:t>
            </w:r>
          </w:p>
        </w:tc>
        <w:tc>
          <w:tcPr>
            <w:tcW w:w="1280" w:type="pct"/>
            <w:tcBorders>
              <w:top w:val="single" w:color="auto" w:sz="4" w:space="0"/>
              <w:left w:val="single" w:color="auto" w:sz="4" w:space="0"/>
              <w:bottom w:val="single" w:color="auto" w:sz="4" w:space="0"/>
              <w:right w:val="single" w:color="auto" w:sz="4" w:space="0"/>
            </w:tcBorders>
          </w:tcPr>
          <w:p w14:paraId="7C9BAC03">
            <w:pPr>
              <w:jc w:val="right"/>
            </w:pPr>
            <w:r>
              <w:t>32,847.29</w:t>
            </w:r>
          </w:p>
        </w:tc>
      </w:tr>
      <w:tr w14:paraId="1441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14:paraId="76D48DD9">
            <w:pPr>
              <w:autoSpaceDE w:val="0"/>
              <w:autoSpaceDN w:val="0"/>
              <w:adjustRightInd w:val="0"/>
              <w:jc w:val="center"/>
            </w:pPr>
            <w:r>
              <w:rPr>
                <w:rFonts w:hint="eastAsia"/>
              </w:rPr>
              <w:t>非流动资产毁损报废利得</w:t>
            </w:r>
          </w:p>
        </w:tc>
        <w:tc>
          <w:tcPr>
            <w:tcW w:w="1205" w:type="pct"/>
            <w:tcBorders>
              <w:top w:val="single" w:color="auto" w:sz="4" w:space="0"/>
              <w:left w:val="single" w:color="auto" w:sz="4" w:space="0"/>
              <w:bottom w:val="single" w:color="auto" w:sz="4" w:space="0"/>
              <w:right w:val="single" w:color="auto" w:sz="4" w:space="0"/>
            </w:tcBorders>
          </w:tcPr>
          <w:p w14:paraId="5C324DB7">
            <w:pPr>
              <w:jc w:val="right"/>
            </w:pPr>
            <w:r>
              <w:t>69,505.27</w:t>
            </w:r>
          </w:p>
        </w:tc>
        <w:tc>
          <w:tcPr>
            <w:tcW w:w="1072" w:type="pct"/>
            <w:tcBorders>
              <w:top w:val="single" w:color="auto" w:sz="4" w:space="0"/>
              <w:left w:val="single" w:color="auto" w:sz="4" w:space="0"/>
              <w:bottom w:val="single" w:color="auto" w:sz="4" w:space="0"/>
              <w:right w:val="single" w:color="auto" w:sz="4" w:space="0"/>
            </w:tcBorders>
            <w:vAlign w:val="center"/>
          </w:tcPr>
          <w:p w14:paraId="35E6964A">
            <w:pPr>
              <w:jc w:val="right"/>
            </w:pPr>
          </w:p>
        </w:tc>
        <w:tc>
          <w:tcPr>
            <w:tcW w:w="1280" w:type="pct"/>
            <w:tcBorders>
              <w:top w:val="single" w:color="auto" w:sz="4" w:space="0"/>
              <w:left w:val="single" w:color="auto" w:sz="4" w:space="0"/>
              <w:bottom w:val="single" w:color="auto" w:sz="4" w:space="0"/>
              <w:right w:val="single" w:color="auto" w:sz="4" w:space="0"/>
            </w:tcBorders>
          </w:tcPr>
          <w:p w14:paraId="74F53410">
            <w:pPr>
              <w:jc w:val="right"/>
            </w:pPr>
            <w:r>
              <w:t>69,505.27</w:t>
            </w:r>
          </w:p>
        </w:tc>
      </w:tr>
      <w:tr w14:paraId="3976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tcPr>
          <w:p w14:paraId="324CF2A0">
            <w:r>
              <w:t>其他</w:t>
            </w:r>
          </w:p>
        </w:tc>
        <w:tc>
          <w:tcPr>
            <w:tcW w:w="1205" w:type="pct"/>
            <w:tcBorders>
              <w:top w:val="single" w:color="auto" w:sz="4" w:space="0"/>
              <w:left w:val="single" w:color="auto" w:sz="4" w:space="0"/>
              <w:bottom w:val="single" w:color="auto" w:sz="4" w:space="0"/>
              <w:right w:val="single" w:color="auto" w:sz="4" w:space="0"/>
            </w:tcBorders>
          </w:tcPr>
          <w:p w14:paraId="5F12AACF">
            <w:pPr>
              <w:jc w:val="right"/>
            </w:pPr>
            <w:r>
              <w:t>1,171,650.44</w:t>
            </w:r>
          </w:p>
        </w:tc>
        <w:tc>
          <w:tcPr>
            <w:tcW w:w="1072" w:type="pct"/>
            <w:tcBorders>
              <w:top w:val="single" w:color="auto" w:sz="4" w:space="0"/>
              <w:left w:val="single" w:color="auto" w:sz="4" w:space="0"/>
              <w:bottom w:val="single" w:color="auto" w:sz="4" w:space="0"/>
              <w:right w:val="single" w:color="auto" w:sz="4" w:space="0"/>
            </w:tcBorders>
            <w:vAlign w:val="center"/>
          </w:tcPr>
          <w:p w14:paraId="744A18D6">
            <w:pPr>
              <w:jc w:val="right"/>
            </w:pPr>
            <w:r>
              <w:t>282,303.01</w:t>
            </w:r>
          </w:p>
        </w:tc>
        <w:tc>
          <w:tcPr>
            <w:tcW w:w="1280" w:type="pct"/>
            <w:tcBorders>
              <w:top w:val="single" w:color="auto" w:sz="4" w:space="0"/>
              <w:left w:val="single" w:color="auto" w:sz="4" w:space="0"/>
              <w:bottom w:val="single" w:color="auto" w:sz="4" w:space="0"/>
              <w:right w:val="single" w:color="auto" w:sz="4" w:space="0"/>
            </w:tcBorders>
          </w:tcPr>
          <w:p w14:paraId="4F69086D">
            <w:pPr>
              <w:jc w:val="right"/>
            </w:pPr>
            <w:r>
              <w:t>1,171,650.44</w:t>
            </w:r>
          </w:p>
        </w:tc>
      </w:tr>
      <w:tr w14:paraId="1527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3" w:type="pct"/>
            <w:tcBorders>
              <w:top w:val="single" w:color="auto" w:sz="4" w:space="0"/>
              <w:left w:val="single" w:color="auto" w:sz="4" w:space="0"/>
              <w:bottom w:val="single" w:color="auto" w:sz="4" w:space="0"/>
              <w:right w:val="single" w:color="auto" w:sz="4" w:space="0"/>
            </w:tcBorders>
            <w:vAlign w:val="center"/>
          </w:tcPr>
          <w:p w14:paraId="162C1A2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05" w:type="pct"/>
            <w:tcBorders>
              <w:top w:val="single" w:color="auto" w:sz="4" w:space="0"/>
              <w:left w:val="single" w:color="auto" w:sz="4" w:space="0"/>
              <w:bottom w:val="single" w:color="auto" w:sz="4" w:space="0"/>
              <w:right w:val="single" w:color="auto" w:sz="4" w:space="0"/>
            </w:tcBorders>
          </w:tcPr>
          <w:p w14:paraId="1FC830DF">
            <w:pPr>
              <w:jc w:val="right"/>
            </w:pPr>
            <w:r>
              <w:t>2,020,004.21</w:t>
            </w:r>
          </w:p>
        </w:tc>
        <w:tc>
          <w:tcPr>
            <w:tcW w:w="1072" w:type="pct"/>
            <w:tcBorders>
              <w:top w:val="single" w:color="auto" w:sz="4" w:space="0"/>
              <w:left w:val="single" w:color="auto" w:sz="4" w:space="0"/>
              <w:bottom w:val="single" w:color="auto" w:sz="4" w:space="0"/>
              <w:right w:val="single" w:color="auto" w:sz="4" w:space="0"/>
            </w:tcBorders>
            <w:vAlign w:val="center"/>
          </w:tcPr>
          <w:p w14:paraId="6DB45565">
            <w:pPr>
              <w:jc w:val="right"/>
            </w:pPr>
            <w:r>
              <w:t>1,540,814.92</w:t>
            </w:r>
          </w:p>
        </w:tc>
        <w:tc>
          <w:tcPr>
            <w:tcW w:w="1280" w:type="pct"/>
            <w:tcBorders>
              <w:top w:val="single" w:color="auto" w:sz="4" w:space="0"/>
              <w:left w:val="single" w:color="auto" w:sz="4" w:space="0"/>
              <w:bottom w:val="single" w:color="auto" w:sz="4" w:space="0"/>
              <w:right w:val="single" w:color="auto" w:sz="4" w:space="0"/>
            </w:tcBorders>
          </w:tcPr>
          <w:p w14:paraId="4C9BC22C">
            <w:pPr>
              <w:autoSpaceDE w:val="0"/>
              <w:autoSpaceDN w:val="0"/>
              <w:adjustRightInd w:val="0"/>
              <w:jc w:val="right"/>
            </w:pPr>
            <w:r>
              <w:t>2,020,004.21</w:t>
            </w:r>
          </w:p>
        </w:tc>
      </w:tr>
    </w:tbl>
    <w:p w14:paraId="606B47DB"/>
    <w:p w14:paraId="337276B3">
      <w:pPr>
        <w:spacing w:line="3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营业外收入说明[双击切换]"/>
        <w:tag w:val="_GBC_9bd4fc9f0fcc4e85bee85b3ce60c8b2c"/>
        <w:id w:val="545105637"/>
        <w:placeholder>
          <w:docPart w:val="GBC22222222222222222222222222222"/>
        </w:placeholder>
      </w:sdtPr>
      <w:sdtEndPr>
        <w:rPr>
          <w:color w:val="000000" w:themeColor="text1"/>
          <w14:textFill>
            <w14:solidFill>
              <w14:schemeClr w14:val="tx1"/>
            </w14:solidFill>
          </w14:textFill>
        </w:rPr>
      </w:sdtEndPr>
      <w:sdtContent>
        <w:p w14:paraId="167505B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6B90C94">
      <w:pPr>
        <w:rPr>
          <w:color w:val="000000" w:themeColor="text1"/>
          <w14:textFill>
            <w14:solidFill>
              <w14:schemeClr w14:val="tx1"/>
            </w14:solidFill>
          </w14:textFill>
        </w:rPr>
      </w:pPr>
    </w:p>
    <w:p w14:paraId="73D3023F">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营业外支出</w:t>
      </w:r>
    </w:p>
    <w:sdt>
      <w:sdtPr>
        <w:rPr>
          <w:color w:val="000000" w:themeColor="text1"/>
          <w14:textFill>
            <w14:solidFill>
              <w14:schemeClr w14:val="tx1"/>
            </w14:solidFill>
          </w14:textFill>
        </w:rPr>
        <w:alias w:val="是否适用：营业外支出[双击切换]"/>
        <w:tag w:val="_GBC_6d4b8ac674ce425b8c798e92aa1fe455"/>
        <w:id w:val="1297494757"/>
        <w:placeholder>
          <w:docPart w:val="GBC22222222222222222222222222222"/>
        </w:placeholder>
      </w:sdtPr>
      <w:sdtEndPr>
        <w:rPr>
          <w:color w:val="000000" w:themeColor="text1"/>
          <w14:textFill>
            <w14:solidFill>
              <w14:schemeClr w14:val="tx1"/>
            </w14:solidFill>
          </w14:textFill>
        </w:rPr>
      </w:sdtEndPr>
      <w:sdtContent>
        <w:p w14:paraId="1AC0F1F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E6B1C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营业外支出"/>
          <w:tag w:val="_GBC_f8678a9a1bbf4b0697744c5d21146839"/>
          <w:id w:val="-6045755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营业外支出"/>
          <w:tag w:val="_GBC_61e3e82ad5404a9987623525ac03d95e"/>
          <w:id w:val="16514794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1645"/>
        <w:gridCol w:w="2329"/>
        <w:gridCol w:w="2317"/>
      </w:tblGrid>
      <w:tr w14:paraId="0D2B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abf292cb0a7463788e39d1bdabb85fc"/>
            <w:id w:val="439890907"/>
          </w:sdtPr>
          <w:sdtContent>
            <w:tc>
              <w:tcPr>
                <w:tcW w:w="1524" w:type="pct"/>
                <w:tcBorders>
                  <w:top w:val="single" w:color="auto" w:sz="4" w:space="0"/>
                  <w:left w:val="single" w:color="auto" w:sz="4" w:space="0"/>
                  <w:bottom w:val="single" w:color="auto" w:sz="4" w:space="0"/>
                  <w:right w:val="single" w:color="auto" w:sz="4" w:space="0"/>
                </w:tcBorders>
                <w:vAlign w:val="center"/>
              </w:tcPr>
              <w:p w14:paraId="7593C4BD">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36a30142728e41bb9c215b73cfe3204c"/>
            <w:id w:val="-1348467838"/>
          </w:sdtPr>
          <w:sdtContent>
            <w:tc>
              <w:tcPr>
                <w:tcW w:w="909" w:type="pct"/>
                <w:tcBorders>
                  <w:top w:val="single" w:color="auto" w:sz="4" w:space="0"/>
                  <w:left w:val="single" w:color="auto" w:sz="4" w:space="0"/>
                  <w:bottom w:val="single" w:color="auto" w:sz="4" w:space="0"/>
                  <w:right w:val="single" w:color="auto" w:sz="4" w:space="0"/>
                </w:tcBorders>
                <w:vAlign w:val="center"/>
              </w:tcPr>
              <w:p w14:paraId="55D730F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16b0936bf8024bdf99cf883b1827419f"/>
            <w:id w:val="-670717692"/>
          </w:sdtPr>
          <w:sdtContent>
            <w:tc>
              <w:tcPr>
                <w:tcW w:w="1287" w:type="pct"/>
                <w:tcBorders>
                  <w:top w:val="single" w:color="auto" w:sz="4" w:space="0"/>
                  <w:left w:val="single" w:color="auto" w:sz="4" w:space="0"/>
                  <w:bottom w:val="single" w:color="auto" w:sz="4" w:space="0"/>
                  <w:right w:val="single" w:color="auto" w:sz="4" w:space="0"/>
                </w:tcBorders>
                <w:vAlign w:val="center"/>
              </w:tcPr>
              <w:p w14:paraId="4AAA0718">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sdt>
          <w:sdtPr>
            <w:tag w:val="_PLD_92014506c2824f6fbe79731f91aa61bc"/>
            <w:id w:val="1842966655"/>
          </w:sdtPr>
          <w:sdtContent>
            <w:tc>
              <w:tcPr>
                <w:tcW w:w="1280" w:type="pct"/>
                <w:tcBorders>
                  <w:top w:val="single" w:color="auto" w:sz="4" w:space="0"/>
                  <w:left w:val="single" w:color="auto" w:sz="4" w:space="0"/>
                  <w:bottom w:val="single" w:color="auto" w:sz="4" w:space="0"/>
                  <w:right w:val="single" w:color="auto" w:sz="4" w:space="0"/>
                </w:tcBorders>
                <w:vAlign w:val="center"/>
              </w:tcPr>
              <w:p w14:paraId="0261948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计入当期非经常性损益的金额</w:t>
                </w:r>
              </w:p>
            </w:tc>
          </w:sdtContent>
        </w:sdt>
      </w:tr>
      <w:tr w14:paraId="515B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2D07D760">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非流动资产处置损失合计</w:t>
            </w:r>
          </w:p>
        </w:tc>
        <w:tc>
          <w:tcPr>
            <w:tcW w:w="909" w:type="pct"/>
            <w:tcBorders>
              <w:top w:val="single" w:color="auto" w:sz="4" w:space="0"/>
              <w:left w:val="single" w:color="auto" w:sz="4" w:space="0"/>
              <w:bottom w:val="single" w:color="auto" w:sz="4" w:space="0"/>
              <w:right w:val="single" w:color="auto" w:sz="4" w:space="0"/>
            </w:tcBorders>
          </w:tcPr>
          <w:p w14:paraId="25814614">
            <w:pPr>
              <w:jc w:val="right"/>
            </w:pPr>
          </w:p>
        </w:tc>
        <w:tc>
          <w:tcPr>
            <w:tcW w:w="1287" w:type="pct"/>
            <w:tcBorders>
              <w:top w:val="single" w:color="auto" w:sz="4" w:space="0"/>
              <w:left w:val="single" w:color="auto" w:sz="4" w:space="0"/>
              <w:bottom w:val="single" w:color="auto" w:sz="4" w:space="0"/>
              <w:right w:val="single" w:color="auto" w:sz="4" w:space="0"/>
            </w:tcBorders>
          </w:tcPr>
          <w:p w14:paraId="6627D465">
            <w:pPr>
              <w:jc w:val="right"/>
            </w:pPr>
          </w:p>
        </w:tc>
        <w:tc>
          <w:tcPr>
            <w:tcW w:w="1280" w:type="pct"/>
            <w:tcBorders>
              <w:top w:val="single" w:color="auto" w:sz="4" w:space="0"/>
              <w:left w:val="single" w:color="auto" w:sz="4" w:space="0"/>
              <w:bottom w:val="single" w:color="auto" w:sz="4" w:space="0"/>
              <w:right w:val="single" w:color="auto" w:sz="4" w:space="0"/>
            </w:tcBorders>
          </w:tcPr>
          <w:p w14:paraId="2FA2A5B3">
            <w:pPr>
              <w:autoSpaceDE w:val="0"/>
              <w:autoSpaceDN w:val="0"/>
              <w:adjustRightInd w:val="0"/>
              <w:jc w:val="right"/>
            </w:pPr>
          </w:p>
        </w:tc>
      </w:tr>
      <w:tr w14:paraId="12FE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5630456C">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其中：固定资产处置损失</w:t>
            </w:r>
          </w:p>
        </w:tc>
        <w:tc>
          <w:tcPr>
            <w:tcW w:w="909" w:type="pct"/>
            <w:tcBorders>
              <w:top w:val="single" w:color="auto" w:sz="4" w:space="0"/>
              <w:left w:val="single" w:color="auto" w:sz="4" w:space="0"/>
              <w:bottom w:val="single" w:color="auto" w:sz="4" w:space="0"/>
              <w:right w:val="single" w:color="auto" w:sz="4" w:space="0"/>
            </w:tcBorders>
          </w:tcPr>
          <w:p w14:paraId="67C95477">
            <w:pPr>
              <w:jc w:val="right"/>
            </w:pPr>
          </w:p>
        </w:tc>
        <w:tc>
          <w:tcPr>
            <w:tcW w:w="1287" w:type="pct"/>
            <w:tcBorders>
              <w:top w:val="single" w:color="auto" w:sz="4" w:space="0"/>
              <w:left w:val="single" w:color="auto" w:sz="4" w:space="0"/>
              <w:bottom w:val="single" w:color="auto" w:sz="4" w:space="0"/>
              <w:right w:val="single" w:color="auto" w:sz="4" w:space="0"/>
            </w:tcBorders>
          </w:tcPr>
          <w:p w14:paraId="190FC776">
            <w:pPr>
              <w:jc w:val="right"/>
            </w:pPr>
          </w:p>
        </w:tc>
        <w:tc>
          <w:tcPr>
            <w:tcW w:w="1280" w:type="pct"/>
            <w:tcBorders>
              <w:top w:val="single" w:color="auto" w:sz="4" w:space="0"/>
              <w:left w:val="single" w:color="auto" w:sz="4" w:space="0"/>
              <w:bottom w:val="single" w:color="auto" w:sz="4" w:space="0"/>
              <w:right w:val="single" w:color="auto" w:sz="4" w:space="0"/>
            </w:tcBorders>
          </w:tcPr>
          <w:p w14:paraId="1BFF4DC8">
            <w:pPr>
              <w:autoSpaceDE w:val="0"/>
              <w:autoSpaceDN w:val="0"/>
              <w:adjustRightInd w:val="0"/>
              <w:jc w:val="right"/>
            </w:pPr>
          </w:p>
        </w:tc>
      </w:tr>
      <w:tr w14:paraId="15A6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3284E2C7">
            <w:pPr>
              <w:autoSpaceDE w:val="0"/>
              <w:autoSpaceDN w:val="0"/>
              <w:adjustRightInd w:val="0"/>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无形资产处置损失</w:t>
            </w:r>
          </w:p>
        </w:tc>
        <w:tc>
          <w:tcPr>
            <w:tcW w:w="909" w:type="pct"/>
            <w:tcBorders>
              <w:top w:val="single" w:color="auto" w:sz="4" w:space="0"/>
              <w:left w:val="single" w:color="auto" w:sz="4" w:space="0"/>
              <w:bottom w:val="single" w:color="auto" w:sz="4" w:space="0"/>
              <w:right w:val="single" w:color="auto" w:sz="4" w:space="0"/>
            </w:tcBorders>
          </w:tcPr>
          <w:p w14:paraId="48684F7D">
            <w:pPr>
              <w:jc w:val="right"/>
            </w:pPr>
          </w:p>
        </w:tc>
        <w:tc>
          <w:tcPr>
            <w:tcW w:w="1287" w:type="pct"/>
            <w:tcBorders>
              <w:top w:val="single" w:color="auto" w:sz="4" w:space="0"/>
              <w:left w:val="single" w:color="auto" w:sz="4" w:space="0"/>
              <w:bottom w:val="single" w:color="auto" w:sz="4" w:space="0"/>
              <w:right w:val="single" w:color="auto" w:sz="4" w:space="0"/>
            </w:tcBorders>
          </w:tcPr>
          <w:p w14:paraId="59C1AF46">
            <w:pPr>
              <w:jc w:val="right"/>
            </w:pPr>
          </w:p>
        </w:tc>
        <w:tc>
          <w:tcPr>
            <w:tcW w:w="1280" w:type="pct"/>
            <w:tcBorders>
              <w:top w:val="single" w:color="auto" w:sz="4" w:space="0"/>
              <w:left w:val="single" w:color="auto" w:sz="4" w:space="0"/>
              <w:bottom w:val="single" w:color="auto" w:sz="4" w:space="0"/>
              <w:right w:val="single" w:color="auto" w:sz="4" w:space="0"/>
            </w:tcBorders>
          </w:tcPr>
          <w:p w14:paraId="7BEB7DBB">
            <w:pPr>
              <w:autoSpaceDE w:val="0"/>
              <w:autoSpaceDN w:val="0"/>
              <w:adjustRightInd w:val="0"/>
              <w:jc w:val="right"/>
            </w:pPr>
          </w:p>
        </w:tc>
      </w:tr>
      <w:tr w14:paraId="4281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56BC0F26">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债务重组损失</w:t>
            </w:r>
          </w:p>
        </w:tc>
        <w:tc>
          <w:tcPr>
            <w:tcW w:w="909" w:type="pct"/>
            <w:tcBorders>
              <w:top w:val="single" w:color="auto" w:sz="4" w:space="0"/>
              <w:left w:val="single" w:color="auto" w:sz="4" w:space="0"/>
              <w:bottom w:val="single" w:color="auto" w:sz="4" w:space="0"/>
              <w:right w:val="single" w:color="auto" w:sz="4" w:space="0"/>
            </w:tcBorders>
          </w:tcPr>
          <w:p w14:paraId="5F69349D">
            <w:pPr>
              <w:jc w:val="right"/>
            </w:pPr>
          </w:p>
        </w:tc>
        <w:tc>
          <w:tcPr>
            <w:tcW w:w="1287" w:type="pct"/>
            <w:tcBorders>
              <w:top w:val="single" w:color="auto" w:sz="4" w:space="0"/>
              <w:left w:val="single" w:color="auto" w:sz="4" w:space="0"/>
              <w:bottom w:val="single" w:color="auto" w:sz="4" w:space="0"/>
              <w:right w:val="single" w:color="auto" w:sz="4" w:space="0"/>
            </w:tcBorders>
          </w:tcPr>
          <w:p w14:paraId="1ADB27AB">
            <w:pPr>
              <w:jc w:val="right"/>
            </w:pPr>
          </w:p>
        </w:tc>
        <w:tc>
          <w:tcPr>
            <w:tcW w:w="1280" w:type="pct"/>
            <w:tcBorders>
              <w:top w:val="single" w:color="auto" w:sz="4" w:space="0"/>
              <w:left w:val="single" w:color="auto" w:sz="4" w:space="0"/>
              <w:bottom w:val="single" w:color="auto" w:sz="4" w:space="0"/>
              <w:right w:val="single" w:color="auto" w:sz="4" w:space="0"/>
            </w:tcBorders>
          </w:tcPr>
          <w:p w14:paraId="37BB1EDB">
            <w:pPr>
              <w:autoSpaceDE w:val="0"/>
              <w:autoSpaceDN w:val="0"/>
              <w:adjustRightInd w:val="0"/>
              <w:jc w:val="right"/>
            </w:pPr>
          </w:p>
        </w:tc>
      </w:tr>
      <w:tr w14:paraId="1BE5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44E0E086">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非货币性资产交换损失</w:t>
            </w:r>
          </w:p>
        </w:tc>
        <w:tc>
          <w:tcPr>
            <w:tcW w:w="909" w:type="pct"/>
            <w:tcBorders>
              <w:top w:val="single" w:color="auto" w:sz="4" w:space="0"/>
              <w:left w:val="single" w:color="auto" w:sz="4" w:space="0"/>
              <w:bottom w:val="single" w:color="auto" w:sz="4" w:space="0"/>
              <w:right w:val="single" w:color="auto" w:sz="4" w:space="0"/>
            </w:tcBorders>
          </w:tcPr>
          <w:p w14:paraId="0A1A9E84">
            <w:pPr>
              <w:jc w:val="right"/>
            </w:pPr>
          </w:p>
        </w:tc>
        <w:tc>
          <w:tcPr>
            <w:tcW w:w="1287" w:type="pct"/>
            <w:tcBorders>
              <w:top w:val="single" w:color="auto" w:sz="4" w:space="0"/>
              <w:left w:val="single" w:color="auto" w:sz="4" w:space="0"/>
              <w:bottom w:val="single" w:color="auto" w:sz="4" w:space="0"/>
              <w:right w:val="single" w:color="auto" w:sz="4" w:space="0"/>
            </w:tcBorders>
          </w:tcPr>
          <w:p w14:paraId="222E684F">
            <w:pPr>
              <w:jc w:val="right"/>
            </w:pPr>
          </w:p>
        </w:tc>
        <w:tc>
          <w:tcPr>
            <w:tcW w:w="1280" w:type="pct"/>
            <w:tcBorders>
              <w:top w:val="single" w:color="auto" w:sz="4" w:space="0"/>
              <w:left w:val="single" w:color="auto" w:sz="4" w:space="0"/>
              <w:bottom w:val="single" w:color="auto" w:sz="4" w:space="0"/>
              <w:right w:val="single" w:color="auto" w:sz="4" w:space="0"/>
            </w:tcBorders>
          </w:tcPr>
          <w:p w14:paraId="477DBC1C">
            <w:pPr>
              <w:autoSpaceDE w:val="0"/>
              <w:autoSpaceDN w:val="0"/>
              <w:adjustRightInd w:val="0"/>
              <w:jc w:val="right"/>
            </w:pPr>
          </w:p>
        </w:tc>
      </w:tr>
      <w:tr w14:paraId="1258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74681B28">
            <w:pPr>
              <w:autoSpaceDE w:val="0"/>
              <w:autoSpaceDN w:val="0"/>
              <w:adjustRightInd w:val="0"/>
              <w:rPr>
                <w:color w:val="000000" w:themeColor="text1"/>
                <w14:textFill>
                  <w14:solidFill>
                    <w14:schemeClr w14:val="tx1"/>
                  </w14:solidFill>
                </w14:textFill>
              </w:rPr>
            </w:pPr>
            <w:r>
              <w:rPr>
                <w:rFonts w:hint="eastAsia"/>
                <w:color w:val="000000" w:themeColor="text1"/>
                <w14:textFill>
                  <w14:solidFill>
                    <w14:schemeClr w14:val="tx1"/>
                  </w14:solidFill>
                </w14:textFill>
              </w:rPr>
              <w:t>对外捐赠</w:t>
            </w:r>
          </w:p>
        </w:tc>
        <w:tc>
          <w:tcPr>
            <w:tcW w:w="909" w:type="pct"/>
            <w:tcBorders>
              <w:top w:val="single" w:color="auto" w:sz="4" w:space="0"/>
              <w:left w:val="single" w:color="auto" w:sz="4" w:space="0"/>
              <w:bottom w:val="single" w:color="auto" w:sz="4" w:space="0"/>
              <w:right w:val="single" w:color="auto" w:sz="4" w:space="0"/>
            </w:tcBorders>
          </w:tcPr>
          <w:p w14:paraId="69931394">
            <w:pPr>
              <w:jc w:val="right"/>
            </w:pPr>
          </w:p>
        </w:tc>
        <w:tc>
          <w:tcPr>
            <w:tcW w:w="1287" w:type="pct"/>
            <w:tcBorders>
              <w:top w:val="single" w:color="auto" w:sz="4" w:space="0"/>
              <w:left w:val="single" w:color="auto" w:sz="4" w:space="0"/>
              <w:bottom w:val="single" w:color="auto" w:sz="4" w:space="0"/>
              <w:right w:val="single" w:color="auto" w:sz="4" w:space="0"/>
            </w:tcBorders>
          </w:tcPr>
          <w:p w14:paraId="6405425D">
            <w:pPr>
              <w:jc w:val="right"/>
            </w:pPr>
          </w:p>
        </w:tc>
        <w:tc>
          <w:tcPr>
            <w:tcW w:w="1280" w:type="pct"/>
            <w:tcBorders>
              <w:top w:val="single" w:color="auto" w:sz="4" w:space="0"/>
              <w:left w:val="single" w:color="auto" w:sz="4" w:space="0"/>
              <w:bottom w:val="single" w:color="auto" w:sz="4" w:space="0"/>
              <w:right w:val="single" w:color="auto" w:sz="4" w:space="0"/>
            </w:tcBorders>
          </w:tcPr>
          <w:p w14:paraId="4F4F7CD6">
            <w:pPr>
              <w:autoSpaceDE w:val="0"/>
              <w:autoSpaceDN w:val="0"/>
              <w:adjustRightInd w:val="0"/>
              <w:jc w:val="right"/>
            </w:pPr>
          </w:p>
        </w:tc>
      </w:tr>
      <w:tr w14:paraId="4E76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3952A3C9">
            <w:r>
              <w:rPr>
                <w:rFonts w:hint="eastAsia"/>
              </w:rPr>
              <w:t xml:space="preserve">预计未决诉讼损失 </w:t>
            </w:r>
          </w:p>
        </w:tc>
        <w:tc>
          <w:tcPr>
            <w:tcW w:w="909" w:type="pct"/>
            <w:tcBorders>
              <w:top w:val="single" w:color="auto" w:sz="4" w:space="0"/>
              <w:left w:val="single" w:color="auto" w:sz="4" w:space="0"/>
              <w:bottom w:val="single" w:color="auto" w:sz="4" w:space="0"/>
              <w:right w:val="single" w:color="auto" w:sz="4" w:space="0"/>
            </w:tcBorders>
          </w:tcPr>
          <w:p w14:paraId="3AC8F7BE">
            <w:pPr>
              <w:jc w:val="right"/>
            </w:pPr>
            <w:r>
              <w:t>5,576,292.60</w:t>
            </w:r>
          </w:p>
        </w:tc>
        <w:tc>
          <w:tcPr>
            <w:tcW w:w="1287" w:type="pct"/>
            <w:tcBorders>
              <w:top w:val="single" w:color="auto" w:sz="4" w:space="0"/>
              <w:left w:val="single" w:color="auto" w:sz="4" w:space="0"/>
              <w:bottom w:val="single" w:color="auto" w:sz="4" w:space="0"/>
              <w:right w:val="single" w:color="auto" w:sz="4" w:space="0"/>
            </w:tcBorders>
            <w:vAlign w:val="center"/>
          </w:tcPr>
          <w:p w14:paraId="5A415D20">
            <w:pPr>
              <w:jc w:val="right"/>
            </w:pPr>
          </w:p>
        </w:tc>
        <w:tc>
          <w:tcPr>
            <w:tcW w:w="1280" w:type="pct"/>
            <w:tcBorders>
              <w:top w:val="single" w:color="auto" w:sz="4" w:space="0"/>
              <w:left w:val="single" w:color="auto" w:sz="4" w:space="0"/>
              <w:bottom w:val="single" w:color="auto" w:sz="4" w:space="0"/>
              <w:right w:val="single" w:color="auto" w:sz="4" w:space="0"/>
            </w:tcBorders>
            <w:vAlign w:val="center"/>
          </w:tcPr>
          <w:p w14:paraId="191D0E20">
            <w:pPr>
              <w:jc w:val="right"/>
            </w:pPr>
            <w:r>
              <w:t>5,576,292.60</w:t>
            </w:r>
          </w:p>
        </w:tc>
      </w:tr>
      <w:tr w14:paraId="2B20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21527E67">
            <w:r>
              <w:t>罚款支出</w:t>
            </w:r>
          </w:p>
        </w:tc>
        <w:tc>
          <w:tcPr>
            <w:tcW w:w="909" w:type="pct"/>
            <w:tcBorders>
              <w:top w:val="single" w:color="auto" w:sz="4" w:space="0"/>
              <w:left w:val="single" w:color="auto" w:sz="4" w:space="0"/>
              <w:bottom w:val="single" w:color="auto" w:sz="4" w:space="0"/>
              <w:right w:val="single" w:color="auto" w:sz="4" w:space="0"/>
            </w:tcBorders>
          </w:tcPr>
          <w:p w14:paraId="27DC31B5">
            <w:pPr>
              <w:jc w:val="right"/>
            </w:pPr>
            <w:r>
              <w:t>19,255.09</w:t>
            </w:r>
          </w:p>
        </w:tc>
        <w:tc>
          <w:tcPr>
            <w:tcW w:w="1287" w:type="pct"/>
            <w:tcBorders>
              <w:top w:val="single" w:color="auto" w:sz="4" w:space="0"/>
              <w:left w:val="single" w:color="auto" w:sz="4" w:space="0"/>
              <w:bottom w:val="single" w:color="auto" w:sz="4" w:space="0"/>
              <w:right w:val="single" w:color="auto" w:sz="4" w:space="0"/>
            </w:tcBorders>
            <w:vAlign w:val="center"/>
          </w:tcPr>
          <w:p w14:paraId="11C22613">
            <w:pPr>
              <w:jc w:val="right"/>
            </w:pPr>
            <w:r>
              <w:t>179,598.59</w:t>
            </w:r>
          </w:p>
        </w:tc>
        <w:tc>
          <w:tcPr>
            <w:tcW w:w="1280" w:type="pct"/>
            <w:tcBorders>
              <w:top w:val="single" w:color="auto" w:sz="4" w:space="0"/>
              <w:left w:val="single" w:color="auto" w:sz="4" w:space="0"/>
              <w:bottom w:val="single" w:color="auto" w:sz="4" w:space="0"/>
              <w:right w:val="single" w:color="auto" w:sz="4" w:space="0"/>
            </w:tcBorders>
            <w:vAlign w:val="center"/>
          </w:tcPr>
          <w:p w14:paraId="26E2E33A">
            <w:pPr>
              <w:jc w:val="right"/>
            </w:pPr>
            <w:r>
              <w:t>19,255.09</w:t>
            </w:r>
          </w:p>
        </w:tc>
      </w:tr>
      <w:tr w14:paraId="4C97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77CE0105">
            <w:r>
              <w:t>赔偿支出</w:t>
            </w:r>
          </w:p>
        </w:tc>
        <w:tc>
          <w:tcPr>
            <w:tcW w:w="909" w:type="pct"/>
            <w:tcBorders>
              <w:top w:val="single" w:color="auto" w:sz="4" w:space="0"/>
              <w:left w:val="single" w:color="auto" w:sz="4" w:space="0"/>
              <w:bottom w:val="single" w:color="auto" w:sz="4" w:space="0"/>
              <w:right w:val="single" w:color="auto" w:sz="4" w:space="0"/>
            </w:tcBorders>
          </w:tcPr>
          <w:p w14:paraId="4D7DFDCA">
            <w:pPr>
              <w:jc w:val="right"/>
            </w:pPr>
            <w:r>
              <w:t>258,827.91</w:t>
            </w:r>
          </w:p>
        </w:tc>
        <w:tc>
          <w:tcPr>
            <w:tcW w:w="1287" w:type="pct"/>
            <w:tcBorders>
              <w:top w:val="single" w:color="auto" w:sz="4" w:space="0"/>
              <w:left w:val="single" w:color="auto" w:sz="4" w:space="0"/>
              <w:bottom w:val="single" w:color="auto" w:sz="4" w:space="0"/>
              <w:right w:val="single" w:color="auto" w:sz="4" w:space="0"/>
            </w:tcBorders>
            <w:vAlign w:val="center"/>
          </w:tcPr>
          <w:p w14:paraId="6A242C73">
            <w:pPr>
              <w:jc w:val="right"/>
            </w:pPr>
            <w:r>
              <w:t>2,069,883.65</w:t>
            </w:r>
          </w:p>
        </w:tc>
        <w:tc>
          <w:tcPr>
            <w:tcW w:w="1280" w:type="pct"/>
            <w:tcBorders>
              <w:top w:val="single" w:color="auto" w:sz="4" w:space="0"/>
              <w:left w:val="single" w:color="auto" w:sz="4" w:space="0"/>
              <w:bottom w:val="single" w:color="auto" w:sz="4" w:space="0"/>
              <w:right w:val="single" w:color="auto" w:sz="4" w:space="0"/>
            </w:tcBorders>
            <w:vAlign w:val="center"/>
          </w:tcPr>
          <w:p w14:paraId="54106D92">
            <w:pPr>
              <w:jc w:val="right"/>
            </w:pPr>
            <w:r>
              <w:t>258,827.91</w:t>
            </w:r>
          </w:p>
        </w:tc>
      </w:tr>
      <w:tr w14:paraId="2D72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728304B8">
            <w:r>
              <w:t>非流动资产毁损报废损失</w:t>
            </w:r>
          </w:p>
        </w:tc>
        <w:tc>
          <w:tcPr>
            <w:tcW w:w="909" w:type="pct"/>
            <w:tcBorders>
              <w:top w:val="single" w:color="auto" w:sz="4" w:space="0"/>
              <w:left w:val="single" w:color="auto" w:sz="4" w:space="0"/>
              <w:bottom w:val="single" w:color="auto" w:sz="4" w:space="0"/>
              <w:right w:val="single" w:color="auto" w:sz="4" w:space="0"/>
            </w:tcBorders>
            <w:vAlign w:val="center"/>
          </w:tcPr>
          <w:p w14:paraId="2659DAFF">
            <w:pPr>
              <w:jc w:val="right"/>
            </w:pPr>
            <w:r>
              <w:t>81,769.15</w:t>
            </w:r>
          </w:p>
        </w:tc>
        <w:tc>
          <w:tcPr>
            <w:tcW w:w="1287" w:type="pct"/>
            <w:tcBorders>
              <w:top w:val="single" w:color="auto" w:sz="4" w:space="0"/>
              <w:left w:val="single" w:color="auto" w:sz="4" w:space="0"/>
              <w:bottom w:val="single" w:color="auto" w:sz="4" w:space="0"/>
              <w:right w:val="single" w:color="auto" w:sz="4" w:space="0"/>
            </w:tcBorders>
            <w:vAlign w:val="center"/>
          </w:tcPr>
          <w:p w14:paraId="2976CBAB">
            <w:pPr>
              <w:jc w:val="right"/>
            </w:pPr>
            <w:r>
              <w:t>54,750.77</w:t>
            </w:r>
          </w:p>
        </w:tc>
        <w:tc>
          <w:tcPr>
            <w:tcW w:w="1280" w:type="pct"/>
            <w:tcBorders>
              <w:top w:val="single" w:color="auto" w:sz="4" w:space="0"/>
              <w:left w:val="single" w:color="auto" w:sz="4" w:space="0"/>
              <w:bottom w:val="single" w:color="auto" w:sz="4" w:space="0"/>
              <w:right w:val="single" w:color="auto" w:sz="4" w:space="0"/>
            </w:tcBorders>
            <w:vAlign w:val="center"/>
          </w:tcPr>
          <w:p w14:paraId="2CA5A8E7">
            <w:pPr>
              <w:jc w:val="right"/>
            </w:pPr>
            <w:r>
              <w:t>81,769.15</w:t>
            </w:r>
          </w:p>
        </w:tc>
      </w:tr>
      <w:tr w14:paraId="7ADB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46424B3F">
            <w:r>
              <w:t>其他</w:t>
            </w:r>
          </w:p>
        </w:tc>
        <w:tc>
          <w:tcPr>
            <w:tcW w:w="909" w:type="pct"/>
            <w:tcBorders>
              <w:top w:val="single" w:color="auto" w:sz="4" w:space="0"/>
              <w:left w:val="single" w:color="auto" w:sz="4" w:space="0"/>
              <w:bottom w:val="single" w:color="auto" w:sz="4" w:space="0"/>
              <w:right w:val="single" w:color="auto" w:sz="4" w:space="0"/>
            </w:tcBorders>
          </w:tcPr>
          <w:p w14:paraId="452BF7CD">
            <w:pPr>
              <w:jc w:val="right"/>
            </w:pPr>
            <w:r>
              <w:t>3,068,913.91</w:t>
            </w:r>
          </w:p>
        </w:tc>
        <w:tc>
          <w:tcPr>
            <w:tcW w:w="1287" w:type="pct"/>
            <w:tcBorders>
              <w:top w:val="single" w:color="auto" w:sz="4" w:space="0"/>
              <w:left w:val="single" w:color="auto" w:sz="4" w:space="0"/>
              <w:bottom w:val="single" w:color="auto" w:sz="4" w:space="0"/>
              <w:right w:val="single" w:color="auto" w:sz="4" w:space="0"/>
            </w:tcBorders>
            <w:vAlign w:val="center"/>
          </w:tcPr>
          <w:p w14:paraId="64D56AD5">
            <w:pPr>
              <w:jc w:val="right"/>
            </w:pPr>
            <w:r>
              <w:t>1,573,004.34</w:t>
            </w:r>
          </w:p>
        </w:tc>
        <w:tc>
          <w:tcPr>
            <w:tcW w:w="1280" w:type="pct"/>
            <w:tcBorders>
              <w:top w:val="single" w:color="auto" w:sz="4" w:space="0"/>
              <w:left w:val="single" w:color="auto" w:sz="4" w:space="0"/>
              <w:bottom w:val="single" w:color="auto" w:sz="4" w:space="0"/>
              <w:right w:val="single" w:color="auto" w:sz="4" w:space="0"/>
            </w:tcBorders>
            <w:vAlign w:val="center"/>
          </w:tcPr>
          <w:p w14:paraId="0998D473">
            <w:pPr>
              <w:jc w:val="right"/>
            </w:pPr>
            <w:r>
              <w:t>3,068,913.91</w:t>
            </w:r>
          </w:p>
        </w:tc>
      </w:tr>
      <w:tr w14:paraId="7FD4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4" w:type="pct"/>
            <w:tcBorders>
              <w:top w:val="single" w:color="auto" w:sz="4" w:space="0"/>
              <w:left w:val="single" w:color="auto" w:sz="4" w:space="0"/>
              <w:bottom w:val="single" w:color="auto" w:sz="4" w:space="0"/>
              <w:right w:val="single" w:color="auto" w:sz="4" w:space="0"/>
            </w:tcBorders>
          </w:tcPr>
          <w:p w14:paraId="4E430FFB">
            <w:pPr>
              <w:ind w:right="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09" w:type="pct"/>
            <w:tcBorders>
              <w:top w:val="single" w:color="auto" w:sz="4" w:space="0"/>
              <w:left w:val="single" w:color="auto" w:sz="4" w:space="0"/>
              <w:bottom w:val="single" w:color="auto" w:sz="4" w:space="0"/>
              <w:right w:val="single" w:color="auto" w:sz="4" w:space="0"/>
            </w:tcBorders>
          </w:tcPr>
          <w:p w14:paraId="3D6B9E75">
            <w:pPr>
              <w:jc w:val="right"/>
            </w:pPr>
            <w:r>
              <w:t>9,005,058.66</w:t>
            </w:r>
          </w:p>
        </w:tc>
        <w:tc>
          <w:tcPr>
            <w:tcW w:w="1287" w:type="pct"/>
            <w:tcBorders>
              <w:top w:val="single" w:color="auto" w:sz="4" w:space="0"/>
              <w:left w:val="single" w:color="auto" w:sz="4" w:space="0"/>
              <w:bottom w:val="single" w:color="auto" w:sz="4" w:space="0"/>
              <w:right w:val="single" w:color="auto" w:sz="4" w:space="0"/>
            </w:tcBorders>
            <w:vAlign w:val="center"/>
          </w:tcPr>
          <w:p w14:paraId="09D6B350">
            <w:pPr>
              <w:jc w:val="right"/>
            </w:pPr>
            <w:r>
              <w:t>3,877,237.35</w:t>
            </w:r>
          </w:p>
        </w:tc>
        <w:tc>
          <w:tcPr>
            <w:tcW w:w="1280" w:type="pct"/>
            <w:tcBorders>
              <w:top w:val="single" w:color="auto" w:sz="4" w:space="0"/>
              <w:left w:val="single" w:color="auto" w:sz="4" w:space="0"/>
              <w:bottom w:val="single" w:color="auto" w:sz="4" w:space="0"/>
              <w:right w:val="single" w:color="auto" w:sz="4" w:space="0"/>
            </w:tcBorders>
            <w:vAlign w:val="center"/>
          </w:tcPr>
          <w:p w14:paraId="65F9CD92">
            <w:pPr>
              <w:jc w:val="right"/>
            </w:pPr>
            <w:r>
              <w:t>9,005,058.66</w:t>
            </w:r>
          </w:p>
        </w:tc>
      </w:tr>
    </w:tbl>
    <w:p w14:paraId="692DA30E"/>
    <w:p w14:paraId="19DC7CEF">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rFonts w:hint="eastAsia"/>
          <w:color w:val="000000" w:themeColor="text1"/>
          <w14:textFill>
            <w14:solidFill>
              <w14:schemeClr w14:val="tx1"/>
            </w14:solidFill>
          </w14:textFill>
        </w:rPr>
        <w:alias w:val="营业外支出说明"/>
        <w:tag w:val="_GBC_948d4d2c5cfc43b999d968de3476bc75"/>
        <w:id w:val="195827054"/>
        <w:placeholder>
          <w:docPart w:val="GBC22222222222222222222222222222"/>
        </w:placeholder>
      </w:sdtPr>
      <w:sdtEndPr>
        <w:rPr>
          <w:rFonts w:hint="eastAsia"/>
          <w:color w:val="000000" w:themeColor="text1"/>
          <w14:textFill>
            <w14:solidFill>
              <w14:schemeClr w14:val="tx1"/>
            </w14:solidFill>
          </w14:textFill>
        </w:rPr>
      </w:sdtEndPr>
      <w:sdtContent>
        <w:p w14:paraId="3833D143">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3CF96CE">
      <w:pPr>
        <w:rPr>
          <w:color w:val="000000" w:themeColor="text1"/>
          <w14:textFill>
            <w14:solidFill>
              <w14:schemeClr w14:val="tx1"/>
            </w14:solidFill>
          </w14:textFill>
        </w:rPr>
      </w:pPr>
    </w:p>
    <w:p w14:paraId="6439A939">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所得税费用</w:t>
      </w:r>
    </w:p>
    <w:p w14:paraId="65FED888">
      <w:pPr>
        <w:pStyle w:val="5"/>
        <w:numPr>
          <w:ilvl w:val="0"/>
          <w:numId w:val="7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所得税费用表</w:t>
      </w:r>
    </w:p>
    <w:sdt>
      <w:sdtPr>
        <w:rPr>
          <w:color w:val="000000" w:themeColor="text1"/>
          <w14:textFill>
            <w14:solidFill>
              <w14:schemeClr w14:val="tx1"/>
            </w14:solidFill>
          </w14:textFill>
        </w:rPr>
        <w:alias w:val="是否适用：所得税费用表[双击切换]"/>
        <w:tag w:val="_GBC_61ff35087b014685a6e03347957ab922"/>
        <w:id w:val="1514793596"/>
        <w:placeholder>
          <w:docPart w:val="GBC22222222222222222222222222222"/>
        </w:placeholder>
      </w:sdtPr>
      <w:sdtEndPr>
        <w:rPr>
          <w:color w:val="000000" w:themeColor="text1"/>
          <w14:textFill>
            <w14:solidFill>
              <w14:schemeClr w14:val="tx1"/>
            </w14:solidFill>
          </w14:textFill>
        </w:rPr>
      </w:sdtEndPr>
      <w:sdtContent>
        <w:p w14:paraId="17C0250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D313098">
      <w:pPr>
        <w:wordWrap w:val="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所得税费用"/>
          <w:tag w:val="_GBC_18ed8ed511fe4791a90ee25fc956bd2b"/>
          <w:id w:val="-1731859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所得税费用"/>
          <w:tag w:val="_GBC_ecc6df02f1744ff084d6c0d30045219a"/>
          <w:id w:val="14001638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157"/>
        <w:gridCol w:w="2877"/>
        <w:gridCol w:w="2861"/>
      </w:tblGrid>
      <w:tr w14:paraId="65CB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trHeight w:val="87" w:hRule="atLeast"/>
        </w:trPr>
        <w:sdt>
          <w:sdtPr>
            <w:tag w:val="_PLD_951f380ec376457cb80126c7d6018f65"/>
            <w:id w:val="-1955386363"/>
          </w:sdtPr>
          <w:sdtContent>
            <w:tc>
              <w:tcPr>
                <w:tcW w:w="1774" w:type="pct"/>
                <w:vAlign w:val="center"/>
              </w:tcPr>
              <w:p w14:paraId="382954FF">
                <w:pPr>
                  <w:ind w:right="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e59791ce9d340b7b60e63b833f13708"/>
            <w:id w:val="-822196"/>
          </w:sdtPr>
          <w:sdtContent>
            <w:tc>
              <w:tcPr>
                <w:tcW w:w="1617" w:type="pct"/>
                <w:vAlign w:val="center"/>
              </w:tcPr>
              <w:p w14:paraId="30D1B1F7">
                <w:pPr>
                  <w:ind w:right="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23c0825dcbc74481a17a7811dee40e02"/>
            <w:id w:val="-629709485"/>
          </w:sdtPr>
          <w:sdtContent>
            <w:tc>
              <w:tcPr>
                <w:tcW w:w="1608" w:type="pct"/>
                <w:vAlign w:val="center"/>
              </w:tcPr>
              <w:p w14:paraId="385279FB">
                <w:pPr>
                  <w:ind w:right="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3ED7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774" w:type="pct"/>
          </w:tcPr>
          <w:p w14:paraId="59BB5778">
            <w:pPr>
              <w:ind w:right="6"/>
              <w:rPr>
                <w:b/>
                <w:bCs/>
                <w:color w:val="000000" w:themeColor="text1"/>
                <w14:textFill>
                  <w14:solidFill>
                    <w14:schemeClr w14:val="tx1"/>
                  </w14:solidFill>
                </w14:textFill>
              </w:rPr>
            </w:pPr>
            <w:r>
              <w:rPr>
                <w:rFonts w:hint="eastAsia"/>
                <w:color w:val="000000" w:themeColor="text1"/>
                <w14:textFill>
                  <w14:solidFill>
                    <w14:schemeClr w14:val="tx1"/>
                  </w14:solidFill>
                </w14:textFill>
              </w:rPr>
              <w:t>当期所得税费用</w:t>
            </w:r>
          </w:p>
        </w:tc>
        <w:tc>
          <w:tcPr>
            <w:tcW w:w="1617" w:type="pct"/>
            <w:vAlign w:val="center"/>
          </w:tcPr>
          <w:p w14:paraId="2271D9CB">
            <w:pPr>
              <w:jc w:val="right"/>
            </w:pPr>
            <w:r>
              <w:t>12,336,602.15</w:t>
            </w:r>
          </w:p>
        </w:tc>
        <w:tc>
          <w:tcPr>
            <w:tcW w:w="1608" w:type="pct"/>
            <w:vAlign w:val="center"/>
          </w:tcPr>
          <w:p w14:paraId="3E5E4842">
            <w:pPr>
              <w:jc w:val="right"/>
            </w:pPr>
            <w:r>
              <w:t>3,268,789.43</w:t>
            </w:r>
          </w:p>
        </w:tc>
      </w:tr>
      <w:tr w14:paraId="1967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774" w:type="pct"/>
          </w:tcPr>
          <w:p w14:paraId="7A73EA7B">
            <w:pPr>
              <w:ind w:right="6"/>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递延所得税费用</w:t>
            </w:r>
          </w:p>
        </w:tc>
        <w:tc>
          <w:tcPr>
            <w:tcW w:w="1617" w:type="pct"/>
            <w:vAlign w:val="center"/>
          </w:tcPr>
          <w:p w14:paraId="32D7BCEB">
            <w:pPr>
              <w:jc w:val="right"/>
            </w:pPr>
            <w:r>
              <w:t>160,929,861.93</w:t>
            </w:r>
          </w:p>
        </w:tc>
        <w:tc>
          <w:tcPr>
            <w:tcW w:w="1608" w:type="pct"/>
            <w:vAlign w:val="center"/>
          </w:tcPr>
          <w:p w14:paraId="4EA26CD0">
            <w:pPr>
              <w:jc w:val="right"/>
            </w:pPr>
            <w:r>
              <w:t>-24,935,777.18</w:t>
            </w:r>
          </w:p>
        </w:tc>
      </w:tr>
      <w:tr w14:paraId="0935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1774" w:type="pct"/>
          </w:tcPr>
          <w:p w14:paraId="0A5A4169">
            <w:pPr>
              <w:ind w:right="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17" w:type="pct"/>
            <w:vAlign w:val="center"/>
          </w:tcPr>
          <w:p w14:paraId="151F28AF">
            <w:pPr>
              <w:jc w:val="right"/>
            </w:pPr>
            <w:r>
              <w:t>173,266,464.08</w:t>
            </w:r>
          </w:p>
        </w:tc>
        <w:tc>
          <w:tcPr>
            <w:tcW w:w="1608" w:type="pct"/>
            <w:vAlign w:val="center"/>
          </w:tcPr>
          <w:p w14:paraId="27FB3FD9">
            <w:pPr>
              <w:jc w:val="right"/>
            </w:pPr>
            <w:r>
              <w:t>-21,666,987.75</w:t>
            </w:r>
          </w:p>
        </w:tc>
      </w:tr>
    </w:tbl>
    <w:p w14:paraId="476D76F5">
      <w:pPr>
        <w:rPr>
          <w:color w:val="000000" w:themeColor="text1"/>
          <w14:textFill>
            <w14:solidFill>
              <w14:schemeClr w14:val="tx1"/>
            </w14:solidFill>
          </w14:textFill>
        </w:rPr>
      </w:pPr>
    </w:p>
    <w:p w14:paraId="0201A8BA">
      <w:pPr>
        <w:pStyle w:val="5"/>
        <w:numPr>
          <w:ilvl w:val="0"/>
          <w:numId w:val="7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会计利润与所得税费用调整过程</w:t>
      </w:r>
    </w:p>
    <w:sdt>
      <w:sdtPr>
        <w:rPr>
          <w:color w:val="000000" w:themeColor="text1"/>
          <w14:textFill>
            <w14:solidFill>
              <w14:schemeClr w14:val="tx1"/>
            </w14:solidFill>
          </w14:textFill>
        </w:rPr>
        <w:alias w:val="是否适用：会计利润与所得税费用调整过程[双击切换]"/>
        <w:tag w:val="_GBC_92a49ce6320645cc9101c809f426c9db"/>
        <w:id w:val="-1946299561"/>
        <w:placeholder>
          <w:docPart w:val="GBC22222222222222222222222222222"/>
        </w:placeholder>
      </w:sdtPr>
      <w:sdtEndPr>
        <w:rPr>
          <w:color w:val="000000" w:themeColor="text1"/>
          <w14:textFill>
            <w14:solidFill>
              <w14:schemeClr w14:val="tx1"/>
            </w14:solidFill>
          </w14:textFill>
        </w:rPr>
      </w:sdtEndPr>
      <w:sdtContent>
        <w:p w14:paraId="49E402A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B0005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会计利润与所得税费用调整过程"/>
          <w:tag w:val="_GBC_8b3d0d6296b944dcbc6077158d5eb7ca"/>
          <w:id w:val="1771659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会计利润与所得税费用调整过程"/>
          <w:tag w:val="_GBC_f07b399def8f4b49bdebcbb56994fb61"/>
          <w:id w:val="-14856176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6426"/>
        <w:gridCol w:w="2465"/>
      </w:tblGrid>
      <w:tr w14:paraId="0E39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sdt>
          <w:sdtPr>
            <w:tag w:val="_PLD_762c770e68ab4734ab4b1455db567f92"/>
            <w:id w:val="541944724"/>
          </w:sdtPr>
          <w:sdtContent>
            <w:tc>
              <w:tcPr>
                <w:tcW w:w="3614" w:type="pct"/>
              </w:tcPr>
              <w:p w14:paraId="642528C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dbffde77b3344828a64e53b9962d0e3a"/>
            <w:id w:val="1462302270"/>
          </w:sdtPr>
          <w:sdtContent>
            <w:tc>
              <w:tcPr>
                <w:tcW w:w="1386" w:type="pct"/>
              </w:tcPr>
              <w:p w14:paraId="5E9E778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tr>
      <w:tr w14:paraId="27C9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tcPr>
          <w:p w14:paraId="6BDA3488">
            <w:pPr>
              <w:ind w:right="6"/>
              <w:rPr>
                <w:b/>
                <w:bCs/>
                <w:color w:val="000000" w:themeColor="text1"/>
                <w14:textFill>
                  <w14:solidFill>
                    <w14:schemeClr w14:val="tx1"/>
                  </w14:solidFill>
                </w14:textFill>
              </w:rPr>
            </w:pPr>
            <w:r>
              <w:rPr>
                <w:rFonts w:hint="eastAsia"/>
                <w:color w:val="000000" w:themeColor="text1"/>
                <w14:textFill>
                  <w14:solidFill>
                    <w14:schemeClr w14:val="tx1"/>
                  </w14:solidFill>
                </w14:textFill>
              </w:rPr>
              <w:t>利润总额</w:t>
            </w:r>
          </w:p>
        </w:tc>
        <w:tc>
          <w:tcPr>
            <w:tcW w:w="1386" w:type="pct"/>
            <w:vAlign w:val="center"/>
          </w:tcPr>
          <w:p w14:paraId="2F83B33D">
            <w:pPr>
              <w:jc w:val="right"/>
            </w:pPr>
            <w:r>
              <w:t>57,295,416.36</w:t>
            </w:r>
          </w:p>
        </w:tc>
      </w:tr>
      <w:tr w14:paraId="3848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tcPr>
          <w:p w14:paraId="3CA77544">
            <w:pPr>
              <w:ind w:right="6"/>
              <w:rPr>
                <w:color w:val="000000" w:themeColor="text1"/>
                <w14:textFill>
                  <w14:solidFill>
                    <w14:schemeClr w14:val="tx1"/>
                  </w14:solidFill>
                </w14:textFill>
              </w:rPr>
            </w:pPr>
            <w:r>
              <w:rPr>
                <w:rFonts w:hint="eastAsia"/>
                <w:color w:val="000000" w:themeColor="text1"/>
                <w14:textFill>
                  <w14:solidFill>
                    <w14:schemeClr w14:val="tx1"/>
                  </w14:solidFill>
                </w14:textFill>
              </w:rPr>
              <w:t>按法定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适用税率计算的所得税费用</w:t>
            </w:r>
          </w:p>
        </w:tc>
        <w:tc>
          <w:tcPr>
            <w:tcW w:w="1386" w:type="pct"/>
            <w:vAlign w:val="center"/>
          </w:tcPr>
          <w:p w14:paraId="27F0EF4D">
            <w:pPr>
              <w:jc w:val="right"/>
            </w:pPr>
            <w:r>
              <w:t>8,594,312.45</w:t>
            </w:r>
          </w:p>
        </w:tc>
      </w:tr>
      <w:tr w14:paraId="4D0D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trHeight w:val="139" w:hRule="atLeast"/>
        </w:trPr>
        <w:tc>
          <w:tcPr>
            <w:tcW w:w="3614" w:type="pct"/>
          </w:tcPr>
          <w:p w14:paraId="7D8294B4">
            <w:pPr>
              <w:ind w:right="6"/>
              <w:rPr>
                <w:color w:val="000000" w:themeColor="text1"/>
                <w14:textFill>
                  <w14:solidFill>
                    <w14:schemeClr w14:val="tx1"/>
                  </w14:solidFill>
                </w14:textFill>
              </w:rPr>
            </w:pPr>
            <w:r>
              <w:rPr>
                <w:rFonts w:hint="eastAsia"/>
                <w:color w:val="000000" w:themeColor="text1"/>
                <w14:textFill>
                  <w14:solidFill>
                    <w14:schemeClr w14:val="tx1"/>
                  </w14:solidFill>
                </w14:textFill>
              </w:rPr>
              <w:t>子公司适用不同税率的影响</w:t>
            </w:r>
          </w:p>
        </w:tc>
        <w:tc>
          <w:tcPr>
            <w:tcW w:w="1386" w:type="pct"/>
            <w:vAlign w:val="center"/>
          </w:tcPr>
          <w:p w14:paraId="5690F0B9">
            <w:pPr>
              <w:jc w:val="right"/>
            </w:pPr>
            <w:r>
              <w:t>-663,895.45</w:t>
            </w:r>
          </w:p>
        </w:tc>
      </w:tr>
      <w:tr w14:paraId="1684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tcPr>
          <w:p w14:paraId="1004AB86">
            <w:pPr>
              <w:ind w:right="6"/>
              <w:rPr>
                <w:color w:val="000000" w:themeColor="text1"/>
                <w14:textFill>
                  <w14:solidFill>
                    <w14:schemeClr w14:val="tx1"/>
                  </w14:solidFill>
                </w14:textFill>
              </w:rPr>
            </w:pPr>
            <w:r>
              <w:rPr>
                <w:rFonts w:hint="eastAsia"/>
                <w:color w:val="000000" w:themeColor="text1"/>
                <w14:textFill>
                  <w14:solidFill>
                    <w14:schemeClr w14:val="tx1"/>
                  </w14:solidFill>
                </w14:textFill>
              </w:rPr>
              <w:t>调整以前期间所得税的影响</w:t>
            </w:r>
          </w:p>
        </w:tc>
        <w:tc>
          <w:tcPr>
            <w:tcW w:w="1386" w:type="pct"/>
            <w:vAlign w:val="center"/>
          </w:tcPr>
          <w:p w14:paraId="03BA4005">
            <w:pPr>
              <w:jc w:val="right"/>
            </w:pPr>
            <w:r>
              <w:t>1,650,593.88</w:t>
            </w:r>
          </w:p>
        </w:tc>
      </w:tr>
      <w:tr w14:paraId="17D3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tcPr>
          <w:p w14:paraId="70510C16">
            <w:pPr>
              <w:ind w:right="6"/>
              <w:rPr>
                <w:color w:val="000000" w:themeColor="text1"/>
                <w14:textFill>
                  <w14:solidFill>
                    <w14:schemeClr w14:val="tx1"/>
                  </w14:solidFill>
                </w14:textFill>
              </w:rPr>
            </w:pPr>
            <w:r>
              <w:rPr>
                <w:rFonts w:hint="eastAsia"/>
                <w:color w:val="000000" w:themeColor="text1"/>
                <w14:textFill>
                  <w14:solidFill>
                    <w14:schemeClr w14:val="tx1"/>
                  </w14:solidFill>
                </w14:textFill>
              </w:rPr>
              <w:t>非应税收入的影响</w:t>
            </w:r>
          </w:p>
        </w:tc>
        <w:tc>
          <w:tcPr>
            <w:tcW w:w="1386" w:type="pct"/>
            <w:vAlign w:val="center"/>
          </w:tcPr>
          <w:p w14:paraId="1074614C">
            <w:pPr>
              <w:jc w:val="right"/>
            </w:pPr>
            <w:r>
              <w:t>-37,790,574.56</w:t>
            </w:r>
          </w:p>
        </w:tc>
      </w:tr>
      <w:tr w14:paraId="210F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tcPr>
          <w:p w14:paraId="4B8540A9">
            <w:pPr>
              <w:ind w:right="6"/>
              <w:rPr>
                <w:color w:val="000000" w:themeColor="text1"/>
                <w14:textFill>
                  <w14:solidFill>
                    <w14:schemeClr w14:val="tx1"/>
                  </w14:solidFill>
                </w14:textFill>
              </w:rPr>
            </w:pPr>
            <w:r>
              <w:rPr>
                <w:rFonts w:hint="eastAsia"/>
                <w:color w:val="000000" w:themeColor="text1"/>
                <w14:textFill>
                  <w14:solidFill>
                    <w14:schemeClr w14:val="tx1"/>
                  </w14:solidFill>
                </w14:textFill>
              </w:rPr>
              <w:t>不可抵扣的成本、费用和损失的影响</w:t>
            </w:r>
          </w:p>
        </w:tc>
        <w:tc>
          <w:tcPr>
            <w:tcW w:w="1386" w:type="pct"/>
            <w:vAlign w:val="center"/>
          </w:tcPr>
          <w:p w14:paraId="08835D18">
            <w:pPr>
              <w:jc w:val="right"/>
            </w:pPr>
            <w:r>
              <w:t>566,160.06</w:t>
            </w:r>
          </w:p>
        </w:tc>
      </w:tr>
      <w:tr w14:paraId="04FE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tcPr>
          <w:p w14:paraId="1352CD61">
            <w:pPr>
              <w:ind w:right="6"/>
              <w:rPr>
                <w:color w:val="000000" w:themeColor="text1"/>
                <w14:textFill>
                  <w14:solidFill>
                    <w14:schemeClr w14:val="tx1"/>
                  </w14:solidFill>
                </w14:textFill>
              </w:rPr>
            </w:pPr>
            <w:r>
              <w:rPr>
                <w:rFonts w:hint="eastAsia"/>
                <w:color w:val="000000" w:themeColor="text1"/>
                <w14:textFill>
                  <w14:solidFill>
                    <w14:schemeClr w14:val="tx1"/>
                  </w14:solidFill>
                </w14:textFill>
              </w:rPr>
              <w:t>使用前期未确认递延所得税资产的可抵扣亏损的影响</w:t>
            </w:r>
          </w:p>
        </w:tc>
        <w:tc>
          <w:tcPr>
            <w:tcW w:w="1386" w:type="pct"/>
            <w:vAlign w:val="center"/>
          </w:tcPr>
          <w:p w14:paraId="4A71CFB8">
            <w:pPr>
              <w:jc w:val="right"/>
            </w:pPr>
            <w:r>
              <w:t>-10,875,237.76</w:t>
            </w:r>
          </w:p>
        </w:tc>
      </w:tr>
      <w:tr w14:paraId="3FAD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tcPr>
          <w:p w14:paraId="1073689F">
            <w:pPr>
              <w:ind w:right="6"/>
              <w:rPr>
                <w:color w:val="000000" w:themeColor="text1"/>
                <w14:textFill>
                  <w14:solidFill>
                    <w14:schemeClr w14:val="tx1"/>
                  </w14:solidFill>
                </w14:textFill>
              </w:rPr>
            </w:pPr>
            <w:r>
              <w:rPr>
                <w:rFonts w:hint="eastAsia"/>
                <w:color w:val="000000" w:themeColor="text1"/>
                <w14:textFill>
                  <w14:solidFill>
                    <w14:schemeClr w14:val="tx1"/>
                  </w14:solidFill>
                </w14:textFill>
              </w:rPr>
              <w:t>本期未确认递延所得税资产的可抵扣暂时性差异或可抵扣亏损的影响</w:t>
            </w:r>
          </w:p>
        </w:tc>
        <w:tc>
          <w:tcPr>
            <w:tcW w:w="1386" w:type="pct"/>
            <w:vAlign w:val="center"/>
          </w:tcPr>
          <w:p w14:paraId="4602400A">
            <w:pPr>
              <w:jc w:val="right"/>
            </w:pPr>
            <w:r>
              <w:t>119,798,470.34</w:t>
            </w:r>
          </w:p>
        </w:tc>
      </w:tr>
      <w:tr w14:paraId="696B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vAlign w:val="center"/>
          </w:tcPr>
          <w:p w14:paraId="206EB8D9">
            <w:r>
              <w:t>加计扣除项目的影响</w:t>
            </w:r>
          </w:p>
        </w:tc>
        <w:tc>
          <w:tcPr>
            <w:tcW w:w="1386" w:type="pct"/>
            <w:vAlign w:val="center"/>
          </w:tcPr>
          <w:p w14:paraId="7B33BB08">
            <w:pPr>
              <w:jc w:val="right"/>
            </w:pPr>
            <w:r>
              <w:t>-30,610,020.73</w:t>
            </w:r>
          </w:p>
        </w:tc>
      </w:tr>
      <w:tr w14:paraId="6D3F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vAlign w:val="center"/>
          </w:tcPr>
          <w:p w14:paraId="5EB0A297">
            <w:r>
              <w:t>对前期已确认递延所得税资产的调整</w:t>
            </w:r>
          </w:p>
        </w:tc>
        <w:tc>
          <w:tcPr>
            <w:tcW w:w="1386" w:type="pct"/>
            <w:vAlign w:val="center"/>
          </w:tcPr>
          <w:p w14:paraId="226D646B">
            <w:pPr>
              <w:jc w:val="right"/>
            </w:pPr>
            <w:r>
              <w:t>122,596,655.83</w:t>
            </w:r>
          </w:p>
        </w:tc>
      </w:tr>
      <w:tr w14:paraId="3188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c>
          <w:tcPr>
            <w:tcW w:w="3614" w:type="pct"/>
          </w:tcPr>
          <w:p w14:paraId="05A31E4F">
            <w:pPr>
              <w:rPr>
                <w:color w:val="000000" w:themeColor="text1"/>
                <w14:textFill>
                  <w14:solidFill>
                    <w14:schemeClr w14:val="tx1"/>
                  </w14:solidFill>
                </w14:textFill>
              </w:rPr>
            </w:pPr>
            <w:r>
              <w:rPr>
                <w:rFonts w:hint="eastAsia"/>
                <w:color w:val="000000" w:themeColor="text1"/>
                <w14:textFill>
                  <w14:solidFill>
                    <w14:schemeClr w14:val="tx1"/>
                  </w14:solidFill>
                </w14:textFill>
              </w:rPr>
              <w:t>所得税费用</w:t>
            </w:r>
          </w:p>
        </w:tc>
        <w:tc>
          <w:tcPr>
            <w:tcW w:w="1386" w:type="pct"/>
            <w:vAlign w:val="center"/>
          </w:tcPr>
          <w:p w14:paraId="667B9353">
            <w:pPr>
              <w:jc w:val="right"/>
            </w:pPr>
            <w:r>
              <w:t>173,266,464.08</w:t>
            </w:r>
          </w:p>
        </w:tc>
      </w:tr>
    </w:tbl>
    <w:p w14:paraId="745BC4C1"/>
    <w:p w14:paraId="5F5272C6">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所得税费用的说明[双击切换]"/>
        <w:tag w:val="_GBC_0363d79a647b4d96aa5d7b72c93b1e45"/>
        <w:id w:val="514117781"/>
        <w:placeholder>
          <w:docPart w:val="GBC22222222222222222222222222222"/>
        </w:placeholder>
      </w:sdtPr>
      <w:sdtEndPr>
        <w:rPr>
          <w:color w:val="000000" w:themeColor="text1"/>
          <w14:textFill>
            <w14:solidFill>
              <w14:schemeClr w14:val="tx1"/>
            </w14:solidFill>
          </w14:textFill>
        </w:rPr>
      </w:sdtEndPr>
      <w:sdtContent>
        <w:p w14:paraId="101FB5F6">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7622228">
      <w:pPr>
        <w:rPr>
          <w:b/>
          <w:color w:val="000000" w:themeColor="text1"/>
          <w14:textFill>
            <w14:solidFill>
              <w14:schemeClr w14:val="tx1"/>
            </w14:solidFill>
          </w14:textFill>
        </w:rPr>
      </w:pPr>
    </w:p>
    <w:p w14:paraId="78A95D73">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其他综合收益</w:t>
      </w:r>
    </w:p>
    <w:sdt>
      <w:sdtPr>
        <w:rPr>
          <w:color w:val="000000" w:themeColor="text1"/>
          <w14:textFill>
            <w14:solidFill>
              <w14:schemeClr w14:val="tx1"/>
            </w14:solidFill>
          </w14:textFill>
        </w:rPr>
        <w:alias w:val="是否适用：其他综合收益[双击切换]"/>
        <w:tag w:val="_GBC_bef6c47936994e5e94c77d5dd812be30"/>
        <w:id w:val="1492066145"/>
        <w:placeholder>
          <w:docPart w:val="GBC22222222222222222222222222222"/>
        </w:placeholder>
      </w:sdtPr>
      <w:sdtEndPr>
        <w:rPr>
          <w:color w:val="000000" w:themeColor="text1"/>
          <w14:textFill>
            <w14:solidFill>
              <w14:schemeClr w14:val="tx1"/>
            </w14:solidFill>
          </w14:textFill>
        </w:rPr>
      </w:sdtEndPr>
      <w:sdtContent>
        <w:p w14:paraId="6DE1FCE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AFF8424">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其他综合收益详见附注"/>
          <w:tag w:val="_GBC_6f59ae7e2b78472ea4fa736cbb8f062d"/>
          <w:id w:val="579100690"/>
          <w:placeholder>
            <w:docPart w:val="GBC22222222222222222222222222222"/>
          </w:placeholder>
        </w:sdtPr>
        <w:sdtEndPr>
          <w:rPr>
            <w:rFonts w:hint="eastAsia" w:ascii="宋体" w:hAnsi="宋体"/>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详见</w:t>
          </w:r>
          <w:r>
            <w:rPr>
              <w:rFonts w:ascii="宋体" w:hAnsi="宋体" w:cs="Arial"/>
              <w:shd w:val="clear" w:color="auto" w:fill="FFFFFF"/>
            </w:rPr>
            <w:t>本报告第</w:t>
          </w:r>
          <w:r>
            <w:rPr>
              <w:rFonts w:hint="eastAsia" w:ascii="宋体" w:hAnsi="宋体" w:cs="Arial"/>
              <w:shd w:val="clear" w:color="auto" w:fill="FFFFFF"/>
            </w:rPr>
            <w:t>八</w:t>
          </w:r>
          <w:r>
            <w:rPr>
              <w:rFonts w:ascii="宋体" w:hAnsi="宋体" w:cs="Arial"/>
              <w:shd w:val="clear" w:color="auto" w:fill="FFFFFF"/>
            </w:rPr>
            <w:t>节财务报告、七、</w:t>
          </w:r>
          <w:r>
            <w:rPr>
              <w:rFonts w:hint="eastAsia" w:ascii="宋体" w:hAnsi="宋体" w:cs="Arial"/>
              <w:shd w:val="clear" w:color="auto" w:fill="FFFFFF"/>
            </w:rPr>
            <w:t xml:space="preserve">“合并财务报表项目注释 </w:t>
          </w:r>
          <w:r>
            <w:rPr>
              <w:rFonts w:ascii="宋体" w:hAnsi="宋体" w:cs="Courier New"/>
              <w:shd w:val="clear" w:color="auto" w:fill="FFFFFF"/>
            </w:rPr>
            <w:t>57</w:t>
          </w:r>
          <w:r>
            <w:rPr>
              <w:rFonts w:hint="eastAsia" w:ascii="宋体" w:hAnsi="宋体" w:cs="Courier New"/>
              <w:shd w:val="clear" w:color="auto" w:fill="FFFFFF"/>
            </w:rPr>
            <w:t>、其他综合收益</w:t>
          </w:r>
          <w:r>
            <w:rPr>
              <w:rFonts w:ascii="宋体" w:hAnsi="宋体" w:cs="Arial"/>
              <w:shd w:val="clear" w:color="auto" w:fill="FFFFFF"/>
            </w:rPr>
            <w:t>”</w:t>
          </w:r>
          <w:r>
            <w:rPr>
              <w:rFonts w:hint="eastAsia" w:ascii="宋体" w:hAnsi="宋体" w:cs="Arial"/>
              <w:shd w:val="clear" w:color="auto" w:fill="FFFFFF"/>
            </w:rPr>
            <w:t>。</w:t>
          </w:r>
        </w:sdtContent>
      </w:sdt>
    </w:p>
    <w:p w14:paraId="536CE39E">
      <w:pPr>
        <w:rPr>
          <w:color w:val="000000" w:themeColor="text1"/>
          <w14:textFill>
            <w14:solidFill>
              <w14:schemeClr w14:val="tx1"/>
            </w14:solidFill>
          </w14:textFill>
        </w:rPr>
      </w:pPr>
    </w:p>
    <w:p w14:paraId="1EEAF441">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现金流量表项目</w:t>
      </w:r>
    </w:p>
    <w:p w14:paraId="5FE10787">
      <w:pPr>
        <w:pStyle w:val="5"/>
        <w:numPr>
          <w:ilvl w:val="0"/>
          <w:numId w:val="77"/>
        </w:numPr>
        <w:rPr>
          <w:color w:val="000000" w:themeColor="text1"/>
          <w14:textFill>
            <w14:solidFill>
              <w14:schemeClr w14:val="tx1"/>
            </w14:solidFill>
          </w14:textFill>
        </w:rPr>
      </w:pPr>
      <w:r>
        <w:rPr>
          <w:rFonts w:hint="eastAsia"/>
          <w:color w:val="000000" w:themeColor="text1"/>
          <w14:textFill>
            <w14:solidFill>
              <w14:schemeClr w14:val="tx1"/>
            </w14:solidFill>
          </w14:textFill>
        </w:rPr>
        <w:t>与经营活动有关的现金</w:t>
      </w:r>
    </w:p>
    <w:p w14:paraId="7DDB68F8">
      <w:pPr>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收到的其他与经营活动有关的现金</w:t>
      </w:r>
    </w:p>
    <w:sdt>
      <w:sdtPr>
        <w:rPr>
          <w:color w:val="000000" w:themeColor="text1"/>
          <w14:textFill>
            <w14:solidFill>
              <w14:schemeClr w14:val="tx1"/>
            </w14:solidFill>
          </w14:textFill>
        </w:rPr>
        <w:alias w:val="是否适用：收到的其他与经营活动有关的现金[双击切换]"/>
        <w:tag w:val="_GBC_c5c1fd7856fd40f88e814da378eb1220"/>
        <w:id w:val="-226235427"/>
        <w:placeholder>
          <w:docPart w:val="GBC22222222222222222222222222222"/>
        </w:placeholder>
      </w:sdtPr>
      <w:sdtEndPr>
        <w:rPr>
          <w:color w:val="000000" w:themeColor="text1"/>
          <w14:textFill>
            <w14:solidFill>
              <w14:schemeClr w14:val="tx1"/>
            </w14:solidFill>
          </w14:textFill>
        </w:rPr>
      </w:sdtEndPr>
      <w:sdtContent>
        <w:p w14:paraId="473B40E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3C8ACA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收到的其他与经营活动有关的现金"/>
          <w:tag w:val="_GBC_5ccae82b68484e708f12fda90762616a"/>
          <w:id w:val="-5552413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收到的其他与经营活动有关的现金"/>
          <w:tag w:val="_GBC_fab1e143b1314991a3aebb857ed68a09"/>
          <w:id w:val="17350421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778"/>
        <w:gridCol w:w="2768"/>
      </w:tblGrid>
      <w:tr w14:paraId="38BE1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37a08d49f8e14506929ae8c9544c259e"/>
            <w:id w:val="-281262641"/>
          </w:sdtPr>
          <w:sdtContent>
            <w:tc>
              <w:tcPr>
                <w:tcW w:w="1882" w:type="pct"/>
              </w:tcPr>
              <w:p w14:paraId="2CC8387A">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f6cb8d17057e4de79000a7b7c263b07e"/>
            <w:id w:val="1689021538"/>
          </w:sdtPr>
          <w:sdtContent>
            <w:tc>
              <w:tcPr>
                <w:tcW w:w="1562" w:type="pct"/>
              </w:tcPr>
              <w:p w14:paraId="130B942E">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28d6db3ec51c43eb8751b53e93c8f270"/>
            <w:id w:val="881052884"/>
          </w:sdtPr>
          <w:sdtContent>
            <w:tc>
              <w:tcPr>
                <w:tcW w:w="1556" w:type="pct"/>
              </w:tcPr>
              <w:p w14:paraId="69630818">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5EB88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380CA1EA">
            <w:pPr>
              <w:autoSpaceDE w:val="0"/>
              <w:autoSpaceDN w:val="0"/>
              <w:adjustRightInd w:val="0"/>
              <w:snapToGrid w:val="0"/>
              <w:spacing w:line="240" w:lineRule="atLeast"/>
              <w:jc w:val="center"/>
            </w:pPr>
            <w:r>
              <w:t>收到利息收入</w:t>
            </w:r>
          </w:p>
        </w:tc>
        <w:tc>
          <w:tcPr>
            <w:tcW w:w="1562" w:type="pct"/>
            <w:vAlign w:val="center"/>
          </w:tcPr>
          <w:p w14:paraId="4BC88AA1">
            <w:pPr>
              <w:jc w:val="right"/>
            </w:pPr>
            <w:r>
              <w:t>30,189,746.37</w:t>
            </w:r>
          </w:p>
        </w:tc>
        <w:tc>
          <w:tcPr>
            <w:tcW w:w="1556" w:type="pct"/>
          </w:tcPr>
          <w:p w14:paraId="12F0BDD6">
            <w:pPr>
              <w:jc w:val="right"/>
            </w:pPr>
            <w:r>
              <w:t>26,330,199.10</w:t>
            </w:r>
          </w:p>
        </w:tc>
      </w:tr>
      <w:tr w14:paraId="3D25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7326B5F4">
            <w:pPr>
              <w:autoSpaceDE w:val="0"/>
              <w:autoSpaceDN w:val="0"/>
              <w:adjustRightInd w:val="0"/>
              <w:snapToGrid w:val="0"/>
              <w:spacing w:line="240" w:lineRule="atLeast"/>
              <w:jc w:val="center"/>
            </w:pPr>
            <w:r>
              <w:t>收到其他收益</w:t>
            </w:r>
          </w:p>
        </w:tc>
        <w:tc>
          <w:tcPr>
            <w:tcW w:w="1562" w:type="pct"/>
            <w:vAlign w:val="center"/>
          </w:tcPr>
          <w:p w14:paraId="032B802E">
            <w:pPr>
              <w:jc w:val="right"/>
            </w:pPr>
            <w:r>
              <w:t>497,966,709.95</w:t>
            </w:r>
          </w:p>
        </w:tc>
        <w:tc>
          <w:tcPr>
            <w:tcW w:w="1556" w:type="pct"/>
          </w:tcPr>
          <w:p w14:paraId="4ADBABEC">
            <w:pPr>
              <w:jc w:val="right"/>
            </w:pPr>
            <w:r>
              <w:t>9,040,504.81</w:t>
            </w:r>
          </w:p>
        </w:tc>
      </w:tr>
      <w:tr w14:paraId="705A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1906F7BE">
            <w:pPr>
              <w:autoSpaceDE w:val="0"/>
              <w:autoSpaceDN w:val="0"/>
              <w:adjustRightInd w:val="0"/>
              <w:snapToGrid w:val="0"/>
              <w:spacing w:line="240" w:lineRule="atLeast"/>
              <w:jc w:val="center"/>
            </w:pPr>
            <w:r>
              <w:t>收到其他单位往来款</w:t>
            </w:r>
          </w:p>
        </w:tc>
        <w:tc>
          <w:tcPr>
            <w:tcW w:w="1562" w:type="pct"/>
            <w:vAlign w:val="center"/>
          </w:tcPr>
          <w:p w14:paraId="56DA9C19">
            <w:pPr>
              <w:jc w:val="right"/>
            </w:pPr>
            <w:r>
              <w:t>999,223.67</w:t>
            </w:r>
          </w:p>
        </w:tc>
        <w:tc>
          <w:tcPr>
            <w:tcW w:w="1556" w:type="pct"/>
          </w:tcPr>
          <w:p w14:paraId="0A9B5425">
            <w:pPr>
              <w:jc w:val="right"/>
            </w:pPr>
            <w:r>
              <w:t>12,249,409.45</w:t>
            </w:r>
          </w:p>
        </w:tc>
      </w:tr>
      <w:tr w14:paraId="5E8B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0FA7F030">
            <w:pPr>
              <w:autoSpaceDE w:val="0"/>
              <w:autoSpaceDN w:val="0"/>
              <w:adjustRightInd w:val="0"/>
              <w:snapToGrid w:val="0"/>
              <w:spacing w:line="240" w:lineRule="atLeast"/>
              <w:jc w:val="center"/>
            </w:pPr>
            <w:r>
              <w:t>收到租金收入</w:t>
            </w:r>
          </w:p>
        </w:tc>
        <w:tc>
          <w:tcPr>
            <w:tcW w:w="1562" w:type="pct"/>
            <w:vAlign w:val="center"/>
          </w:tcPr>
          <w:p w14:paraId="224C9105">
            <w:pPr>
              <w:jc w:val="right"/>
            </w:pPr>
            <w:r>
              <w:t>4,297,643.93</w:t>
            </w:r>
          </w:p>
        </w:tc>
        <w:tc>
          <w:tcPr>
            <w:tcW w:w="1556" w:type="pct"/>
          </w:tcPr>
          <w:p w14:paraId="3B0175DD">
            <w:pPr>
              <w:jc w:val="right"/>
            </w:pPr>
            <w:r>
              <w:t>6,900,132.67</w:t>
            </w:r>
          </w:p>
        </w:tc>
      </w:tr>
      <w:tr w14:paraId="58FB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102C4994">
            <w:pPr>
              <w:autoSpaceDE w:val="0"/>
              <w:autoSpaceDN w:val="0"/>
              <w:adjustRightInd w:val="0"/>
              <w:snapToGrid w:val="0"/>
              <w:spacing w:line="240" w:lineRule="atLeast"/>
              <w:jc w:val="center"/>
            </w:pPr>
            <w:r>
              <w:t>收到的客户保证金</w:t>
            </w:r>
          </w:p>
        </w:tc>
        <w:tc>
          <w:tcPr>
            <w:tcW w:w="1562" w:type="pct"/>
            <w:vAlign w:val="center"/>
          </w:tcPr>
          <w:p w14:paraId="5FB2F6AD">
            <w:pPr>
              <w:jc w:val="right"/>
            </w:pPr>
            <w:r>
              <w:t>20,645,026.97</w:t>
            </w:r>
          </w:p>
        </w:tc>
        <w:tc>
          <w:tcPr>
            <w:tcW w:w="1556" w:type="pct"/>
          </w:tcPr>
          <w:p w14:paraId="2902D4A1">
            <w:pPr>
              <w:jc w:val="right"/>
            </w:pPr>
            <w:r>
              <w:t>28,796,445.14</w:t>
            </w:r>
          </w:p>
        </w:tc>
      </w:tr>
      <w:tr w14:paraId="2E33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315B7946">
            <w:pPr>
              <w:autoSpaceDE w:val="0"/>
              <w:autoSpaceDN w:val="0"/>
              <w:adjustRightInd w:val="0"/>
              <w:snapToGrid w:val="0"/>
              <w:spacing w:line="240" w:lineRule="atLeast"/>
              <w:jc w:val="center"/>
            </w:pPr>
            <w:r>
              <w:t>其他</w:t>
            </w:r>
          </w:p>
        </w:tc>
        <w:tc>
          <w:tcPr>
            <w:tcW w:w="1562" w:type="pct"/>
            <w:vAlign w:val="center"/>
          </w:tcPr>
          <w:p w14:paraId="6FAB1D11">
            <w:pPr>
              <w:jc w:val="right"/>
            </w:pPr>
            <w:r>
              <w:t>14,088,352.67</w:t>
            </w:r>
          </w:p>
        </w:tc>
        <w:tc>
          <w:tcPr>
            <w:tcW w:w="1556" w:type="pct"/>
          </w:tcPr>
          <w:p w14:paraId="616E2106">
            <w:pPr>
              <w:jc w:val="right"/>
            </w:pPr>
            <w:r>
              <w:t>9,715,886.87</w:t>
            </w:r>
          </w:p>
        </w:tc>
      </w:tr>
      <w:tr w14:paraId="65A9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65AE1707">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562" w:type="pct"/>
            <w:vAlign w:val="center"/>
          </w:tcPr>
          <w:p w14:paraId="7E087983">
            <w:pPr>
              <w:jc w:val="right"/>
            </w:pPr>
            <w:r>
              <w:t>568,186,703.56</w:t>
            </w:r>
          </w:p>
        </w:tc>
        <w:tc>
          <w:tcPr>
            <w:tcW w:w="1556" w:type="pct"/>
            <w:vAlign w:val="center"/>
          </w:tcPr>
          <w:p w14:paraId="7DA7AFF2">
            <w:pPr>
              <w:jc w:val="right"/>
            </w:pPr>
            <w:r>
              <w:t>93,032,578.04</w:t>
            </w:r>
          </w:p>
        </w:tc>
      </w:tr>
    </w:tbl>
    <w:p w14:paraId="5CE5F39F"/>
    <w:p w14:paraId="0F2529FC">
      <w:pPr>
        <w:snapToGrid w:val="0"/>
        <w:spacing w:before="60" w:after="60"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收到的其他与经营活动有关的现金说明：</w:t>
      </w:r>
    </w:p>
    <w:sdt>
      <w:sdtPr>
        <w:rPr>
          <w:color w:val="000000" w:themeColor="text1"/>
          <w14:textFill>
            <w14:solidFill>
              <w14:schemeClr w14:val="tx1"/>
            </w14:solidFill>
          </w14:textFill>
        </w:rPr>
        <w:alias w:val="收到的其他与经营活动有关的现金说明"/>
        <w:tag w:val="_GBC_1204b17e37bf4cc187a1ffb6f9463f05"/>
        <w:id w:val="1216241421"/>
        <w:placeholder>
          <w:docPart w:val="GBC22222222222222222222222222222"/>
        </w:placeholder>
      </w:sdtPr>
      <w:sdtEndPr>
        <w:rPr>
          <w:color w:val="000000" w:themeColor="text1"/>
          <w14:textFill>
            <w14:solidFill>
              <w14:schemeClr w14:val="tx1"/>
            </w14:solidFill>
          </w14:textFill>
        </w:rPr>
      </w:sdtEndPr>
      <w:sdtContent>
        <w:p w14:paraId="0D8A71BC">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1C2F8687">
      <w:pPr>
        <w:rPr>
          <w:color w:val="000000" w:themeColor="text1"/>
          <w14:textFill>
            <w14:solidFill>
              <w14:schemeClr w14:val="tx1"/>
            </w14:solidFill>
          </w14:textFill>
        </w:rPr>
      </w:pPr>
    </w:p>
    <w:p w14:paraId="7FB178F0">
      <w:pPr>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支付的其他与经营活动有关的现金</w:t>
      </w:r>
    </w:p>
    <w:sdt>
      <w:sdtPr>
        <w:rPr>
          <w:color w:val="000000" w:themeColor="text1"/>
          <w14:textFill>
            <w14:solidFill>
              <w14:schemeClr w14:val="tx1"/>
            </w14:solidFill>
          </w14:textFill>
        </w:rPr>
        <w:alias w:val="是否适用：支付的其他与经营活动有关的现金[双击切换]"/>
        <w:tag w:val="_GBC_73331002c48743d9a4438c6eb4a07c95"/>
        <w:id w:val="-612822098"/>
        <w:placeholder>
          <w:docPart w:val="GBC22222222222222222222222222222"/>
        </w:placeholder>
      </w:sdtPr>
      <w:sdtEndPr>
        <w:rPr>
          <w:color w:val="000000" w:themeColor="text1"/>
          <w14:textFill>
            <w14:solidFill>
              <w14:schemeClr w14:val="tx1"/>
            </w14:solidFill>
          </w14:textFill>
        </w:rPr>
      </w:sdtEndPr>
      <w:sdtContent>
        <w:p w14:paraId="3532908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AB9500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支付的其他与经营活动有关的现金"/>
          <w:tag w:val="_GBC_8252d4ac9be64f04b08b1dc08e270310"/>
          <w:id w:val="14716380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支付的其他与经营活动有关的现金"/>
          <w:tag w:val="_GBC_37de812db19b41c8a01d10d8b0365268"/>
          <w:id w:val="20837239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995"/>
        <w:gridCol w:w="2449"/>
        <w:gridCol w:w="2449"/>
      </w:tblGrid>
      <w:tr w14:paraId="210F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164da6d2b96e42688b06fe557d996ac2"/>
            <w:id w:val="-945162057"/>
          </w:sdtPr>
          <w:sdtContent>
            <w:tc>
              <w:tcPr>
                <w:tcW w:w="2246" w:type="pct"/>
              </w:tcPr>
              <w:p w14:paraId="6023AC7F">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9d21b5f023448adbd8c69a7e96e585d"/>
            <w:id w:val="-147987939"/>
          </w:sdtPr>
          <w:sdtContent>
            <w:tc>
              <w:tcPr>
                <w:tcW w:w="1377" w:type="pct"/>
              </w:tcPr>
              <w:p w14:paraId="0A2E1F42">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fccf4811cdbb443297a0ce875715525f"/>
            <w:id w:val="-302544290"/>
          </w:sdtPr>
          <w:sdtContent>
            <w:tc>
              <w:tcPr>
                <w:tcW w:w="1377" w:type="pct"/>
              </w:tcPr>
              <w:p w14:paraId="0C4F1A68">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70D4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2246" w:type="pct"/>
          </w:tcPr>
          <w:p w14:paraId="6FA54DEB">
            <w:pPr>
              <w:autoSpaceDE w:val="0"/>
              <w:autoSpaceDN w:val="0"/>
              <w:adjustRightInd w:val="0"/>
              <w:snapToGrid w:val="0"/>
              <w:jc w:val="center"/>
            </w:pPr>
            <w:r>
              <w:t>支付销售费用、管理费用、银行手续费</w:t>
            </w:r>
          </w:p>
        </w:tc>
        <w:tc>
          <w:tcPr>
            <w:tcW w:w="1377" w:type="pct"/>
          </w:tcPr>
          <w:p w14:paraId="1F39A7CE">
            <w:pPr>
              <w:jc w:val="right"/>
            </w:pPr>
            <w:r>
              <w:t>163,044,057.00</w:t>
            </w:r>
          </w:p>
        </w:tc>
        <w:tc>
          <w:tcPr>
            <w:tcW w:w="1377" w:type="pct"/>
          </w:tcPr>
          <w:p w14:paraId="73FDB146">
            <w:pPr>
              <w:jc w:val="right"/>
            </w:pPr>
            <w:r>
              <w:t>198,400,324.27</w:t>
            </w:r>
          </w:p>
        </w:tc>
      </w:tr>
      <w:tr w14:paraId="04CC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2246" w:type="pct"/>
          </w:tcPr>
          <w:p w14:paraId="26ED2503">
            <w:pPr>
              <w:autoSpaceDE w:val="0"/>
              <w:autoSpaceDN w:val="0"/>
              <w:adjustRightInd w:val="0"/>
              <w:snapToGrid w:val="0"/>
              <w:jc w:val="center"/>
            </w:pPr>
            <w:r>
              <w:t>支付其他单位往来款</w:t>
            </w:r>
          </w:p>
        </w:tc>
        <w:tc>
          <w:tcPr>
            <w:tcW w:w="1377" w:type="pct"/>
          </w:tcPr>
          <w:p w14:paraId="1791986B">
            <w:pPr>
              <w:jc w:val="right"/>
            </w:pPr>
            <w:r>
              <w:t>26,381,670.53</w:t>
            </w:r>
          </w:p>
        </w:tc>
        <w:tc>
          <w:tcPr>
            <w:tcW w:w="1377" w:type="pct"/>
          </w:tcPr>
          <w:p w14:paraId="533F6583">
            <w:pPr>
              <w:jc w:val="right"/>
            </w:pPr>
            <w:r>
              <w:t>22,956,871.24</w:t>
            </w:r>
          </w:p>
        </w:tc>
      </w:tr>
      <w:tr w14:paraId="61D4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2246" w:type="pct"/>
          </w:tcPr>
          <w:p w14:paraId="66DE65D5">
            <w:pPr>
              <w:autoSpaceDE w:val="0"/>
              <w:autoSpaceDN w:val="0"/>
              <w:adjustRightInd w:val="0"/>
              <w:snapToGrid w:val="0"/>
              <w:jc w:val="center"/>
            </w:pPr>
            <w:r>
              <w:t>退还客户保证金</w:t>
            </w:r>
          </w:p>
        </w:tc>
        <w:tc>
          <w:tcPr>
            <w:tcW w:w="1377" w:type="pct"/>
          </w:tcPr>
          <w:p w14:paraId="1DF7AF8E">
            <w:pPr>
              <w:jc w:val="right"/>
            </w:pPr>
            <w:r>
              <w:t>22,920,959.63</w:t>
            </w:r>
          </w:p>
        </w:tc>
        <w:tc>
          <w:tcPr>
            <w:tcW w:w="1377" w:type="pct"/>
          </w:tcPr>
          <w:p w14:paraId="155764C3">
            <w:pPr>
              <w:jc w:val="right"/>
            </w:pPr>
            <w:r>
              <w:t>24,312,861.70</w:t>
            </w:r>
          </w:p>
        </w:tc>
      </w:tr>
      <w:tr w14:paraId="4E58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2246" w:type="pct"/>
          </w:tcPr>
          <w:p w14:paraId="53004797">
            <w:pPr>
              <w:autoSpaceDE w:val="0"/>
              <w:autoSpaceDN w:val="0"/>
              <w:adjustRightInd w:val="0"/>
              <w:snapToGrid w:val="0"/>
              <w:jc w:val="center"/>
            </w:pPr>
            <w:r>
              <w:t>支付的受限资金</w:t>
            </w:r>
          </w:p>
        </w:tc>
        <w:tc>
          <w:tcPr>
            <w:tcW w:w="1377" w:type="pct"/>
          </w:tcPr>
          <w:p w14:paraId="005950A1">
            <w:pPr>
              <w:jc w:val="right"/>
            </w:pPr>
          </w:p>
        </w:tc>
        <w:tc>
          <w:tcPr>
            <w:tcW w:w="1377" w:type="pct"/>
          </w:tcPr>
          <w:p w14:paraId="152F7BAC">
            <w:pPr>
              <w:jc w:val="right"/>
            </w:pPr>
            <w:r>
              <w:t>27,469,528.94</w:t>
            </w:r>
          </w:p>
        </w:tc>
      </w:tr>
      <w:tr w14:paraId="59EF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2246" w:type="pct"/>
          </w:tcPr>
          <w:p w14:paraId="2746C6B3">
            <w:pPr>
              <w:autoSpaceDE w:val="0"/>
              <w:autoSpaceDN w:val="0"/>
              <w:adjustRightInd w:val="0"/>
              <w:snapToGrid w:val="0"/>
              <w:jc w:val="center"/>
            </w:pPr>
            <w:r>
              <w:t>其他</w:t>
            </w:r>
          </w:p>
        </w:tc>
        <w:tc>
          <w:tcPr>
            <w:tcW w:w="1377" w:type="pct"/>
          </w:tcPr>
          <w:p w14:paraId="3EB029C7">
            <w:pPr>
              <w:jc w:val="right"/>
            </w:pPr>
            <w:r>
              <w:t>11,583,450.89</w:t>
            </w:r>
          </w:p>
        </w:tc>
        <w:tc>
          <w:tcPr>
            <w:tcW w:w="1377" w:type="pct"/>
          </w:tcPr>
          <w:p w14:paraId="349153CF">
            <w:pPr>
              <w:jc w:val="right"/>
            </w:pPr>
            <w:r>
              <w:t>16,689,813.86</w:t>
            </w:r>
          </w:p>
        </w:tc>
      </w:tr>
      <w:tr w14:paraId="3643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2246" w:type="pct"/>
          </w:tcPr>
          <w:p w14:paraId="43E1FE1B">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377" w:type="pct"/>
            <w:vAlign w:val="center"/>
          </w:tcPr>
          <w:p w14:paraId="3395DF77">
            <w:pPr>
              <w:jc w:val="right"/>
            </w:pPr>
            <w:r>
              <w:t>223,930,138.05</w:t>
            </w:r>
          </w:p>
        </w:tc>
        <w:tc>
          <w:tcPr>
            <w:tcW w:w="1377" w:type="pct"/>
            <w:vAlign w:val="center"/>
          </w:tcPr>
          <w:p w14:paraId="36C04923">
            <w:pPr>
              <w:jc w:val="right"/>
            </w:pPr>
            <w:r>
              <w:t>289,829,400.01</w:t>
            </w:r>
          </w:p>
        </w:tc>
      </w:tr>
    </w:tbl>
    <w:p w14:paraId="262DE09C"/>
    <w:p w14:paraId="28D5915C">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支付的其他与经营活动有关的现金说明：</w:t>
      </w:r>
    </w:p>
    <w:sdt>
      <w:sdtPr>
        <w:rPr>
          <w:rFonts w:hint="eastAsia"/>
          <w:color w:val="000000" w:themeColor="text1"/>
          <w14:textFill>
            <w14:solidFill>
              <w14:schemeClr w14:val="tx1"/>
            </w14:solidFill>
          </w14:textFill>
        </w:rPr>
        <w:alias w:val="支付的其他与经营活动有关的现金说明"/>
        <w:tag w:val="_GBC_632dc3caefd547b5b57f9340a021af22"/>
        <w:id w:val="-1632623323"/>
        <w:placeholder>
          <w:docPart w:val="GBC22222222222222222222222222222"/>
        </w:placeholder>
      </w:sdtPr>
      <w:sdtEndPr>
        <w:rPr>
          <w:rFonts w:hint="eastAsia"/>
          <w:color w:val="000000" w:themeColor="text1"/>
          <w14:textFill>
            <w14:solidFill>
              <w14:schemeClr w14:val="tx1"/>
            </w14:solidFill>
          </w14:textFill>
        </w:rPr>
      </w:sdtEndPr>
      <w:sdtContent>
        <w:p w14:paraId="100C2AEA">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667D36F">
      <w:pPr>
        <w:ind w:right="5"/>
        <w:rPr>
          <w:color w:val="000000" w:themeColor="text1"/>
          <w14:textFill>
            <w14:solidFill>
              <w14:schemeClr w14:val="tx1"/>
            </w14:solidFill>
          </w14:textFill>
        </w:rPr>
      </w:pPr>
    </w:p>
    <w:p w14:paraId="4162D53A">
      <w:pPr>
        <w:pStyle w:val="5"/>
        <w:numPr>
          <w:ilvl w:val="0"/>
          <w:numId w:val="77"/>
        </w:numPr>
        <w:rPr>
          <w:color w:val="000000" w:themeColor="text1"/>
          <w14:textFill>
            <w14:solidFill>
              <w14:schemeClr w14:val="tx1"/>
            </w14:solidFill>
          </w14:textFill>
        </w:rPr>
      </w:pPr>
      <w:bookmarkStart w:id="349" w:name="_Hlk167970426"/>
      <w:r>
        <w:rPr>
          <w:rFonts w:hint="eastAsia"/>
          <w:color w:val="000000" w:themeColor="text1"/>
          <w14:textFill>
            <w14:solidFill>
              <w14:schemeClr w14:val="tx1"/>
            </w14:solidFill>
          </w14:textFill>
        </w:rPr>
        <w:t>与投资活动有关的现金</w:t>
      </w:r>
    </w:p>
    <w:p w14:paraId="1F019C03">
      <w:pPr>
        <w:rPr>
          <w:color w:val="000000" w:themeColor="text1"/>
          <w14:textFill>
            <w14:solidFill>
              <w14:schemeClr w14:val="tx1"/>
            </w14:solidFill>
          </w14:textFill>
        </w:rPr>
      </w:pPr>
      <w:r>
        <w:rPr>
          <w:rFonts w:hint="eastAsia"/>
          <w:color w:val="000000" w:themeColor="text1"/>
          <w14:textFill>
            <w14:solidFill>
              <w14:schemeClr w14:val="tx1"/>
            </w14:solidFill>
          </w14:textFill>
        </w:rPr>
        <w:t>收到的重要的投资活动有关的现金</w:t>
      </w:r>
    </w:p>
    <w:sdt>
      <w:sdtPr>
        <w:rPr>
          <w:color w:val="000000" w:themeColor="text1"/>
          <w14:textFill>
            <w14:solidFill>
              <w14:schemeClr w14:val="tx1"/>
            </w14:solidFill>
          </w14:textFill>
        </w:rPr>
        <w:alias w:val="是否适用：收到的重要的投资活动有关的现金[双击切换]"/>
        <w:tag w:val="_GBC_f56d2779677b47b3ba2b7e5e0b1d3d89"/>
        <w:id w:val="1191949982"/>
        <w:placeholder>
          <w:docPart w:val="GBC22222222222222222222222222222"/>
        </w:placeholder>
      </w:sdtPr>
      <w:sdtEndPr>
        <w:rPr>
          <w:color w:val="000000" w:themeColor="text1"/>
          <w14:textFill>
            <w14:solidFill>
              <w14:schemeClr w14:val="tx1"/>
            </w14:solidFill>
          </w14:textFill>
        </w:rPr>
      </w:sdtEndPr>
      <w:sdtContent>
        <w:p w14:paraId="660B121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5C8EF1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单位：</w:t>
      </w:r>
      <w:sdt>
        <w:sdtPr>
          <w:rPr>
            <w:rFonts w:hint="eastAsia"/>
            <w:color w:val="000000" w:themeColor="text1"/>
            <w14:textFill>
              <w14:solidFill>
                <w14:schemeClr w14:val="tx1"/>
              </w14:solidFill>
            </w14:textFill>
          </w:rPr>
          <w:alias w:val="单位：收到的重要的投资活动有关的现金"/>
          <w:tag w:val="_GBC_0006c3e982d14b108eeeb9d0cc4c06a5"/>
          <w:id w:val="99307113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收到的重要的投资活动有关的现金"/>
          <w:tag w:val="_GBC_b25ca19ae0f54a76bed3360d5dc82ed6"/>
          <w:id w:val="13538506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30"/>
        <w:gridCol w:w="2819"/>
      </w:tblGrid>
      <w:tr w14:paraId="4B93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ddc8dd5aa2045808f3c137142daffc0"/>
            <w:id w:val="-1881392580"/>
          </w:sdtPr>
          <w:sdtContent>
            <w:tc>
              <w:tcPr>
                <w:tcW w:w="1882" w:type="pct"/>
              </w:tcPr>
              <w:p w14:paraId="1C323244">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5d7047f8800345d7bc4677da8befa617"/>
            <w:id w:val="1905954333"/>
          </w:sdtPr>
          <w:sdtContent>
            <w:tc>
              <w:tcPr>
                <w:tcW w:w="1562" w:type="pct"/>
              </w:tcPr>
              <w:p w14:paraId="28EE7EDD">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813f2b7c77834f54a4754ccac511a2b4"/>
            <w:id w:val="1459378285"/>
          </w:sdtPr>
          <w:sdtContent>
            <w:tc>
              <w:tcPr>
                <w:tcW w:w="1556" w:type="pct"/>
              </w:tcPr>
              <w:p w14:paraId="20E27100">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5425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3C4DA2F1">
            <w:pPr>
              <w:autoSpaceDE w:val="0"/>
              <w:autoSpaceDN w:val="0"/>
              <w:adjustRightInd w:val="0"/>
              <w:snapToGrid w:val="0"/>
              <w:spacing w:line="240" w:lineRule="atLeast"/>
              <w:jc w:val="center"/>
            </w:pPr>
            <w:r>
              <w:t>收到的重庆银行股利</w:t>
            </w:r>
          </w:p>
        </w:tc>
        <w:tc>
          <w:tcPr>
            <w:tcW w:w="1562" w:type="pct"/>
            <w:vAlign w:val="bottom"/>
          </w:tcPr>
          <w:p w14:paraId="7D4BAAB4">
            <w:pPr>
              <w:jc w:val="right"/>
            </w:pPr>
            <w:r>
              <w:t>114,519,797.68</w:t>
            </w:r>
          </w:p>
        </w:tc>
        <w:tc>
          <w:tcPr>
            <w:tcW w:w="1556" w:type="pct"/>
          </w:tcPr>
          <w:p w14:paraId="30969713">
            <w:pPr>
              <w:jc w:val="right"/>
            </w:pPr>
            <w:r>
              <w:t>47,228,148.14</w:t>
            </w:r>
          </w:p>
        </w:tc>
      </w:tr>
      <w:tr w14:paraId="3F87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14:paraId="193601DE">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562" w:type="pct"/>
            <w:vAlign w:val="bottom"/>
          </w:tcPr>
          <w:p w14:paraId="0324E1B3">
            <w:pPr>
              <w:jc w:val="right"/>
            </w:pPr>
            <w:r>
              <w:t>114,519,797.68</w:t>
            </w:r>
          </w:p>
        </w:tc>
        <w:tc>
          <w:tcPr>
            <w:tcW w:w="1556" w:type="pct"/>
          </w:tcPr>
          <w:p w14:paraId="1987F87F">
            <w:pPr>
              <w:jc w:val="right"/>
            </w:pPr>
            <w:r>
              <w:t>47,228,148.14</w:t>
            </w:r>
          </w:p>
        </w:tc>
      </w:tr>
    </w:tbl>
    <w:p w14:paraId="522ED0CE"/>
    <w:p w14:paraId="4B325F79">
      <w:pPr>
        <w:rPr>
          <w:color w:val="000000" w:themeColor="text1"/>
          <w14:textFill>
            <w14:solidFill>
              <w14:schemeClr w14:val="tx1"/>
            </w14:solidFill>
          </w14:textFill>
        </w:rPr>
      </w:pPr>
      <w:r>
        <w:rPr>
          <w:rFonts w:hint="eastAsia"/>
          <w:color w:val="000000" w:themeColor="text1"/>
          <w14:textFill>
            <w14:solidFill>
              <w14:schemeClr w14:val="tx1"/>
            </w14:solidFill>
          </w14:textFill>
        </w:rPr>
        <w:t>收到的重要的投资活动有关的现金说明</w:t>
      </w:r>
    </w:p>
    <w:sdt>
      <w:sdtPr>
        <w:rPr>
          <w:color w:val="000000" w:themeColor="text1"/>
          <w14:textFill>
            <w14:solidFill>
              <w14:schemeClr w14:val="tx1"/>
            </w14:solidFill>
          </w14:textFill>
        </w:rPr>
        <w:alias w:val="收到的重要的投资活动有关的现金的说明"/>
        <w:tag w:val="_GBC_a841186e663b4ef2a0be76cd03dc1e49"/>
        <w:id w:val="-1507966876"/>
        <w:placeholder>
          <w:docPart w:val="GBC22222222222222222222222222222"/>
        </w:placeholder>
      </w:sdtPr>
      <w:sdtEndPr>
        <w:rPr>
          <w:color w:val="000000" w:themeColor="text1"/>
          <w14:textFill>
            <w14:solidFill>
              <w14:schemeClr w14:val="tx1"/>
            </w14:solidFill>
          </w14:textFill>
        </w:rPr>
      </w:sdtEndPr>
      <w:sdtContent>
        <w:p w14:paraId="50A50EB6">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5CC7DFD">
      <w:pPr>
        <w:rPr>
          <w:color w:val="000000" w:themeColor="text1"/>
          <w14:textFill>
            <w14:solidFill>
              <w14:schemeClr w14:val="tx1"/>
            </w14:solidFill>
          </w14:textFill>
        </w:rPr>
      </w:pPr>
    </w:p>
    <w:p w14:paraId="02F6D7E3">
      <w:pPr>
        <w:rPr>
          <w:color w:val="000000" w:themeColor="text1"/>
          <w14:textFill>
            <w14:solidFill>
              <w14:schemeClr w14:val="tx1"/>
            </w14:solidFill>
          </w14:textFill>
        </w:rPr>
      </w:pPr>
      <w:r>
        <w:rPr>
          <w:rFonts w:hint="eastAsia"/>
          <w:color w:val="000000" w:themeColor="text1"/>
          <w14:textFill>
            <w14:solidFill>
              <w14:schemeClr w14:val="tx1"/>
            </w14:solidFill>
          </w14:textFill>
        </w:rPr>
        <w:t>支付的重要的投资活动有关的现金</w:t>
      </w:r>
    </w:p>
    <w:sdt>
      <w:sdtPr>
        <w:rPr>
          <w:color w:val="000000" w:themeColor="text1"/>
          <w14:textFill>
            <w14:solidFill>
              <w14:schemeClr w14:val="tx1"/>
            </w14:solidFill>
          </w14:textFill>
        </w:rPr>
        <w:alias w:val="是否适用：支付的重要的投资活动有关的现金[双击切换]"/>
        <w:tag w:val="_GBC_e489b143c5a245a9bd1fb9c8c46d7528"/>
        <w:id w:val="-1912525895"/>
        <w:placeholder>
          <w:docPart w:val="GBC22222222222222222222222222222"/>
        </w:placeholder>
      </w:sdtPr>
      <w:sdtEndPr>
        <w:rPr>
          <w:color w:val="000000" w:themeColor="text1"/>
          <w14:textFill>
            <w14:solidFill>
              <w14:schemeClr w14:val="tx1"/>
            </w14:solidFill>
          </w14:textFill>
        </w:rPr>
      </w:sdtEndPr>
      <w:sdtContent>
        <w:p w14:paraId="290698E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502FA4E">
      <w:pPr>
        <w:rPr>
          <w:color w:val="000000" w:themeColor="text1"/>
          <w14:textFill>
            <w14:solidFill>
              <w14:schemeClr w14:val="tx1"/>
            </w14:solidFill>
          </w14:textFill>
        </w:rPr>
      </w:pPr>
    </w:p>
    <w:bookmarkEnd w:id="349"/>
    <w:p w14:paraId="17668DD6">
      <w:pPr>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收到的其他与投资活动有关的现金</w:t>
      </w:r>
    </w:p>
    <w:sdt>
      <w:sdtPr>
        <w:rPr>
          <w:color w:val="000000" w:themeColor="text1"/>
          <w14:textFill>
            <w14:solidFill>
              <w14:schemeClr w14:val="tx1"/>
            </w14:solidFill>
          </w14:textFill>
        </w:rPr>
        <w:alias w:val="是否适用：收到的其他与投资活动有关的现金[双击切换]"/>
        <w:tag w:val="_GBC_ae3b1cf9e3aa408a8867e76d71769712"/>
        <w:id w:val="-1409155249"/>
        <w:placeholder>
          <w:docPart w:val="GBC22222222222222222222222222222"/>
        </w:placeholder>
      </w:sdtPr>
      <w:sdtEndPr>
        <w:rPr>
          <w:color w:val="000000" w:themeColor="text1"/>
          <w14:textFill>
            <w14:solidFill>
              <w14:schemeClr w14:val="tx1"/>
            </w14:solidFill>
          </w14:textFill>
        </w:rPr>
      </w:sdtEndPr>
      <w:sdtContent>
        <w:p w14:paraId="6E2174C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C1CC62F">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收到的其他与投资活动有关的现金"/>
          <w:tag w:val="_GBC_864c08420ed74aa18dcf838d10153475"/>
          <w:id w:val="-817115986"/>
          <w:placeholder>
            <w:docPart w:val="22D70776DDED43F6B7D1BB053D1BCA34"/>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收到的其他与投资活动有关的现金"/>
          <w:tag w:val="_GBC_557bfe9cc4b045ff8684fc828911efc1"/>
          <w:id w:val="-1515834598"/>
          <w:placeholder>
            <w:docPart w:val="22D70776DDED43F6B7D1BB053D1BCA34"/>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2"/>
        <w:gridCol w:w="2684"/>
      </w:tblGrid>
      <w:tr w14:paraId="691C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fe329b3300fe449c869fda5c957ed9e6"/>
            <w:id w:val="-1331747738"/>
          </w:sdtPr>
          <w:sdtContent>
            <w:tc>
              <w:tcPr>
                <w:tcW w:w="1882" w:type="pct"/>
              </w:tcPr>
              <w:p w14:paraId="36EBDB62">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828a524680d4faeb14e148b152d9982"/>
            <w:id w:val="-1632469939"/>
          </w:sdtPr>
          <w:sdtContent>
            <w:tc>
              <w:tcPr>
                <w:tcW w:w="1609" w:type="pct"/>
              </w:tcPr>
              <w:p w14:paraId="114BFE12">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a8eb20dbb1b143d399d3bde1f6e00fa3"/>
            <w:id w:val="-506362394"/>
          </w:sdtPr>
          <w:sdtContent>
            <w:tc>
              <w:tcPr>
                <w:tcW w:w="1509" w:type="pct"/>
              </w:tcPr>
              <w:p w14:paraId="2B5EA63F">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324A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07F6B670">
            <w:pPr>
              <w:autoSpaceDE w:val="0"/>
              <w:autoSpaceDN w:val="0"/>
              <w:adjustRightInd w:val="0"/>
              <w:snapToGrid w:val="0"/>
              <w:spacing w:line="240" w:lineRule="atLeast"/>
              <w:jc w:val="center"/>
            </w:pPr>
            <w:r>
              <w:rPr>
                <w:rFonts w:hint="eastAsia"/>
              </w:rPr>
              <w:t>收到定期存款本金或本息</w:t>
            </w:r>
          </w:p>
        </w:tc>
        <w:tc>
          <w:tcPr>
            <w:tcW w:w="1609" w:type="pct"/>
            <w:vAlign w:val="center"/>
          </w:tcPr>
          <w:p w14:paraId="1EC19811">
            <w:pPr>
              <w:jc w:val="right"/>
            </w:pPr>
            <w:r>
              <w:t>100,000,000.00</w:t>
            </w:r>
          </w:p>
        </w:tc>
        <w:tc>
          <w:tcPr>
            <w:tcW w:w="1509" w:type="pct"/>
            <w:vAlign w:val="center"/>
          </w:tcPr>
          <w:p w14:paraId="03F3928E">
            <w:pPr>
              <w:jc w:val="right"/>
            </w:pPr>
            <w:r>
              <w:t>532,040,277.77</w:t>
            </w:r>
          </w:p>
        </w:tc>
      </w:tr>
      <w:tr w14:paraId="04B3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37ADDF01">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09" w:type="pct"/>
            <w:vAlign w:val="center"/>
          </w:tcPr>
          <w:p w14:paraId="24510680">
            <w:pPr>
              <w:jc w:val="right"/>
            </w:pPr>
            <w:r>
              <w:t>100,000,000.00</w:t>
            </w:r>
          </w:p>
        </w:tc>
        <w:tc>
          <w:tcPr>
            <w:tcW w:w="1509" w:type="pct"/>
            <w:vAlign w:val="center"/>
          </w:tcPr>
          <w:p w14:paraId="53732DDF">
            <w:pPr>
              <w:jc w:val="right"/>
            </w:pPr>
            <w:r>
              <w:t>532,040,277.77</w:t>
            </w:r>
          </w:p>
        </w:tc>
      </w:tr>
    </w:tbl>
    <w:p w14:paraId="7B3CB489">
      <w:pPr>
        <w:snapToGrid w:val="0"/>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收到的其他与投资活动有关的现金说明：</w:t>
      </w:r>
    </w:p>
    <w:sdt>
      <w:sdtPr>
        <w:rPr>
          <w:color w:val="000000" w:themeColor="text1"/>
          <w14:textFill>
            <w14:solidFill>
              <w14:schemeClr w14:val="tx1"/>
            </w14:solidFill>
          </w14:textFill>
        </w:rPr>
        <w:alias w:val="收到的其他与投资活动有关的现金说明"/>
        <w:tag w:val="_GBC_10ad2bcf624d4c49924f65fcffdeebbc"/>
        <w:id w:val="728580612"/>
        <w:placeholder>
          <w:docPart w:val="22D70776DDED43F6B7D1BB053D1BCA34"/>
        </w:placeholder>
      </w:sdtPr>
      <w:sdtEndPr>
        <w:rPr>
          <w:color w:val="000000" w:themeColor="text1"/>
          <w14:textFill>
            <w14:solidFill>
              <w14:schemeClr w14:val="tx1"/>
            </w14:solidFill>
          </w14:textFill>
        </w:rPr>
      </w:sdtEndPr>
      <w:sdtContent>
        <w:p w14:paraId="62E6DC63">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14F4E5F5">
      <w:pPr>
        <w:snapToGrid w:val="0"/>
        <w:spacing w:line="240" w:lineRule="atLeast"/>
        <w:rPr>
          <w:color w:val="000000" w:themeColor="text1"/>
          <w14:textFill>
            <w14:solidFill>
              <w14:schemeClr w14:val="tx1"/>
            </w14:solidFill>
          </w14:textFill>
        </w:rPr>
      </w:pPr>
    </w:p>
    <w:p w14:paraId="697E0EF0">
      <w:pPr>
        <w:rPr>
          <w:color w:val="000000" w:themeColor="text1"/>
          <w14:textFill>
            <w14:solidFill>
              <w14:schemeClr w14:val="tx1"/>
            </w14:solidFill>
          </w14:textFill>
        </w:rPr>
      </w:pPr>
    </w:p>
    <w:p w14:paraId="5B47DC88">
      <w:pPr>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支付的其他与投资活动有关的现金</w:t>
      </w:r>
    </w:p>
    <w:sdt>
      <w:sdtPr>
        <w:rPr>
          <w:color w:val="000000" w:themeColor="text1"/>
          <w14:textFill>
            <w14:solidFill>
              <w14:schemeClr w14:val="tx1"/>
            </w14:solidFill>
          </w14:textFill>
        </w:rPr>
        <w:alias w:val="是否适用：支付的其他与投资活动有关的现金[双击切换]"/>
        <w:tag w:val="_GBC_8862c0a38548482cb3b55a82757e3e33"/>
        <w:id w:val="964468803"/>
        <w:placeholder>
          <w:docPart w:val="GBC22222222222222222222222222222"/>
        </w:placeholder>
      </w:sdtPr>
      <w:sdtEndPr>
        <w:rPr>
          <w:color w:val="000000" w:themeColor="text1"/>
          <w14:textFill>
            <w14:solidFill>
              <w14:schemeClr w14:val="tx1"/>
            </w14:solidFill>
          </w14:textFill>
        </w:rPr>
      </w:sdtEndPr>
      <w:sdtContent>
        <w:p w14:paraId="41EBE37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C61CB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支付的其他与投资活动有关的现金"/>
          <w:tag w:val="_GBC_d10892949aa14ffe8488e5fb3e554708"/>
          <w:id w:val="20783915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支付的其他与投资活动有关的现金"/>
          <w:tag w:val="_GBC_699764a41036486da9355782e929009a"/>
          <w:id w:val="4823620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4"/>
        <w:gridCol w:w="2682"/>
      </w:tblGrid>
      <w:tr w14:paraId="6E81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9d1eae9c142b4411afe63077d56be240"/>
            <w:id w:val="1400711481"/>
          </w:sdtPr>
          <w:sdtContent>
            <w:tc>
              <w:tcPr>
                <w:tcW w:w="1882" w:type="pct"/>
              </w:tcPr>
              <w:p w14:paraId="7B012EB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c15b0147904647a286b23a6481ce17ad"/>
            <w:id w:val="-1296368506"/>
          </w:sdtPr>
          <w:sdtContent>
            <w:tc>
              <w:tcPr>
                <w:tcW w:w="1610" w:type="pct"/>
              </w:tcPr>
              <w:p w14:paraId="7ABF8C49">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be0073208a034a9ea119993745bed906"/>
            <w:id w:val="351991198"/>
          </w:sdtPr>
          <w:sdtContent>
            <w:tc>
              <w:tcPr>
                <w:tcW w:w="1508" w:type="pct"/>
              </w:tcPr>
              <w:p w14:paraId="6764667B">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33D8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vAlign w:val="center"/>
          </w:tcPr>
          <w:p w14:paraId="4218E372">
            <w:pPr>
              <w:autoSpaceDE w:val="0"/>
              <w:autoSpaceDN w:val="0"/>
              <w:adjustRightInd w:val="0"/>
              <w:snapToGrid w:val="0"/>
              <w:spacing w:line="240" w:lineRule="atLeast"/>
              <w:jc w:val="center"/>
            </w:pPr>
            <w:r>
              <w:rPr>
                <w:rFonts w:hint="eastAsia"/>
              </w:rPr>
              <w:t>支付的定期存款</w:t>
            </w:r>
          </w:p>
        </w:tc>
        <w:tc>
          <w:tcPr>
            <w:tcW w:w="1610" w:type="pct"/>
            <w:vAlign w:val="center"/>
          </w:tcPr>
          <w:p w14:paraId="73E6CDCE">
            <w:pPr>
              <w:jc w:val="right"/>
              <w:rPr>
                <w:color w:val="000000"/>
                <w:sz w:val="22"/>
                <w:szCs w:val="22"/>
              </w:rPr>
            </w:pPr>
            <w:r>
              <w:t>1,365,691,827.20</w:t>
            </w:r>
          </w:p>
        </w:tc>
        <w:tc>
          <w:tcPr>
            <w:tcW w:w="1508" w:type="pct"/>
            <w:vAlign w:val="center"/>
          </w:tcPr>
          <w:p w14:paraId="5BBCE229">
            <w:pPr>
              <w:jc w:val="right"/>
              <w:rPr>
                <w:color w:val="000000"/>
                <w:sz w:val="22"/>
                <w:szCs w:val="22"/>
              </w:rPr>
            </w:pPr>
            <w:r>
              <w:rPr>
                <w:rFonts w:hint="eastAsia"/>
                <w:color w:val="000000"/>
                <w:sz w:val="22"/>
                <w:szCs w:val="22"/>
              </w:rPr>
              <w:t>　</w:t>
            </w:r>
          </w:p>
        </w:tc>
      </w:tr>
      <w:tr w14:paraId="0BA9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00F7EEF2">
            <w:pPr>
              <w:autoSpaceDE w:val="0"/>
              <w:autoSpaceDN w:val="0"/>
              <w:adjustRightInd w:val="0"/>
              <w:snapToGrid w:val="0"/>
              <w:spacing w:line="240" w:lineRule="atLeast"/>
              <w:jc w:val="center"/>
            </w:pPr>
            <w:r>
              <w:rPr>
                <w:rFonts w:hint="eastAsia"/>
              </w:rPr>
              <w:t>处置子公司现金净减少</w:t>
            </w:r>
          </w:p>
        </w:tc>
        <w:tc>
          <w:tcPr>
            <w:tcW w:w="1610" w:type="pct"/>
            <w:vAlign w:val="center"/>
          </w:tcPr>
          <w:p w14:paraId="0EC74D94">
            <w:pPr>
              <w:jc w:val="right"/>
            </w:pPr>
            <w:r>
              <w:t>1,202.39</w:t>
            </w:r>
          </w:p>
        </w:tc>
        <w:tc>
          <w:tcPr>
            <w:tcW w:w="1508" w:type="pct"/>
          </w:tcPr>
          <w:p w14:paraId="154E157E">
            <w:pPr>
              <w:jc w:val="right"/>
            </w:pPr>
          </w:p>
        </w:tc>
      </w:tr>
      <w:tr w14:paraId="2E5A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7A203CE5">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10" w:type="pct"/>
            <w:vAlign w:val="center"/>
          </w:tcPr>
          <w:p w14:paraId="66DA9950">
            <w:pPr>
              <w:jc w:val="right"/>
              <w:rPr>
                <w:color w:val="000000"/>
                <w:sz w:val="22"/>
                <w:szCs w:val="22"/>
              </w:rPr>
            </w:pPr>
            <w:r>
              <w:t>1,365,693,029.59</w:t>
            </w:r>
          </w:p>
        </w:tc>
        <w:tc>
          <w:tcPr>
            <w:tcW w:w="1508" w:type="pct"/>
          </w:tcPr>
          <w:p w14:paraId="4FE3ABFF">
            <w:pPr>
              <w:jc w:val="right"/>
            </w:pPr>
          </w:p>
        </w:tc>
      </w:tr>
    </w:tbl>
    <w:p w14:paraId="4FB15399">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支付的其他与投资活动有关的现金说明：</w:t>
      </w:r>
    </w:p>
    <w:sdt>
      <w:sdtPr>
        <w:rPr>
          <w:rFonts w:hint="eastAsia"/>
          <w:color w:val="000000" w:themeColor="text1"/>
          <w14:textFill>
            <w14:solidFill>
              <w14:schemeClr w14:val="tx1"/>
            </w14:solidFill>
          </w14:textFill>
        </w:rPr>
        <w:alias w:val="支付的其他与投资活动有关的现金说明"/>
        <w:tag w:val="_GBC_01ca6e937c9f400c901d9f734e0a827f"/>
        <w:id w:val="322178435"/>
        <w:placeholder>
          <w:docPart w:val="GBC22222222222222222222222222222"/>
        </w:placeholder>
      </w:sdtPr>
      <w:sdtEndPr>
        <w:rPr>
          <w:rFonts w:hint="eastAsia"/>
          <w:color w:val="000000" w:themeColor="text1"/>
          <w14:textFill>
            <w14:solidFill>
              <w14:schemeClr w14:val="tx1"/>
            </w14:solidFill>
          </w14:textFill>
        </w:rPr>
      </w:sdtEndPr>
      <w:sdtContent>
        <w:p w14:paraId="0CDAE3E6">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983AD1E">
      <w:pPr>
        <w:rPr>
          <w:color w:val="000000" w:themeColor="text1"/>
          <w14:textFill>
            <w14:solidFill>
              <w14:schemeClr w14:val="tx1"/>
            </w14:solidFill>
          </w14:textFill>
        </w:rPr>
      </w:pPr>
    </w:p>
    <w:p w14:paraId="7F3E918D">
      <w:pPr>
        <w:pStyle w:val="5"/>
        <w:numPr>
          <w:ilvl w:val="0"/>
          <w:numId w:val="77"/>
        </w:numPr>
        <w:rPr>
          <w:color w:val="000000" w:themeColor="text1"/>
          <w14:textFill>
            <w14:solidFill>
              <w14:schemeClr w14:val="tx1"/>
            </w14:solidFill>
          </w14:textFill>
        </w:rPr>
      </w:pPr>
      <w:r>
        <w:rPr>
          <w:rFonts w:hint="eastAsia"/>
          <w:color w:val="000000" w:themeColor="text1"/>
          <w14:textFill>
            <w14:solidFill>
              <w14:schemeClr w14:val="tx1"/>
            </w14:solidFill>
          </w14:textFill>
        </w:rPr>
        <w:t>与筹资活动有关的现金</w:t>
      </w:r>
    </w:p>
    <w:p w14:paraId="5E325A69">
      <w:pPr>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收到的其他与筹资活动有关的现金</w:t>
      </w:r>
    </w:p>
    <w:sdt>
      <w:sdtPr>
        <w:rPr>
          <w:color w:val="000000" w:themeColor="text1"/>
          <w14:textFill>
            <w14:solidFill>
              <w14:schemeClr w14:val="tx1"/>
            </w14:solidFill>
          </w14:textFill>
        </w:rPr>
        <w:alias w:val="是否适用：收到的其他与筹资活动有关的现金[双击切换]"/>
        <w:tag w:val="_GBC_6e82da4b55134cf6aacd6132e71f2c27"/>
        <w:id w:val="-1682343540"/>
        <w:placeholder>
          <w:docPart w:val="GBC22222222222222222222222222222"/>
        </w:placeholder>
      </w:sdtPr>
      <w:sdtEndPr>
        <w:rPr>
          <w:color w:val="000000" w:themeColor="text1"/>
          <w14:textFill>
            <w14:solidFill>
              <w14:schemeClr w14:val="tx1"/>
            </w14:solidFill>
          </w14:textFill>
        </w:rPr>
      </w:sdtEndPr>
      <w:sdtContent>
        <w:p w14:paraId="7E3B1CD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E1EB33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收到的其他与筹资活动有关的现金"/>
          <w:tag w:val="_GBC_54c629439974499c9df52a114b0272b9"/>
          <w:id w:val="10228313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收到的其他与筹资活动有关的现金"/>
          <w:tag w:val="_GBC_0d3b28d58a83411db264b55c970f7fc6"/>
          <w:id w:val="655424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4"/>
        <w:gridCol w:w="2682"/>
      </w:tblGrid>
      <w:tr w14:paraId="34EA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45e71f75634d40e399bff943b12676a7"/>
            <w:id w:val="968634698"/>
          </w:sdtPr>
          <w:sdtContent>
            <w:tc>
              <w:tcPr>
                <w:tcW w:w="1882" w:type="pct"/>
              </w:tcPr>
              <w:p w14:paraId="69E447B2">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f7b1d7d1151a486eb8533f96d22cda73"/>
            <w:id w:val="1165357641"/>
          </w:sdtPr>
          <w:sdtContent>
            <w:tc>
              <w:tcPr>
                <w:tcW w:w="1610" w:type="pct"/>
              </w:tcPr>
              <w:p w14:paraId="73E03702">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fcd73629839441d485ad661b0568d6af"/>
            <w:id w:val="1204669453"/>
          </w:sdtPr>
          <w:sdtContent>
            <w:tc>
              <w:tcPr>
                <w:tcW w:w="1508" w:type="pct"/>
              </w:tcPr>
              <w:p w14:paraId="3863480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5428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2D621F1B">
            <w:pPr>
              <w:autoSpaceDE w:val="0"/>
              <w:autoSpaceDN w:val="0"/>
              <w:adjustRightInd w:val="0"/>
              <w:snapToGrid w:val="0"/>
              <w:jc w:val="center"/>
            </w:pPr>
            <w:r>
              <w:t>票据贴现</w:t>
            </w:r>
          </w:p>
        </w:tc>
        <w:tc>
          <w:tcPr>
            <w:tcW w:w="1610" w:type="pct"/>
            <w:vAlign w:val="bottom"/>
          </w:tcPr>
          <w:p w14:paraId="305EA35E">
            <w:pPr>
              <w:jc w:val="right"/>
            </w:pPr>
            <w:r>
              <w:t>724,997,655.08</w:t>
            </w:r>
          </w:p>
        </w:tc>
        <w:tc>
          <w:tcPr>
            <w:tcW w:w="1508" w:type="pct"/>
          </w:tcPr>
          <w:p w14:paraId="775CBAEC">
            <w:pPr>
              <w:jc w:val="right"/>
            </w:pPr>
          </w:p>
        </w:tc>
      </w:tr>
      <w:tr w14:paraId="28CD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7C2D600A">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收到非金融机构筹资款</w:t>
            </w:r>
          </w:p>
        </w:tc>
        <w:tc>
          <w:tcPr>
            <w:tcW w:w="1610" w:type="pct"/>
            <w:vAlign w:val="bottom"/>
          </w:tcPr>
          <w:p w14:paraId="55E762A8">
            <w:pPr>
              <w:jc w:val="right"/>
            </w:pPr>
            <w:r>
              <w:t>3,000,000.00</w:t>
            </w:r>
          </w:p>
        </w:tc>
        <w:tc>
          <w:tcPr>
            <w:tcW w:w="1508" w:type="pct"/>
          </w:tcPr>
          <w:p w14:paraId="2E999E32">
            <w:pPr>
              <w:jc w:val="right"/>
            </w:pPr>
          </w:p>
        </w:tc>
      </w:tr>
      <w:tr w14:paraId="5D4F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4F153257">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10" w:type="pct"/>
            <w:vAlign w:val="bottom"/>
          </w:tcPr>
          <w:p w14:paraId="538F25B6">
            <w:pPr>
              <w:jc w:val="right"/>
            </w:pPr>
            <w:r>
              <w:t>727,997,655.08</w:t>
            </w:r>
          </w:p>
        </w:tc>
        <w:tc>
          <w:tcPr>
            <w:tcW w:w="1508" w:type="pct"/>
          </w:tcPr>
          <w:p w14:paraId="543D9F40">
            <w:pPr>
              <w:jc w:val="right"/>
            </w:pPr>
          </w:p>
        </w:tc>
      </w:tr>
    </w:tbl>
    <w:p w14:paraId="0BBAC16D"/>
    <w:p w14:paraId="6B4F8F6C">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收到的其他与筹资活动有关的现金说明：</w:t>
      </w:r>
    </w:p>
    <w:sdt>
      <w:sdtPr>
        <w:rPr>
          <w:rFonts w:hint="eastAsia"/>
          <w:color w:val="000000" w:themeColor="text1"/>
          <w14:textFill>
            <w14:solidFill>
              <w14:schemeClr w14:val="tx1"/>
            </w14:solidFill>
          </w14:textFill>
        </w:rPr>
        <w:alias w:val="收到的其他与筹资活动有关的现金说明"/>
        <w:tag w:val="_GBC_cf160106b6d34224a1fbd183426812af"/>
        <w:id w:val="1708062512"/>
        <w:placeholder>
          <w:docPart w:val="GBC22222222222222222222222222222"/>
        </w:placeholder>
      </w:sdtPr>
      <w:sdtEndPr>
        <w:rPr>
          <w:rFonts w:hint="eastAsia"/>
          <w:color w:val="000000" w:themeColor="text1"/>
          <w:szCs w:val="22"/>
          <w14:textFill>
            <w14:solidFill>
              <w14:schemeClr w14:val="tx1"/>
            </w14:solidFill>
          </w14:textFill>
        </w:rPr>
      </w:sdtEndPr>
      <w:sdtContent>
        <w:p w14:paraId="725EE910">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1DACF589">
      <w:pPr>
        <w:rPr>
          <w:color w:val="000000" w:themeColor="text1"/>
          <w14:textFill>
            <w14:solidFill>
              <w14:schemeClr w14:val="tx1"/>
            </w14:solidFill>
          </w14:textFill>
        </w:rPr>
      </w:pPr>
    </w:p>
    <w:p w14:paraId="04B9C5B5">
      <w:pPr>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支付的其他与筹资活动有关的现金</w:t>
      </w:r>
    </w:p>
    <w:sdt>
      <w:sdtPr>
        <w:rPr>
          <w:color w:val="000000" w:themeColor="text1"/>
          <w14:textFill>
            <w14:solidFill>
              <w14:schemeClr w14:val="tx1"/>
            </w14:solidFill>
          </w14:textFill>
        </w:rPr>
        <w:alias w:val="是否适用：支付的其他与筹资活动有关的现金[双击切换]"/>
        <w:tag w:val="_GBC_cf7fd4869f8d4d98a07243e22bf22793"/>
        <w:id w:val="1339808460"/>
        <w:placeholder>
          <w:docPart w:val="GBC22222222222222222222222222222"/>
        </w:placeholder>
      </w:sdtPr>
      <w:sdtEndPr>
        <w:rPr>
          <w:color w:val="000000" w:themeColor="text1"/>
          <w14:textFill>
            <w14:solidFill>
              <w14:schemeClr w14:val="tx1"/>
            </w14:solidFill>
          </w14:textFill>
        </w:rPr>
      </w:sdtEndPr>
      <w:sdtContent>
        <w:p w14:paraId="27F081D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A40B6B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支付的其他与筹资活动有关的现金"/>
          <w:tag w:val="_GBC_323ca3d874214911880818d387e0c63b"/>
          <w:id w:val="-1778957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支付的其他与筹资活动有关的现金"/>
          <w:tag w:val="_GBC_d6726952256941209f32bac8fffa568d"/>
          <w:id w:val="19386328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347"/>
        <w:gridCol w:w="2864"/>
        <w:gridCol w:w="2682"/>
      </w:tblGrid>
      <w:tr w14:paraId="5DD7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2b9da6111f3f4cacb3afcfc0de00e1e9"/>
            <w:id w:val="-870679729"/>
          </w:sdtPr>
          <w:sdtContent>
            <w:tc>
              <w:tcPr>
                <w:tcW w:w="1882" w:type="pct"/>
              </w:tcPr>
              <w:p w14:paraId="6C0AC24D">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b6791a7f5c234d80be8964d8fb7b3ce6"/>
            <w:id w:val="-639187210"/>
          </w:sdtPr>
          <w:sdtContent>
            <w:tc>
              <w:tcPr>
                <w:tcW w:w="1610" w:type="pct"/>
              </w:tcPr>
              <w:p w14:paraId="6D62913E">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b4a33da4012d47bd8013a6c570bcad87"/>
            <w:id w:val="899022872"/>
          </w:sdtPr>
          <w:sdtContent>
            <w:tc>
              <w:tcPr>
                <w:tcW w:w="1508" w:type="pct"/>
              </w:tcPr>
              <w:p w14:paraId="58E30D8C">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3C4B7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19B3FEC6">
            <w:pPr>
              <w:autoSpaceDE w:val="0"/>
              <w:autoSpaceDN w:val="0"/>
              <w:adjustRightInd w:val="0"/>
              <w:snapToGrid w:val="0"/>
              <w:jc w:val="center"/>
            </w:pPr>
            <w:r>
              <w:t>保函保证金净增加额</w:t>
            </w:r>
          </w:p>
        </w:tc>
        <w:tc>
          <w:tcPr>
            <w:tcW w:w="1610" w:type="pct"/>
            <w:vAlign w:val="bottom"/>
          </w:tcPr>
          <w:p w14:paraId="3341CD3C">
            <w:pPr>
              <w:jc w:val="right"/>
            </w:pPr>
          </w:p>
        </w:tc>
        <w:tc>
          <w:tcPr>
            <w:tcW w:w="1508" w:type="pct"/>
          </w:tcPr>
          <w:p w14:paraId="1ACE9C64">
            <w:pPr>
              <w:jc w:val="right"/>
            </w:pPr>
            <w:r>
              <w:t>17,957,374.72</w:t>
            </w:r>
          </w:p>
        </w:tc>
      </w:tr>
      <w:tr w14:paraId="1EFC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7FA193C9">
            <w:pPr>
              <w:autoSpaceDE w:val="0"/>
              <w:autoSpaceDN w:val="0"/>
              <w:adjustRightInd w:val="0"/>
              <w:snapToGrid w:val="0"/>
              <w:jc w:val="center"/>
            </w:pPr>
            <w:r>
              <w:t>支付使用权资产租赁款</w:t>
            </w:r>
          </w:p>
        </w:tc>
        <w:tc>
          <w:tcPr>
            <w:tcW w:w="1610" w:type="pct"/>
            <w:vAlign w:val="bottom"/>
          </w:tcPr>
          <w:p w14:paraId="126B72B3">
            <w:pPr>
              <w:jc w:val="right"/>
            </w:pPr>
            <w:r>
              <w:t>310,500.00</w:t>
            </w:r>
          </w:p>
        </w:tc>
        <w:tc>
          <w:tcPr>
            <w:tcW w:w="1508" w:type="pct"/>
          </w:tcPr>
          <w:p w14:paraId="1B37BAC9">
            <w:pPr>
              <w:jc w:val="right"/>
            </w:pPr>
            <w:r>
              <w:t>1,988,082.00</w:t>
            </w:r>
          </w:p>
        </w:tc>
      </w:tr>
      <w:tr w14:paraId="3B0E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086CD429">
            <w:pPr>
              <w:autoSpaceDE w:val="0"/>
              <w:autoSpaceDN w:val="0"/>
              <w:adjustRightInd w:val="0"/>
              <w:snapToGrid w:val="0"/>
              <w:jc w:val="center"/>
            </w:pPr>
            <w:r>
              <w:t>支付股权激励回购款</w:t>
            </w:r>
          </w:p>
        </w:tc>
        <w:tc>
          <w:tcPr>
            <w:tcW w:w="1610" w:type="pct"/>
            <w:vAlign w:val="bottom"/>
          </w:tcPr>
          <w:p w14:paraId="34AFA1DA">
            <w:pPr>
              <w:jc w:val="right"/>
            </w:pPr>
          </w:p>
        </w:tc>
        <w:tc>
          <w:tcPr>
            <w:tcW w:w="1508" w:type="pct"/>
          </w:tcPr>
          <w:p w14:paraId="44E57C61">
            <w:pPr>
              <w:jc w:val="right"/>
            </w:pPr>
            <w:r>
              <w:t>110,913,601.36</w:t>
            </w:r>
          </w:p>
        </w:tc>
      </w:tr>
      <w:tr w14:paraId="2CB0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5E92DDCC">
            <w:pPr>
              <w:autoSpaceDE w:val="0"/>
              <w:autoSpaceDN w:val="0"/>
              <w:adjustRightInd w:val="0"/>
              <w:snapToGrid w:val="0"/>
              <w:jc w:val="center"/>
            </w:pPr>
            <w:r>
              <w:t>支付非金融机构借款</w:t>
            </w:r>
          </w:p>
        </w:tc>
        <w:tc>
          <w:tcPr>
            <w:tcW w:w="1610" w:type="pct"/>
            <w:vAlign w:val="bottom"/>
          </w:tcPr>
          <w:p w14:paraId="5C4E8373">
            <w:pPr>
              <w:jc w:val="right"/>
            </w:pPr>
            <w:r>
              <w:t>1,000,000.00</w:t>
            </w:r>
          </w:p>
        </w:tc>
        <w:tc>
          <w:tcPr>
            <w:tcW w:w="1508" w:type="pct"/>
          </w:tcPr>
          <w:p w14:paraId="46D07875">
            <w:pPr>
              <w:jc w:val="right"/>
            </w:pPr>
          </w:p>
        </w:tc>
      </w:tr>
      <w:tr w14:paraId="3F38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Pr>
          <w:p w14:paraId="7B9D193B">
            <w:pPr>
              <w:autoSpaceDE w:val="0"/>
              <w:autoSpaceDN w:val="0"/>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10" w:type="pct"/>
            <w:vAlign w:val="center"/>
          </w:tcPr>
          <w:p w14:paraId="4117A304">
            <w:pPr>
              <w:jc w:val="right"/>
            </w:pPr>
            <w:r>
              <w:t>1,310,500.00</w:t>
            </w:r>
          </w:p>
        </w:tc>
        <w:tc>
          <w:tcPr>
            <w:tcW w:w="1508" w:type="pct"/>
            <w:vAlign w:val="center"/>
          </w:tcPr>
          <w:p w14:paraId="0E7258E0">
            <w:pPr>
              <w:jc w:val="right"/>
            </w:pPr>
            <w:r>
              <w:t>130,859,058.08</w:t>
            </w:r>
          </w:p>
        </w:tc>
      </w:tr>
    </w:tbl>
    <w:p w14:paraId="08B9D1EA"/>
    <w:p w14:paraId="52286E99">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支付的其他与筹资活动有关的现金说明：</w:t>
      </w:r>
    </w:p>
    <w:sdt>
      <w:sdtPr>
        <w:rPr>
          <w:rFonts w:hint="eastAsia"/>
          <w:color w:val="000000" w:themeColor="text1"/>
          <w14:textFill>
            <w14:solidFill>
              <w14:schemeClr w14:val="tx1"/>
            </w14:solidFill>
          </w14:textFill>
        </w:rPr>
        <w:alias w:val="支付的其他与筹资活动有关的现金说明"/>
        <w:tag w:val="_GBC_7240a9be12a64ca5b011a2561db068a1"/>
        <w:id w:val="-603810633"/>
        <w:placeholder>
          <w:docPart w:val="GBC22222222222222222222222222222"/>
        </w:placeholder>
      </w:sdtPr>
      <w:sdtEndPr>
        <w:rPr>
          <w:rFonts w:hint="eastAsia"/>
          <w:color w:val="000000" w:themeColor="text1"/>
          <w14:textFill>
            <w14:solidFill>
              <w14:schemeClr w14:val="tx1"/>
            </w14:solidFill>
          </w14:textFill>
        </w:rPr>
      </w:sdtEndPr>
      <w:sdtContent>
        <w:p w14:paraId="280D62AD">
          <w:pPr>
            <w:ind w:right="5"/>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2ECCE104">
      <w:pPr>
        <w:ind w:right="5"/>
        <w:rPr>
          <w:rFonts w:cstheme="minorBidi"/>
          <w:color w:val="000000" w:themeColor="text1"/>
          <w:kern w:val="2"/>
          <w:szCs w:val="22"/>
          <w14:textFill>
            <w14:solidFill>
              <w14:schemeClr w14:val="tx1"/>
            </w14:solidFill>
          </w14:textFill>
        </w:rPr>
      </w:pPr>
    </w:p>
    <w:p w14:paraId="72273CE2">
      <w:pPr>
        <w:ind w:right="5"/>
        <w:rPr>
          <w:color w:val="000000" w:themeColor="text1"/>
          <w14:textFill>
            <w14:solidFill>
              <w14:schemeClr w14:val="tx1"/>
            </w14:solidFill>
          </w14:textFill>
        </w:rPr>
      </w:pPr>
      <w:bookmarkStart w:id="350" w:name="_Hlk167970634"/>
      <w:r>
        <w:rPr>
          <w:rFonts w:hint="eastAsia"/>
          <w:color w:val="000000" w:themeColor="text1"/>
          <w14:textFill>
            <w14:solidFill>
              <w14:schemeClr w14:val="tx1"/>
            </w14:solidFill>
          </w14:textFill>
        </w:rPr>
        <w:t>筹资活动产生的各项负债变动情况</w:t>
      </w:r>
    </w:p>
    <w:sdt>
      <w:sdtPr>
        <w:rPr>
          <w:color w:val="000000" w:themeColor="text1"/>
          <w14:textFill>
            <w14:solidFill>
              <w14:schemeClr w14:val="tx1"/>
            </w14:solidFill>
          </w14:textFill>
        </w:rPr>
        <w:alias w:val="是否适用：筹资活动产生的各项负债变动情况[双击切换]"/>
        <w:tag w:val="_GBC_48125ca45f014b0db6560676c7f940e6"/>
        <w:id w:val="-1891111809"/>
        <w:placeholder>
          <w:docPart w:val="GBC22222222222222222222222222222"/>
        </w:placeholder>
      </w:sdtPr>
      <w:sdtEndPr>
        <w:rPr>
          <w:color w:val="000000" w:themeColor="text1"/>
          <w14:textFill>
            <w14:solidFill>
              <w14:schemeClr w14:val="tx1"/>
            </w14:solidFill>
          </w14:textFill>
        </w:rPr>
      </w:sdtEndPr>
      <w:sdtContent>
        <w:p w14:paraId="4EACDB5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A2C5E6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筹资活动产生的各项负债变动情况"/>
          <w:tag w:val="_GBC_b2115f4b0ede479da8748ac4d1759102"/>
          <w:id w:val="7944857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筹资活动产生的各项负债变动情况"/>
          <w:tag w:val="_GBC_4afc8b10e1f7417d98697a1f635a7718"/>
          <w:id w:val="4142100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437"/>
        <w:gridCol w:w="1330"/>
        <w:gridCol w:w="1294"/>
        <w:gridCol w:w="1155"/>
        <w:gridCol w:w="1295"/>
        <w:gridCol w:w="1153"/>
        <w:gridCol w:w="1431"/>
      </w:tblGrid>
      <w:tr w14:paraId="0E8C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jc w:val="center"/>
        </w:trPr>
        <w:sdt>
          <w:sdtPr>
            <w:rPr>
              <w:spacing w:val="-10"/>
              <w:sz w:val="18"/>
              <w:szCs w:val="18"/>
            </w:rPr>
            <w:tag w:val="_PLD_5a6b6a267e0e40e3bc26d2b61cac8198"/>
            <w:id w:val="-1730220186"/>
          </w:sdtPr>
          <w:sdtEndPr>
            <w:rPr>
              <w:spacing w:val="-10"/>
              <w:sz w:val="18"/>
              <w:szCs w:val="18"/>
            </w:rPr>
          </w:sdtEndPr>
          <w:sdtContent>
            <w:tc>
              <w:tcPr>
                <w:tcW w:w="790" w:type="pct"/>
                <w:vMerge w:val="restart"/>
                <w:vAlign w:val="center"/>
              </w:tcPr>
              <w:p w14:paraId="1BA1E4D6">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rFonts w:hint="eastAsia"/>
                    <w:color w:val="000000" w:themeColor="text1"/>
                    <w:spacing w:val="-10"/>
                    <w:sz w:val="18"/>
                    <w:szCs w:val="18"/>
                    <w14:textFill>
                      <w14:solidFill>
                        <w14:schemeClr w14:val="tx1"/>
                      </w14:solidFill>
                    </w14:textFill>
                  </w:rPr>
                  <w:t>项目</w:t>
                </w:r>
              </w:p>
            </w:tc>
          </w:sdtContent>
        </w:sdt>
        <w:sdt>
          <w:sdtPr>
            <w:rPr>
              <w:spacing w:val="-10"/>
              <w:sz w:val="18"/>
              <w:szCs w:val="18"/>
            </w:rPr>
            <w:tag w:val="_PLD_36925a1427f44fc9ad2d6b19462366bd"/>
            <w:id w:val="-2043974641"/>
          </w:sdtPr>
          <w:sdtEndPr>
            <w:rPr>
              <w:spacing w:val="-10"/>
              <w:sz w:val="18"/>
              <w:szCs w:val="18"/>
            </w:rPr>
          </w:sdtEndPr>
          <w:sdtContent>
            <w:tc>
              <w:tcPr>
                <w:tcW w:w="731" w:type="pct"/>
                <w:vMerge w:val="restart"/>
                <w:vAlign w:val="center"/>
              </w:tcPr>
              <w:p w14:paraId="28141AD2">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color w:val="000000" w:themeColor="text1"/>
                    <w:spacing w:val="-10"/>
                    <w:sz w:val="18"/>
                    <w:szCs w:val="18"/>
                    <w14:textFill>
                      <w14:solidFill>
                        <w14:schemeClr w14:val="tx1"/>
                      </w14:solidFill>
                    </w14:textFill>
                  </w:rPr>
                  <w:t>期初余额</w:t>
                </w:r>
              </w:p>
            </w:tc>
          </w:sdtContent>
        </w:sdt>
        <w:sdt>
          <w:sdtPr>
            <w:rPr>
              <w:spacing w:val="-10"/>
              <w:sz w:val="18"/>
              <w:szCs w:val="18"/>
            </w:rPr>
            <w:tag w:val="_PLD_176eed8443cb4d22bd65c7b5b358dc6c"/>
            <w:id w:val="-451857611"/>
          </w:sdtPr>
          <w:sdtEndPr>
            <w:rPr>
              <w:spacing w:val="-10"/>
              <w:sz w:val="18"/>
              <w:szCs w:val="18"/>
            </w:rPr>
          </w:sdtEndPr>
          <w:sdtContent>
            <w:tc>
              <w:tcPr>
                <w:tcW w:w="1346" w:type="pct"/>
                <w:gridSpan w:val="2"/>
                <w:vAlign w:val="center"/>
              </w:tcPr>
              <w:p w14:paraId="7470C528">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rFonts w:hint="eastAsia"/>
                    <w:color w:val="000000" w:themeColor="text1"/>
                    <w:spacing w:val="-10"/>
                    <w:sz w:val="18"/>
                    <w:szCs w:val="18"/>
                    <w14:textFill>
                      <w14:solidFill>
                        <w14:schemeClr w14:val="tx1"/>
                      </w14:solidFill>
                    </w14:textFill>
                  </w:rPr>
                  <w:t>本期增加</w:t>
                </w:r>
              </w:p>
            </w:tc>
          </w:sdtContent>
        </w:sdt>
        <w:sdt>
          <w:sdtPr>
            <w:rPr>
              <w:spacing w:val="-10"/>
              <w:sz w:val="18"/>
              <w:szCs w:val="18"/>
            </w:rPr>
            <w:tag w:val="_PLD_cac06696e80c47f5b5568a75d3febe74"/>
            <w:id w:val="-614756120"/>
          </w:sdtPr>
          <w:sdtEndPr>
            <w:rPr>
              <w:spacing w:val="-10"/>
              <w:sz w:val="18"/>
              <w:szCs w:val="18"/>
            </w:rPr>
          </w:sdtEndPr>
          <w:sdtContent>
            <w:tc>
              <w:tcPr>
                <w:tcW w:w="1346" w:type="pct"/>
                <w:gridSpan w:val="2"/>
                <w:vAlign w:val="center"/>
              </w:tcPr>
              <w:p w14:paraId="724BE1E9">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rFonts w:hint="eastAsia"/>
                    <w:color w:val="000000" w:themeColor="text1"/>
                    <w:spacing w:val="-10"/>
                    <w:sz w:val="18"/>
                    <w:szCs w:val="18"/>
                    <w14:textFill>
                      <w14:solidFill>
                        <w14:schemeClr w14:val="tx1"/>
                      </w14:solidFill>
                    </w14:textFill>
                  </w:rPr>
                  <w:t>本期减少</w:t>
                </w:r>
              </w:p>
            </w:tc>
          </w:sdtContent>
        </w:sdt>
        <w:sdt>
          <w:sdtPr>
            <w:rPr>
              <w:spacing w:val="-10"/>
              <w:sz w:val="18"/>
              <w:szCs w:val="18"/>
            </w:rPr>
            <w:tag w:val="_PLD_e21e0332db6f456baa78cdaed3e13bfb"/>
            <w:id w:val="-2129007775"/>
          </w:sdtPr>
          <w:sdtEndPr>
            <w:rPr>
              <w:spacing w:val="-10"/>
              <w:sz w:val="18"/>
              <w:szCs w:val="18"/>
            </w:rPr>
          </w:sdtEndPr>
          <w:sdtContent>
            <w:tc>
              <w:tcPr>
                <w:tcW w:w="788" w:type="pct"/>
                <w:vAlign w:val="center"/>
              </w:tcPr>
              <w:p w14:paraId="0692370F">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rFonts w:hint="eastAsia"/>
                    <w:color w:val="000000" w:themeColor="text1"/>
                    <w:spacing w:val="-10"/>
                    <w:sz w:val="18"/>
                    <w:szCs w:val="18"/>
                    <w14:textFill>
                      <w14:solidFill>
                        <w14:schemeClr w14:val="tx1"/>
                      </w14:solidFill>
                    </w14:textFill>
                  </w:rPr>
                  <w:t>期末余额</w:t>
                </w:r>
              </w:p>
            </w:tc>
          </w:sdtContent>
        </w:sdt>
      </w:tr>
      <w:tr w14:paraId="5741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135" w:hRule="atLeast"/>
          <w:jc w:val="center"/>
        </w:trPr>
        <w:tc>
          <w:tcPr>
            <w:tcW w:w="790" w:type="pct"/>
            <w:vMerge w:val="continue"/>
          </w:tcPr>
          <w:p w14:paraId="5C1466C8">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p>
        </w:tc>
        <w:tc>
          <w:tcPr>
            <w:tcW w:w="731" w:type="pct"/>
            <w:vMerge w:val="continue"/>
          </w:tcPr>
          <w:p w14:paraId="7C7CF553">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p>
        </w:tc>
        <w:sdt>
          <w:sdtPr>
            <w:rPr>
              <w:spacing w:val="-10"/>
              <w:sz w:val="18"/>
              <w:szCs w:val="18"/>
            </w:rPr>
            <w:tag w:val="_PLD_91886e77e3aa45f593f23a58a4371259"/>
            <w:id w:val="1201289592"/>
          </w:sdtPr>
          <w:sdtEndPr>
            <w:rPr>
              <w:spacing w:val="-10"/>
              <w:sz w:val="18"/>
              <w:szCs w:val="18"/>
            </w:rPr>
          </w:sdtEndPr>
          <w:sdtContent>
            <w:tc>
              <w:tcPr>
                <w:tcW w:w="711" w:type="pct"/>
              </w:tcPr>
              <w:p w14:paraId="4E171C15">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color w:val="000000" w:themeColor="text1"/>
                    <w:spacing w:val="-10"/>
                    <w:sz w:val="18"/>
                    <w:szCs w:val="18"/>
                    <w14:textFill>
                      <w14:solidFill>
                        <w14:schemeClr w14:val="tx1"/>
                      </w14:solidFill>
                    </w14:textFill>
                  </w:rPr>
                  <w:t>现金变动</w:t>
                </w:r>
              </w:p>
            </w:tc>
          </w:sdtContent>
        </w:sdt>
        <w:sdt>
          <w:sdtPr>
            <w:rPr>
              <w:spacing w:val="-10"/>
              <w:sz w:val="18"/>
              <w:szCs w:val="18"/>
            </w:rPr>
            <w:tag w:val="_PLD_bb55d31edc784a1a9201d9cfc35cfb0a"/>
            <w:id w:val="-167716014"/>
          </w:sdtPr>
          <w:sdtEndPr>
            <w:rPr>
              <w:spacing w:val="-10"/>
              <w:sz w:val="18"/>
              <w:szCs w:val="18"/>
            </w:rPr>
          </w:sdtEndPr>
          <w:sdtContent>
            <w:tc>
              <w:tcPr>
                <w:tcW w:w="634" w:type="pct"/>
              </w:tcPr>
              <w:p w14:paraId="7CED2440">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color w:val="000000" w:themeColor="text1"/>
                    <w:spacing w:val="-10"/>
                    <w:sz w:val="18"/>
                    <w:szCs w:val="18"/>
                    <w14:textFill>
                      <w14:solidFill>
                        <w14:schemeClr w14:val="tx1"/>
                      </w14:solidFill>
                    </w14:textFill>
                  </w:rPr>
                  <w:t>非现金变动</w:t>
                </w:r>
              </w:p>
            </w:tc>
          </w:sdtContent>
        </w:sdt>
        <w:sdt>
          <w:sdtPr>
            <w:rPr>
              <w:spacing w:val="-10"/>
              <w:sz w:val="18"/>
              <w:szCs w:val="18"/>
            </w:rPr>
            <w:tag w:val="_PLD_54bb1edd4a3647d0b36572ae06e87dcc"/>
            <w:id w:val="1100525895"/>
          </w:sdtPr>
          <w:sdtEndPr>
            <w:rPr>
              <w:spacing w:val="-10"/>
              <w:sz w:val="18"/>
              <w:szCs w:val="18"/>
            </w:rPr>
          </w:sdtEndPr>
          <w:sdtContent>
            <w:tc>
              <w:tcPr>
                <w:tcW w:w="712" w:type="pct"/>
              </w:tcPr>
              <w:p w14:paraId="1DC711E1">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color w:val="000000" w:themeColor="text1"/>
                    <w:spacing w:val="-10"/>
                    <w:sz w:val="18"/>
                    <w:szCs w:val="18"/>
                    <w14:textFill>
                      <w14:solidFill>
                        <w14:schemeClr w14:val="tx1"/>
                      </w14:solidFill>
                    </w14:textFill>
                  </w:rPr>
                  <w:t>现金变动</w:t>
                </w:r>
              </w:p>
            </w:tc>
          </w:sdtContent>
        </w:sdt>
        <w:sdt>
          <w:sdtPr>
            <w:rPr>
              <w:spacing w:val="-10"/>
              <w:sz w:val="18"/>
              <w:szCs w:val="18"/>
            </w:rPr>
            <w:tag w:val="_PLD_d089b8baa83c4cc6b03f3dd0078bbdbc"/>
            <w:id w:val="1150794129"/>
          </w:sdtPr>
          <w:sdtEndPr>
            <w:rPr>
              <w:spacing w:val="-10"/>
              <w:sz w:val="18"/>
              <w:szCs w:val="18"/>
            </w:rPr>
          </w:sdtEndPr>
          <w:sdtContent>
            <w:tc>
              <w:tcPr>
                <w:tcW w:w="633" w:type="pct"/>
              </w:tcPr>
              <w:p w14:paraId="17D19810">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color w:val="000000" w:themeColor="text1"/>
                    <w:spacing w:val="-10"/>
                    <w:sz w:val="18"/>
                    <w:szCs w:val="18"/>
                    <w14:textFill>
                      <w14:solidFill>
                        <w14:schemeClr w14:val="tx1"/>
                      </w14:solidFill>
                    </w14:textFill>
                  </w:rPr>
                  <w:t>非现金变动</w:t>
                </w:r>
              </w:p>
            </w:tc>
          </w:sdtContent>
        </w:sdt>
        <w:tc>
          <w:tcPr>
            <w:tcW w:w="788" w:type="pct"/>
          </w:tcPr>
          <w:p w14:paraId="6AC61FCD">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p>
        </w:tc>
      </w:tr>
      <w:tr w14:paraId="6E95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90" w:type="pct"/>
          </w:tcPr>
          <w:p w14:paraId="1D287DA9">
            <w:pPr>
              <w:autoSpaceDE w:val="0"/>
              <w:autoSpaceDN w:val="0"/>
              <w:adjustRightInd w:val="0"/>
              <w:snapToGrid w:val="0"/>
              <w:ind w:left="-53" w:leftChars="-25" w:right="-53" w:rightChars="-25"/>
              <w:rPr>
                <w:spacing w:val="-10"/>
                <w:sz w:val="18"/>
                <w:szCs w:val="18"/>
              </w:rPr>
            </w:pPr>
            <w:r>
              <w:rPr>
                <w:spacing w:val="-10"/>
                <w:sz w:val="18"/>
                <w:szCs w:val="18"/>
              </w:rPr>
              <w:t>短期借款</w:t>
            </w:r>
          </w:p>
        </w:tc>
        <w:tc>
          <w:tcPr>
            <w:tcW w:w="731" w:type="pct"/>
            <w:vAlign w:val="center"/>
          </w:tcPr>
          <w:p w14:paraId="3AAC8720">
            <w:pPr>
              <w:ind w:left="-53" w:leftChars="-25" w:right="-53" w:rightChars="-25"/>
              <w:jc w:val="right"/>
              <w:rPr>
                <w:spacing w:val="-10"/>
                <w:sz w:val="18"/>
                <w:szCs w:val="18"/>
              </w:rPr>
            </w:pPr>
            <w:r>
              <w:rPr>
                <w:spacing w:val="-10"/>
                <w:sz w:val="18"/>
                <w:szCs w:val="18"/>
              </w:rPr>
              <w:t>617,420,222.22</w:t>
            </w:r>
          </w:p>
        </w:tc>
        <w:tc>
          <w:tcPr>
            <w:tcW w:w="711" w:type="pct"/>
            <w:vAlign w:val="center"/>
          </w:tcPr>
          <w:p w14:paraId="786601E4">
            <w:pPr>
              <w:ind w:left="-53" w:leftChars="-25" w:right="-53" w:rightChars="-25"/>
              <w:jc w:val="right"/>
              <w:rPr>
                <w:spacing w:val="-10"/>
                <w:sz w:val="18"/>
                <w:szCs w:val="18"/>
              </w:rPr>
            </w:pPr>
            <w:r>
              <w:rPr>
                <w:spacing w:val="-10"/>
                <w:sz w:val="18"/>
                <w:szCs w:val="18"/>
              </w:rPr>
              <w:t>100,000,000.00</w:t>
            </w:r>
          </w:p>
        </w:tc>
        <w:tc>
          <w:tcPr>
            <w:tcW w:w="634" w:type="pct"/>
            <w:vAlign w:val="center"/>
          </w:tcPr>
          <w:p w14:paraId="2352DAF7">
            <w:pPr>
              <w:ind w:left="-53" w:leftChars="-25" w:right="-53" w:rightChars="-25"/>
              <w:jc w:val="right"/>
              <w:rPr>
                <w:spacing w:val="-10"/>
                <w:sz w:val="18"/>
                <w:szCs w:val="18"/>
              </w:rPr>
            </w:pPr>
            <w:r>
              <w:rPr>
                <w:spacing w:val="-10"/>
                <w:sz w:val="18"/>
                <w:szCs w:val="18"/>
              </w:rPr>
              <w:t>8,013,611.11</w:t>
            </w:r>
          </w:p>
        </w:tc>
        <w:tc>
          <w:tcPr>
            <w:tcW w:w="712" w:type="pct"/>
            <w:vAlign w:val="center"/>
          </w:tcPr>
          <w:p w14:paraId="349C7D16">
            <w:pPr>
              <w:ind w:left="-53" w:leftChars="-25" w:right="-53" w:rightChars="-25"/>
              <w:jc w:val="right"/>
              <w:rPr>
                <w:spacing w:val="-10"/>
                <w:sz w:val="18"/>
                <w:szCs w:val="18"/>
              </w:rPr>
            </w:pPr>
            <w:r>
              <w:rPr>
                <w:spacing w:val="-10"/>
                <w:sz w:val="18"/>
                <w:szCs w:val="18"/>
              </w:rPr>
              <w:t>188,234,722.23</w:t>
            </w:r>
          </w:p>
        </w:tc>
        <w:tc>
          <w:tcPr>
            <w:tcW w:w="633" w:type="pct"/>
            <w:vAlign w:val="center"/>
          </w:tcPr>
          <w:p w14:paraId="2AA3B7F6">
            <w:pPr>
              <w:ind w:left="-53" w:leftChars="-25" w:right="-53" w:rightChars="-25"/>
              <w:jc w:val="right"/>
              <w:rPr>
                <w:spacing w:val="-10"/>
                <w:sz w:val="18"/>
                <w:szCs w:val="18"/>
              </w:rPr>
            </w:pPr>
            <w:r>
              <w:rPr>
                <w:spacing w:val="-10"/>
                <w:sz w:val="18"/>
                <w:szCs w:val="18"/>
              </w:rPr>
              <w:t>16,874,000.00</w:t>
            </w:r>
          </w:p>
        </w:tc>
        <w:tc>
          <w:tcPr>
            <w:tcW w:w="788" w:type="pct"/>
            <w:vAlign w:val="center"/>
          </w:tcPr>
          <w:p w14:paraId="2447459E">
            <w:pPr>
              <w:ind w:left="-53" w:leftChars="-25" w:right="-53" w:rightChars="-25"/>
              <w:jc w:val="right"/>
              <w:rPr>
                <w:spacing w:val="-10"/>
                <w:sz w:val="18"/>
                <w:szCs w:val="18"/>
              </w:rPr>
            </w:pPr>
            <w:r>
              <w:rPr>
                <w:spacing w:val="-10"/>
                <w:sz w:val="18"/>
                <w:szCs w:val="18"/>
              </w:rPr>
              <w:t>520,325,111.10</w:t>
            </w:r>
          </w:p>
        </w:tc>
      </w:tr>
      <w:tr w14:paraId="25D6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90" w:type="pct"/>
          </w:tcPr>
          <w:p w14:paraId="6CC36CAA">
            <w:pPr>
              <w:autoSpaceDE w:val="0"/>
              <w:autoSpaceDN w:val="0"/>
              <w:adjustRightInd w:val="0"/>
              <w:snapToGrid w:val="0"/>
              <w:ind w:left="-53" w:leftChars="-25" w:right="-53" w:rightChars="-25"/>
              <w:rPr>
                <w:spacing w:val="-10"/>
                <w:sz w:val="18"/>
                <w:szCs w:val="18"/>
              </w:rPr>
            </w:pPr>
            <w:r>
              <w:rPr>
                <w:spacing w:val="-10"/>
                <w:sz w:val="18"/>
                <w:szCs w:val="18"/>
              </w:rPr>
              <w:t>长期借款（含一年内到期的长期借款）</w:t>
            </w:r>
          </w:p>
        </w:tc>
        <w:tc>
          <w:tcPr>
            <w:tcW w:w="731" w:type="pct"/>
            <w:vAlign w:val="center"/>
          </w:tcPr>
          <w:p w14:paraId="24B92934">
            <w:pPr>
              <w:ind w:left="-53" w:leftChars="-25" w:right="-53" w:rightChars="-25"/>
              <w:jc w:val="right"/>
              <w:rPr>
                <w:spacing w:val="-10"/>
                <w:sz w:val="18"/>
                <w:szCs w:val="18"/>
              </w:rPr>
            </w:pPr>
            <w:r>
              <w:rPr>
                <w:spacing w:val="-10"/>
                <w:sz w:val="18"/>
                <w:szCs w:val="18"/>
              </w:rPr>
              <w:t>1,399,450,275.89</w:t>
            </w:r>
          </w:p>
        </w:tc>
        <w:tc>
          <w:tcPr>
            <w:tcW w:w="711" w:type="pct"/>
            <w:vAlign w:val="center"/>
          </w:tcPr>
          <w:p w14:paraId="1A1A3962">
            <w:pPr>
              <w:ind w:left="-53" w:leftChars="-25" w:right="-53" w:rightChars="-25"/>
              <w:jc w:val="right"/>
              <w:rPr>
                <w:spacing w:val="-10"/>
                <w:sz w:val="18"/>
                <w:szCs w:val="18"/>
              </w:rPr>
            </w:pPr>
            <w:r>
              <w:rPr>
                <w:spacing w:val="-10"/>
                <w:sz w:val="18"/>
                <w:szCs w:val="18"/>
              </w:rPr>
              <w:t>50,000,000.00</w:t>
            </w:r>
          </w:p>
        </w:tc>
        <w:tc>
          <w:tcPr>
            <w:tcW w:w="634" w:type="pct"/>
            <w:vAlign w:val="center"/>
          </w:tcPr>
          <w:p w14:paraId="4477F23C">
            <w:pPr>
              <w:ind w:left="-53" w:leftChars="-25" w:right="-53" w:rightChars="-25"/>
              <w:jc w:val="right"/>
              <w:rPr>
                <w:spacing w:val="-10"/>
                <w:sz w:val="18"/>
                <w:szCs w:val="18"/>
              </w:rPr>
            </w:pPr>
            <w:r>
              <w:rPr>
                <w:spacing w:val="-10"/>
                <w:sz w:val="18"/>
                <w:szCs w:val="18"/>
              </w:rPr>
              <w:t>28,496,877.95</w:t>
            </w:r>
          </w:p>
        </w:tc>
        <w:tc>
          <w:tcPr>
            <w:tcW w:w="712" w:type="pct"/>
            <w:vAlign w:val="center"/>
          </w:tcPr>
          <w:p w14:paraId="791857C6">
            <w:pPr>
              <w:ind w:left="-53" w:leftChars="-25" w:right="-53" w:rightChars="-25"/>
              <w:jc w:val="right"/>
              <w:rPr>
                <w:spacing w:val="-10"/>
                <w:sz w:val="18"/>
                <w:szCs w:val="18"/>
              </w:rPr>
            </w:pPr>
            <w:r>
              <w:rPr>
                <w:spacing w:val="-10"/>
                <w:sz w:val="18"/>
                <w:szCs w:val="18"/>
              </w:rPr>
              <w:t>216,442,910.18</w:t>
            </w:r>
          </w:p>
        </w:tc>
        <w:tc>
          <w:tcPr>
            <w:tcW w:w="633" w:type="pct"/>
            <w:vAlign w:val="center"/>
          </w:tcPr>
          <w:p w14:paraId="4C7D05D8">
            <w:pPr>
              <w:ind w:left="-53" w:leftChars="-25" w:right="-53" w:rightChars="-25"/>
              <w:jc w:val="right"/>
              <w:rPr>
                <w:spacing w:val="-10"/>
                <w:sz w:val="18"/>
                <w:szCs w:val="18"/>
              </w:rPr>
            </w:pPr>
          </w:p>
        </w:tc>
        <w:tc>
          <w:tcPr>
            <w:tcW w:w="788" w:type="pct"/>
            <w:vAlign w:val="center"/>
          </w:tcPr>
          <w:p w14:paraId="4C24E4FB">
            <w:pPr>
              <w:ind w:left="-53" w:leftChars="-25" w:right="-53" w:rightChars="-25"/>
              <w:jc w:val="right"/>
              <w:rPr>
                <w:rFonts w:ascii="宋体" w:hAnsi="宋体"/>
                <w:spacing w:val="-10"/>
                <w:sz w:val="18"/>
                <w:szCs w:val="18"/>
              </w:rPr>
            </w:pPr>
            <w:r>
              <w:rPr>
                <w:spacing w:val="-10"/>
                <w:sz w:val="18"/>
                <w:szCs w:val="18"/>
              </w:rPr>
              <w:t>1,261,504,243.66</w:t>
            </w:r>
          </w:p>
        </w:tc>
      </w:tr>
      <w:tr w14:paraId="6689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90" w:type="pct"/>
          </w:tcPr>
          <w:p w14:paraId="57B33254">
            <w:pPr>
              <w:autoSpaceDE w:val="0"/>
              <w:autoSpaceDN w:val="0"/>
              <w:adjustRightInd w:val="0"/>
              <w:snapToGrid w:val="0"/>
              <w:ind w:left="-53" w:leftChars="-25" w:right="-53" w:rightChars="-25"/>
              <w:rPr>
                <w:spacing w:val="-10"/>
                <w:sz w:val="18"/>
                <w:szCs w:val="18"/>
              </w:rPr>
            </w:pPr>
            <w:r>
              <w:rPr>
                <w:spacing w:val="-10"/>
                <w:sz w:val="18"/>
                <w:szCs w:val="18"/>
              </w:rPr>
              <w:t>租赁负债（含一年内到期的租赁负债）</w:t>
            </w:r>
          </w:p>
        </w:tc>
        <w:tc>
          <w:tcPr>
            <w:tcW w:w="731" w:type="pct"/>
            <w:vAlign w:val="center"/>
          </w:tcPr>
          <w:p w14:paraId="257ADC6D">
            <w:pPr>
              <w:ind w:left="-53" w:leftChars="-25" w:right="-53" w:rightChars="-25"/>
              <w:jc w:val="right"/>
              <w:rPr>
                <w:spacing w:val="-10"/>
                <w:sz w:val="18"/>
                <w:szCs w:val="18"/>
              </w:rPr>
            </w:pPr>
            <w:r>
              <w:rPr>
                <w:spacing w:val="-10"/>
                <w:sz w:val="18"/>
                <w:szCs w:val="18"/>
              </w:rPr>
              <w:t>936,458.72</w:t>
            </w:r>
          </w:p>
        </w:tc>
        <w:tc>
          <w:tcPr>
            <w:tcW w:w="711" w:type="pct"/>
            <w:vAlign w:val="center"/>
          </w:tcPr>
          <w:p w14:paraId="11E4A7B4">
            <w:pPr>
              <w:ind w:left="-53" w:leftChars="-25" w:right="-53" w:rightChars="-25"/>
              <w:jc w:val="right"/>
              <w:rPr>
                <w:spacing w:val="-10"/>
                <w:sz w:val="18"/>
                <w:szCs w:val="18"/>
              </w:rPr>
            </w:pPr>
          </w:p>
        </w:tc>
        <w:tc>
          <w:tcPr>
            <w:tcW w:w="634" w:type="pct"/>
            <w:vAlign w:val="center"/>
          </w:tcPr>
          <w:p w14:paraId="6EEC3DA8">
            <w:pPr>
              <w:ind w:left="-53" w:leftChars="-25" w:right="-53" w:rightChars="-25"/>
              <w:jc w:val="right"/>
              <w:rPr>
                <w:rFonts w:eastAsia="Times New Roman" w:cs="Times New Roman"/>
                <w:spacing w:val="-10"/>
                <w:sz w:val="18"/>
                <w:szCs w:val="18"/>
              </w:rPr>
            </w:pPr>
            <w:r>
              <w:rPr>
                <w:spacing w:val="-10"/>
                <w:sz w:val="18"/>
                <w:szCs w:val="18"/>
              </w:rPr>
              <w:t>129,220.81</w:t>
            </w:r>
          </w:p>
        </w:tc>
        <w:tc>
          <w:tcPr>
            <w:tcW w:w="712" w:type="pct"/>
            <w:vAlign w:val="center"/>
          </w:tcPr>
          <w:p w14:paraId="594595A6">
            <w:pPr>
              <w:ind w:left="-53" w:leftChars="-25" w:right="-53" w:rightChars="-25"/>
              <w:jc w:val="right"/>
              <w:rPr>
                <w:rFonts w:eastAsia="Times New Roman" w:cs="Times New Roman"/>
                <w:spacing w:val="-10"/>
                <w:sz w:val="18"/>
                <w:szCs w:val="18"/>
              </w:rPr>
            </w:pPr>
            <w:r>
              <w:rPr>
                <w:spacing w:val="-10"/>
                <w:sz w:val="18"/>
                <w:szCs w:val="18"/>
              </w:rPr>
              <w:t>310,500.00</w:t>
            </w:r>
          </w:p>
        </w:tc>
        <w:tc>
          <w:tcPr>
            <w:tcW w:w="633" w:type="pct"/>
            <w:vAlign w:val="center"/>
          </w:tcPr>
          <w:p w14:paraId="69DFA94A">
            <w:pPr>
              <w:ind w:left="-53" w:leftChars="-25" w:right="-53" w:rightChars="-25"/>
              <w:jc w:val="right"/>
              <w:rPr>
                <w:rFonts w:eastAsia="Times New Roman" w:cs="Times New Roman"/>
                <w:spacing w:val="-10"/>
                <w:sz w:val="18"/>
                <w:szCs w:val="18"/>
              </w:rPr>
            </w:pPr>
          </w:p>
        </w:tc>
        <w:tc>
          <w:tcPr>
            <w:tcW w:w="788" w:type="pct"/>
            <w:vAlign w:val="center"/>
          </w:tcPr>
          <w:p w14:paraId="1C0DF7E6">
            <w:pPr>
              <w:ind w:left="-53" w:leftChars="-25" w:right="-53" w:rightChars="-25"/>
              <w:jc w:val="right"/>
              <w:rPr>
                <w:rFonts w:eastAsia="Times New Roman" w:cs="Times New Roman"/>
                <w:spacing w:val="-10"/>
                <w:sz w:val="18"/>
                <w:szCs w:val="18"/>
              </w:rPr>
            </w:pPr>
            <w:r>
              <w:rPr>
                <w:spacing w:val="-10"/>
                <w:sz w:val="18"/>
                <w:szCs w:val="18"/>
              </w:rPr>
              <w:t>755,179.53</w:t>
            </w:r>
          </w:p>
        </w:tc>
      </w:tr>
      <w:tr w14:paraId="46E9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90" w:type="pct"/>
          </w:tcPr>
          <w:p w14:paraId="7431FB26">
            <w:pPr>
              <w:autoSpaceDE w:val="0"/>
              <w:autoSpaceDN w:val="0"/>
              <w:adjustRightInd w:val="0"/>
              <w:snapToGrid w:val="0"/>
              <w:ind w:left="-53" w:leftChars="-25" w:right="-53" w:rightChars="-25"/>
              <w:jc w:val="center"/>
              <w:rPr>
                <w:color w:val="000000" w:themeColor="text1"/>
                <w:spacing w:val="-10"/>
                <w:sz w:val="18"/>
                <w:szCs w:val="18"/>
                <w14:textFill>
                  <w14:solidFill>
                    <w14:schemeClr w14:val="tx1"/>
                  </w14:solidFill>
                </w14:textFill>
              </w:rPr>
            </w:pPr>
            <w:r>
              <w:rPr>
                <w:rFonts w:hint="eastAsia"/>
                <w:color w:val="000000" w:themeColor="text1"/>
                <w:spacing w:val="-10"/>
                <w:sz w:val="18"/>
                <w:szCs w:val="18"/>
                <w14:textFill>
                  <w14:solidFill>
                    <w14:schemeClr w14:val="tx1"/>
                  </w14:solidFill>
                </w14:textFill>
              </w:rPr>
              <w:t>合计</w:t>
            </w:r>
          </w:p>
        </w:tc>
        <w:tc>
          <w:tcPr>
            <w:tcW w:w="731" w:type="pct"/>
            <w:vAlign w:val="center"/>
          </w:tcPr>
          <w:p w14:paraId="65E72BE9">
            <w:pPr>
              <w:ind w:left="-53" w:leftChars="-25" w:right="-53" w:rightChars="-25"/>
              <w:jc w:val="right"/>
              <w:rPr>
                <w:spacing w:val="-10"/>
                <w:sz w:val="18"/>
                <w:szCs w:val="18"/>
              </w:rPr>
            </w:pPr>
            <w:r>
              <w:rPr>
                <w:spacing w:val="-10"/>
                <w:sz w:val="18"/>
                <w:szCs w:val="18"/>
              </w:rPr>
              <w:t>2,017,806,956.83</w:t>
            </w:r>
          </w:p>
        </w:tc>
        <w:tc>
          <w:tcPr>
            <w:tcW w:w="711" w:type="pct"/>
            <w:vAlign w:val="center"/>
          </w:tcPr>
          <w:p w14:paraId="11A05A7C">
            <w:pPr>
              <w:ind w:left="-53" w:leftChars="-25" w:right="-53" w:rightChars="-25"/>
              <w:jc w:val="right"/>
              <w:rPr>
                <w:rFonts w:ascii="宋体" w:hAnsi="宋体"/>
                <w:spacing w:val="-10"/>
                <w:sz w:val="18"/>
                <w:szCs w:val="18"/>
              </w:rPr>
            </w:pPr>
            <w:r>
              <w:rPr>
                <w:spacing w:val="-10"/>
                <w:sz w:val="18"/>
                <w:szCs w:val="18"/>
              </w:rPr>
              <w:t>150,000,000.00</w:t>
            </w:r>
          </w:p>
        </w:tc>
        <w:tc>
          <w:tcPr>
            <w:tcW w:w="634" w:type="pct"/>
            <w:vAlign w:val="center"/>
          </w:tcPr>
          <w:p w14:paraId="08DFCD76">
            <w:pPr>
              <w:ind w:left="-53" w:leftChars="-25" w:right="-53" w:rightChars="-25"/>
              <w:jc w:val="right"/>
              <w:rPr>
                <w:spacing w:val="-10"/>
                <w:sz w:val="18"/>
                <w:szCs w:val="18"/>
              </w:rPr>
            </w:pPr>
            <w:r>
              <w:rPr>
                <w:spacing w:val="-10"/>
                <w:sz w:val="18"/>
                <w:szCs w:val="18"/>
              </w:rPr>
              <w:t>36,639,709.87</w:t>
            </w:r>
          </w:p>
        </w:tc>
        <w:tc>
          <w:tcPr>
            <w:tcW w:w="712" w:type="pct"/>
            <w:vAlign w:val="center"/>
          </w:tcPr>
          <w:p w14:paraId="4127F3D2">
            <w:pPr>
              <w:ind w:left="-53" w:leftChars="-25" w:right="-53" w:rightChars="-25"/>
              <w:jc w:val="right"/>
              <w:rPr>
                <w:spacing w:val="-10"/>
                <w:sz w:val="18"/>
                <w:szCs w:val="18"/>
              </w:rPr>
            </w:pPr>
            <w:r>
              <w:rPr>
                <w:spacing w:val="-10"/>
                <w:sz w:val="18"/>
                <w:szCs w:val="18"/>
              </w:rPr>
              <w:t>404,988,132.41</w:t>
            </w:r>
          </w:p>
        </w:tc>
        <w:tc>
          <w:tcPr>
            <w:tcW w:w="633" w:type="pct"/>
            <w:vAlign w:val="center"/>
          </w:tcPr>
          <w:p w14:paraId="21BD8A06">
            <w:pPr>
              <w:ind w:left="-53" w:leftChars="-25" w:right="-53" w:rightChars="-25"/>
              <w:jc w:val="right"/>
              <w:rPr>
                <w:spacing w:val="-10"/>
                <w:sz w:val="18"/>
                <w:szCs w:val="18"/>
              </w:rPr>
            </w:pPr>
            <w:r>
              <w:rPr>
                <w:spacing w:val="-10"/>
                <w:sz w:val="18"/>
                <w:szCs w:val="18"/>
              </w:rPr>
              <w:t>16,874,000.00</w:t>
            </w:r>
          </w:p>
        </w:tc>
        <w:tc>
          <w:tcPr>
            <w:tcW w:w="788" w:type="pct"/>
            <w:vAlign w:val="center"/>
          </w:tcPr>
          <w:p w14:paraId="3A461329">
            <w:pPr>
              <w:ind w:left="-53" w:leftChars="-25" w:right="-53" w:rightChars="-25"/>
              <w:jc w:val="right"/>
              <w:rPr>
                <w:spacing w:val="-10"/>
                <w:sz w:val="18"/>
                <w:szCs w:val="18"/>
              </w:rPr>
            </w:pPr>
            <w:r>
              <w:rPr>
                <w:spacing w:val="-10"/>
                <w:sz w:val="18"/>
                <w:szCs w:val="18"/>
              </w:rPr>
              <w:t>1,782,584,534.29</w:t>
            </w:r>
          </w:p>
        </w:tc>
      </w:tr>
    </w:tbl>
    <w:p w14:paraId="7CFE9DFC"/>
    <w:p w14:paraId="46320B3E">
      <w:pPr>
        <w:pStyle w:val="5"/>
        <w:numPr>
          <w:ilvl w:val="0"/>
          <w:numId w:val="77"/>
        </w:numPr>
        <w:rPr>
          <w:color w:val="000000" w:themeColor="text1"/>
          <w14:textFill>
            <w14:solidFill>
              <w14:schemeClr w14:val="tx1"/>
            </w14:solidFill>
          </w14:textFill>
        </w:rPr>
      </w:pPr>
      <w:r>
        <w:rPr>
          <w:rFonts w:hint="eastAsia"/>
          <w:color w:val="000000" w:themeColor="text1"/>
          <w14:textFill>
            <w14:solidFill>
              <w14:schemeClr w14:val="tx1"/>
            </w14:solidFill>
          </w14:textFill>
        </w:rPr>
        <w:t>以净额列报现金流量的说明</w:t>
      </w:r>
    </w:p>
    <w:sdt>
      <w:sdtPr>
        <w:rPr>
          <w:color w:val="000000" w:themeColor="text1"/>
          <w14:textFill>
            <w14:solidFill>
              <w14:schemeClr w14:val="tx1"/>
            </w14:solidFill>
          </w14:textFill>
        </w:rPr>
        <w:alias w:val="是否适用：以净额列报现金流量的说明[双击切换]"/>
        <w:tag w:val="_GBC_7e5edd2dccad4675a4426511c2fa01e0"/>
        <w:id w:val="1510488484"/>
        <w:placeholder>
          <w:docPart w:val="GBC22222222222222222222222222222"/>
        </w:placeholder>
      </w:sdtPr>
      <w:sdtEndPr>
        <w:rPr>
          <w:color w:val="000000" w:themeColor="text1"/>
          <w14:textFill>
            <w14:solidFill>
              <w14:schemeClr w14:val="tx1"/>
            </w14:solidFill>
          </w14:textFill>
        </w:rPr>
      </w:sdtEndPr>
      <w:sdtContent>
        <w:p w14:paraId="12D35A7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9572DC">
      <w:pPr>
        <w:rPr>
          <w:color w:val="000000" w:themeColor="text1"/>
          <w14:textFill>
            <w14:solidFill>
              <w14:schemeClr w14:val="tx1"/>
            </w14:solidFill>
          </w14:textFill>
        </w:rPr>
      </w:pPr>
    </w:p>
    <w:p w14:paraId="25C92759">
      <w:pPr>
        <w:pStyle w:val="5"/>
        <w:numPr>
          <w:ilvl w:val="0"/>
          <w:numId w:val="77"/>
        </w:numPr>
        <w:rPr>
          <w:color w:val="000000" w:themeColor="text1"/>
          <w14:textFill>
            <w14:solidFill>
              <w14:schemeClr w14:val="tx1"/>
            </w14:solidFill>
          </w14:textFill>
        </w:rPr>
      </w:pPr>
      <w:r>
        <w:rPr>
          <w:rFonts w:hint="eastAsia"/>
          <w:color w:val="000000" w:themeColor="text1"/>
          <w14:textFill>
            <w14:solidFill>
              <w14:schemeClr w14:val="tx1"/>
            </w14:solidFill>
          </w14:textFill>
        </w:rPr>
        <w:t>不涉及当期现金收支、但影响企业财务状况或在未来可能影响企业现金流量的重大活动及财务影响</w:t>
      </w:r>
    </w:p>
    <w:sdt>
      <w:sdtPr>
        <w:rPr>
          <w:color w:val="000000" w:themeColor="text1"/>
          <w14:textFill>
            <w14:solidFill>
              <w14:schemeClr w14:val="tx1"/>
            </w14:solidFill>
          </w14:textFill>
        </w:rPr>
        <w:alias w:val="是否适用：不涉及当期现金收支、但影响企业财务状况或在未来可能影响企业现金流量的重大活动及财务影响[双击切换]"/>
        <w:tag w:val="_GBC_07ea2264f8804cb2922afb33860595fb"/>
        <w:id w:val="-1553065068"/>
        <w:placeholder>
          <w:docPart w:val="GBC22222222222222222222222222222"/>
        </w:placeholder>
      </w:sdtPr>
      <w:sdtEndPr>
        <w:rPr>
          <w:color w:val="000000" w:themeColor="text1"/>
          <w14:textFill>
            <w14:solidFill>
              <w14:schemeClr w14:val="tx1"/>
            </w14:solidFill>
          </w14:textFill>
        </w:rPr>
      </w:sdtEndPr>
      <w:sdtContent>
        <w:p w14:paraId="40B32CA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CB375D1">
      <w:pPr>
        <w:ind w:right="5"/>
        <w:rPr>
          <w:rFonts w:ascii="Calibri" w:hAnsi="Calibri" w:cs="Times New Roman"/>
          <w:color w:val="000000" w:themeColor="text1"/>
          <w:kern w:val="2"/>
          <w:szCs w:val="22"/>
          <w14:textFill>
            <w14:solidFill>
              <w14:schemeClr w14:val="tx1"/>
            </w14:solidFill>
          </w14:textFill>
        </w:rPr>
      </w:pPr>
    </w:p>
    <w:bookmarkEnd w:id="350"/>
    <w:p w14:paraId="75CD61A8">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现金流量表补充资料</w:t>
      </w:r>
    </w:p>
    <w:p w14:paraId="54865F46">
      <w:pPr>
        <w:pStyle w:val="5"/>
        <w:numPr>
          <w:ilvl w:val="0"/>
          <w:numId w:val="7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现金流量表补充资料</w:t>
      </w:r>
    </w:p>
    <w:sdt>
      <w:sdtPr>
        <w:rPr>
          <w:color w:val="000000" w:themeColor="text1"/>
          <w14:textFill>
            <w14:solidFill>
              <w14:schemeClr w14:val="tx1"/>
            </w14:solidFill>
          </w14:textFill>
        </w:rPr>
        <w:alias w:val="是否适用：现金流量表补充资料[双击切换]"/>
        <w:tag w:val="_GBC_3ee8e178479245ea907bff86e4dcd54a"/>
        <w:id w:val="1522118441"/>
        <w:placeholder>
          <w:docPart w:val="GBC22222222222222222222222222222"/>
        </w:placeholder>
      </w:sdtPr>
      <w:sdtEndPr>
        <w:rPr>
          <w:color w:val="000000" w:themeColor="text1"/>
          <w14:textFill>
            <w14:solidFill>
              <w14:schemeClr w14:val="tx1"/>
            </w14:solidFill>
          </w14:textFill>
        </w:rPr>
      </w:sdtEndPr>
      <w:sdtContent>
        <w:p w14:paraId="1C817FF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21990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现金流量表补充资料"/>
          <w:tag w:val="_GBC_ba7cd13a54fa44929e0fd4c276876d0e"/>
          <w:id w:val="3558568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现金流量表补充资料"/>
          <w:tag w:val="_GBC_715164ef2f2b4f258a0908b254229361"/>
          <w:id w:val="1732346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9"/>
        <w:gridCol w:w="2034"/>
        <w:gridCol w:w="2076"/>
      </w:tblGrid>
      <w:tr w14:paraId="60B3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6ea455751354381bc869d5865ef3d8f"/>
            <w:id w:val="-1388174095"/>
          </w:sdtPr>
          <w:sdtContent>
            <w:tc>
              <w:tcPr>
                <w:tcW w:w="2729" w:type="pct"/>
                <w:vAlign w:val="center"/>
              </w:tcPr>
              <w:p w14:paraId="245D275F">
                <w:pPr>
                  <w:jc w:val="center"/>
                  <w:rPr>
                    <w:bCs/>
                    <w:color w:val="000000" w:themeColor="text1"/>
                    <w14:textFill>
                      <w14:solidFill>
                        <w14:schemeClr w14:val="tx1"/>
                      </w14:solidFill>
                    </w14:textFill>
                  </w:rPr>
                </w:pPr>
                <w:r>
                  <w:rPr>
                    <w:rFonts w:hint="eastAsia"/>
                    <w:color w:val="000000" w:themeColor="text1"/>
                    <w14:textFill>
                      <w14:solidFill>
                        <w14:schemeClr w14:val="tx1"/>
                      </w14:solidFill>
                    </w14:textFill>
                  </w:rPr>
                  <w:t>补充资料</w:t>
                </w:r>
              </w:p>
            </w:tc>
          </w:sdtContent>
        </w:sdt>
        <w:sdt>
          <w:sdtPr>
            <w:tag w:val="_PLD_0687e3743a4e4e2db7b08855f23641e8"/>
            <w:id w:val="2015107431"/>
          </w:sdtPr>
          <w:sdtContent>
            <w:tc>
              <w:tcPr>
                <w:tcW w:w="1124" w:type="pct"/>
                <w:vAlign w:val="center"/>
              </w:tcPr>
              <w:p w14:paraId="231D1C6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本期金额</w:t>
                </w:r>
              </w:p>
            </w:tc>
          </w:sdtContent>
        </w:sdt>
        <w:sdt>
          <w:sdtPr>
            <w:tag w:val="_PLD_f90342638d124edea40aa264bbe65e8e"/>
            <w:id w:val="-1019696326"/>
          </w:sdtPr>
          <w:sdtContent>
            <w:tc>
              <w:tcPr>
                <w:tcW w:w="1147" w:type="pct"/>
                <w:vAlign w:val="center"/>
              </w:tcPr>
              <w:p w14:paraId="75BE3D4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上期金额</w:t>
                </w:r>
              </w:p>
            </w:tc>
          </w:sdtContent>
        </w:sdt>
      </w:tr>
      <w:tr w14:paraId="5AF7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799a1250f946df9181881c4b1f3829"/>
            <w:id w:val="801501797"/>
          </w:sdtPr>
          <w:sdtContent>
            <w:tc>
              <w:tcPr>
                <w:tcW w:w="5000" w:type="pct"/>
                <w:gridSpan w:val="3"/>
              </w:tcPr>
              <w:p w14:paraId="5B4A426C">
                <w:pPr>
                  <w:jc w:val="both"/>
                  <w:rPr>
                    <w:b/>
                    <w:color w:val="000000" w:themeColor="text1"/>
                    <w14:textFill>
                      <w14:solidFill>
                        <w14:schemeClr w14:val="tx1"/>
                      </w14:solidFill>
                    </w14:textFill>
                  </w:rPr>
                </w:pP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．将净利润调节为经营活动现金流量：</w:t>
                </w:r>
              </w:p>
            </w:tc>
          </w:sdtContent>
        </w:sdt>
      </w:tr>
      <w:tr w14:paraId="2E7A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7D678756">
            <w:pPr>
              <w:rPr>
                <w:color w:val="000000" w:themeColor="text1"/>
                <w14:textFill>
                  <w14:solidFill>
                    <w14:schemeClr w14:val="tx1"/>
                  </w14:solidFill>
                </w14:textFill>
              </w:rPr>
            </w:pPr>
            <w:r>
              <w:rPr>
                <w:rFonts w:hint="eastAsia"/>
                <w:color w:val="000000" w:themeColor="text1"/>
                <w14:textFill>
                  <w14:solidFill>
                    <w14:schemeClr w14:val="tx1"/>
                  </w14:solidFill>
                </w14:textFill>
              </w:rPr>
              <w:t>净利润</w:t>
            </w:r>
          </w:p>
        </w:tc>
        <w:tc>
          <w:tcPr>
            <w:tcW w:w="1124" w:type="pct"/>
            <w:vAlign w:val="center"/>
          </w:tcPr>
          <w:p w14:paraId="76EF86A8">
            <w:pPr>
              <w:jc w:val="right"/>
            </w:pPr>
            <w:r>
              <w:t>-115,971,047.72</w:t>
            </w:r>
          </w:p>
        </w:tc>
        <w:tc>
          <w:tcPr>
            <w:tcW w:w="1147" w:type="pct"/>
          </w:tcPr>
          <w:p w14:paraId="277F69FB">
            <w:pPr>
              <w:jc w:val="right"/>
            </w:pPr>
            <w:r>
              <w:t>-108,481,180.11</w:t>
            </w:r>
          </w:p>
        </w:tc>
      </w:tr>
      <w:tr w14:paraId="54F0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0D1224D4">
            <w:pPr>
              <w:rPr>
                <w:color w:val="000000" w:themeColor="text1"/>
                <w14:textFill>
                  <w14:solidFill>
                    <w14:schemeClr w14:val="tx1"/>
                  </w14:solidFill>
                </w14:textFill>
              </w:rPr>
            </w:pPr>
            <w:r>
              <w:rPr>
                <w:rFonts w:hint="eastAsia"/>
                <w:color w:val="000000" w:themeColor="text1"/>
                <w14:textFill>
                  <w14:solidFill>
                    <w14:schemeClr w14:val="tx1"/>
                  </w14:solidFill>
                </w14:textFill>
              </w:rPr>
              <w:t>加：资产减值准备</w:t>
            </w:r>
          </w:p>
        </w:tc>
        <w:tc>
          <w:tcPr>
            <w:tcW w:w="1124" w:type="pct"/>
            <w:vAlign w:val="center"/>
          </w:tcPr>
          <w:p w14:paraId="456888FB">
            <w:pPr>
              <w:jc w:val="right"/>
              <w:rPr>
                <w:rFonts w:cs="Times New Roman"/>
                <w:sz w:val="22"/>
                <w:szCs w:val="22"/>
              </w:rPr>
            </w:pPr>
            <w:r>
              <w:t>144,845,609.50</w:t>
            </w:r>
          </w:p>
        </w:tc>
        <w:tc>
          <w:tcPr>
            <w:tcW w:w="1147" w:type="pct"/>
            <w:vAlign w:val="center"/>
          </w:tcPr>
          <w:p w14:paraId="6B430D66">
            <w:pPr>
              <w:jc w:val="right"/>
            </w:pPr>
            <w:r>
              <w:t>39,300,312.69</w:t>
            </w:r>
          </w:p>
        </w:tc>
      </w:tr>
      <w:tr w14:paraId="7C58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2ECB5B5B">
            <w:pPr>
              <w:rPr>
                <w:color w:val="000000" w:themeColor="text1"/>
                <w14:textFill>
                  <w14:solidFill>
                    <w14:schemeClr w14:val="tx1"/>
                  </w14:solidFill>
                </w14:textFill>
              </w:rPr>
            </w:pPr>
            <w:r>
              <w:rPr>
                <w:rFonts w:hint="eastAsia"/>
                <w:color w:val="000000" w:themeColor="text1"/>
                <w14:textFill>
                  <w14:solidFill>
                    <w14:schemeClr w14:val="tx1"/>
                  </w14:solidFill>
                </w14:textFill>
              </w:rPr>
              <w:t>信用减值损失</w:t>
            </w:r>
          </w:p>
        </w:tc>
        <w:tc>
          <w:tcPr>
            <w:tcW w:w="1124" w:type="pct"/>
            <w:vAlign w:val="center"/>
          </w:tcPr>
          <w:p w14:paraId="6AC9CD32">
            <w:pPr>
              <w:jc w:val="right"/>
              <w:rPr>
                <w:rFonts w:cs="Times New Roman"/>
                <w:sz w:val="22"/>
                <w:szCs w:val="22"/>
              </w:rPr>
            </w:pPr>
            <w:r>
              <w:t>23,456,718.87</w:t>
            </w:r>
          </w:p>
        </w:tc>
        <w:tc>
          <w:tcPr>
            <w:tcW w:w="1147" w:type="pct"/>
          </w:tcPr>
          <w:p w14:paraId="1E4592CF">
            <w:pPr>
              <w:jc w:val="right"/>
            </w:pPr>
            <w:r>
              <w:t>7,267,859.15</w:t>
            </w:r>
          </w:p>
        </w:tc>
      </w:tr>
      <w:tr w14:paraId="233C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7EFC3A42">
            <w:pPr>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固定资产折旧、油气资产折耗、生产性生物资产折旧</w:t>
            </w:r>
          </w:p>
        </w:tc>
        <w:tc>
          <w:tcPr>
            <w:tcW w:w="1124" w:type="pct"/>
            <w:vAlign w:val="center"/>
          </w:tcPr>
          <w:p w14:paraId="10FB3EEF">
            <w:pPr>
              <w:jc w:val="right"/>
            </w:pPr>
            <w:r>
              <w:t>86,242,152.91</w:t>
            </w:r>
          </w:p>
        </w:tc>
        <w:tc>
          <w:tcPr>
            <w:tcW w:w="1147" w:type="pct"/>
          </w:tcPr>
          <w:p w14:paraId="696D499B">
            <w:pPr>
              <w:jc w:val="right"/>
            </w:pPr>
            <w:r>
              <w:t>89,635,769.96</w:t>
            </w:r>
          </w:p>
        </w:tc>
      </w:tr>
      <w:tr w14:paraId="1623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47073CA8">
            <w:pPr>
              <w:rPr>
                <w:color w:val="000000" w:themeColor="text1"/>
                <w14:textFill>
                  <w14:solidFill>
                    <w14:schemeClr w14:val="tx1"/>
                  </w14:solidFill>
                </w14:textFill>
              </w:rPr>
            </w:pPr>
            <w:r>
              <w:rPr>
                <w:rFonts w:hint="eastAsia"/>
                <w:color w:val="000000" w:themeColor="text1"/>
                <w14:textFill>
                  <w14:solidFill>
                    <w14:schemeClr w14:val="tx1"/>
                  </w14:solidFill>
                </w14:textFill>
              </w:rPr>
              <w:t>使用权资产摊销</w:t>
            </w:r>
          </w:p>
        </w:tc>
        <w:tc>
          <w:tcPr>
            <w:tcW w:w="1124" w:type="pct"/>
            <w:vAlign w:val="center"/>
          </w:tcPr>
          <w:p w14:paraId="61A86F0F">
            <w:pPr>
              <w:jc w:val="right"/>
            </w:pPr>
            <w:r>
              <w:t>573,721.25</w:t>
            </w:r>
          </w:p>
        </w:tc>
        <w:tc>
          <w:tcPr>
            <w:tcW w:w="1147" w:type="pct"/>
          </w:tcPr>
          <w:p w14:paraId="643115EE">
            <w:pPr>
              <w:jc w:val="right"/>
            </w:pPr>
            <w:r>
              <w:t>2,439,770.91</w:t>
            </w:r>
          </w:p>
        </w:tc>
      </w:tr>
      <w:tr w14:paraId="7BB9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2A242D4D">
            <w:pPr>
              <w:rPr>
                <w:color w:val="000000" w:themeColor="text1"/>
                <w14:textFill>
                  <w14:solidFill>
                    <w14:schemeClr w14:val="tx1"/>
                  </w14:solidFill>
                </w14:textFill>
              </w:rPr>
            </w:pPr>
            <w:r>
              <w:rPr>
                <w:rFonts w:hint="eastAsia"/>
                <w:color w:val="000000" w:themeColor="text1"/>
                <w14:textFill>
                  <w14:solidFill>
                    <w14:schemeClr w14:val="tx1"/>
                  </w14:solidFill>
                </w14:textFill>
              </w:rPr>
              <w:t>无形资产摊销</w:t>
            </w:r>
          </w:p>
        </w:tc>
        <w:tc>
          <w:tcPr>
            <w:tcW w:w="1124" w:type="pct"/>
            <w:vAlign w:val="center"/>
          </w:tcPr>
          <w:p w14:paraId="1E5CC85D">
            <w:pPr>
              <w:jc w:val="right"/>
            </w:pPr>
            <w:r>
              <w:t>193,210,578.68</w:t>
            </w:r>
          </w:p>
        </w:tc>
        <w:tc>
          <w:tcPr>
            <w:tcW w:w="1147" w:type="pct"/>
          </w:tcPr>
          <w:p w14:paraId="2CC989F5">
            <w:pPr>
              <w:jc w:val="right"/>
            </w:pPr>
            <w:r>
              <w:t>169,547,689.75</w:t>
            </w:r>
          </w:p>
        </w:tc>
      </w:tr>
      <w:tr w14:paraId="6C16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04633D67">
            <w:pPr>
              <w:rPr>
                <w:color w:val="000000" w:themeColor="text1"/>
                <w14:textFill>
                  <w14:solidFill>
                    <w14:schemeClr w14:val="tx1"/>
                  </w14:solidFill>
                </w14:textFill>
              </w:rPr>
            </w:pPr>
            <w:r>
              <w:rPr>
                <w:rFonts w:hint="eastAsia"/>
                <w:color w:val="000000" w:themeColor="text1"/>
                <w14:textFill>
                  <w14:solidFill>
                    <w14:schemeClr w14:val="tx1"/>
                  </w14:solidFill>
                </w14:textFill>
              </w:rPr>
              <w:t>长期待摊费用摊销</w:t>
            </w:r>
          </w:p>
        </w:tc>
        <w:tc>
          <w:tcPr>
            <w:tcW w:w="1124" w:type="pct"/>
            <w:vAlign w:val="center"/>
          </w:tcPr>
          <w:p w14:paraId="5B421D44">
            <w:pPr>
              <w:jc w:val="right"/>
            </w:pPr>
            <w:r>
              <w:t>3,679,448.59</w:t>
            </w:r>
          </w:p>
        </w:tc>
        <w:tc>
          <w:tcPr>
            <w:tcW w:w="1147" w:type="pct"/>
          </w:tcPr>
          <w:p w14:paraId="0648EFCE">
            <w:pPr>
              <w:jc w:val="right"/>
            </w:pPr>
            <w:r>
              <w:t>3,373,681.46</w:t>
            </w:r>
          </w:p>
        </w:tc>
      </w:tr>
      <w:tr w14:paraId="365C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4BB70F20">
            <w:pPr>
              <w:rPr>
                <w:color w:val="000000" w:themeColor="text1"/>
                <w14:textFill>
                  <w14:solidFill>
                    <w14:schemeClr w14:val="tx1"/>
                  </w14:solidFill>
                </w14:textFill>
              </w:rPr>
            </w:pPr>
            <w:r>
              <w:rPr>
                <w:rFonts w:hint="eastAsia"/>
                <w:color w:val="000000" w:themeColor="text1"/>
                <w14:textFill>
                  <w14:solidFill>
                    <w14:schemeClr w14:val="tx1"/>
                  </w14:solidFill>
                </w14:textFill>
              </w:rPr>
              <w:t>处置固定资产、无形资产和其他长期资产的损失（收益以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6FFE2CD9">
            <w:pPr>
              <w:jc w:val="right"/>
            </w:pPr>
            <w:r>
              <w:t>-5,356,611.40</w:t>
            </w:r>
          </w:p>
        </w:tc>
        <w:tc>
          <w:tcPr>
            <w:tcW w:w="1147" w:type="pct"/>
          </w:tcPr>
          <w:p w14:paraId="002C7F87">
            <w:pPr>
              <w:jc w:val="right"/>
            </w:pPr>
            <w:r>
              <w:t>-723,625.33</w:t>
            </w:r>
          </w:p>
        </w:tc>
      </w:tr>
      <w:tr w14:paraId="234E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0E0D2EBD">
            <w:pPr>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固定资产报废损失（收益以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2F7508CE">
            <w:pPr>
              <w:jc w:val="right"/>
            </w:pPr>
            <w:r>
              <w:t>12,263.88</w:t>
            </w:r>
          </w:p>
        </w:tc>
        <w:tc>
          <w:tcPr>
            <w:tcW w:w="1147" w:type="pct"/>
          </w:tcPr>
          <w:p w14:paraId="42C60E57">
            <w:pPr>
              <w:jc w:val="right"/>
            </w:pPr>
            <w:r>
              <w:t>54,620.80</w:t>
            </w:r>
          </w:p>
        </w:tc>
      </w:tr>
      <w:tr w14:paraId="00A5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0A9E7E89">
            <w:pPr>
              <w:rPr>
                <w:color w:val="000000" w:themeColor="text1"/>
                <w14:textFill>
                  <w14:solidFill>
                    <w14:schemeClr w14:val="tx1"/>
                  </w14:solidFill>
                </w14:textFill>
              </w:rPr>
            </w:pPr>
            <w:r>
              <w:rPr>
                <w:rFonts w:hint="eastAsia"/>
                <w:color w:val="000000" w:themeColor="text1"/>
                <w14:textFill>
                  <w14:solidFill>
                    <w14:schemeClr w14:val="tx1"/>
                  </w14:solidFill>
                </w14:textFill>
              </w:rPr>
              <w:t>公允价值变动损失（收益以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79DCCE7E">
            <w:pPr>
              <w:jc w:val="right"/>
            </w:pPr>
            <w:r>
              <w:t>23,416,700.00</w:t>
            </w:r>
          </w:p>
        </w:tc>
        <w:tc>
          <w:tcPr>
            <w:tcW w:w="1147" w:type="pct"/>
          </w:tcPr>
          <w:p w14:paraId="3260ECE4">
            <w:pPr>
              <w:jc w:val="right"/>
            </w:pPr>
          </w:p>
        </w:tc>
      </w:tr>
      <w:tr w14:paraId="24C1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0BE15FEA">
            <w:pPr>
              <w:rPr>
                <w:color w:val="000000" w:themeColor="text1"/>
                <w14:textFill>
                  <w14:solidFill>
                    <w14:schemeClr w14:val="tx1"/>
                  </w14:solidFill>
                </w14:textFill>
              </w:rPr>
            </w:pPr>
            <w:r>
              <w:rPr>
                <w:rFonts w:hint="eastAsia"/>
                <w:color w:val="000000" w:themeColor="text1"/>
                <w14:textFill>
                  <w14:solidFill>
                    <w14:schemeClr w14:val="tx1"/>
                  </w14:solidFill>
                </w14:textFill>
              </w:rPr>
              <w:t>财务费用（收益以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2A73B7DB">
            <w:pPr>
              <w:jc w:val="right"/>
            </w:pPr>
            <w:r>
              <w:t>33,808,741.11</w:t>
            </w:r>
          </w:p>
        </w:tc>
        <w:tc>
          <w:tcPr>
            <w:tcW w:w="1147" w:type="pct"/>
          </w:tcPr>
          <w:p w14:paraId="1938BCA9">
            <w:pPr>
              <w:jc w:val="right"/>
            </w:pPr>
            <w:r>
              <w:t>30,694,041.32</w:t>
            </w:r>
          </w:p>
        </w:tc>
      </w:tr>
      <w:tr w14:paraId="33DC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55D9520A">
            <w:pPr>
              <w:rPr>
                <w:color w:val="000000" w:themeColor="text1"/>
                <w14:textFill>
                  <w14:solidFill>
                    <w14:schemeClr w14:val="tx1"/>
                  </w14:solidFill>
                </w14:textFill>
              </w:rPr>
            </w:pPr>
            <w:r>
              <w:rPr>
                <w:rFonts w:hint="eastAsia"/>
                <w:color w:val="000000" w:themeColor="text1"/>
                <w14:textFill>
                  <w14:solidFill>
                    <w14:schemeClr w14:val="tx1"/>
                  </w14:solidFill>
                </w14:textFill>
              </w:rPr>
              <w:t>投资损失（收益以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4830B5A8">
            <w:pPr>
              <w:jc w:val="right"/>
            </w:pPr>
            <w:r>
              <w:t>-273,318,430.55</w:t>
            </w:r>
          </w:p>
        </w:tc>
        <w:tc>
          <w:tcPr>
            <w:tcW w:w="1147" w:type="pct"/>
          </w:tcPr>
          <w:p w14:paraId="732D4B5F">
            <w:pPr>
              <w:jc w:val="right"/>
            </w:pPr>
            <w:r>
              <w:t>-184,846,507.41</w:t>
            </w:r>
          </w:p>
        </w:tc>
      </w:tr>
      <w:tr w14:paraId="7237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1BB9EFD7">
            <w:pPr>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递延所得税资产减少（增加以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11D88833">
            <w:pPr>
              <w:jc w:val="right"/>
              <w:rPr>
                <w:rFonts w:cs="Times New Roman"/>
                <w:sz w:val="20"/>
                <w:szCs w:val="20"/>
              </w:rPr>
            </w:pPr>
            <w:r>
              <w:t>166,190,367.89</w:t>
            </w:r>
          </w:p>
        </w:tc>
        <w:tc>
          <w:tcPr>
            <w:tcW w:w="1147" w:type="pct"/>
          </w:tcPr>
          <w:p w14:paraId="4BAD100C">
            <w:pPr>
              <w:jc w:val="right"/>
            </w:pPr>
            <w:r>
              <w:t>-24,698,660.90</w:t>
            </w:r>
          </w:p>
        </w:tc>
      </w:tr>
      <w:tr w14:paraId="25EA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79B40A34">
            <w:pPr>
              <w:rPr>
                <w:color w:val="000000" w:themeColor="text1"/>
                <w14:textFill>
                  <w14:solidFill>
                    <w14:schemeClr w14:val="tx1"/>
                  </w14:solidFill>
                </w14:textFill>
              </w:rPr>
            </w:pPr>
            <w:r>
              <w:rPr>
                <w:rFonts w:hint="eastAsia"/>
                <w:color w:val="000000" w:themeColor="text1"/>
                <w14:textFill>
                  <w14:solidFill>
                    <w14:schemeClr w14:val="tx1"/>
                  </w14:solidFill>
                </w14:textFill>
              </w:rPr>
              <w:t>递延所得税负债增加（减少以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76A040C3">
            <w:pPr>
              <w:jc w:val="right"/>
            </w:pPr>
            <w:r>
              <w:t>-5,260,505.96</w:t>
            </w:r>
          </w:p>
        </w:tc>
        <w:tc>
          <w:tcPr>
            <w:tcW w:w="1147" w:type="pct"/>
          </w:tcPr>
          <w:p w14:paraId="46909866">
            <w:pPr>
              <w:jc w:val="right"/>
            </w:pPr>
            <w:r>
              <w:t>-237,116.28</w:t>
            </w:r>
          </w:p>
        </w:tc>
      </w:tr>
      <w:tr w14:paraId="39F2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2978C98B">
            <w:pPr>
              <w:rPr>
                <w:color w:val="000000" w:themeColor="text1"/>
                <w14:textFill>
                  <w14:solidFill>
                    <w14:schemeClr w14:val="tx1"/>
                  </w14:solidFill>
                </w14:textFill>
              </w:rPr>
            </w:pPr>
            <w:r>
              <w:rPr>
                <w:rFonts w:hint="eastAsia"/>
                <w:color w:val="000000" w:themeColor="text1"/>
                <w14:textFill>
                  <w14:solidFill>
                    <w14:schemeClr w14:val="tx1"/>
                  </w14:solidFill>
                </w14:textFill>
              </w:rPr>
              <w:t>存货的减少（增加以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5209CC24">
            <w:pPr>
              <w:jc w:val="right"/>
            </w:pPr>
            <w:r>
              <w:t>82,485,153.77</w:t>
            </w:r>
          </w:p>
        </w:tc>
        <w:tc>
          <w:tcPr>
            <w:tcW w:w="1147" w:type="pct"/>
          </w:tcPr>
          <w:p w14:paraId="447CF33C">
            <w:pPr>
              <w:jc w:val="right"/>
            </w:pPr>
            <w:r>
              <w:t>121,620,294.35</w:t>
            </w:r>
          </w:p>
        </w:tc>
      </w:tr>
      <w:tr w14:paraId="1546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4D8B419E">
            <w:pPr>
              <w:rPr>
                <w:color w:val="000000" w:themeColor="text1"/>
                <w14:textFill>
                  <w14:solidFill>
                    <w14:schemeClr w14:val="tx1"/>
                  </w14:solidFill>
                </w14:textFill>
              </w:rPr>
            </w:pPr>
            <w:r>
              <w:rPr>
                <w:rFonts w:hint="eastAsia"/>
                <w:color w:val="000000" w:themeColor="text1"/>
                <w14:textFill>
                  <w14:solidFill>
                    <w14:schemeClr w14:val="tx1"/>
                  </w14:solidFill>
                </w14:textFill>
              </w:rPr>
              <w:t>经营性应收项目的减少（增加以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396A91E0">
            <w:pPr>
              <w:jc w:val="right"/>
            </w:pPr>
            <w:r>
              <w:t>621,007,317.01</w:t>
            </w:r>
          </w:p>
        </w:tc>
        <w:tc>
          <w:tcPr>
            <w:tcW w:w="1147" w:type="pct"/>
            <w:vAlign w:val="center"/>
          </w:tcPr>
          <w:p w14:paraId="75118D17">
            <w:pPr>
              <w:jc w:val="right"/>
            </w:pPr>
            <w:r>
              <w:t>299,953,700.14</w:t>
            </w:r>
          </w:p>
        </w:tc>
      </w:tr>
      <w:tr w14:paraId="089F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74722166">
            <w:pPr>
              <w:rPr>
                <w:color w:val="000000" w:themeColor="text1"/>
                <w14:textFill>
                  <w14:solidFill>
                    <w14:schemeClr w14:val="tx1"/>
                  </w14:solidFill>
                </w14:textFill>
              </w:rPr>
            </w:pPr>
            <w:r>
              <w:rPr>
                <w:rFonts w:hint="eastAsia"/>
                <w:color w:val="000000" w:themeColor="text1"/>
                <w14:textFill>
                  <w14:solidFill>
                    <w14:schemeClr w14:val="tx1"/>
                  </w14:solidFill>
                </w14:textFill>
              </w:rPr>
              <w:t>经营性应付项目的增加（减少以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号填列）</w:t>
            </w:r>
          </w:p>
        </w:tc>
        <w:tc>
          <w:tcPr>
            <w:tcW w:w="1124" w:type="pct"/>
            <w:vAlign w:val="center"/>
          </w:tcPr>
          <w:p w14:paraId="08E82E5D">
            <w:pPr>
              <w:jc w:val="right"/>
            </w:pPr>
            <w:r>
              <w:t>335,945,107.78</w:t>
            </w:r>
          </w:p>
        </w:tc>
        <w:tc>
          <w:tcPr>
            <w:tcW w:w="1147" w:type="pct"/>
            <w:vAlign w:val="center"/>
          </w:tcPr>
          <w:p w14:paraId="20DE2957">
            <w:pPr>
              <w:jc w:val="right"/>
            </w:pPr>
            <w:r>
              <w:t>-179,938,634.56</w:t>
            </w:r>
          </w:p>
        </w:tc>
      </w:tr>
      <w:tr w14:paraId="1098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2729" w:type="pct"/>
          </w:tcPr>
          <w:p w14:paraId="062CD7F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c>
          <w:tcPr>
            <w:tcW w:w="1124" w:type="pct"/>
          </w:tcPr>
          <w:p w14:paraId="59122008">
            <w:pPr>
              <w:jc w:val="right"/>
            </w:pPr>
          </w:p>
        </w:tc>
        <w:tc>
          <w:tcPr>
            <w:tcW w:w="1147" w:type="pct"/>
          </w:tcPr>
          <w:p w14:paraId="37F61AB0">
            <w:pPr>
              <w:jc w:val="right"/>
            </w:pPr>
          </w:p>
        </w:tc>
      </w:tr>
      <w:tr w14:paraId="4111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0D999CFB">
            <w:pPr>
              <w:rPr>
                <w:color w:val="000000" w:themeColor="text1"/>
                <w14:textFill>
                  <w14:solidFill>
                    <w14:schemeClr w14:val="tx1"/>
                  </w14:solidFill>
                </w14:textFill>
              </w:rPr>
            </w:pPr>
            <w:r>
              <w:rPr>
                <w:rFonts w:hint="eastAsia"/>
                <w:color w:val="000000" w:themeColor="text1"/>
                <w14:textFill>
                  <w14:solidFill>
                    <w14:schemeClr w14:val="tx1"/>
                  </w14:solidFill>
                </w14:textFill>
              </w:rPr>
              <w:t>经营活动产生的现金流量净额</w:t>
            </w:r>
          </w:p>
        </w:tc>
        <w:tc>
          <w:tcPr>
            <w:tcW w:w="1124" w:type="pct"/>
          </w:tcPr>
          <w:p w14:paraId="67435D58">
            <w:pPr>
              <w:jc w:val="right"/>
            </w:pPr>
            <w:r>
              <w:t>1,314,967,285.61</w:t>
            </w:r>
          </w:p>
        </w:tc>
        <w:tc>
          <w:tcPr>
            <w:tcW w:w="1147" w:type="pct"/>
          </w:tcPr>
          <w:p w14:paraId="7A27FE01">
            <w:pPr>
              <w:jc w:val="right"/>
            </w:pPr>
            <w:r>
              <w:t>264,962,015.94</w:t>
            </w:r>
          </w:p>
        </w:tc>
      </w:tr>
      <w:tr w14:paraId="423A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b693429a97d44a2848da029ca6a724c"/>
            <w:id w:val="1921291065"/>
          </w:sdtPr>
          <w:sdtContent>
            <w:tc>
              <w:tcPr>
                <w:tcW w:w="5000" w:type="pct"/>
                <w:gridSpan w:val="3"/>
              </w:tcPr>
              <w:p w14:paraId="381965D7">
                <w:pPr>
                  <w:rPr>
                    <w:color w:val="000000" w:themeColor="text1"/>
                    <w14:textFill>
                      <w14:solidFill>
                        <w14:schemeClr w14:val="tx1"/>
                      </w14:solidFill>
                    </w14:textFill>
                  </w:rPr>
                </w:pPr>
                <w:r>
                  <w:rPr>
                    <w:b/>
                    <w:color w:val="000000" w:themeColor="text1"/>
                    <w14:textFill>
                      <w14:solidFill>
                        <w14:schemeClr w14:val="tx1"/>
                      </w14:solidFill>
                    </w14:textFill>
                  </w:rPr>
                  <w:t>2</w:t>
                </w:r>
                <w:r>
                  <w:rPr>
                    <w:rFonts w:hint="eastAsia"/>
                    <w:b/>
                    <w:color w:val="000000" w:themeColor="text1"/>
                    <w14:textFill>
                      <w14:solidFill>
                        <w14:schemeClr w14:val="tx1"/>
                      </w14:solidFill>
                    </w14:textFill>
                  </w:rPr>
                  <w:t>．不涉及现金收支的重大投资和筹资活动：</w:t>
                </w:r>
              </w:p>
            </w:tc>
          </w:sdtContent>
        </w:sdt>
      </w:tr>
      <w:tr w14:paraId="2118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202AA47E">
            <w:pPr>
              <w:rPr>
                <w:color w:val="000000" w:themeColor="text1"/>
                <w14:textFill>
                  <w14:solidFill>
                    <w14:schemeClr w14:val="tx1"/>
                  </w14:solidFill>
                </w14:textFill>
              </w:rPr>
            </w:pPr>
            <w:r>
              <w:rPr>
                <w:rFonts w:hint="eastAsia"/>
                <w:color w:val="000000" w:themeColor="text1"/>
                <w14:textFill>
                  <w14:solidFill>
                    <w14:schemeClr w14:val="tx1"/>
                  </w14:solidFill>
                </w14:textFill>
              </w:rPr>
              <w:t>债务转为资本</w:t>
            </w:r>
          </w:p>
        </w:tc>
        <w:tc>
          <w:tcPr>
            <w:tcW w:w="1124" w:type="pct"/>
          </w:tcPr>
          <w:p w14:paraId="2C74C4BF">
            <w:pPr>
              <w:jc w:val="right"/>
            </w:pPr>
          </w:p>
        </w:tc>
        <w:tc>
          <w:tcPr>
            <w:tcW w:w="1147" w:type="pct"/>
          </w:tcPr>
          <w:p w14:paraId="448C1A96">
            <w:pPr>
              <w:jc w:val="right"/>
            </w:pPr>
          </w:p>
        </w:tc>
      </w:tr>
      <w:tr w14:paraId="7B74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10D4D87E">
            <w:pPr>
              <w:rPr>
                <w:color w:val="000000" w:themeColor="text1"/>
                <w14:textFill>
                  <w14:solidFill>
                    <w14:schemeClr w14:val="tx1"/>
                  </w14:solidFill>
                </w14:textFill>
              </w:rPr>
            </w:pPr>
            <w:r>
              <w:rPr>
                <w:rFonts w:hint="eastAsia"/>
                <w:color w:val="000000" w:themeColor="text1"/>
                <w14:textFill>
                  <w14:solidFill>
                    <w14:schemeClr w14:val="tx1"/>
                  </w14:solidFill>
                </w14:textFill>
              </w:rPr>
              <w:t>一年内到期的可转换公司债券</w:t>
            </w:r>
          </w:p>
        </w:tc>
        <w:tc>
          <w:tcPr>
            <w:tcW w:w="1124" w:type="pct"/>
          </w:tcPr>
          <w:p w14:paraId="26E940B2">
            <w:pPr>
              <w:jc w:val="right"/>
            </w:pPr>
          </w:p>
        </w:tc>
        <w:tc>
          <w:tcPr>
            <w:tcW w:w="1147" w:type="pct"/>
          </w:tcPr>
          <w:p w14:paraId="7C21D56C">
            <w:pPr>
              <w:jc w:val="right"/>
            </w:pPr>
          </w:p>
        </w:tc>
      </w:tr>
      <w:tr w14:paraId="56E5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45837319">
            <w:pPr>
              <w:rPr>
                <w:color w:val="000000" w:themeColor="text1"/>
                <w14:textFill>
                  <w14:solidFill>
                    <w14:schemeClr w14:val="tx1"/>
                  </w14:solidFill>
                </w14:textFill>
              </w:rPr>
            </w:pPr>
            <w:r>
              <w:rPr>
                <w:rFonts w:hint="eastAsia"/>
                <w:color w:val="000000" w:themeColor="text1"/>
                <w14:textFill>
                  <w14:solidFill>
                    <w14:schemeClr w14:val="tx1"/>
                  </w14:solidFill>
                </w14:textFill>
              </w:rPr>
              <w:t>融资租入固定资产</w:t>
            </w:r>
          </w:p>
        </w:tc>
        <w:tc>
          <w:tcPr>
            <w:tcW w:w="1124" w:type="pct"/>
          </w:tcPr>
          <w:p w14:paraId="0A0CD216">
            <w:pPr>
              <w:jc w:val="right"/>
            </w:pPr>
          </w:p>
        </w:tc>
        <w:tc>
          <w:tcPr>
            <w:tcW w:w="1147" w:type="pct"/>
          </w:tcPr>
          <w:p w14:paraId="4E717F74">
            <w:pPr>
              <w:jc w:val="right"/>
            </w:pPr>
          </w:p>
        </w:tc>
      </w:tr>
      <w:tr w14:paraId="5BD4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294459fe7ee46638b8d4b78b8d8c436"/>
            <w:id w:val="1343585431"/>
          </w:sdtPr>
          <w:sdtContent>
            <w:tc>
              <w:tcPr>
                <w:tcW w:w="5000" w:type="pct"/>
                <w:gridSpan w:val="3"/>
              </w:tcPr>
              <w:p w14:paraId="3F4AD9E6">
                <w:pPr>
                  <w:rPr>
                    <w:color w:val="000000" w:themeColor="text1"/>
                    <w14:textFill>
                      <w14:solidFill>
                        <w14:schemeClr w14:val="tx1"/>
                      </w14:solidFill>
                    </w14:textFill>
                  </w:rPr>
                </w:pPr>
                <w:r>
                  <w:rPr>
                    <w:b/>
                    <w:color w:val="000000" w:themeColor="text1"/>
                    <w14:textFill>
                      <w14:solidFill>
                        <w14:schemeClr w14:val="tx1"/>
                      </w14:solidFill>
                    </w14:textFill>
                  </w:rPr>
                  <w:t>3</w:t>
                </w:r>
                <w:r>
                  <w:rPr>
                    <w:rFonts w:hint="eastAsia"/>
                    <w:b/>
                    <w:color w:val="000000" w:themeColor="text1"/>
                    <w14:textFill>
                      <w14:solidFill>
                        <w14:schemeClr w14:val="tx1"/>
                      </w14:solidFill>
                    </w14:textFill>
                  </w:rPr>
                  <w:t>．现金及现金等价物净变动情况：</w:t>
                </w:r>
              </w:p>
            </w:tc>
          </w:sdtContent>
        </w:sdt>
      </w:tr>
      <w:tr w14:paraId="2400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387026DD">
            <w:pPr>
              <w:rPr>
                <w:color w:val="000000" w:themeColor="text1"/>
                <w14:textFill>
                  <w14:solidFill>
                    <w14:schemeClr w14:val="tx1"/>
                  </w14:solidFill>
                </w14:textFill>
              </w:rPr>
            </w:pPr>
            <w:r>
              <w:rPr>
                <w:rFonts w:hint="eastAsia"/>
                <w:color w:val="000000" w:themeColor="text1"/>
                <w14:textFill>
                  <w14:solidFill>
                    <w14:schemeClr w14:val="tx1"/>
                  </w14:solidFill>
                </w14:textFill>
              </w:rPr>
              <w:t>现金的期末余额</w:t>
            </w:r>
          </w:p>
        </w:tc>
        <w:tc>
          <w:tcPr>
            <w:tcW w:w="1124" w:type="pct"/>
            <w:vAlign w:val="center"/>
          </w:tcPr>
          <w:p w14:paraId="19F02F27">
            <w:pPr>
              <w:jc w:val="right"/>
            </w:pPr>
            <w:r>
              <w:t>1,795,598,049.31</w:t>
            </w:r>
          </w:p>
        </w:tc>
        <w:tc>
          <w:tcPr>
            <w:tcW w:w="1147" w:type="pct"/>
            <w:vAlign w:val="center"/>
          </w:tcPr>
          <w:p w14:paraId="03580FD0">
            <w:pPr>
              <w:jc w:val="right"/>
            </w:pPr>
            <w:r>
              <w:t>1,060,460,593.46</w:t>
            </w:r>
          </w:p>
        </w:tc>
      </w:tr>
      <w:tr w14:paraId="1D03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608214DB">
            <w:pPr>
              <w:rPr>
                <w:color w:val="000000" w:themeColor="text1"/>
                <w14:textFill>
                  <w14:solidFill>
                    <w14:schemeClr w14:val="tx1"/>
                  </w14:solidFill>
                </w14:textFill>
              </w:rPr>
            </w:pPr>
            <w:r>
              <w:rPr>
                <w:rFonts w:hint="eastAsia"/>
                <w:color w:val="000000" w:themeColor="text1"/>
                <w14:textFill>
                  <w14:solidFill>
                    <w14:schemeClr w14:val="tx1"/>
                  </w14:solidFill>
                </w14:textFill>
              </w:rPr>
              <w:t>减：现金的期初余额</w:t>
            </w:r>
          </w:p>
        </w:tc>
        <w:tc>
          <w:tcPr>
            <w:tcW w:w="1124" w:type="pct"/>
            <w:vAlign w:val="center"/>
          </w:tcPr>
          <w:p w14:paraId="483B6303">
            <w:pPr>
              <w:jc w:val="right"/>
            </w:pPr>
            <w:r>
              <w:t>1,201,291,251.02</w:t>
            </w:r>
          </w:p>
        </w:tc>
        <w:tc>
          <w:tcPr>
            <w:tcW w:w="1147" w:type="pct"/>
            <w:vAlign w:val="center"/>
          </w:tcPr>
          <w:p w14:paraId="25A00DA5">
            <w:pPr>
              <w:jc w:val="right"/>
            </w:pPr>
            <w:r>
              <w:t>866,332,956.87</w:t>
            </w:r>
          </w:p>
        </w:tc>
      </w:tr>
      <w:tr w14:paraId="5887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61F2B8D1">
            <w:pPr>
              <w:rPr>
                <w:color w:val="000000" w:themeColor="text1"/>
                <w14:textFill>
                  <w14:solidFill>
                    <w14:schemeClr w14:val="tx1"/>
                  </w14:solidFill>
                </w14:textFill>
              </w:rPr>
            </w:pPr>
            <w:r>
              <w:rPr>
                <w:rFonts w:hint="eastAsia"/>
                <w:color w:val="000000" w:themeColor="text1"/>
                <w14:textFill>
                  <w14:solidFill>
                    <w14:schemeClr w14:val="tx1"/>
                  </w14:solidFill>
                </w14:textFill>
              </w:rPr>
              <w:t>加：现金等价物的期末余额</w:t>
            </w:r>
          </w:p>
        </w:tc>
        <w:tc>
          <w:tcPr>
            <w:tcW w:w="1124" w:type="pct"/>
            <w:vAlign w:val="center"/>
          </w:tcPr>
          <w:p w14:paraId="41EC6016">
            <w:pPr>
              <w:jc w:val="right"/>
            </w:pPr>
            <w:r>
              <w:t>100,000,000.00</w:t>
            </w:r>
          </w:p>
        </w:tc>
        <w:tc>
          <w:tcPr>
            <w:tcW w:w="1147" w:type="pct"/>
            <w:vAlign w:val="center"/>
          </w:tcPr>
          <w:p w14:paraId="4B48E2A4">
            <w:pPr>
              <w:jc w:val="right"/>
            </w:pPr>
            <w:r>
              <w:t>200,000,000.00</w:t>
            </w:r>
          </w:p>
        </w:tc>
      </w:tr>
      <w:tr w14:paraId="4F300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0E17D34E">
            <w:pPr>
              <w:rPr>
                <w:color w:val="000000" w:themeColor="text1"/>
                <w14:textFill>
                  <w14:solidFill>
                    <w14:schemeClr w14:val="tx1"/>
                  </w14:solidFill>
                </w14:textFill>
              </w:rPr>
            </w:pPr>
            <w:r>
              <w:rPr>
                <w:rFonts w:hint="eastAsia"/>
                <w:color w:val="000000" w:themeColor="text1"/>
                <w14:textFill>
                  <w14:solidFill>
                    <w14:schemeClr w14:val="tx1"/>
                  </w14:solidFill>
                </w14:textFill>
              </w:rPr>
              <w:t>减：现金等价物的期初余额</w:t>
            </w:r>
          </w:p>
        </w:tc>
        <w:tc>
          <w:tcPr>
            <w:tcW w:w="1124" w:type="pct"/>
            <w:vAlign w:val="center"/>
          </w:tcPr>
          <w:p w14:paraId="38964EA1">
            <w:pPr>
              <w:jc w:val="right"/>
            </w:pPr>
            <w:r>
              <w:t>120,385,200.00</w:t>
            </w:r>
          </w:p>
        </w:tc>
        <w:tc>
          <w:tcPr>
            <w:tcW w:w="1147" w:type="pct"/>
            <w:vAlign w:val="center"/>
          </w:tcPr>
          <w:p w14:paraId="5504174C">
            <w:pPr>
              <w:jc w:val="right"/>
            </w:pPr>
            <w:r>
              <w:t>120,000,000.00</w:t>
            </w:r>
          </w:p>
        </w:tc>
      </w:tr>
      <w:tr w14:paraId="14EA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9" w:type="pct"/>
          </w:tcPr>
          <w:p w14:paraId="07EC58AE">
            <w:pPr>
              <w:rPr>
                <w:color w:val="000000" w:themeColor="text1"/>
                <w14:textFill>
                  <w14:solidFill>
                    <w14:schemeClr w14:val="tx1"/>
                  </w14:solidFill>
                </w14:textFill>
              </w:rPr>
            </w:pPr>
            <w:r>
              <w:rPr>
                <w:rFonts w:hint="eastAsia"/>
                <w:color w:val="000000" w:themeColor="text1"/>
                <w14:textFill>
                  <w14:solidFill>
                    <w14:schemeClr w14:val="tx1"/>
                  </w14:solidFill>
                </w14:textFill>
              </w:rPr>
              <w:t>现金及现金等价物净增加额</w:t>
            </w:r>
          </w:p>
        </w:tc>
        <w:tc>
          <w:tcPr>
            <w:tcW w:w="1124" w:type="pct"/>
            <w:vAlign w:val="center"/>
          </w:tcPr>
          <w:p w14:paraId="6A4E8053">
            <w:pPr>
              <w:jc w:val="right"/>
            </w:pPr>
            <w:r>
              <w:t>573,921,598.29</w:t>
            </w:r>
          </w:p>
        </w:tc>
        <w:tc>
          <w:tcPr>
            <w:tcW w:w="1147" w:type="pct"/>
            <w:vAlign w:val="center"/>
          </w:tcPr>
          <w:p w14:paraId="5ECFA033">
            <w:pPr>
              <w:jc w:val="right"/>
            </w:pPr>
            <w:r>
              <w:t>274,127,636.59</w:t>
            </w:r>
          </w:p>
        </w:tc>
      </w:tr>
    </w:tbl>
    <w:p w14:paraId="1D80F371">
      <w:pPr>
        <w:rPr>
          <w:color w:val="000000" w:themeColor="text1"/>
          <w14:textFill>
            <w14:solidFill>
              <w14:schemeClr w14:val="tx1"/>
            </w14:solidFill>
          </w14:textFill>
        </w:rPr>
      </w:pPr>
    </w:p>
    <w:p w14:paraId="4F6BEB04">
      <w:pPr>
        <w:pStyle w:val="5"/>
        <w:numPr>
          <w:ilvl w:val="0"/>
          <w:numId w:val="7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本期支付的取得子公司的现金净额</w:t>
      </w:r>
    </w:p>
    <w:sdt>
      <w:sdtPr>
        <w:rPr>
          <w:color w:val="000000" w:themeColor="text1"/>
          <w14:textFill>
            <w14:solidFill>
              <w14:schemeClr w14:val="tx1"/>
            </w14:solidFill>
          </w14:textFill>
        </w:rPr>
        <w:alias w:val="是否适用：本期支付的取得子公司的现金净额[双击切换]"/>
        <w:tag w:val="_GBC_903abae67cad448caac446eb8c11fd79"/>
        <w:id w:val="-33275846"/>
        <w:placeholder>
          <w:docPart w:val="GBC22222222222222222222222222222"/>
        </w:placeholder>
      </w:sdtPr>
      <w:sdtEndPr>
        <w:rPr>
          <w:color w:val="000000" w:themeColor="text1"/>
          <w14:textFill>
            <w14:solidFill>
              <w14:schemeClr w14:val="tx1"/>
            </w14:solidFill>
          </w14:textFill>
        </w:rPr>
      </w:sdtEndPr>
      <w:sdtContent>
        <w:p w14:paraId="355C6D3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D6B8931">
      <w:pPr>
        <w:rPr>
          <w:color w:val="000000" w:themeColor="text1"/>
          <w14:textFill>
            <w14:solidFill>
              <w14:schemeClr w14:val="tx1"/>
            </w14:solidFill>
          </w14:textFill>
        </w:rPr>
      </w:pPr>
    </w:p>
    <w:p w14:paraId="47E193DD">
      <w:pPr>
        <w:pStyle w:val="5"/>
        <w:numPr>
          <w:ilvl w:val="0"/>
          <w:numId w:val="7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本期收到的处置子公司的现金净额</w:t>
      </w:r>
    </w:p>
    <w:sdt>
      <w:sdtPr>
        <w:rPr>
          <w:color w:val="000000" w:themeColor="text1"/>
          <w14:textFill>
            <w14:solidFill>
              <w14:schemeClr w14:val="tx1"/>
            </w14:solidFill>
          </w14:textFill>
        </w:rPr>
        <w:alias w:val="是否适用：本期收到的处置子公司的现金净额[双击切换]"/>
        <w:tag w:val="_GBC_2b4b13c85bb94d13bb7b7edebe0a9f5a"/>
        <w:id w:val="1356305512"/>
        <w:placeholder>
          <w:docPart w:val="GBC22222222222222222222222222222"/>
        </w:placeholder>
      </w:sdtPr>
      <w:sdtEndPr>
        <w:rPr>
          <w:color w:val="000000" w:themeColor="text1"/>
          <w14:textFill>
            <w14:solidFill>
              <w14:schemeClr w14:val="tx1"/>
            </w14:solidFill>
          </w14:textFill>
        </w:rPr>
      </w:sdtEndPr>
      <w:sdtContent>
        <w:p w14:paraId="3374B38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D3323C">
      <w:pPr>
        <w:rPr>
          <w:color w:val="000000" w:themeColor="text1"/>
          <w14:textFill>
            <w14:solidFill>
              <w14:schemeClr w14:val="tx1"/>
            </w14:solidFill>
          </w14:textFill>
        </w:rPr>
      </w:pPr>
    </w:p>
    <w:p w14:paraId="15ECA427">
      <w:pPr>
        <w:pStyle w:val="5"/>
        <w:numPr>
          <w:ilvl w:val="0"/>
          <w:numId w:val="7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现金和现金等价物的构成</w:t>
      </w:r>
    </w:p>
    <w:sdt>
      <w:sdtPr>
        <w:rPr>
          <w:color w:val="000000" w:themeColor="text1"/>
          <w14:textFill>
            <w14:solidFill>
              <w14:schemeClr w14:val="tx1"/>
            </w14:solidFill>
          </w14:textFill>
        </w:rPr>
        <w:alias w:val="是否适用：现金和现金等价物的构成[双击切换]"/>
        <w:tag w:val="_GBC_4f1d477972634410a6ea7bdfaf766947"/>
        <w:id w:val="-1214971958"/>
        <w:placeholder>
          <w:docPart w:val="GBC22222222222222222222222222222"/>
        </w:placeholder>
      </w:sdtPr>
      <w:sdtEndPr>
        <w:rPr>
          <w:color w:val="000000" w:themeColor="text1"/>
          <w14:textFill>
            <w14:solidFill>
              <w14:schemeClr w14:val="tx1"/>
            </w14:solidFill>
          </w14:textFill>
        </w:rPr>
      </w:sdtEndPr>
      <w:sdtContent>
        <w:p w14:paraId="18C877D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46B1208">
      <w:pPr>
        <w:jc w:val="right"/>
        <w:rPr>
          <w:b/>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现金和现金等价物的构成"/>
          <w:tag w:val="_GBC_b65333ba6aec402382c4acbbb6696560"/>
          <w:id w:val="15926613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现金和现金等价物的构成"/>
          <w:tag w:val="_GBC_15cada3a52264083942ef83a40fa25a0"/>
          <w:id w:val="-15586167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0"/>
        <w:gridCol w:w="2472"/>
        <w:gridCol w:w="2657"/>
      </w:tblGrid>
      <w:tr w14:paraId="04C4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d5bf85e9303e4843a7623f09eae933c6"/>
            <w:id w:val="-26715118"/>
          </w:sdtPr>
          <w:sdtContent>
            <w:tc>
              <w:tcPr>
                <w:tcW w:w="2166" w:type="pct"/>
                <w:tcBorders>
                  <w:bottom w:val="single" w:color="auto" w:sz="4" w:space="0"/>
                </w:tcBorders>
                <w:vAlign w:val="center"/>
              </w:tcPr>
              <w:p w14:paraId="5A5A9283">
                <w:pPr>
                  <w:ind w:left="-107" w:leftChars="-5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e3a960d2f6474687b9cbaec3f1075e19"/>
            <w:id w:val="1881822030"/>
          </w:sdtPr>
          <w:sdtContent>
            <w:tc>
              <w:tcPr>
                <w:tcW w:w="1366" w:type="pct"/>
                <w:vAlign w:val="center"/>
              </w:tcPr>
              <w:p w14:paraId="26E4376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0d0909eba9344c8ab96c7fb88f0b117a"/>
            <w:id w:val="441351859"/>
          </w:sdtPr>
          <w:sdtContent>
            <w:tc>
              <w:tcPr>
                <w:tcW w:w="1468" w:type="pct"/>
              </w:tcPr>
              <w:p w14:paraId="3F8E4DD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08F7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vAlign w:val="center"/>
          </w:tcPr>
          <w:p w14:paraId="29910974">
            <w:pPr>
              <w:rPr>
                <w:color w:val="000000" w:themeColor="text1"/>
                <w14:textFill>
                  <w14:solidFill>
                    <w14:schemeClr w14:val="tx1"/>
                  </w14:solidFill>
                </w14:textFill>
              </w:rPr>
            </w:pPr>
            <w:r>
              <w:rPr>
                <w:rFonts w:hint="eastAsia"/>
                <w:color w:val="000000" w:themeColor="text1"/>
                <w14:textFill>
                  <w14:solidFill>
                    <w14:schemeClr w14:val="tx1"/>
                  </w14:solidFill>
                </w14:textFill>
              </w:rPr>
              <w:t>一、现金</w:t>
            </w:r>
          </w:p>
        </w:tc>
        <w:tc>
          <w:tcPr>
            <w:tcW w:w="1366" w:type="pct"/>
            <w:vAlign w:val="center"/>
          </w:tcPr>
          <w:p w14:paraId="0F160C60">
            <w:pPr>
              <w:jc w:val="right"/>
            </w:pPr>
            <w:r>
              <w:t>1,795,598,049.31</w:t>
            </w:r>
          </w:p>
        </w:tc>
        <w:tc>
          <w:tcPr>
            <w:tcW w:w="1468" w:type="pct"/>
            <w:vAlign w:val="center"/>
          </w:tcPr>
          <w:p w14:paraId="088CE74D">
            <w:pPr>
              <w:jc w:val="right"/>
            </w:pPr>
            <w:r>
              <w:t>1,201,291,251.02</w:t>
            </w:r>
          </w:p>
        </w:tc>
      </w:tr>
      <w:tr w14:paraId="6328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vAlign w:val="center"/>
          </w:tcPr>
          <w:p w14:paraId="3639BF07">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其中：库存现金</w:t>
            </w:r>
          </w:p>
        </w:tc>
        <w:tc>
          <w:tcPr>
            <w:tcW w:w="1366" w:type="pct"/>
            <w:vAlign w:val="center"/>
          </w:tcPr>
          <w:p w14:paraId="673CEAC5">
            <w:pPr>
              <w:jc w:val="right"/>
            </w:pPr>
            <w:r>
              <w:t>193,980.83</w:t>
            </w:r>
          </w:p>
        </w:tc>
        <w:tc>
          <w:tcPr>
            <w:tcW w:w="1468" w:type="pct"/>
            <w:vAlign w:val="center"/>
          </w:tcPr>
          <w:p w14:paraId="5C3593B7">
            <w:pPr>
              <w:jc w:val="right"/>
            </w:pPr>
            <w:r>
              <w:t>432,216.29</w:t>
            </w:r>
          </w:p>
        </w:tc>
      </w:tr>
      <w:tr w14:paraId="438F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vAlign w:val="center"/>
          </w:tcPr>
          <w:p w14:paraId="21D0BCCF">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可随时用于支付的银行存款</w:t>
            </w:r>
          </w:p>
        </w:tc>
        <w:tc>
          <w:tcPr>
            <w:tcW w:w="1366" w:type="pct"/>
            <w:vAlign w:val="center"/>
          </w:tcPr>
          <w:p w14:paraId="07509D85">
            <w:pPr>
              <w:jc w:val="right"/>
            </w:pPr>
            <w:r>
              <w:t>1,793,167,377.63</w:t>
            </w:r>
          </w:p>
        </w:tc>
        <w:tc>
          <w:tcPr>
            <w:tcW w:w="1468" w:type="pct"/>
            <w:vAlign w:val="center"/>
          </w:tcPr>
          <w:p w14:paraId="32DFD3F0">
            <w:pPr>
              <w:jc w:val="right"/>
            </w:pPr>
            <w:r>
              <w:t>1,200,119,932.41</w:t>
            </w:r>
          </w:p>
        </w:tc>
      </w:tr>
      <w:tr w14:paraId="47D3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vAlign w:val="center"/>
          </w:tcPr>
          <w:p w14:paraId="239B309B">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可随时用于支付的其他货币资金</w:t>
            </w:r>
          </w:p>
        </w:tc>
        <w:tc>
          <w:tcPr>
            <w:tcW w:w="1366" w:type="pct"/>
            <w:vAlign w:val="center"/>
          </w:tcPr>
          <w:p w14:paraId="2A7A05D8">
            <w:pPr>
              <w:jc w:val="right"/>
            </w:pPr>
            <w:r>
              <w:t>2,236,690.85</w:t>
            </w:r>
          </w:p>
        </w:tc>
        <w:tc>
          <w:tcPr>
            <w:tcW w:w="1468" w:type="pct"/>
            <w:vAlign w:val="center"/>
          </w:tcPr>
          <w:p w14:paraId="0CA60209">
            <w:pPr>
              <w:jc w:val="right"/>
            </w:pPr>
            <w:r>
              <w:t>739,102.32</w:t>
            </w:r>
          </w:p>
        </w:tc>
      </w:tr>
      <w:tr w14:paraId="7091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vAlign w:val="center"/>
          </w:tcPr>
          <w:p w14:paraId="40015400">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可用于支付的存放中央银行款项</w:t>
            </w:r>
          </w:p>
        </w:tc>
        <w:tc>
          <w:tcPr>
            <w:tcW w:w="1366" w:type="pct"/>
          </w:tcPr>
          <w:p w14:paraId="2044CAFA">
            <w:pPr>
              <w:jc w:val="right"/>
            </w:pPr>
          </w:p>
        </w:tc>
        <w:tc>
          <w:tcPr>
            <w:tcW w:w="1468" w:type="pct"/>
          </w:tcPr>
          <w:p w14:paraId="2B4A13E5">
            <w:pPr>
              <w:jc w:val="right"/>
            </w:pPr>
          </w:p>
        </w:tc>
      </w:tr>
      <w:tr w14:paraId="633C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vAlign w:val="center"/>
          </w:tcPr>
          <w:p w14:paraId="5FEF0A26">
            <w:pPr>
              <w:rPr>
                <w:color w:val="000000" w:themeColor="text1"/>
                <w14:textFill>
                  <w14:solidFill>
                    <w14:schemeClr w14:val="tx1"/>
                  </w14:solidFill>
                </w14:textFill>
              </w:rPr>
            </w:pPr>
            <w:r>
              <w:rPr>
                <w:rFonts w:hint="eastAsia"/>
                <w:color w:val="000000" w:themeColor="text1"/>
                <w14:textFill>
                  <w14:solidFill>
                    <w14:schemeClr w14:val="tx1"/>
                  </w14:solidFill>
                </w14:textFill>
              </w:rPr>
              <w:t>二、现金等价物</w:t>
            </w:r>
          </w:p>
        </w:tc>
        <w:tc>
          <w:tcPr>
            <w:tcW w:w="1366" w:type="pct"/>
          </w:tcPr>
          <w:p w14:paraId="77EA0342">
            <w:pPr>
              <w:jc w:val="right"/>
            </w:pPr>
            <w:r>
              <w:t>100,000,000.00</w:t>
            </w:r>
          </w:p>
        </w:tc>
        <w:tc>
          <w:tcPr>
            <w:tcW w:w="1468" w:type="pct"/>
          </w:tcPr>
          <w:p w14:paraId="5B14ABAB">
            <w:pPr>
              <w:jc w:val="right"/>
            </w:pPr>
            <w:r>
              <w:t>120,385,200.00</w:t>
            </w:r>
          </w:p>
        </w:tc>
      </w:tr>
      <w:tr w14:paraId="3481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vAlign w:val="center"/>
          </w:tcPr>
          <w:p w14:paraId="0C077E24">
            <w:r>
              <w:rPr>
                <w:rFonts w:hint="eastAsia"/>
              </w:rPr>
              <w:t>其中：三个月内到期的定期存款</w:t>
            </w:r>
          </w:p>
        </w:tc>
        <w:tc>
          <w:tcPr>
            <w:tcW w:w="1366" w:type="pct"/>
            <w:vAlign w:val="center"/>
          </w:tcPr>
          <w:p w14:paraId="4C2C88C8">
            <w:pPr>
              <w:jc w:val="right"/>
            </w:pPr>
            <w:r>
              <w:t>100,000,000.00</w:t>
            </w:r>
          </w:p>
        </w:tc>
        <w:tc>
          <w:tcPr>
            <w:tcW w:w="1468" w:type="pct"/>
            <w:vAlign w:val="center"/>
          </w:tcPr>
          <w:p w14:paraId="591F2F13">
            <w:pPr>
              <w:jc w:val="right"/>
            </w:pPr>
            <w:r>
              <w:t>120,385,200.00</w:t>
            </w:r>
          </w:p>
        </w:tc>
      </w:tr>
      <w:tr w14:paraId="2AC2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vAlign w:val="center"/>
          </w:tcPr>
          <w:p w14:paraId="1DA8D019">
            <w:pPr>
              <w:rPr>
                <w:color w:val="000000" w:themeColor="text1"/>
                <w14:textFill>
                  <w14:solidFill>
                    <w14:schemeClr w14:val="tx1"/>
                  </w14:solidFill>
                </w14:textFill>
              </w:rPr>
            </w:pPr>
            <w:r>
              <w:rPr>
                <w:rFonts w:hint="eastAsia"/>
                <w:color w:val="000000" w:themeColor="text1"/>
                <w14:textFill>
                  <w14:solidFill>
                    <w14:schemeClr w14:val="tx1"/>
                  </w14:solidFill>
                </w14:textFill>
              </w:rPr>
              <w:t>三、期末现金及现金等价物余额</w:t>
            </w:r>
          </w:p>
        </w:tc>
        <w:tc>
          <w:tcPr>
            <w:tcW w:w="1366" w:type="pct"/>
            <w:vAlign w:val="center"/>
          </w:tcPr>
          <w:p w14:paraId="72B70A23">
            <w:pPr>
              <w:jc w:val="right"/>
            </w:pPr>
            <w:r>
              <w:t>1,895,598,049.31</w:t>
            </w:r>
          </w:p>
        </w:tc>
        <w:tc>
          <w:tcPr>
            <w:tcW w:w="1468" w:type="pct"/>
            <w:vAlign w:val="center"/>
          </w:tcPr>
          <w:p w14:paraId="0EFE85BE">
            <w:pPr>
              <w:jc w:val="right"/>
            </w:pPr>
            <w:r>
              <w:t>1,321,676,451.02</w:t>
            </w:r>
          </w:p>
        </w:tc>
      </w:tr>
      <w:tr w14:paraId="4755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6" w:type="pct"/>
            <w:vAlign w:val="center"/>
          </w:tcPr>
          <w:p w14:paraId="1098860F">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其中：母公司或集团内子公司使用受限制的现金和现金等价物</w:t>
            </w:r>
          </w:p>
        </w:tc>
        <w:tc>
          <w:tcPr>
            <w:tcW w:w="1366" w:type="pct"/>
          </w:tcPr>
          <w:p w14:paraId="5693492F">
            <w:pPr>
              <w:jc w:val="right"/>
            </w:pPr>
          </w:p>
        </w:tc>
        <w:tc>
          <w:tcPr>
            <w:tcW w:w="1468" w:type="pct"/>
          </w:tcPr>
          <w:p w14:paraId="1A5F5CF6">
            <w:pPr>
              <w:jc w:val="right"/>
            </w:pPr>
          </w:p>
        </w:tc>
      </w:tr>
    </w:tbl>
    <w:p w14:paraId="4B86D9AE">
      <w:pPr>
        <w:rPr>
          <w:color w:val="000000" w:themeColor="text1"/>
          <w14:textFill>
            <w14:solidFill>
              <w14:schemeClr w14:val="tx1"/>
            </w14:solidFill>
          </w14:textFill>
        </w:rPr>
      </w:pPr>
    </w:p>
    <w:p w14:paraId="686753B8">
      <w:pPr>
        <w:pStyle w:val="5"/>
        <w:numPr>
          <w:ilvl w:val="0"/>
          <w:numId w:val="78"/>
        </w:numPr>
        <w:rPr>
          <w:rFonts w:ascii="宋体" w:hAnsi="宋体"/>
          <w:color w:val="000000" w:themeColor="text1"/>
          <w14:textFill>
            <w14:solidFill>
              <w14:schemeClr w14:val="tx1"/>
            </w14:solidFill>
          </w14:textFill>
        </w:rPr>
      </w:pPr>
      <w:bookmarkStart w:id="351" w:name="_Hlk167970923"/>
      <w:r>
        <w:rPr>
          <w:rFonts w:hint="eastAsia" w:ascii="宋体" w:hAnsi="宋体"/>
          <w:color w:val="000000" w:themeColor="text1"/>
          <w14:textFill>
            <w14:solidFill>
              <w14:schemeClr w14:val="tx1"/>
            </w14:solidFill>
          </w14:textFill>
        </w:rPr>
        <w:t>使用范围受限但仍作为现金和现金等价物列示的情况</w:t>
      </w:r>
    </w:p>
    <w:sdt>
      <w:sdtPr>
        <w:rPr>
          <w:color w:val="000000" w:themeColor="text1"/>
          <w14:textFill>
            <w14:solidFill>
              <w14:schemeClr w14:val="tx1"/>
            </w14:solidFill>
          </w14:textFill>
        </w:rPr>
        <w:alias w:val="是否适用：使用范围受限但仍作为现金和现金等价物列示的情况[双击切换]"/>
        <w:tag w:val="_GBC_dcbbdbc5a8524c8299b810908077aebe"/>
        <w:id w:val="-449470558"/>
        <w:placeholder>
          <w:docPart w:val="GBC22222222222222222222222222222"/>
        </w:placeholder>
      </w:sdtPr>
      <w:sdtEndPr>
        <w:rPr>
          <w:color w:val="000000" w:themeColor="text1"/>
          <w14:textFill>
            <w14:solidFill>
              <w14:schemeClr w14:val="tx1"/>
            </w14:solidFill>
          </w14:textFill>
        </w:rPr>
      </w:sdtEndPr>
      <w:sdtContent>
        <w:p w14:paraId="5146B5D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3FB5DF5">
      <w:pPr>
        <w:rPr>
          <w:color w:val="000000" w:themeColor="text1"/>
          <w14:textFill>
            <w14:solidFill>
              <w14:schemeClr w14:val="tx1"/>
            </w14:solidFill>
          </w14:textFill>
        </w:rPr>
      </w:pPr>
    </w:p>
    <w:p w14:paraId="0498FB1D">
      <w:pPr>
        <w:pStyle w:val="5"/>
        <w:numPr>
          <w:ilvl w:val="0"/>
          <w:numId w:val="7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不属于现金及现金等价物的货币资金</w:t>
      </w:r>
    </w:p>
    <w:sdt>
      <w:sdtPr>
        <w:rPr>
          <w:color w:val="000000" w:themeColor="text1"/>
          <w14:textFill>
            <w14:solidFill>
              <w14:schemeClr w14:val="tx1"/>
            </w14:solidFill>
          </w14:textFill>
        </w:rPr>
        <w:alias w:val="是否适用：不属于现金及现金等价物的货币资金[双击切换]"/>
        <w:tag w:val="_GBC_191a966fa63441a7bf4a17ba6bb3802a"/>
        <w:id w:val="1519127296"/>
        <w:placeholder>
          <w:docPart w:val="GBC22222222222222222222222222222"/>
        </w:placeholder>
      </w:sdtPr>
      <w:sdtEndPr>
        <w:rPr>
          <w:color w:val="000000" w:themeColor="text1"/>
          <w14:textFill>
            <w14:solidFill>
              <w14:schemeClr w14:val="tx1"/>
            </w14:solidFill>
          </w14:textFill>
        </w:rPr>
      </w:sdtEndPr>
      <w:sdtContent>
        <w:p w14:paraId="557615D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B1301A7">
      <w:pPr>
        <w:jc w:val="right"/>
        <w:rPr>
          <w:b/>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不属于现金及现金等价物的货币资金"/>
          <w:tag w:val="_GBC_f61896005e924ae38677ec69b7155f61"/>
          <w:id w:val="143678509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不属于现金及现金等价物的货币资金"/>
          <w:tag w:val="_GBC_0a0043c6530c4ab2bc30ec98d82b63cf"/>
          <w:id w:val="15279876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351"/>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8"/>
        <w:gridCol w:w="2069"/>
        <w:gridCol w:w="2069"/>
        <w:gridCol w:w="2843"/>
      </w:tblGrid>
      <w:tr w14:paraId="35AD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sdt>
          <w:sdtPr>
            <w:tag w:val="_PLD_edb7da4f96fd483da0db9e51774f40a2"/>
            <w:id w:val="1237510815"/>
          </w:sdtPr>
          <w:sdtContent>
            <w:tc>
              <w:tcPr>
                <w:tcW w:w="1143" w:type="pct"/>
                <w:tcBorders>
                  <w:bottom w:val="single" w:color="auto" w:sz="4" w:space="0"/>
                </w:tcBorders>
                <w:vAlign w:val="center"/>
              </w:tcPr>
              <w:p w14:paraId="52041D67">
                <w:pPr>
                  <w:ind w:left="-107" w:leftChars="-51"/>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50a645135c3c4998a58aa2994c543dfe"/>
            <w:id w:val="964547209"/>
          </w:sdtPr>
          <w:sdtContent>
            <w:tc>
              <w:tcPr>
                <w:tcW w:w="1143" w:type="pct"/>
                <w:vAlign w:val="center"/>
              </w:tcPr>
              <w:p w14:paraId="2EA7625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2c47585cf5e64606bc9eaa265f16279c"/>
            <w:id w:val="1174838274"/>
          </w:sdtPr>
          <w:sdtContent>
            <w:tc>
              <w:tcPr>
                <w:tcW w:w="1143" w:type="pct"/>
                <w:vAlign w:val="center"/>
              </w:tcPr>
              <w:p w14:paraId="424BB3E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60a5c86051274f1fa875f5d9c6ee937b"/>
            <w:id w:val="1665196813"/>
          </w:sdtPr>
          <w:sdtContent>
            <w:tc>
              <w:tcPr>
                <w:tcW w:w="1571" w:type="pct"/>
                <w:vAlign w:val="center"/>
              </w:tcPr>
              <w:p w14:paraId="687435E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理由</w:t>
                </w:r>
              </w:p>
            </w:tc>
          </w:sdtContent>
        </w:sdt>
      </w:tr>
      <w:tr w14:paraId="5433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143" w:type="pct"/>
            <w:vAlign w:val="center"/>
          </w:tcPr>
          <w:p w14:paraId="7C4D0FCD">
            <w:pPr>
              <w:jc w:val="center"/>
            </w:pPr>
            <w:r>
              <w:t>定期存款</w:t>
            </w:r>
          </w:p>
        </w:tc>
        <w:tc>
          <w:tcPr>
            <w:tcW w:w="1143" w:type="pct"/>
          </w:tcPr>
          <w:p w14:paraId="68A5EC54">
            <w:pPr>
              <w:jc w:val="right"/>
            </w:pPr>
          </w:p>
        </w:tc>
        <w:tc>
          <w:tcPr>
            <w:tcW w:w="1143" w:type="pct"/>
          </w:tcPr>
          <w:p w14:paraId="1600E0C5">
            <w:pPr>
              <w:jc w:val="right"/>
            </w:pPr>
            <w:r>
              <w:t>150,000,000.00</w:t>
            </w:r>
          </w:p>
        </w:tc>
        <w:tc>
          <w:tcPr>
            <w:tcW w:w="1571" w:type="pct"/>
          </w:tcPr>
          <w:p w14:paraId="5E094D33">
            <w:pPr>
              <w:jc w:val="center"/>
            </w:pPr>
            <w:r>
              <w:t>定期存款</w:t>
            </w:r>
          </w:p>
        </w:tc>
      </w:tr>
      <w:tr w14:paraId="55AF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143" w:type="pct"/>
            <w:vAlign w:val="center"/>
          </w:tcPr>
          <w:p w14:paraId="647880F5">
            <w:pPr>
              <w:jc w:val="center"/>
            </w:pPr>
            <w:r>
              <w:t>票据保证金</w:t>
            </w:r>
          </w:p>
        </w:tc>
        <w:tc>
          <w:tcPr>
            <w:tcW w:w="1143" w:type="pct"/>
          </w:tcPr>
          <w:p w14:paraId="3A1CE278">
            <w:pPr>
              <w:jc w:val="right"/>
            </w:pPr>
            <w:r>
              <w:t>1,273,922,085.50</w:t>
            </w:r>
          </w:p>
        </w:tc>
        <w:tc>
          <w:tcPr>
            <w:tcW w:w="1143" w:type="pct"/>
          </w:tcPr>
          <w:p w14:paraId="4472A106">
            <w:pPr>
              <w:jc w:val="right"/>
            </w:pPr>
            <w:r>
              <w:t>2,080,477,068.46</w:t>
            </w:r>
          </w:p>
        </w:tc>
        <w:tc>
          <w:tcPr>
            <w:tcW w:w="1571" w:type="pct"/>
          </w:tcPr>
          <w:p w14:paraId="70AD922B">
            <w:pPr>
              <w:jc w:val="center"/>
            </w:pPr>
            <w:r>
              <w:t>票据保证金</w:t>
            </w:r>
          </w:p>
        </w:tc>
      </w:tr>
      <w:tr w14:paraId="2E7E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 w:hRule="atLeast"/>
        </w:trPr>
        <w:tc>
          <w:tcPr>
            <w:tcW w:w="1143" w:type="pct"/>
            <w:vAlign w:val="center"/>
          </w:tcPr>
          <w:p w14:paraId="0E6985A7">
            <w:pPr>
              <w:jc w:val="center"/>
            </w:pPr>
            <w:r>
              <w:t>信用证保证金</w:t>
            </w:r>
          </w:p>
        </w:tc>
        <w:tc>
          <w:tcPr>
            <w:tcW w:w="1143" w:type="pct"/>
          </w:tcPr>
          <w:p w14:paraId="5A6966A4">
            <w:pPr>
              <w:jc w:val="right"/>
            </w:pPr>
          </w:p>
        </w:tc>
        <w:tc>
          <w:tcPr>
            <w:tcW w:w="1143" w:type="pct"/>
          </w:tcPr>
          <w:p w14:paraId="32FD8CA9">
            <w:pPr>
              <w:jc w:val="right"/>
            </w:pPr>
            <w:r>
              <w:t>50,000,000.00</w:t>
            </w:r>
          </w:p>
        </w:tc>
        <w:tc>
          <w:tcPr>
            <w:tcW w:w="1571" w:type="pct"/>
          </w:tcPr>
          <w:p w14:paraId="3C76D27C">
            <w:pPr>
              <w:jc w:val="center"/>
            </w:pPr>
            <w:r>
              <w:t>信用证保证金</w:t>
            </w:r>
          </w:p>
        </w:tc>
      </w:tr>
      <w:tr w14:paraId="73CA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143" w:type="pct"/>
            <w:vAlign w:val="center"/>
          </w:tcPr>
          <w:p w14:paraId="47138D66">
            <w:pPr>
              <w:jc w:val="center"/>
            </w:pPr>
            <w:r>
              <w:t>冻结的活期存款</w:t>
            </w:r>
          </w:p>
        </w:tc>
        <w:tc>
          <w:tcPr>
            <w:tcW w:w="1143" w:type="pct"/>
          </w:tcPr>
          <w:p w14:paraId="4DC8E2C4">
            <w:pPr>
              <w:jc w:val="right"/>
            </w:pPr>
            <w:r>
              <w:t>45,356,935.10</w:t>
            </w:r>
          </w:p>
        </w:tc>
        <w:tc>
          <w:tcPr>
            <w:tcW w:w="1143" w:type="pct"/>
          </w:tcPr>
          <w:p w14:paraId="0930182F">
            <w:pPr>
              <w:jc w:val="right"/>
            </w:pPr>
            <w:r>
              <w:t>49,037,385.79</w:t>
            </w:r>
          </w:p>
        </w:tc>
        <w:tc>
          <w:tcPr>
            <w:tcW w:w="1571" w:type="pct"/>
          </w:tcPr>
          <w:p w14:paraId="41BE0C74">
            <w:pPr>
              <w:jc w:val="center"/>
            </w:pPr>
            <w:r>
              <w:t>冻结的活期存款</w:t>
            </w:r>
          </w:p>
        </w:tc>
      </w:tr>
      <w:tr w14:paraId="3F97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 w:hRule="atLeast"/>
        </w:trPr>
        <w:tc>
          <w:tcPr>
            <w:tcW w:w="1143" w:type="pct"/>
            <w:vAlign w:val="center"/>
          </w:tcPr>
          <w:p w14:paraId="3337DA15">
            <w:pPr>
              <w:jc w:val="center"/>
            </w:pPr>
            <w:r>
              <w:t>保函保证金</w:t>
            </w:r>
          </w:p>
        </w:tc>
        <w:tc>
          <w:tcPr>
            <w:tcW w:w="1143" w:type="pct"/>
          </w:tcPr>
          <w:p w14:paraId="703556DF">
            <w:pPr>
              <w:jc w:val="right"/>
            </w:pPr>
            <w:r>
              <w:t>18,089,249.24</w:t>
            </w:r>
          </w:p>
        </w:tc>
        <w:tc>
          <w:tcPr>
            <w:tcW w:w="1143" w:type="pct"/>
          </w:tcPr>
          <w:p w14:paraId="5B9DB5A7">
            <w:pPr>
              <w:jc w:val="right"/>
            </w:pPr>
            <w:r>
              <w:t>18,006,942.00</w:t>
            </w:r>
          </w:p>
        </w:tc>
        <w:tc>
          <w:tcPr>
            <w:tcW w:w="1571" w:type="pct"/>
          </w:tcPr>
          <w:p w14:paraId="7B10CA0A">
            <w:pPr>
              <w:jc w:val="center"/>
            </w:pPr>
            <w:r>
              <w:t>保函保证金</w:t>
            </w:r>
          </w:p>
        </w:tc>
      </w:tr>
      <w:tr w14:paraId="078F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 w:hRule="atLeast"/>
        </w:trPr>
        <w:tc>
          <w:tcPr>
            <w:tcW w:w="1143" w:type="pct"/>
            <w:vAlign w:val="center"/>
          </w:tcPr>
          <w:p w14:paraId="1294DDB3">
            <w:pPr>
              <w:jc w:val="center"/>
            </w:pPr>
            <w:r>
              <w:t>其他保证金</w:t>
            </w:r>
          </w:p>
        </w:tc>
        <w:tc>
          <w:tcPr>
            <w:tcW w:w="1143" w:type="pct"/>
          </w:tcPr>
          <w:p w14:paraId="37A6D869">
            <w:pPr>
              <w:jc w:val="right"/>
            </w:pPr>
            <w:r>
              <w:t>50,665.17</w:t>
            </w:r>
          </w:p>
        </w:tc>
        <w:tc>
          <w:tcPr>
            <w:tcW w:w="1143" w:type="pct"/>
          </w:tcPr>
          <w:p w14:paraId="68BED0D3">
            <w:pPr>
              <w:jc w:val="right"/>
            </w:pPr>
            <w:r>
              <w:t>71,984.39</w:t>
            </w:r>
          </w:p>
        </w:tc>
        <w:tc>
          <w:tcPr>
            <w:tcW w:w="1571" w:type="pct"/>
          </w:tcPr>
          <w:p w14:paraId="7805065C">
            <w:pPr>
              <w:jc w:val="center"/>
            </w:pPr>
            <w:r>
              <w:t>其他保证金</w:t>
            </w:r>
          </w:p>
        </w:tc>
      </w:tr>
      <w:tr w14:paraId="29DF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143" w:type="pct"/>
            <w:vAlign w:val="center"/>
          </w:tcPr>
          <w:p w14:paraId="191934E8">
            <w:pPr>
              <w:jc w:val="center"/>
            </w:pPr>
            <w:r>
              <w:t>未到期应收利息</w:t>
            </w:r>
          </w:p>
        </w:tc>
        <w:tc>
          <w:tcPr>
            <w:tcW w:w="1143" w:type="pct"/>
          </w:tcPr>
          <w:p w14:paraId="526720E3">
            <w:pPr>
              <w:jc w:val="right"/>
            </w:pPr>
            <w:r>
              <w:t>4,091,049.91</w:t>
            </w:r>
          </w:p>
        </w:tc>
        <w:tc>
          <w:tcPr>
            <w:tcW w:w="1143" w:type="pct"/>
          </w:tcPr>
          <w:p w14:paraId="55645A9A">
            <w:pPr>
              <w:jc w:val="right"/>
            </w:pPr>
            <w:r>
              <w:t>10,134,964.41</w:t>
            </w:r>
          </w:p>
        </w:tc>
        <w:tc>
          <w:tcPr>
            <w:tcW w:w="1571" w:type="pct"/>
          </w:tcPr>
          <w:p w14:paraId="51838AD9"/>
        </w:tc>
      </w:tr>
      <w:tr w14:paraId="50FD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143" w:type="pct"/>
            <w:vAlign w:val="center"/>
          </w:tcPr>
          <w:p w14:paraId="3A4B5F48">
            <w:pPr>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143" w:type="pct"/>
            <w:vAlign w:val="center"/>
          </w:tcPr>
          <w:p w14:paraId="661C60C2">
            <w:pPr>
              <w:jc w:val="right"/>
            </w:pPr>
            <w:r>
              <w:t>1,341,509,984.92</w:t>
            </w:r>
          </w:p>
        </w:tc>
        <w:tc>
          <w:tcPr>
            <w:tcW w:w="1143" w:type="pct"/>
            <w:vAlign w:val="center"/>
          </w:tcPr>
          <w:p w14:paraId="67DC2BE9">
            <w:pPr>
              <w:jc w:val="right"/>
            </w:pPr>
            <w:r>
              <w:t>2,357,728,345.05</w:t>
            </w:r>
          </w:p>
        </w:tc>
        <w:tc>
          <w:tcPr>
            <w:tcW w:w="1571" w:type="pct"/>
          </w:tcPr>
          <w:p w14:paraId="2CEC0C8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3BB4A1CE"/>
    <w:p w14:paraId="26F6C2C1">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现金流量表补充资料的说明[双击切换]"/>
        <w:tag w:val="_GBC_2212775a699e4804b260767f3ce34d12"/>
        <w:id w:val="-495567486"/>
        <w:placeholder>
          <w:docPart w:val="GBC22222222222222222222222222222"/>
        </w:placeholder>
      </w:sdtPr>
      <w:sdtEndPr>
        <w:rPr>
          <w:color w:val="000000" w:themeColor="text1"/>
          <w14:textFill>
            <w14:solidFill>
              <w14:schemeClr w14:val="tx1"/>
            </w14:solidFill>
          </w14:textFill>
        </w:rPr>
      </w:sdtEndPr>
      <w:sdtContent>
        <w:p w14:paraId="5446791B">
          <w:pPr>
            <w:spacing w:before="60" w:after="6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68E763">
      <w:pPr>
        <w:rPr>
          <w:color w:val="000000" w:themeColor="text1"/>
          <w14:textFill>
            <w14:solidFill>
              <w14:schemeClr w14:val="tx1"/>
            </w14:solidFill>
          </w14:textFill>
        </w:rPr>
      </w:pPr>
    </w:p>
    <w:p w14:paraId="2ED230CD">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所有者权益变动表项目注释</w:t>
      </w:r>
    </w:p>
    <w:p w14:paraId="2743E16A">
      <w:pPr>
        <w:rPr>
          <w:color w:val="000000" w:themeColor="text1"/>
          <w14:textFill>
            <w14:solidFill>
              <w14:schemeClr w14:val="tx1"/>
            </w14:solidFill>
          </w14:textFill>
        </w:rPr>
      </w:pPr>
      <w:r>
        <w:rPr>
          <w:rFonts w:hint="eastAsia"/>
          <w:color w:val="000000" w:themeColor="text1"/>
          <w14:textFill>
            <w14:solidFill>
              <w14:schemeClr w14:val="tx1"/>
            </w14:solidFill>
          </w14:textFill>
        </w:rPr>
        <w:t>说明对上年期末余额进行调整的“其他”项目名称及调整金额等事项：</w:t>
      </w:r>
    </w:p>
    <w:sdt>
      <w:sdtPr>
        <w:rPr>
          <w:color w:val="000000" w:themeColor="text1"/>
          <w14:textFill>
            <w14:solidFill>
              <w14:schemeClr w14:val="tx1"/>
            </w14:solidFill>
          </w14:textFill>
        </w:rPr>
        <w:alias w:val="是否适用：所有者权益变动表项目注释[双击切换]"/>
        <w:tag w:val="_GBC_61e84760a3fd4a58bb2421e95114d9b8"/>
        <w:id w:val="-47000129"/>
        <w:placeholder>
          <w:docPart w:val="GBC22222222222222222222222222222"/>
        </w:placeholder>
      </w:sdtPr>
      <w:sdtEndPr>
        <w:rPr>
          <w:color w:val="000000" w:themeColor="text1"/>
          <w14:textFill>
            <w14:solidFill>
              <w14:schemeClr w14:val="tx1"/>
            </w14:solidFill>
          </w14:textFill>
        </w:rPr>
      </w:sdtEndPr>
      <w:sdtContent>
        <w:p w14:paraId="5E72E09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4666649">
      <w:pPr>
        <w:rPr>
          <w:color w:val="000000" w:themeColor="text1"/>
          <w14:textFill>
            <w14:solidFill>
              <w14:schemeClr w14:val="tx1"/>
            </w14:solidFill>
          </w14:textFill>
        </w:rPr>
      </w:pPr>
    </w:p>
    <w:p w14:paraId="711FD60F">
      <w:pPr>
        <w:pStyle w:val="4"/>
        <w:numPr>
          <w:ilvl w:val="0"/>
          <w:numId w:val="41"/>
        </w:numPr>
        <w:rPr>
          <w:color w:val="000000" w:themeColor="text1"/>
          <w:szCs w:val="21"/>
          <w14:textFill>
            <w14:solidFill>
              <w14:schemeClr w14:val="tx1"/>
            </w14:solidFill>
          </w14:textFill>
        </w:rPr>
      </w:pPr>
      <w:bookmarkStart w:id="352" w:name="_Hlk42158948"/>
      <w:r>
        <w:rPr>
          <w:color w:val="000000" w:themeColor="text1"/>
          <w:szCs w:val="21"/>
          <w14:textFill>
            <w14:solidFill>
              <w14:schemeClr w14:val="tx1"/>
            </w14:solidFill>
          </w14:textFill>
        </w:rPr>
        <w:t>外币货币性项目</w:t>
      </w:r>
    </w:p>
    <w:p w14:paraId="7E9BE128">
      <w:pPr>
        <w:pStyle w:val="5"/>
        <w:numPr>
          <w:ilvl w:val="0"/>
          <w:numId w:val="79"/>
        </w:numPr>
        <w:rPr>
          <w:b w:val="0"/>
          <w:bCs w:val="0"/>
          <w:color w:val="000000" w:themeColor="text1"/>
          <w14:textFill>
            <w14:solidFill>
              <w14:schemeClr w14:val="tx1"/>
            </w14:solidFill>
          </w14:textFill>
        </w:rPr>
      </w:pPr>
      <w:r>
        <w:rPr>
          <w:rStyle w:val="48"/>
          <w:rFonts w:hint="eastAsia" w:ascii="宋体" w:hAnsi="宋体"/>
          <w:b/>
          <w:bCs w:val="0"/>
          <w:color w:val="000000" w:themeColor="text1"/>
          <w:szCs w:val="21"/>
          <w14:textFill>
            <w14:solidFill>
              <w14:schemeClr w14:val="tx1"/>
            </w14:solidFill>
          </w14:textFill>
        </w:rPr>
        <w:t>外币货币性项目</w:t>
      </w:r>
    </w:p>
    <w:sdt>
      <w:sdtPr>
        <w:rPr>
          <w:color w:val="000000" w:themeColor="text1"/>
          <w14:textFill>
            <w14:solidFill>
              <w14:schemeClr w14:val="tx1"/>
            </w14:solidFill>
          </w14:textFill>
        </w:rPr>
        <w:alias w:val="是否适用：外币货币性项目[双击切换]"/>
        <w:tag w:val="_GBC_7b0870ec262840d78495babcff3639aa"/>
        <w:id w:val="1847586903"/>
        <w:placeholder>
          <w:docPart w:val="GBC22222222222222222222222222222"/>
        </w:placeholder>
      </w:sdtPr>
      <w:sdtEndPr>
        <w:rPr>
          <w:color w:val="000000" w:themeColor="text1"/>
          <w14:textFill>
            <w14:solidFill>
              <w14:schemeClr w14:val="tx1"/>
            </w14:solidFill>
          </w14:textFill>
        </w:rPr>
      </w:sdtEndPr>
      <w:sdtContent>
        <w:p w14:paraId="79BF827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9ED9A5">
      <w:pPr>
        <w:pStyle w:val="92"/>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外币货币性项目"/>
          <w:tag w:val="_GBC_52ed5330bd884651892991446f0f1ae0"/>
          <w:id w:val="-16438815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2049"/>
        <w:gridCol w:w="2058"/>
        <w:gridCol w:w="2045"/>
      </w:tblGrid>
      <w:tr w14:paraId="5EB6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8ce5153e9cf4914a550a6d253e7c465"/>
            <w:id w:val="1927844199"/>
          </w:sdtPr>
          <w:sdtContent>
            <w:tc>
              <w:tcPr>
                <w:tcW w:w="1601" w:type="pct"/>
                <w:tcBorders>
                  <w:top w:val="single" w:color="auto" w:sz="4" w:space="0"/>
                  <w:left w:val="single" w:color="auto" w:sz="4" w:space="0"/>
                  <w:bottom w:val="single" w:color="auto" w:sz="4" w:space="0"/>
                  <w:right w:val="single" w:color="auto" w:sz="4" w:space="0"/>
                </w:tcBorders>
                <w:vAlign w:val="center"/>
              </w:tcPr>
              <w:p w14:paraId="2CA1623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295b6f310e534b62bde0e2c632482ed9"/>
            <w:id w:val="-2111415569"/>
          </w:sdtPr>
          <w:sdtContent>
            <w:tc>
              <w:tcPr>
                <w:tcW w:w="1132" w:type="pct"/>
                <w:tcBorders>
                  <w:top w:val="single" w:color="auto" w:sz="4" w:space="0"/>
                  <w:left w:val="single" w:color="auto" w:sz="4" w:space="0"/>
                  <w:bottom w:val="single" w:color="auto" w:sz="4" w:space="0"/>
                  <w:right w:val="single" w:color="auto" w:sz="4" w:space="0"/>
                </w:tcBorders>
                <w:vAlign w:val="center"/>
              </w:tcPr>
              <w:p w14:paraId="1B30329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期末外币余额</w:t>
                </w:r>
              </w:p>
            </w:tc>
          </w:sdtContent>
        </w:sdt>
        <w:sdt>
          <w:sdtPr>
            <w:tag w:val="_PLD_aa43af2545cb40668f2670b6f1569a92"/>
            <w:id w:val="-324214152"/>
          </w:sdtPr>
          <w:sdtContent>
            <w:tc>
              <w:tcPr>
                <w:tcW w:w="1137" w:type="pct"/>
                <w:tcBorders>
                  <w:top w:val="single" w:color="auto" w:sz="4" w:space="0"/>
                  <w:left w:val="single" w:color="auto" w:sz="4" w:space="0"/>
                  <w:bottom w:val="single" w:color="auto" w:sz="4" w:space="0"/>
                  <w:right w:val="single" w:color="auto" w:sz="4" w:space="0"/>
                </w:tcBorders>
                <w:vAlign w:val="center"/>
              </w:tcPr>
              <w:p w14:paraId="2F9F420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折算汇率</w:t>
                </w:r>
              </w:p>
            </w:tc>
          </w:sdtContent>
        </w:sdt>
        <w:sdt>
          <w:sdtPr>
            <w:tag w:val="_PLD_8cdd9579b3964f01966c0b0c4cbacb2f"/>
            <w:id w:val="2126735123"/>
          </w:sdtPr>
          <w:sdtContent>
            <w:tc>
              <w:tcPr>
                <w:tcW w:w="1130" w:type="pct"/>
                <w:tcBorders>
                  <w:top w:val="single" w:color="auto" w:sz="4" w:space="0"/>
                  <w:left w:val="single" w:color="auto" w:sz="4" w:space="0"/>
                  <w:bottom w:val="single" w:color="auto" w:sz="4" w:space="0"/>
                  <w:right w:val="single" w:color="auto" w:sz="4" w:space="0"/>
                </w:tcBorders>
                <w:vAlign w:val="center"/>
              </w:tcPr>
              <w:p w14:paraId="5B2016D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期末折算人民币</w:t>
                </w:r>
              </w:p>
              <w:p w14:paraId="01A9308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w:t>
                </w:r>
              </w:p>
            </w:tc>
          </w:sdtContent>
        </w:sdt>
      </w:tr>
      <w:tr w14:paraId="69FA8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7878E8CB">
            <w:pPr>
              <w:rPr>
                <w:color w:val="000000" w:themeColor="text1"/>
                <w14:textFill>
                  <w14:solidFill>
                    <w14:schemeClr w14:val="tx1"/>
                  </w14:solidFill>
                </w14:textFill>
              </w:rPr>
            </w:pPr>
            <w:r>
              <w:rPr>
                <w:color w:val="000000" w:themeColor="text1"/>
                <w14:textFill>
                  <w14:solidFill>
                    <w14:schemeClr w14:val="tx1"/>
                  </w14:solidFill>
                </w14:textFill>
              </w:rPr>
              <w:t>货币资金</w:t>
            </w:r>
          </w:p>
        </w:tc>
        <w:tc>
          <w:tcPr>
            <w:tcW w:w="1132" w:type="pct"/>
            <w:tcBorders>
              <w:top w:val="single" w:color="auto" w:sz="4" w:space="0"/>
              <w:left w:val="single" w:color="auto" w:sz="4" w:space="0"/>
              <w:bottom w:val="single" w:color="auto" w:sz="4" w:space="0"/>
              <w:right w:val="single" w:color="auto" w:sz="4" w:space="0"/>
            </w:tcBorders>
          </w:tcPr>
          <w:p w14:paraId="2D756F1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7" w:type="pct"/>
            <w:tcBorders>
              <w:top w:val="single" w:color="auto" w:sz="4" w:space="0"/>
              <w:left w:val="single" w:color="auto" w:sz="4" w:space="0"/>
              <w:bottom w:val="single" w:color="auto" w:sz="4" w:space="0"/>
              <w:right w:val="single" w:color="auto" w:sz="4" w:space="0"/>
            </w:tcBorders>
          </w:tcPr>
          <w:p w14:paraId="2787469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0" w:type="pct"/>
            <w:tcBorders>
              <w:top w:val="single" w:color="auto" w:sz="4" w:space="0"/>
              <w:left w:val="single" w:color="auto" w:sz="4" w:space="0"/>
              <w:bottom w:val="single" w:color="auto" w:sz="4" w:space="0"/>
              <w:right w:val="single" w:color="auto" w:sz="4" w:space="0"/>
            </w:tcBorders>
          </w:tcPr>
          <w:p w14:paraId="70F7DC8E">
            <w:pPr>
              <w:jc w:val="right"/>
            </w:pPr>
          </w:p>
        </w:tc>
      </w:tr>
      <w:tr w14:paraId="222C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415EA691">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w:t>
            </w:r>
            <w:sdt>
              <w:sdtPr>
                <w:rPr>
                  <w:color w:val="000000" w:themeColor="text1"/>
                  <w14:textFill>
                    <w14:solidFill>
                      <w14:schemeClr w14:val="tx1"/>
                    </w14:solidFill>
                  </w14:textFill>
                </w:rPr>
                <w:alias w:val="以外币核算的币种明细-币种名称"/>
                <w:tag w:val="_GBC_21765b5e64364f62971250478e4ff572"/>
                <w:id w:val="-190443773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美元</w:t>
                </w:r>
              </w:sdtContent>
            </w:sdt>
          </w:p>
        </w:tc>
        <w:tc>
          <w:tcPr>
            <w:tcW w:w="1132" w:type="pct"/>
            <w:tcBorders>
              <w:top w:val="single" w:color="auto" w:sz="4" w:space="0"/>
              <w:left w:val="single" w:color="auto" w:sz="4" w:space="0"/>
              <w:bottom w:val="single" w:color="auto" w:sz="4" w:space="0"/>
              <w:right w:val="single" w:color="auto" w:sz="4" w:space="0"/>
            </w:tcBorders>
            <w:vAlign w:val="center"/>
          </w:tcPr>
          <w:p w14:paraId="2B99B79E">
            <w:pPr>
              <w:jc w:val="right"/>
            </w:pPr>
            <w:r>
              <w:t>26,341,424.09</w:t>
            </w:r>
          </w:p>
        </w:tc>
        <w:tc>
          <w:tcPr>
            <w:tcW w:w="1137" w:type="pct"/>
            <w:tcBorders>
              <w:top w:val="single" w:color="auto" w:sz="4" w:space="0"/>
              <w:left w:val="single" w:color="auto" w:sz="4" w:space="0"/>
              <w:bottom w:val="single" w:color="auto" w:sz="4" w:space="0"/>
              <w:right w:val="single" w:color="auto" w:sz="4" w:space="0"/>
            </w:tcBorders>
            <w:vAlign w:val="center"/>
          </w:tcPr>
          <w:p w14:paraId="5E897C16">
            <w:pPr>
              <w:jc w:val="right"/>
            </w:pPr>
            <w:r>
              <w:t>7.1586</w:t>
            </w:r>
          </w:p>
        </w:tc>
        <w:tc>
          <w:tcPr>
            <w:tcW w:w="1130" w:type="pct"/>
            <w:tcBorders>
              <w:top w:val="single" w:color="auto" w:sz="4" w:space="0"/>
              <w:left w:val="single" w:color="auto" w:sz="4" w:space="0"/>
              <w:bottom w:val="single" w:color="auto" w:sz="4" w:space="0"/>
              <w:right w:val="single" w:color="auto" w:sz="4" w:space="0"/>
            </w:tcBorders>
            <w:vAlign w:val="center"/>
          </w:tcPr>
          <w:p w14:paraId="3AF5B179">
            <w:pPr>
              <w:jc w:val="right"/>
            </w:pPr>
            <w:r>
              <w:t>188,567,718.46</w:t>
            </w:r>
          </w:p>
        </w:tc>
      </w:tr>
      <w:tr w14:paraId="1CE6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4FCCB5AB">
            <w:pPr>
              <w:rPr>
                <w:color w:val="000000" w:themeColor="text1"/>
                <w14:textFill>
                  <w14:solidFill>
                    <w14:schemeClr w14:val="tx1"/>
                  </w14:solidFill>
                </w14:textFill>
              </w:rPr>
            </w:pPr>
            <w:r>
              <w:t>　　　</w:t>
            </w:r>
            <w:r>
              <w:rPr>
                <w:color w:val="000000" w:themeColor="text1"/>
                <w14:textFill>
                  <w14:solidFill>
                    <w14:schemeClr w14:val="tx1"/>
                  </w14:solidFill>
                </w14:textFill>
              </w:rPr>
              <w:t>欧元</w:t>
            </w:r>
          </w:p>
        </w:tc>
        <w:tc>
          <w:tcPr>
            <w:tcW w:w="1132" w:type="pct"/>
            <w:tcBorders>
              <w:top w:val="single" w:color="auto" w:sz="4" w:space="0"/>
              <w:left w:val="single" w:color="auto" w:sz="4" w:space="0"/>
              <w:bottom w:val="single" w:color="auto" w:sz="4" w:space="0"/>
              <w:right w:val="single" w:color="auto" w:sz="4" w:space="0"/>
            </w:tcBorders>
            <w:vAlign w:val="center"/>
          </w:tcPr>
          <w:p w14:paraId="3D34A697">
            <w:pPr>
              <w:jc w:val="right"/>
            </w:pPr>
            <w:r>
              <w:t>1,034,806.08</w:t>
            </w:r>
          </w:p>
        </w:tc>
        <w:tc>
          <w:tcPr>
            <w:tcW w:w="1137" w:type="pct"/>
            <w:tcBorders>
              <w:top w:val="single" w:color="auto" w:sz="4" w:space="0"/>
              <w:left w:val="single" w:color="auto" w:sz="4" w:space="0"/>
              <w:bottom w:val="single" w:color="auto" w:sz="4" w:space="0"/>
              <w:right w:val="single" w:color="auto" w:sz="4" w:space="0"/>
            </w:tcBorders>
            <w:vAlign w:val="center"/>
          </w:tcPr>
          <w:p w14:paraId="6159F650">
            <w:pPr>
              <w:jc w:val="right"/>
            </w:pPr>
            <w:r>
              <w:t>8.4024</w:t>
            </w:r>
          </w:p>
        </w:tc>
        <w:tc>
          <w:tcPr>
            <w:tcW w:w="1130" w:type="pct"/>
            <w:tcBorders>
              <w:top w:val="single" w:color="auto" w:sz="4" w:space="0"/>
              <w:left w:val="single" w:color="auto" w:sz="4" w:space="0"/>
              <w:bottom w:val="single" w:color="auto" w:sz="4" w:space="0"/>
              <w:right w:val="single" w:color="auto" w:sz="4" w:space="0"/>
            </w:tcBorders>
            <w:vAlign w:val="center"/>
          </w:tcPr>
          <w:p w14:paraId="5A3F4B24">
            <w:pPr>
              <w:jc w:val="right"/>
            </w:pPr>
            <w:r>
              <w:t>8,694,854.61</w:t>
            </w:r>
          </w:p>
        </w:tc>
      </w:tr>
      <w:tr w14:paraId="7C37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49D0D456">
            <w:pPr>
              <w:ind w:left="420" w:leftChars="200" w:firstLine="210" w:firstLineChars="100"/>
            </w:pPr>
            <w:r>
              <w:t>巴西雷亚尔</w:t>
            </w:r>
          </w:p>
        </w:tc>
        <w:tc>
          <w:tcPr>
            <w:tcW w:w="1132" w:type="pct"/>
            <w:tcBorders>
              <w:top w:val="single" w:color="auto" w:sz="4" w:space="0"/>
              <w:left w:val="single" w:color="auto" w:sz="4" w:space="0"/>
              <w:bottom w:val="single" w:color="auto" w:sz="4" w:space="0"/>
              <w:right w:val="single" w:color="auto" w:sz="4" w:space="0"/>
            </w:tcBorders>
            <w:vAlign w:val="center"/>
          </w:tcPr>
          <w:p w14:paraId="02D850EE">
            <w:pPr>
              <w:jc w:val="right"/>
            </w:pPr>
            <w:r>
              <w:t>1,013.30</w:t>
            </w:r>
          </w:p>
        </w:tc>
        <w:tc>
          <w:tcPr>
            <w:tcW w:w="1137" w:type="pct"/>
            <w:tcBorders>
              <w:top w:val="single" w:color="auto" w:sz="4" w:space="0"/>
              <w:left w:val="single" w:color="auto" w:sz="4" w:space="0"/>
              <w:bottom w:val="single" w:color="auto" w:sz="4" w:space="0"/>
              <w:right w:val="single" w:color="auto" w:sz="4" w:space="0"/>
            </w:tcBorders>
            <w:vAlign w:val="center"/>
          </w:tcPr>
          <w:p w14:paraId="62DAE4DB">
            <w:pPr>
              <w:jc w:val="right"/>
            </w:pPr>
            <w:r>
              <w:t>1.3119</w:t>
            </w:r>
          </w:p>
        </w:tc>
        <w:tc>
          <w:tcPr>
            <w:tcW w:w="1130" w:type="pct"/>
            <w:tcBorders>
              <w:top w:val="single" w:color="auto" w:sz="4" w:space="0"/>
              <w:left w:val="single" w:color="auto" w:sz="4" w:space="0"/>
              <w:bottom w:val="single" w:color="auto" w:sz="4" w:space="0"/>
              <w:right w:val="single" w:color="auto" w:sz="4" w:space="0"/>
            </w:tcBorders>
            <w:vAlign w:val="center"/>
          </w:tcPr>
          <w:p w14:paraId="5AB1431F">
            <w:pPr>
              <w:jc w:val="right"/>
            </w:pPr>
            <w:r>
              <w:t>1,329.35</w:t>
            </w:r>
          </w:p>
        </w:tc>
      </w:tr>
      <w:tr w14:paraId="3BB4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6A8C8935">
            <w:pPr>
              <w:ind w:left="420" w:leftChars="200" w:firstLine="210" w:firstLineChars="100"/>
            </w:pPr>
            <w:r>
              <w:t>俄罗斯卢布</w:t>
            </w:r>
          </w:p>
        </w:tc>
        <w:tc>
          <w:tcPr>
            <w:tcW w:w="1132" w:type="pct"/>
            <w:tcBorders>
              <w:top w:val="single" w:color="auto" w:sz="4" w:space="0"/>
              <w:left w:val="single" w:color="auto" w:sz="4" w:space="0"/>
              <w:bottom w:val="single" w:color="auto" w:sz="4" w:space="0"/>
              <w:right w:val="single" w:color="auto" w:sz="4" w:space="0"/>
            </w:tcBorders>
            <w:vAlign w:val="center"/>
          </w:tcPr>
          <w:p w14:paraId="4783504D">
            <w:pPr>
              <w:jc w:val="right"/>
            </w:pPr>
            <w:r>
              <w:t>545,335,995.76</w:t>
            </w:r>
          </w:p>
        </w:tc>
        <w:tc>
          <w:tcPr>
            <w:tcW w:w="1137" w:type="pct"/>
            <w:tcBorders>
              <w:top w:val="single" w:color="auto" w:sz="4" w:space="0"/>
              <w:left w:val="single" w:color="auto" w:sz="4" w:space="0"/>
              <w:bottom w:val="single" w:color="auto" w:sz="4" w:space="0"/>
              <w:right w:val="single" w:color="auto" w:sz="4" w:space="0"/>
            </w:tcBorders>
            <w:vAlign w:val="center"/>
          </w:tcPr>
          <w:p w14:paraId="1FB91A3C">
            <w:pPr>
              <w:jc w:val="right"/>
            </w:pPr>
            <w:r>
              <w:t>0.0913</w:t>
            </w:r>
          </w:p>
        </w:tc>
        <w:tc>
          <w:tcPr>
            <w:tcW w:w="1130" w:type="pct"/>
            <w:tcBorders>
              <w:top w:val="single" w:color="auto" w:sz="4" w:space="0"/>
              <w:left w:val="single" w:color="auto" w:sz="4" w:space="0"/>
              <w:bottom w:val="single" w:color="auto" w:sz="4" w:space="0"/>
              <w:right w:val="single" w:color="auto" w:sz="4" w:space="0"/>
            </w:tcBorders>
            <w:vAlign w:val="center"/>
          </w:tcPr>
          <w:p w14:paraId="070EA330">
            <w:pPr>
              <w:jc w:val="right"/>
            </w:pPr>
            <w:r>
              <w:t>49,789,176.41</w:t>
            </w:r>
          </w:p>
        </w:tc>
      </w:tr>
      <w:tr w14:paraId="6BFD5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2D5ADD5B">
            <w:pPr>
              <w:ind w:left="420" w:leftChars="200" w:firstLine="210" w:firstLineChars="100"/>
            </w:pPr>
            <w:r>
              <w:t>泰国铢</w:t>
            </w:r>
          </w:p>
        </w:tc>
        <w:tc>
          <w:tcPr>
            <w:tcW w:w="1132" w:type="pct"/>
            <w:tcBorders>
              <w:top w:val="single" w:color="auto" w:sz="4" w:space="0"/>
              <w:left w:val="single" w:color="auto" w:sz="4" w:space="0"/>
              <w:bottom w:val="single" w:color="auto" w:sz="4" w:space="0"/>
              <w:right w:val="single" w:color="auto" w:sz="4" w:space="0"/>
            </w:tcBorders>
            <w:vAlign w:val="center"/>
          </w:tcPr>
          <w:p w14:paraId="692554C8">
            <w:pPr>
              <w:jc w:val="right"/>
            </w:pPr>
            <w:r>
              <w:t>225,600.60</w:t>
            </w:r>
          </w:p>
        </w:tc>
        <w:tc>
          <w:tcPr>
            <w:tcW w:w="1137" w:type="pct"/>
            <w:tcBorders>
              <w:top w:val="single" w:color="auto" w:sz="4" w:space="0"/>
              <w:left w:val="single" w:color="auto" w:sz="4" w:space="0"/>
              <w:bottom w:val="single" w:color="auto" w:sz="4" w:space="0"/>
              <w:right w:val="single" w:color="auto" w:sz="4" w:space="0"/>
            </w:tcBorders>
            <w:vAlign w:val="center"/>
          </w:tcPr>
          <w:p w14:paraId="104B7008">
            <w:pPr>
              <w:jc w:val="right"/>
            </w:pPr>
            <w:r>
              <w:t>0.2197</w:t>
            </w:r>
          </w:p>
        </w:tc>
        <w:tc>
          <w:tcPr>
            <w:tcW w:w="1130" w:type="pct"/>
            <w:tcBorders>
              <w:top w:val="single" w:color="auto" w:sz="4" w:space="0"/>
              <w:left w:val="single" w:color="auto" w:sz="4" w:space="0"/>
              <w:bottom w:val="single" w:color="auto" w:sz="4" w:space="0"/>
              <w:right w:val="single" w:color="auto" w:sz="4" w:space="0"/>
            </w:tcBorders>
            <w:vAlign w:val="center"/>
          </w:tcPr>
          <w:p w14:paraId="27456805">
            <w:pPr>
              <w:jc w:val="right"/>
            </w:pPr>
            <w:r>
              <w:t>49,564.45</w:t>
            </w:r>
          </w:p>
        </w:tc>
      </w:tr>
      <w:tr w14:paraId="696C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46CE060A">
            <w:pPr>
              <w:ind w:left="420" w:leftChars="200" w:firstLine="210" w:firstLineChars="100"/>
            </w:pPr>
            <w:r>
              <w:t>越南盾</w:t>
            </w:r>
          </w:p>
        </w:tc>
        <w:tc>
          <w:tcPr>
            <w:tcW w:w="1132" w:type="pct"/>
            <w:tcBorders>
              <w:top w:val="single" w:color="auto" w:sz="4" w:space="0"/>
              <w:left w:val="single" w:color="auto" w:sz="4" w:space="0"/>
              <w:bottom w:val="single" w:color="auto" w:sz="4" w:space="0"/>
              <w:right w:val="single" w:color="auto" w:sz="4" w:space="0"/>
            </w:tcBorders>
            <w:vAlign w:val="center"/>
          </w:tcPr>
          <w:p w14:paraId="684D8C75">
            <w:pPr>
              <w:jc w:val="right"/>
            </w:pPr>
            <w:r>
              <w:t>4,513,507,241.00</w:t>
            </w:r>
          </w:p>
        </w:tc>
        <w:tc>
          <w:tcPr>
            <w:tcW w:w="1137" w:type="pct"/>
            <w:tcBorders>
              <w:top w:val="single" w:color="auto" w:sz="4" w:space="0"/>
              <w:left w:val="single" w:color="auto" w:sz="4" w:space="0"/>
              <w:bottom w:val="single" w:color="auto" w:sz="4" w:space="0"/>
              <w:right w:val="single" w:color="auto" w:sz="4" w:space="0"/>
            </w:tcBorders>
            <w:vAlign w:val="center"/>
          </w:tcPr>
          <w:p w14:paraId="035F0277">
            <w:pPr>
              <w:jc w:val="right"/>
            </w:pPr>
            <w:r>
              <w:t>0.000279</w:t>
            </w:r>
          </w:p>
        </w:tc>
        <w:tc>
          <w:tcPr>
            <w:tcW w:w="1130" w:type="pct"/>
            <w:tcBorders>
              <w:top w:val="single" w:color="auto" w:sz="4" w:space="0"/>
              <w:left w:val="single" w:color="auto" w:sz="4" w:space="0"/>
              <w:bottom w:val="single" w:color="auto" w:sz="4" w:space="0"/>
              <w:right w:val="single" w:color="auto" w:sz="4" w:space="0"/>
            </w:tcBorders>
            <w:vAlign w:val="center"/>
          </w:tcPr>
          <w:p w14:paraId="1FA4FBFC">
            <w:pPr>
              <w:jc w:val="right"/>
            </w:pPr>
            <w:r>
              <w:t>1,259,268.52</w:t>
            </w:r>
          </w:p>
        </w:tc>
      </w:tr>
      <w:tr w14:paraId="66B7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3A82A948">
            <w:pPr>
              <w:ind w:left="420" w:leftChars="200" w:firstLine="210" w:firstLineChars="100"/>
            </w:pPr>
            <w:r>
              <w:t>墨西哥比索</w:t>
            </w:r>
          </w:p>
        </w:tc>
        <w:tc>
          <w:tcPr>
            <w:tcW w:w="1132" w:type="pct"/>
            <w:tcBorders>
              <w:top w:val="single" w:color="auto" w:sz="4" w:space="0"/>
              <w:left w:val="single" w:color="auto" w:sz="4" w:space="0"/>
              <w:bottom w:val="single" w:color="auto" w:sz="4" w:space="0"/>
              <w:right w:val="single" w:color="auto" w:sz="4" w:space="0"/>
            </w:tcBorders>
            <w:vAlign w:val="center"/>
          </w:tcPr>
          <w:p w14:paraId="17022D57">
            <w:pPr>
              <w:jc w:val="right"/>
            </w:pPr>
            <w:r>
              <w:t>133,566.00</w:t>
            </w:r>
          </w:p>
        </w:tc>
        <w:tc>
          <w:tcPr>
            <w:tcW w:w="1137" w:type="pct"/>
            <w:tcBorders>
              <w:top w:val="single" w:color="auto" w:sz="4" w:space="0"/>
              <w:left w:val="single" w:color="auto" w:sz="4" w:space="0"/>
              <w:bottom w:val="single" w:color="auto" w:sz="4" w:space="0"/>
              <w:right w:val="single" w:color="auto" w:sz="4" w:space="0"/>
            </w:tcBorders>
            <w:vAlign w:val="center"/>
          </w:tcPr>
          <w:p w14:paraId="4D60B9EA">
            <w:pPr>
              <w:jc w:val="right"/>
            </w:pPr>
            <w:r>
              <w:t>0.3809</w:t>
            </w:r>
          </w:p>
        </w:tc>
        <w:tc>
          <w:tcPr>
            <w:tcW w:w="1130" w:type="pct"/>
            <w:tcBorders>
              <w:top w:val="single" w:color="auto" w:sz="4" w:space="0"/>
              <w:left w:val="single" w:color="auto" w:sz="4" w:space="0"/>
              <w:bottom w:val="single" w:color="auto" w:sz="4" w:space="0"/>
              <w:right w:val="single" w:color="auto" w:sz="4" w:space="0"/>
            </w:tcBorders>
            <w:vAlign w:val="center"/>
          </w:tcPr>
          <w:p w14:paraId="6A8AB68E">
            <w:pPr>
              <w:jc w:val="right"/>
            </w:pPr>
            <w:r>
              <w:t>50,875.29</w:t>
            </w:r>
          </w:p>
        </w:tc>
      </w:tr>
      <w:tr w14:paraId="2A7E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0FC1214B">
            <w:pPr>
              <w:ind w:left="420" w:leftChars="200" w:firstLine="210" w:firstLineChars="100"/>
            </w:pPr>
            <w:r>
              <w:t>埃塞俄比亚比尔</w:t>
            </w:r>
          </w:p>
        </w:tc>
        <w:tc>
          <w:tcPr>
            <w:tcW w:w="1132" w:type="pct"/>
            <w:tcBorders>
              <w:top w:val="single" w:color="auto" w:sz="4" w:space="0"/>
              <w:left w:val="single" w:color="auto" w:sz="4" w:space="0"/>
              <w:bottom w:val="single" w:color="auto" w:sz="4" w:space="0"/>
              <w:right w:val="single" w:color="auto" w:sz="4" w:space="0"/>
            </w:tcBorders>
            <w:vAlign w:val="center"/>
          </w:tcPr>
          <w:p w14:paraId="2A67C110">
            <w:pPr>
              <w:jc w:val="right"/>
            </w:pPr>
            <w:r>
              <w:t>8,009,174.17</w:t>
            </w:r>
          </w:p>
        </w:tc>
        <w:tc>
          <w:tcPr>
            <w:tcW w:w="1137" w:type="pct"/>
            <w:tcBorders>
              <w:top w:val="single" w:color="auto" w:sz="4" w:space="0"/>
              <w:left w:val="single" w:color="auto" w:sz="4" w:space="0"/>
              <w:bottom w:val="single" w:color="auto" w:sz="4" w:space="0"/>
              <w:right w:val="single" w:color="auto" w:sz="4" w:space="0"/>
            </w:tcBorders>
            <w:vAlign w:val="center"/>
          </w:tcPr>
          <w:p w14:paraId="19B309C3">
            <w:pPr>
              <w:jc w:val="right"/>
            </w:pPr>
            <w:r>
              <w:t>0.0539</w:t>
            </w:r>
          </w:p>
        </w:tc>
        <w:tc>
          <w:tcPr>
            <w:tcW w:w="1130" w:type="pct"/>
            <w:tcBorders>
              <w:top w:val="single" w:color="auto" w:sz="4" w:space="0"/>
              <w:left w:val="single" w:color="auto" w:sz="4" w:space="0"/>
              <w:bottom w:val="single" w:color="auto" w:sz="4" w:space="0"/>
              <w:right w:val="single" w:color="auto" w:sz="4" w:space="0"/>
            </w:tcBorders>
            <w:vAlign w:val="center"/>
          </w:tcPr>
          <w:p w14:paraId="568DC403">
            <w:pPr>
              <w:jc w:val="right"/>
            </w:pPr>
            <w:r>
              <w:t>431,694.49</w:t>
            </w:r>
          </w:p>
        </w:tc>
      </w:tr>
      <w:tr w14:paraId="0ECD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0C883C3A">
            <w:pPr>
              <w:ind w:left="420" w:leftChars="200" w:firstLine="210" w:firstLineChars="100"/>
            </w:pPr>
            <w:r>
              <w:t>英镑</w:t>
            </w:r>
          </w:p>
        </w:tc>
        <w:tc>
          <w:tcPr>
            <w:tcW w:w="1132" w:type="pct"/>
            <w:tcBorders>
              <w:top w:val="single" w:color="auto" w:sz="4" w:space="0"/>
              <w:left w:val="single" w:color="auto" w:sz="4" w:space="0"/>
              <w:bottom w:val="single" w:color="auto" w:sz="4" w:space="0"/>
              <w:right w:val="single" w:color="auto" w:sz="4" w:space="0"/>
            </w:tcBorders>
            <w:vAlign w:val="center"/>
          </w:tcPr>
          <w:p w14:paraId="127E87B3">
            <w:pPr>
              <w:jc w:val="right"/>
            </w:pPr>
            <w:r>
              <w:t>3,124.00</w:t>
            </w:r>
          </w:p>
        </w:tc>
        <w:tc>
          <w:tcPr>
            <w:tcW w:w="1137" w:type="pct"/>
            <w:tcBorders>
              <w:top w:val="single" w:color="auto" w:sz="4" w:space="0"/>
              <w:left w:val="single" w:color="auto" w:sz="4" w:space="0"/>
              <w:bottom w:val="single" w:color="auto" w:sz="4" w:space="0"/>
              <w:right w:val="single" w:color="auto" w:sz="4" w:space="0"/>
            </w:tcBorders>
            <w:vAlign w:val="center"/>
          </w:tcPr>
          <w:p w14:paraId="61790EC4">
            <w:pPr>
              <w:jc w:val="right"/>
            </w:pPr>
            <w:r>
              <w:t>9.8300</w:t>
            </w:r>
          </w:p>
        </w:tc>
        <w:tc>
          <w:tcPr>
            <w:tcW w:w="1130" w:type="pct"/>
            <w:tcBorders>
              <w:top w:val="single" w:color="auto" w:sz="4" w:space="0"/>
              <w:left w:val="single" w:color="auto" w:sz="4" w:space="0"/>
              <w:bottom w:val="single" w:color="auto" w:sz="4" w:space="0"/>
              <w:right w:val="single" w:color="auto" w:sz="4" w:space="0"/>
            </w:tcBorders>
            <w:vAlign w:val="center"/>
          </w:tcPr>
          <w:p w14:paraId="1E82353A">
            <w:pPr>
              <w:jc w:val="right"/>
            </w:pPr>
            <w:r>
              <w:t>30,708.92</w:t>
            </w:r>
          </w:p>
        </w:tc>
      </w:tr>
      <w:tr w14:paraId="4BF6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2DB5E37F">
            <w:pPr>
              <w:ind w:left="420" w:leftChars="200" w:firstLine="210" w:firstLineChars="100"/>
            </w:pPr>
            <w:r>
              <w:t>新加坡币</w:t>
            </w:r>
          </w:p>
        </w:tc>
        <w:tc>
          <w:tcPr>
            <w:tcW w:w="1132" w:type="pct"/>
            <w:tcBorders>
              <w:top w:val="single" w:color="auto" w:sz="4" w:space="0"/>
              <w:left w:val="single" w:color="auto" w:sz="4" w:space="0"/>
              <w:bottom w:val="single" w:color="auto" w:sz="4" w:space="0"/>
              <w:right w:val="single" w:color="auto" w:sz="4" w:space="0"/>
            </w:tcBorders>
            <w:vAlign w:val="center"/>
          </w:tcPr>
          <w:p w14:paraId="1794877C">
            <w:pPr>
              <w:jc w:val="right"/>
            </w:pPr>
            <w:r>
              <w:t>39,348.18</w:t>
            </w:r>
          </w:p>
        </w:tc>
        <w:tc>
          <w:tcPr>
            <w:tcW w:w="1137" w:type="pct"/>
            <w:tcBorders>
              <w:top w:val="single" w:color="auto" w:sz="4" w:space="0"/>
              <w:left w:val="single" w:color="auto" w:sz="4" w:space="0"/>
              <w:bottom w:val="single" w:color="auto" w:sz="4" w:space="0"/>
              <w:right w:val="single" w:color="auto" w:sz="4" w:space="0"/>
            </w:tcBorders>
            <w:vAlign w:val="center"/>
          </w:tcPr>
          <w:p w14:paraId="3FEBA0E4">
            <w:pPr>
              <w:jc w:val="right"/>
            </w:pPr>
            <w:r>
              <w:t>5.6179</w:t>
            </w:r>
          </w:p>
        </w:tc>
        <w:tc>
          <w:tcPr>
            <w:tcW w:w="1130" w:type="pct"/>
            <w:tcBorders>
              <w:top w:val="single" w:color="auto" w:sz="4" w:space="0"/>
              <w:left w:val="single" w:color="auto" w:sz="4" w:space="0"/>
              <w:bottom w:val="single" w:color="auto" w:sz="4" w:space="0"/>
              <w:right w:val="single" w:color="auto" w:sz="4" w:space="0"/>
            </w:tcBorders>
            <w:vAlign w:val="center"/>
          </w:tcPr>
          <w:p w14:paraId="2A9CA22D">
            <w:pPr>
              <w:jc w:val="right"/>
            </w:pPr>
            <w:r>
              <w:t>221,054.14</w:t>
            </w:r>
          </w:p>
        </w:tc>
      </w:tr>
      <w:tr w14:paraId="53AE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0B78B74E">
            <w:pPr>
              <w:rPr>
                <w:color w:val="000000" w:themeColor="text1"/>
                <w14:textFill>
                  <w14:solidFill>
                    <w14:schemeClr w14:val="tx1"/>
                  </w14:solidFill>
                </w14:textFill>
              </w:rPr>
            </w:pPr>
            <w:r>
              <w:t>　　　</w:t>
            </w:r>
            <w:r>
              <w:rPr>
                <w:color w:val="000000" w:themeColor="text1"/>
                <w14:textFill>
                  <w14:solidFill>
                    <w14:schemeClr w14:val="tx1"/>
                  </w14:solidFill>
                </w14:textFill>
              </w:rPr>
              <w:t>港币</w:t>
            </w:r>
          </w:p>
        </w:tc>
        <w:tc>
          <w:tcPr>
            <w:tcW w:w="1132" w:type="pct"/>
            <w:tcBorders>
              <w:top w:val="single" w:color="auto" w:sz="4" w:space="0"/>
              <w:left w:val="single" w:color="auto" w:sz="4" w:space="0"/>
              <w:bottom w:val="single" w:color="auto" w:sz="4" w:space="0"/>
              <w:right w:val="single" w:color="auto" w:sz="4" w:space="0"/>
            </w:tcBorders>
            <w:vAlign w:val="center"/>
          </w:tcPr>
          <w:p w14:paraId="7C18BCDB">
            <w:pPr>
              <w:jc w:val="right"/>
            </w:pPr>
            <w:r>
              <w:t>203,032,515.92</w:t>
            </w:r>
          </w:p>
        </w:tc>
        <w:tc>
          <w:tcPr>
            <w:tcW w:w="1137" w:type="pct"/>
            <w:tcBorders>
              <w:top w:val="single" w:color="auto" w:sz="4" w:space="0"/>
              <w:left w:val="single" w:color="auto" w:sz="4" w:space="0"/>
              <w:bottom w:val="single" w:color="auto" w:sz="4" w:space="0"/>
              <w:right w:val="single" w:color="auto" w:sz="4" w:space="0"/>
            </w:tcBorders>
            <w:vAlign w:val="center"/>
          </w:tcPr>
          <w:p w14:paraId="799E7F9D">
            <w:pPr>
              <w:jc w:val="right"/>
            </w:pPr>
            <w:r>
              <w:t>0.91195</w:t>
            </w:r>
          </w:p>
        </w:tc>
        <w:tc>
          <w:tcPr>
            <w:tcW w:w="1130" w:type="pct"/>
            <w:tcBorders>
              <w:top w:val="single" w:color="auto" w:sz="4" w:space="0"/>
              <w:left w:val="single" w:color="auto" w:sz="4" w:space="0"/>
              <w:bottom w:val="single" w:color="auto" w:sz="4" w:space="0"/>
              <w:right w:val="single" w:color="auto" w:sz="4" w:space="0"/>
            </w:tcBorders>
            <w:vAlign w:val="center"/>
          </w:tcPr>
          <w:p w14:paraId="4659D440">
            <w:pPr>
              <w:jc w:val="right"/>
            </w:pPr>
            <w:r>
              <w:t>185,155,502.90</w:t>
            </w:r>
          </w:p>
        </w:tc>
      </w:tr>
      <w:tr w14:paraId="3B5E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21F21D85">
            <w:r>
              <w:t>应收账款</w:t>
            </w:r>
          </w:p>
        </w:tc>
        <w:tc>
          <w:tcPr>
            <w:tcW w:w="1132" w:type="pct"/>
            <w:tcBorders>
              <w:top w:val="single" w:color="auto" w:sz="4" w:space="0"/>
              <w:left w:val="single" w:color="auto" w:sz="4" w:space="0"/>
              <w:bottom w:val="single" w:color="auto" w:sz="4" w:space="0"/>
              <w:right w:val="single" w:color="auto" w:sz="4" w:space="0"/>
            </w:tcBorders>
          </w:tcPr>
          <w:p w14:paraId="4E3B1EF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7" w:type="pct"/>
            <w:tcBorders>
              <w:top w:val="single" w:color="auto" w:sz="4" w:space="0"/>
              <w:left w:val="single" w:color="auto" w:sz="4" w:space="0"/>
              <w:bottom w:val="single" w:color="auto" w:sz="4" w:space="0"/>
              <w:right w:val="single" w:color="auto" w:sz="4" w:space="0"/>
            </w:tcBorders>
          </w:tcPr>
          <w:p w14:paraId="1512009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0" w:type="pct"/>
            <w:tcBorders>
              <w:top w:val="single" w:color="auto" w:sz="4" w:space="0"/>
              <w:left w:val="single" w:color="auto" w:sz="4" w:space="0"/>
              <w:bottom w:val="single" w:color="auto" w:sz="4" w:space="0"/>
              <w:right w:val="single" w:color="auto" w:sz="4" w:space="0"/>
            </w:tcBorders>
          </w:tcPr>
          <w:p w14:paraId="781994B6">
            <w:pPr>
              <w:jc w:val="right"/>
            </w:pPr>
          </w:p>
        </w:tc>
      </w:tr>
      <w:tr w14:paraId="2363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4CD8920D">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w:t>
            </w:r>
            <w:r>
              <w:t>美元</w:t>
            </w:r>
          </w:p>
        </w:tc>
        <w:tc>
          <w:tcPr>
            <w:tcW w:w="1132" w:type="pct"/>
            <w:tcBorders>
              <w:top w:val="single" w:color="auto" w:sz="4" w:space="0"/>
              <w:left w:val="single" w:color="auto" w:sz="4" w:space="0"/>
              <w:bottom w:val="single" w:color="auto" w:sz="4" w:space="0"/>
              <w:right w:val="single" w:color="auto" w:sz="4" w:space="0"/>
            </w:tcBorders>
            <w:vAlign w:val="center"/>
          </w:tcPr>
          <w:p w14:paraId="7C380F95">
            <w:pPr>
              <w:jc w:val="right"/>
            </w:pPr>
            <w:r>
              <w:t>128,193,987.99</w:t>
            </w:r>
          </w:p>
        </w:tc>
        <w:tc>
          <w:tcPr>
            <w:tcW w:w="1137" w:type="pct"/>
            <w:tcBorders>
              <w:top w:val="single" w:color="auto" w:sz="4" w:space="0"/>
              <w:left w:val="single" w:color="auto" w:sz="4" w:space="0"/>
              <w:bottom w:val="single" w:color="auto" w:sz="4" w:space="0"/>
              <w:right w:val="single" w:color="auto" w:sz="4" w:space="0"/>
            </w:tcBorders>
            <w:vAlign w:val="center"/>
          </w:tcPr>
          <w:p w14:paraId="336C6BAF">
            <w:pPr>
              <w:jc w:val="right"/>
            </w:pPr>
            <w:r>
              <w:t>7.1586</w:t>
            </w:r>
          </w:p>
        </w:tc>
        <w:tc>
          <w:tcPr>
            <w:tcW w:w="1130" w:type="pct"/>
            <w:tcBorders>
              <w:top w:val="single" w:color="auto" w:sz="4" w:space="0"/>
              <w:left w:val="single" w:color="auto" w:sz="4" w:space="0"/>
              <w:bottom w:val="single" w:color="auto" w:sz="4" w:space="0"/>
              <w:right w:val="single" w:color="auto" w:sz="4" w:space="0"/>
            </w:tcBorders>
            <w:vAlign w:val="center"/>
          </w:tcPr>
          <w:p w14:paraId="0FCE8243">
            <w:pPr>
              <w:jc w:val="right"/>
            </w:pPr>
            <w:r>
              <w:t>917,689,482.43</w:t>
            </w:r>
          </w:p>
        </w:tc>
      </w:tr>
      <w:tr w14:paraId="6CC2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30054948">
            <w:pPr>
              <w:rPr>
                <w:color w:val="000000" w:themeColor="text1"/>
                <w14:textFill>
                  <w14:solidFill>
                    <w14:schemeClr w14:val="tx1"/>
                  </w14:solidFill>
                </w14:textFill>
              </w:rPr>
            </w:pPr>
            <w:r>
              <w:t>　　　欧元</w:t>
            </w:r>
          </w:p>
        </w:tc>
        <w:tc>
          <w:tcPr>
            <w:tcW w:w="1132" w:type="pct"/>
            <w:tcBorders>
              <w:top w:val="single" w:color="auto" w:sz="4" w:space="0"/>
              <w:left w:val="single" w:color="auto" w:sz="4" w:space="0"/>
              <w:bottom w:val="single" w:color="auto" w:sz="4" w:space="0"/>
              <w:right w:val="single" w:color="auto" w:sz="4" w:space="0"/>
            </w:tcBorders>
            <w:vAlign w:val="center"/>
          </w:tcPr>
          <w:p w14:paraId="507513D4">
            <w:pPr>
              <w:jc w:val="right"/>
            </w:pPr>
            <w:r>
              <w:t>2,738.43</w:t>
            </w:r>
          </w:p>
        </w:tc>
        <w:tc>
          <w:tcPr>
            <w:tcW w:w="1137" w:type="pct"/>
            <w:tcBorders>
              <w:top w:val="single" w:color="auto" w:sz="4" w:space="0"/>
              <w:left w:val="single" w:color="auto" w:sz="4" w:space="0"/>
              <w:bottom w:val="single" w:color="auto" w:sz="4" w:space="0"/>
              <w:right w:val="single" w:color="auto" w:sz="4" w:space="0"/>
            </w:tcBorders>
            <w:vAlign w:val="center"/>
          </w:tcPr>
          <w:p w14:paraId="137CDE6E">
            <w:pPr>
              <w:jc w:val="right"/>
            </w:pPr>
            <w:r>
              <w:t>8.4024</w:t>
            </w:r>
          </w:p>
        </w:tc>
        <w:tc>
          <w:tcPr>
            <w:tcW w:w="1130" w:type="pct"/>
            <w:tcBorders>
              <w:top w:val="single" w:color="auto" w:sz="4" w:space="0"/>
              <w:left w:val="single" w:color="auto" w:sz="4" w:space="0"/>
              <w:bottom w:val="single" w:color="auto" w:sz="4" w:space="0"/>
              <w:right w:val="single" w:color="auto" w:sz="4" w:space="0"/>
            </w:tcBorders>
            <w:vAlign w:val="center"/>
          </w:tcPr>
          <w:p w14:paraId="5C032DD1">
            <w:pPr>
              <w:jc w:val="right"/>
            </w:pPr>
            <w:r>
              <w:t>23,009.38</w:t>
            </w:r>
          </w:p>
        </w:tc>
      </w:tr>
      <w:tr w14:paraId="3FCB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3690AA84">
            <w:pPr>
              <w:ind w:firstLine="630" w:firstLineChars="300"/>
            </w:pPr>
            <w:r>
              <w:t>俄罗斯卢布</w:t>
            </w:r>
          </w:p>
        </w:tc>
        <w:tc>
          <w:tcPr>
            <w:tcW w:w="1132" w:type="pct"/>
            <w:tcBorders>
              <w:top w:val="single" w:color="auto" w:sz="4" w:space="0"/>
              <w:left w:val="single" w:color="auto" w:sz="4" w:space="0"/>
              <w:bottom w:val="single" w:color="auto" w:sz="4" w:space="0"/>
              <w:right w:val="single" w:color="auto" w:sz="4" w:space="0"/>
            </w:tcBorders>
            <w:vAlign w:val="center"/>
          </w:tcPr>
          <w:p w14:paraId="33BDA53A">
            <w:pPr>
              <w:jc w:val="right"/>
            </w:pPr>
            <w:r>
              <w:t>11,012,748.25</w:t>
            </w:r>
          </w:p>
        </w:tc>
        <w:tc>
          <w:tcPr>
            <w:tcW w:w="1137" w:type="pct"/>
            <w:tcBorders>
              <w:top w:val="single" w:color="auto" w:sz="4" w:space="0"/>
              <w:left w:val="single" w:color="auto" w:sz="4" w:space="0"/>
              <w:bottom w:val="single" w:color="auto" w:sz="4" w:space="0"/>
              <w:right w:val="single" w:color="auto" w:sz="4" w:space="0"/>
            </w:tcBorders>
            <w:vAlign w:val="center"/>
          </w:tcPr>
          <w:p w14:paraId="7F89DEAA">
            <w:pPr>
              <w:jc w:val="right"/>
            </w:pPr>
            <w:r>
              <w:t>0.0913</w:t>
            </w:r>
          </w:p>
        </w:tc>
        <w:tc>
          <w:tcPr>
            <w:tcW w:w="1130" w:type="pct"/>
            <w:tcBorders>
              <w:top w:val="single" w:color="auto" w:sz="4" w:space="0"/>
              <w:left w:val="single" w:color="auto" w:sz="4" w:space="0"/>
              <w:bottom w:val="single" w:color="auto" w:sz="4" w:space="0"/>
              <w:right w:val="single" w:color="auto" w:sz="4" w:space="0"/>
            </w:tcBorders>
            <w:vAlign w:val="center"/>
          </w:tcPr>
          <w:p w14:paraId="1318287B">
            <w:pPr>
              <w:jc w:val="right"/>
            </w:pPr>
            <w:r>
              <w:t>1,005,463.92</w:t>
            </w:r>
          </w:p>
        </w:tc>
      </w:tr>
      <w:tr w14:paraId="3E9A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51D50664">
            <w:pPr>
              <w:ind w:firstLine="630" w:firstLineChars="300"/>
            </w:pPr>
            <w:r>
              <w:t>泰国铢</w:t>
            </w:r>
          </w:p>
        </w:tc>
        <w:tc>
          <w:tcPr>
            <w:tcW w:w="1132" w:type="pct"/>
            <w:tcBorders>
              <w:top w:val="single" w:color="auto" w:sz="4" w:space="0"/>
              <w:left w:val="single" w:color="auto" w:sz="4" w:space="0"/>
              <w:bottom w:val="single" w:color="auto" w:sz="4" w:space="0"/>
              <w:right w:val="single" w:color="auto" w:sz="4" w:space="0"/>
            </w:tcBorders>
            <w:vAlign w:val="center"/>
          </w:tcPr>
          <w:p w14:paraId="5AC772CD">
            <w:pPr>
              <w:jc w:val="right"/>
            </w:pPr>
            <w:r>
              <w:t>9,996,357.61</w:t>
            </w:r>
          </w:p>
        </w:tc>
        <w:tc>
          <w:tcPr>
            <w:tcW w:w="1137" w:type="pct"/>
            <w:tcBorders>
              <w:top w:val="single" w:color="auto" w:sz="4" w:space="0"/>
              <w:left w:val="single" w:color="auto" w:sz="4" w:space="0"/>
              <w:bottom w:val="single" w:color="auto" w:sz="4" w:space="0"/>
              <w:right w:val="single" w:color="auto" w:sz="4" w:space="0"/>
            </w:tcBorders>
            <w:vAlign w:val="center"/>
          </w:tcPr>
          <w:p w14:paraId="0AEE911C">
            <w:pPr>
              <w:jc w:val="right"/>
            </w:pPr>
            <w:r>
              <w:t>0.2197</w:t>
            </w:r>
          </w:p>
        </w:tc>
        <w:tc>
          <w:tcPr>
            <w:tcW w:w="1130" w:type="pct"/>
            <w:tcBorders>
              <w:top w:val="single" w:color="auto" w:sz="4" w:space="0"/>
              <w:left w:val="single" w:color="auto" w:sz="4" w:space="0"/>
              <w:bottom w:val="single" w:color="auto" w:sz="4" w:space="0"/>
              <w:right w:val="single" w:color="auto" w:sz="4" w:space="0"/>
            </w:tcBorders>
            <w:vAlign w:val="center"/>
          </w:tcPr>
          <w:p w14:paraId="22930DB9">
            <w:pPr>
              <w:jc w:val="right"/>
            </w:pPr>
            <w:r>
              <w:t>2,196,199.77</w:t>
            </w:r>
          </w:p>
        </w:tc>
      </w:tr>
      <w:tr w14:paraId="071A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537EA086">
            <w:pPr>
              <w:ind w:firstLine="630" w:firstLineChars="300"/>
            </w:pPr>
            <w:r>
              <w:t>越南盾</w:t>
            </w:r>
          </w:p>
        </w:tc>
        <w:tc>
          <w:tcPr>
            <w:tcW w:w="1132" w:type="pct"/>
            <w:tcBorders>
              <w:top w:val="single" w:color="auto" w:sz="4" w:space="0"/>
              <w:left w:val="single" w:color="auto" w:sz="4" w:space="0"/>
              <w:bottom w:val="single" w:color="auto" w:sz="4" w:space="0"/>
              <w:right w:val="single" w:color="auto" w:sz="4" w:space="0"/>
            </w:tcBorders>
            <w:vAlign w:val="center"/>
          </w:tcPr>
          <w:p w14:paraId="344D7977">
            <w:pPr>
              <w:jc w:val="right"/>
            </w:pPr>
            <w:r>
              <w:t>3,791,354,170.00</w:t>
            </w:r>
          </w:p>
        </w:tc>
        <w:tc>
          <w:tcPr>
            <w:tcW w:w="1137" w:type="pct"/>
            <w:tcBorders>
              <w:top w:val="single" w:color="auto" w:sz="4" w:space="0"/>
              <w:left w:val="single" w:color="auto" w:sz="4" w:space="0"/>
              <w:bottom w:val="single" w:color="auto" w:sz="4" w:space="0"/>
              <w:right w:val="single" w:color="auto" w:sz="4" w:space="0"/>
            </w:tcBorders>
            <w:vAlign w:val="center"/>
          </w:tcPr>
          <w:p w14:paraId="0B8AEFC9">
            <w:pPr>
              <w:jc w:val="right"/>
            </w:pPr>
            <w:r>
              <w:t>0.000279</w:t>
            </w:r>
          </w:p>
        </w:tc>
        <w:tc>
          <w:tcPr>
            <w:tcW w:w="1130" w:type="pct"/>
            <w:tcBorders>
              <w:top w:val="single" w:color="auto" w:sz="4" w:space="0"/>
              <w:left w:val="single" w:color="auto" w:sz="4" w:space="0"/>
              <w:bottom w:val="single" w:color="auto" w:sz="4" w:space="0"/>
              <w:right w:val="single" w:color="auto" w:sz="4" w:space="0"/>
            </w:tcBorders>
            <w:vAlign w:val="center"/>
          </w:tcPr>
          <w:p w14:paraId="556D15C9">
            <w:pPr>
              <w:jc w:val="right"/>
            </w:pPr>
            <w:r>
              <w:t>1,057,787.81</w:t>
            </w:r>
          </w:p>
        </w:tc>
      </w:tr>
      <w:tr w14:paraId="1B41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3AFB2E7C">
            <w:r>
              <w:rPr>
                <w:rFonts w:hint="eastAsia"/>
              </w:rPr>
              <w:t>其他应收款</w:t>
            </w:r>
          </w:p>
        </w:tc>
        <w:tc>
          <w:tcPr>
            <w:tcW w:w="1132" w:type="pct"/>
            <w:tcBorders>
              <w:top w:val="single" w:color="auto" w:sz="4" w:space="0"/>
              <w:left w:val="single" w:color="auto" w:sz="4" w:space="0"/>
              <w:bottom w:val="single" w:color="auto" w:sz="4" w:space="0"/>
              <w:right w:val="single" w:color="auto" w:sz="4" w:space="0"/>
            </w:tcBorders>
          </w:tcPr>
          <w:p w14:paraId="0C8BE13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7" w:type="pct"/>
            <w:tcBorders>
              <w:top w:val="single" w:color="auto" w:sz="4" w:space="0"/>
              <w:left w:val="single" w:color="auto" w:sz="4" w:space="0"/>
              <w:bottom w:val="single" w:color="auto" w:sz="4" w:space="0"/>
              <w:right w:val="single" w:color="auto" w:sz="4" w:space="0"/>
            </w:tcBorders>
          </w:tcPr>
          <w:p w14:paraId="1351F86B">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30" w:type="pct"/>
            <w:tcBorders>
              <w:top w:val="single" w:color="auto" w:sz="4" w:space="0"/>
              <w:left w:val="single" w:color="auto" w:sz="4" w:space="0"/>
              <w:bottom w:val="single" w:color="auto" w:sz="4" w:space="0"/>
              <w:right w:val="single" w:color="auto" w:sz="4" w:space="0"/>
            </w:tcBorders>
          </w:tcPr>
          <w:p w14:paraId="359FEB6C">
            <w:pPr>
              <w:jc w:val="right"/>
            </w:pPr>
          </w:p>
        </w:tc>
      </w:tr>
      <w:tr w14:paraId="1AD2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41265CF5">
            <w:r>
              <w:rPr>
                <w:rFonts w:hint="eastAsia"/>
              </w:rPr>
              <w:t>其中：美元</w:t>
            </w:r>
          </w:p>
        </w:tc>
        <w:tc>
          <w:tcPr>
            <w:tcW w:w="1132" w:type="pct"/>
            <w:tcBorders>
              <w:top w:val="single" w:color="auto" w:sz="4" w:space="0"/>
              <w:left w:val="single" w:color="auto" w:sz="4" w:space="0"/>
              <w:bottom w:val="single" w:color="auto" w:sz="4" w:space="0"/>
              <w:right w:val="single" w:color="auto" w:sz="4" w:space="0"/>
            </w:tcBorders>
          </w:tcPr>
          <w:p w14:paraId="3A9629E1">
            <w:pPr>
              <w:jc w:val="right"/>
            </w:pPr>
            <w:r>
              <w:t>800,689.27</w:t>
            </w:r>
          </w:p>
        </w:tc>
        <w:tc>
          <w:tcPr>
            <w:tcW w:w="1137" w:type="pct"/>
            <w:tcBorders>
              <w:top w:val="single" w:color="auto" w:sz="4" w:space="0"/>
              <w:left w:val="single" w:color="auto" w:sz="4" w:space="0"/>
              <w:bottom w:val="single" w:color="auto" w:sz="4" w:space="0"/>
              <w:right w:val="single" w:color="auto" w:sz="4" w:space="0"/>
            </w:tcBorders>
          </w:tcPr>
          <w:p w14:paraId="1F9F26F6">
            <w:pPr>
              <w:jc w:val="right"/>
            </w:pPr>
            <w:r>
              <w:t>7.1586</w:t>
            </w:r>
          </w:p>
        </w:tc>
        <w:tc>
          <w:tcPr>
            <w:tcW w:w="1130" w:type="pct"/>
            <w:tcBorders>
              <w:top w:val="single" w:color="auto" w:sz="4" w:space="0"/>
              <w:left w:val="single" w:color="auto" w:sz="4" w:space="0"/>
              <w:bottom w:val="single" w:color="auto" w:sz="4" w:space="0"/>
              <w:right w:val="single" w:color="auto" w:sz="4" w:space="0"/>
            </w:tcBorders>
          </w:tcPr>
          <w:p w14:paraId="735B5AEE">
            <w:pPr>
              <w:jc w:val="right"/>
            </w:pPr>
            <w:r>
              <w:t>5,731,814.21</w:t>
            </w:r>
          </w:p>
        </w:tc>
      </w:tr>
      <w:tr w14:paraId="6E40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22CB30A2">
            <w:pPr>
              <w:ind w:firstLine="630" w:firstLineChars="300"/>
            </w:pPr>
            <w:r>
              <w:t>欧元</w:t>
            </w:r>
          </w:p>
        </w:tc>
        <w:tc>
          <w:tcPr>
            <w:tcW w:w="1132" w:type="pct"/>
            <w:tcBorders>
              <w:top w:val="single" w:color="auto" w:sz="4" w:space="0"/>
              <w:left w:val="single" w:color="auto" w:sz="4" w:space="0"/>
              <w:bottom w:val="single" w:color="auto" w:sz="4" w:space="0"/>
              <w:right w:val="single" w:color="auto" w:sz="4" w:space="0"/>
            </w:tcBorders>
          </w:tcPr>
          <w:p w14:paraId="1EDFC15D">
            <w:pPr>
              <w:jc w:val="right"/>
            </w:pPr>
            <w:r>
              <w:t>13,525.00</w:t>
            </w:r>
          </w:p>
        </w:tc>
        <w:tc>
          <w:tcPr>
            <w:tcW w:w="1137" w:type="pct"/>
            <w:tcBorders>
              <w:top w:val="single" w:color="auto" w:sz="4" w:space="0"/>
              <w:left w:val="single" w:color="auto" w:sz="4" w:space="0"/>
              <w:bottom w:val="single" w:color="auto" w:sz="4" w:space="0"/>
              <w:right w:val="single" w:color="auto" w:sz="4" w:space="0"/>
            </w:tcBorders>
          </w:tcPr>
          <w:p w14:paraId="590A9CB9">
            <w:pPr>
              <w:jc w:val="right"/>
            </w:pPr>
            <w:r>
              <w:t>8.4024</w:t>
            </w:r>
          </w:p>
        </w:tc>
        <w:tc>
          <w:tcPr>
            <w:tcW w:w="1130" w:type="pct"/>
            <w:tcBorders>
              <w:top w:val="single" w:color="auto" w:sz="4" w:space="0"/>
              <w:left w:val="single" w:color="auto" w:sz="4" w:space="0"/>
              <w:bottom w:val="single" w:color="auto" w:sz="4" w:space="0"/>
              <w:right w:val="single" w:color="auto" w:sz="4" w:space="0"/>
            </w:tcBorders>
          </w:tcPr>
          <w:p w14:paraId="28622C36">
            <w:pPr>
              <w:jc w:val="right"/>
            </w:pPr>
            <w:r>
              <w:t>113,642.46</w:t>
            </w:r>
          </w:p>
        </w:tc>
      </w:tr>
      <w:tr w14:paraId="20CA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12C1D36F">
            <w:pPr>
              <w:ind w:firstLine="630" w:firstLineChars="300"/>
            </w:pPr>
            <w:r>
              <w:t>俄罗斯卢布</w:t>
            </w:r>
          </w:p>
        </w:tc>
        <w:tc>
          <w:tcPr>
            <w:tcW w:w="1132" w:type="pct"/>
            <w:tcBorders>
              <w:top w:val="single" w:color="auto" w:sz="4" w:space="0"/>
              <w:left w:val="single" w:color="auto" w:sz="4" w:space="0"/>
              <w:bottom w:val="single" w:color="auto" w:sz="4" w:space="0"/>
              <w:right w:val="single" w:color="auto" w:sz="4" w:space="0"/>
            </w:tcBorders>
          </w:tcPr>
          <w:p w14:paraId="3E357F25">
            <w:pPr>
              <w:jc w:val="right"/>
            </w:pPr>
            <w:r>
              <w:t>43,074,025.20</w:t>
            </w:r>
          </w:p>
        </w:tc>
        <w:tc>
          <w:tcPr>
            <w:tcW w:w="1137" w:type="pct"/>
            <w:tcBorders>
              <w:top w:val="single" w:color="auto" w:sz="4" w:space="0"/>
              <w:left w:val="single" w:color="auto" w:sz="4" w:space="0"/>
              <w:bottom w:val="single" w:color="auto" w:sz="4" w:space="0"/>
              <w:right w:val="single" w:color="auto" w:sz="4" w:space="0"/>
            </w:tcBorders>
          </w:tcPr>
          <w:p w14:paraId="65524A78">
            <w:pPr>
              <w:jc w:val="right"/>
            </w:pPr>
            <w:r>
              <w:t>0.0913</w:t>
            </w:r>
          </w:p>
        </w:tc>
        <w:tc>
          <w:tcPr>
            <w:tcW w:w="1130" w:type="pct"/>
            <w:tcBorders>
              <w:top w:val="single" w:color="auto" w:sz="4" w:space="0"/>
              <w:left w:val="single" w:color="auto" w:sz="4" w:space="0"/>
              <w:bottom w:val="single" w:color="auto" w:sz="4" w:space="0"/>
              <w:right w:val="single" w:color="auto" w:sz="4" w:space="0"/>
            </w:tcBorders>
          </w:tcPr>
          <w:p w14:paraId="6B24726E">
            <w:pPr>
              <w:jc w:val="right"/>
            </w:pPr>
            <w:r>
              <w:t>3,932,658.50</w:t>
            </w:r>
          </w:p>
        </w:tc>
      </w:tr>
      <w:tr w14:paraId="6609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6F31F4D6">
            <w:pPr>
              <w:ind w:firstLine="630" w:firstLineChars="300"/>
            </w:pPr>
            <w:r>
              <w:t>泰国铢</w:t>
            </w:r>
          </w:p>
        </w:tc>
        <w:tc>
          <w:tcPr>
            <w:tcW w:w="1132" w:type="pct"/>
            <w:tcBorders>
              <w:top w:val="single" w:color="auto" w:sz="4" w:space="0"/>
              <w:left w:val="single" w:color="auto" w:sz="4" w:space="0"/>
              <w:bottom w:val="single" w:color="auto" w:sz="4" w:space="0"/>
              <w:right w:val="single" w:color="auto" w:sz="4" w:space="0"/>
            </w:tcBorders>
          </w:tcPr>
          <w:p w14:paraId="1DB7A216">
            <w:pPr>
              <w:jc w:val="right"/>
            </w:pPr>
            <w:r>
              <w:t>33,997.46</w:t>
            </w:r>
          </w:p>
        </w:tc>
        <w:tc>
          <w:tcPr>
            <w:tcW w:w="1137" w:type="pct"/>
            <w:tcBorders>
              <w:top w:val="single" w:color="auto" w:sz="4" w:space="0"/>
              <w:left w:val="single" w:color="auto" w:sz="4" w:space="0"/>
              <w:bottom w:val="single" w:color="auto" w:sz="4" w:space="0"/>
              <w:right w:val="single" w:color="auto" w:sz="4" w:space="0"/>
            </w:tcBorders>
          </w:tcPr>
          <w:p w14:paraId="0B0AD61A">
            <w:pPr>
              <w:jc w:val="right"/>
            </w:pPr>
            <w:r>
              <w:t>0.2197</w:t>
            </w:r>
          </w:p>
        </w:tc>
        <w:tc>
          <w:tcPr>
            <w:tcW w:w="1130" w:type="pct"/>
            <w:tcBorders>
              <w:top w:val="single" w:color="auto" w:sz="4" w:space="0"/>
              <w:left w:val="single" w:color="auto" w:sz="4" w:space="0"/>
              <w:bottom w:val="single" w:color="auto" w:sz="4" w:space="0"/>
              <w:right w:val="single" w:color="auto" w:sz="4" w:space="0"/>
            </w:tcBorders>
          </w:tcPr>
          <w:p w14:paraId="0863ED76">
            <w:pPr>
              <w:jc w:val="right"/>
            </w:pPr>
            <w:r>
              <w:t>7,469.24</w:t>
            </w:r>
          </w:p>
        </w:tc>
      </w:tr>
      <w:tr w14:paraId="2C85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423AEF7D">
            <w:pPr>
              <w:ind w:firstLine="630" w:firstLineChars="300"/>
            </w:pPr>
            <w:r>
              <w:t>越南盾</w:t>
            </w:r>
          </w:p>
        </w:tc>
        <w:tc>
          <w:tcPr>
            <w:tcW w:w="1132" w:type="pct"/>
            <w:tcBorders>
              <w:top w:val="single" w:color="auto" w:sz="4" w:space="0"/>
              <w:left w:val="single" w:color="auto" w:sz="4" w:space="0"/>
              <w:bottom w:val="single" w:color="auto" w:sz="4" w:space="0"/>
              <w:right w:val="single" w:color="auto" w:sz="4" w:space="0"/>
            </w:tcBorders>
          </w:tcPr>
          <w:p w14:paraId="610E1069">
            <w:pPr>
              <w:jc w:val="right"/>
            </w:pPr>
            <w:r>
              <w:t xml:space="preserve">  68,000,000.00</w:t>
            </w:r>
          </w:p>
        </w:tc>
        <w:tc>
          <w:tcPr>
            <w:tcW w:w="1137" w:type="pct"/>
            <w:tcBorders>
              <w:top w:val="single" w:color="auto" w:sz="4" w:space="0"/>
              <w:left w:val="single" w:color="auto" w:sz="4" w:space="0"/>
              <w:bottom w:val="single" w:color="auto" w:sz="4" w:space="0"/>
              <w:right w:val="single" w:color="auto" w:sz="4" w:space="0"/>
            </w:tcBorders>
          </w:tcPr>
          <w:p w14:paraId="6F471D77">
            <w:pPr>
              <w:jc w:val="right"/>
            </w:pPr>
            <w:r>
              <w:t>0.000279</w:t>
            </w:r>
          </w:p>
        </w:tc>
        <w:tc>
          <w:tcPr>
            <w:tcW w:w="1130" w:type="pct"/>
            <w:tcBorders>
              <w:top w:val="single" w:color="auto" w:sz="4" w:space="0"/>
              <w:left w:val="single" w:color="auto" w:sz="4" w:space="0"/>
              <w:bottom w:val="single" w:color="auto" w:sz="4" w:space="0"/>
              <w:right w:val="single" w:color="auto" w:sz="4" w:space="0"/>
            </w:tcBorders>
          </w:tcPr>
          <w:p w14:paraId="1D1CDE20">
            <w:pPr>
              <w:jc w:val="right"/>
            </w:pPr>
            <w:r>
              <w:t>18,972.00</w:t>
            </w:r>
          </w:p>
        </w:tc>
      </w:tr>
      <w:tr w14:paraId="18C4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3DBE0E76">
            <w:pPr>
              <w:ind w:firstLine="630" w:firstLineChars="300"/>
            </w:pPr>
            <w:r>
              <w:t>埃塞俄比亚比尔</w:t>
            </w:r>
          </w:p>
        </w:tc>
        <w:tc>
          <w:tcPr>
            <w:tcW w:w="1132" w:type="pct"/>
            <w:tcBorders>
              <w:top w:val="single" w:color="auto" w:sz="4" w:space="0"/>
              <w:left w:val="single" w:color="auto" w:sz="4" w:space="0"/>
              <w:bottom w:val="single" w:color="auto" w:sz="4" w:space="0"/>
              <w:right w:val="single" w:color="auto" w:sz="4" w:space="0"/>
            </w:tcBorders>
          </w:tcPr>
          <w:p w14:paraId="7900087D">
            <w:pPr>
              <w:jc w:val="right"/>
            </w:pPr>
            <w:r>
              <w:t>1,351,105.70</w:t>
            </w:r>
          </w:p>
        </w:tc>
        <w:tc>
          <w:tcPr>
            <w:tcW w:w="1137" w:type="pct"/>
            <w:tcBorders>
              <w:top w:val="single" w:color="auto" w:sz="4" w:space="0"/>
              <w:left w:val="single" w:color="auto" w:sz="4" w:space="0"/>
              <w:bottom w:val="single" w:color="auto" w:sz="4" w:space="0"/>
              <w:right w:val="single" w:color="auto" w:sz="4" w:space="0"/>
            </w:tcBorders>
          </w:tcPr>
          <w:p w14:paraId="6BCA0CE5">
            <w:pPr>
              <w:jc w:val="right"/>
            </w:pPr>
            <w:r>
              <w:t>0.0539</w:t>
            </w:r>
          </w:p>
        </w:tc>
        <w:tc>
          <w:tcPr>
            <w:tcW w:w="1130" w:type="pct"/>
            <w:tcBorders>
              <w:top w:val="single" w:color="auto" w:sz="4" w:space="0"/>
              <w:left w:val="single" w:color="auto" w:sz="4" w:space="0"/>
              <w:bottom w:val="single" w:color="auto" w:sz="4" w:space="0"/>
              <w:right w:val="single" w:color="auto" w:sz="4" w:space="0"/>
            </w:tcBorders>
          </w:tcPr>
          <w:p w14:paraId="43842CF0">
            <w:pPr>
              <w:jc w:val="right"/>
            </w:pPr>
            <w:r>
              <w:t>72,824.60</w:t>
            </w:r>
          </w:p>
        </w:tc>
      </w:tr>
      <w:tr w14:paraId="6A18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095E63A6">
            <w:pPr>
              <w:rPr>
                <w:rFonts w:cs="Arial"/>
              </w:rPr>
            </w:pPr>
            <w:r>
              <w:rPr>
                <w:rFonts w:hint="eastAsia" w:cs="Arial"/>
              </w:rPr>
              <w:t>应付账款</w:t>
            </w:r>
          </w:p>
        </w:tc>
        <w:tc>
          <w:tcPr>
            <w:tcW w:w="1132" w:type="pct"/>
            <w:tcBorders>
              <w:top w:val="single" w:color="auto" w:sz="4" w:space="0"/>
              <w:left w:val="single" w:color="auto" w:sz="4" w:space="0"/>
              <w:bottom w:val="single" w:color="auto" w:sz="4" w:space="0"/>
              <w:right w:val="single" w:color="auto" w:sz="4" w:space="0"/>
            </w:tcBorders>
          </w:tcPr>
          <w:p w14:paraId="65D8B8DF">
            <w:pPr>
              <w:jc w:val="right"/>
            </w:pPr>
          </w:p>
        </w:tc>
        <w:tc>
          <w:tcPr>
            <w:tcW w:w="1137" w:type="pct"/>
            <w:tcBorders>
              <w:top w:val="single" w:color="auto" w:sz="4" w:space="0"/>
              <w:left w:val="single" w:color="auto" w:sz="4" w:space="0"/>
              <w:bottom w:val="single" w:color="auto" w:sz="4" w:space="0"/>
              <w:right w:val="single" w:color="auto" w:sz="4" w:space="0"/>
            </w:tcBorders>
          </w:tcPr>
          <w:p w14:paraId="1E37F9BA">
            <w:pPr>
              <w:jc w:val="right"/>
            </w:pPr>
          </w:p>
        </w:tc>
        <w:tc>
          <w:tcPr>
            <w:tcW w:w="1130" w:type="pct"/>
            <w:tcBorders>
              <w:top w:val="single" w:color="auto" w:sz="4" w:space="0"/>
              <w:left w:val="single" w:color="auto" w:sz="4" w:space="0"/>
              <w:bottom w:val="single" w:color="auto" w:sz="4" w:space="0"/>
              <w:right w:val="single" w:color="auto" w:sz="4" w:space="0"/>
            </w:tcBorders>
          </w:tcPr>
          <w:p w14:paraId="4DDAB5D8">
            <w:pPr>
              <w:jc w:val="right"/>
            </w:pPr>
          </w:p>
        </w:tc>
      </w:tr>
      <w:tr w14:paraId="508B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75B5FC38">
            <w:r>
              <w:t>其中：美元</w:t>
            </w:r>
          </w:p>
        </w:tc>
        <w:tc>
          <w:tcPr>
            <w:tcW w:w="1132" w:type="pct"/>
            <w:tcBorders>
              <w:top w:val="single" w:color="auto" w:sz="4" w:space="0"/>
              <w:left w:val="single" w:color="auto" w:sz="4" w:space="0"/>
              <w:bottom w:val="single" w:color="auto" w:sz="4" w:space="0"/>
              <w:right w:val="single" w:color="auto" w:sz="4" w:space="0"/>
            </w:tcBorders>
          </w:tcPr>
          <w:p w14:paraId="16AE66AC">
            <w:pPr>
              <w:jc w:val="right"/>
            </w:pPr>
            <w:r>
              <w:t>3,574.41</w:t>
            </w:r>
          </w:p>
        </w:tc>
        <w:tc>
          <w:tcPr>
            <w:tcW w:w="1137" w:type="pct"/>
            <w:tcBorders>
              <w:top w:val="single" w:color="auto" w:sz="4" w:space="0"/>
              <w:left w:val="single" w:color="auto" w:sz="4" w:space="0"/>
              <w:bottom w:val="single" w:color="auto" w:sz="4" w:space="0"/>
              <w:right w:val="single" w:color="auto" w:sz="4" w:space="0"/>
            </w:tcBorders>
          </w:tcPr>
          <w:p w14:paraId="6BD5F0DB">
            <w:pPr>
              <w:jc w:val="right"/>
            </w:pPr>
            <w:r>
              <w:t>7.1586</w:t>
            </w:r>
          </w:p>
        </w:tc>
        <w:tc>
          <w:tcPr>
            <w:tcW w:w="1130" w:type="pct"/>
            <w:tcBorders>
              <w:top w:val="single" w:color="auto" w:sz="4" w:space="0"/>
              <w:left w:val="single" w:color="auto" w:sz="4" w:space="0"/>
              <w:bottom w:val="single" w:color="auto" w:sz="4" w:space="0"/>
              <w:right w:val="single" w:color="auto" w:sz="4" w:space="0"/>
            </w:tcBorders>
          </w:tcPr>
          <w:p w14:paraId="69715A85">
            <w:pPr>
              <w:jc w:val="right"/>
            </w:pPr>
            <w:r>
              <w:t>25,587.77</w:t>
            </w:r>
          </w:p>
        </w:tc>
      </w:tr>
      <w:tr w14:paraId="7F3F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2F7166A5">
            <w:pPr>
              <w:ind w:firstLine="630" w:firstLineChars="300"/>
            </w:pPr>
            <w:r>
              <w:t>巴西雷亚尔</w:t>
            </w:r>
          </w:p>
        </w:tc>
        <w:tc>
          <w:tcPr>
            <w:tcW w:w="1132" w:type="pct"/>
            <w:tcBorders>
              <w:top w:val="single" w:color="auto" w:sz="4" w:space="0"/>
              <w:left w:val="single" w:color="auto" w:sz="4" w:space="0"/>
              <w:bottom w:val="single" w:color="auto" w:sz="4" w:space="0"/>
              <w:right w:val="single" w:color="auto" w:sz="4" w:space="0"/>
            </w:tcBorders>
          </w:tcPr>
          <w:p w14:paraId="3A94151B">
            <w:pPr>
              <w:jc w:val="right"/>
            </w:pPr>
            <w:r>
              <w:rPr>
                <w:rFonts w:hint="eastAsia"/>
              </w:rPr>
              <w:t>990,136.21</w:t>
            </w:r>
          </w:p>
        </w:tc>
        <w:tc>
          <w:tcPr>
            <w:tcW w:w="1137" w:type="pct"/>
            <w:tcBorders>
              <w:top w:val="single" w:color="auto" w:sz="4" w:space="0"/>
              <w:left w:val="single" w:color="auto" w:sz="4" w:space="0"/>
              <w:bottom w:val="single" w:color="auto" w:sz="4" w:space="0"/>
              <w:right w:val="single" w:color="auto" w:sz="4" w:space="0"/>
            </w:tcBorders>
          </w:tcPr>
          <w:p w14:paraId="53C1D82D">
            <w:pPr>
              <w:jc w:val="right"/>
            </w:pPr>
            <w:r>
              <w:rPr>
                <w:rFonts w:hint="eastAsia"/>
              </w:rPr>
              <w:t>1.3119</w:t>
            </w:r>
          </w:p>
        </w:tc>
        <w:tc>
          <w:tcPr>
            <w:tcW w:w="1130" w:type="pct"/>
            <w:tcBorders>
              <w:top w:val="single" w:color="auto" w:sz="4" w:space="0"/>
              <w:left w:val="single" w:color="auto" w:sz="4" w:space="0"/>
              <w:bottom w:val="single" w:color="auto" w:sz="4" w:space="0"/>
              <w:right w:val="single" w:color="auto" w:sz="4" w:space="0"/>
            </w:tcBorders>
          </w:tcPr>
          <w:p w14:paraId="27B4C325">
            <w:pPr>
              <w:jc w:val="right"/>
            </w:pPr>
            <w:r>
              <w:t>1,298,959.69</w:t>
            </w:r>
          </w:p>
        </w:tc>
      </w:tr>
      <w:tr w14:paraId="6884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069CF962">
            <w:pPr>
              <w:ind w:firstLine="630" w:firstLineChars="300"/>
            </w:pPr>
            <w:r>
              <w:rPr>
                <w:rFonts w:hint="eastAsia"/>
              </w:rPr>
              <w:t>俄罗斯卢布</w:t>
            </w:r>
          </w:p>
        </w:tc>
        <w:tc>
          <w:tcPr>
            <w:tcW w:w="1132" w:type="pct"/>
            <w:tcBorders>
              <w:top w:val="single" w:color="auto" w:sz="4" w:space="0"/>
              <w:left w:val="single" w:color="auto" w:sz="4" w:space="0"/>
              <w:bottom w:val="single" w:color="auto" w:sz="4" w:space="0"/>
              <w:right w:val="single" w:color="auto" w:sz="4" w:space="0"/>
            </w:tcBorders>
          </w:tcPr>
          <w:p w14:paraId="24DBDD8B">
            <w:pPr>
              <w:jc w:val="right"/>
            </w:pPr>
            <w:r>
              <w:t>298,799.38</w:t>
            </w:r>
          </w:p>
        </w:tc>
        <w:tc>
          <w:tcPr>
            <w:tcW w:w="1137" w:type="pct"/>
            <w:tcBorders>
              <w:top w:val="single" w:color="auto" w:sz="4" w:space="0"/>
              <w:left w:val="single" w:color="auto" w:sz="4" w:space="0"/>
              <w:bottom w:val="single" w:color="auto" w:sz="4" w:space="0"/>
              <w:right w:val="single" w:color="auto" w:sz="4" w:space="0"/>
            </w:tcBorders>
          </w:tcPr>
          <w:p w14:paraId="798F24E9">
            <w:pPr>
              <w:jc w:val="right"/>
            </w:pPr>
            <w:r>
              <w:t>0.0913</w:t>
            </w:r>
          </w:p>
        </w:tc>
        <w:tc>
          <w:tcPr>
            <w:tcW w:w="1130" w:type="pct"/>
            <w:tcBorders>
              <w:top w:val="single" w:color="auto" w:sz="4" w:space="0"/>
              <w:left w:val="single" w:color="auto" w:sz="4" w:space="0"/>
              <w:bottom w:val="single" w:color="auto" w:sz="4" w:space="0"/>
              <w:right w:val="single" w:color="auto" w:sz="4" w:space="0"/>
            </w:tcBorders>
          </w:tcPr>
          <w:p w14:paraId="0D9FFB05">
            <w:pPr>
              <w:jc w:val="right"/>
            </w:pPr>
            <w:r>
              <w:t>27,280.38</w:t>
            </w:r>
          </w:p>
        </w:tc>
      </w:tr>
      <w:tr w14:paraId="5670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76DBF8F7">
            <w:pPr>
              <w:ind w:firstLine="630" w:firstLineChars="300"/>
            </w:pPr>
            <w:r>
              <w:t>越南盾</w:t>
            </w:r>
          </w:p>
        </w:tc>
        <w:tc>
          <w:tcPr>
            <w:tcW w:w="1132" w:type="pct"/>
            <w:tcBorders>
              <w:top w:val="single" w:color="auto" w:sz="4" w:space="0"/>
              <w:left w:val="single" w:color="auto" w:sz="4" w:space="0"/>
              <w:bottom w:val="single" w:color="auto" w:sz="4" w:space="0"/>
              <w:right w:val="single" w:color="auto" w:sz="4" w:space="0"/>
            </w:tcBorders>
          </w:tcPr>
          <w:p w14:paraId="50523C5C">
            <w:pPr>
              <w:jc w:val="right"/>
            </w:pPr>
            <w:r>
              <w:t>4,358,412,546.00</w:t>
            </w:r>
          </w:p>
        </w:tc>
        <w:tc>
          <w:tcPr>
            <w:tcW w:w="1137" w:type="pct"/>
            <w:tcBorders>
              <w:top w:val="single" w:color="auto" w:sz="4" w:space="0"/>
              <w:left w:val="single" w:color="auto" w:sz="4" w:space="0"/>
              <w:bottom w:val="single" w:color="auto" w:sz="4" w:space="0"/>
              <w:right w:val="single" w:color="auto" w:sz="4" w:space="0"/>
            </w:tcBorders>
          </w:tcPr>
          <w:p w14:paraId="5D2DA023">
            <w:pPr>
              <w:jc w:val="right"/>
            </w:pPr>
            <w:r>
              <w:t>0.000279</w:t>
            </w:r>
          </w:p>
        </w:tc>
        <w:tc>
          <w:tcPr>
            <w:tcW w:w="1130" w:type="pct"/>
            <w:tcBorders>
              <w:top w:val="single" w:color="auto" w:sz="4" w:space="0"/>
              <w:left w:val="single" w:color="auto" w:sz="4" w:space="0"/>
              <w:bottom w:val="single" w:color="auto" w:sz="4" w:space="0"/>
              <w:right w:val="single" w:color="auto" w:sz="4" w:space="0"/>
            </w:tcBorders>
          </w:tcPr>
          <w:p w14:paraId="33CDC646">
            <w:pPr>
              <w:jc w:val="right"/>
            </w:pPr>
            <w:r>
              <w:t>1,215,997.10</w:t>
            </w:r>
          </w:p>
        </w:tc>
      </w:tr>
      <w:tr w14:paraId="6015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52BE35D3">
            <w:r>
              <w:rPr>
                <w:rFonts w:hint="eastAsia"/>
              </w:rPr>
              <w:t>其他应付款</w:t>
            </w:r>
          </w:p>
        </w:tc>
        <w:tc>
          <w:tcPr>
            <w:tcW w:w="1132" w:type="pct"/>
            <w:tcBorders>
              <w:top w:val="single" w:color="auto" w:sz="4" w:space="0"/>
              <w:left w:val="single" w:color="auto" w:sz="4" w:space="0"/>
              <w:bottom w:val="single" w:color="auto" w:sz="4" w:space="0"/>
              <w:right w:val="single" w:color="auto" w:sz="4" w:space="0"/>
            </w:tcBorders>
          </w:tcPr>
          <w:p w14:paraId="5760D997">
            <w:pPr>
              <w:jc w:val="right"/>
            </w:pPr>
          </w:p>
        </w:tc>
        <w:tc>
          <w:tcPr>
            <w:tcW w:w="1137" w:type="pct"/>
            <w:tcBorders>
              <w:top w:val="single" w:color="auto" w:sz="4" w:space="0"/>
              <w:left w:val="single" w:color="auto" w:sz="4" w:space="0"/>
              <w:bottom w:val="single" w:color="auto" w:sz="4" w:space="0"/>
              <w:right w:val="single" w:color="auto" w:sz="4" w:space="0"/>
            </w:tcBorders>
          </w:tcPr>
          <w:p w14:paraId="14DB2E9E">
            <w:pPr>
              <w:jc w:val="right"/>
            </w:pPr>
          </w:p>
        </w:tc>
        <w:tc>
          <w:tcPr>
            <w:tcW w:w="1130" w:type="pct"/>
            <w:tcBorders>
              <w:top w:val="single" w:color="auto" w:sz="4" w:space="0"/>
              <w:left w:val="single" w:color="auto" w:sz="4" w:space="0"/>
              <w:bottom w:val="single" w:color="auto" w:sz="4" w:space="0"/>
              <w:right w:val="single" w:color="auto" w:sz="4" w:space="0"/>
            </w:tcBorders>
          </w:tcPr>
          <w:p w14:paraId="29060A3C">
            <w:pPr>
              <w:jc w:val="right"/>
            </w:pPr>
          </w:p>
        </w:tc>
      </w:tr>
      <w:tr w14:paraId="1559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15A4E707">
            <w:r>
              <w:t>其中：美元</w:t>
            </w:r>
          </w:p>
        </w:tc>
        <w:tc>
          <w:tcPr>
            <w:tcW w:w="1132" w:type="pct"/>
            <w:tcBorders>
              <w:top w:val="single" w:color="auto" w:sz="4" w:space="0"/>
              <w:left w:val="single" w:color="auto" w:sz="4" w:space="0"/>
              <w:bottom w:val="single" w:color="auto" w:sz="4" w:space="0"/>
              <w:right w:val="single" w:color="auto" w:sz="4" w:space="0"/>
            </w:tcBorders>
          </w:tcPr>
          <w:p w14:paraId="1C90D2D8">
            <w:pPr>
              <w:jc w:val="right"/>
            </w:pPr>
            <w:r>
              <w:rPr>
                <w:rFonts w:hint="eastAsia"/>
              </w:rPr>
              <w:t>4,803,790.14</w:t>
            </w:r>
          </w:p>
        </w:tc>
        <w:tc>
          <w:tcPr>
            <w:tcW w:w="1137" w:type="pct"/>
            <w:tcBorders>
              <w:top w:val="single" w:color="auto" w:sz="4" w:space="0"/>
              <w:left w:val="single" w:color="auto" w:sz="4" w:space="0"/>
              <w:bottom w:val="single" w:color="auto" w:sz="4" w:space="0"/>
              <w:right w:val="single" w:color="auto" w:sz="4" w:space="0"/>
            </w:tcBorders>
          </w:tcPr>
          <w:p w14:paraId="18F6F0A8">
            <w:pPr>
              <w:jc w:val="right"/>
            </w:pPr>
            <w:r>
              <w:rPr>
                <w:rFonts w:hint="eastAsia"/>
              </w:rPr>
              <w:t>7.1586</w:t>
            </w:r>
          </w:p>
        </w:tc>
        <w:tc>
          <w:tcPr>
            <w:tcW w:w="1130" w:type="pct"/>
            <w:tcBorders>
              <w:top w:val="single" w:color="auto" w:sz="4" w:space="0"/>
              <w:left w:val="single" w:color="auto" w:sz="4" w:space="0"/>
              <w:bottom w:val="single" w:color="auto" w:sz="4" w:space="0"/>
              <w:right w:val="single" w:color="auto" w:sz="4" w:space="0"/>
            </w:tcBorders>
          </w:tcPr>
          <w:p w14:paraId="15BC1484">
            <w:pPr>
              <w:jc w:val="right"/>
            </w:pPr>
            <w:r>
              <w:t>34,388,412.10</w:t>
            </w:r>
          </w:p>
        </w:tc>
      </w:tr>
      <w:tr w14:paraId="01F0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761CC61B">
            <w:pPr>
              <w:ind w:firstLine="630" w:firstLineChars="300"/>
            </w:pPr>
            <w:r>
              <w:rPr>
                <w:rFonts w:hint="eastAsia"/>
              </w:rPr>
              <w:t>俄罗斯卢布</w:t>
            </w:r>
          </w:p>
        </w:tc>
        <w:tc>
          <w:tcPr>
            <w:tcW w:w="1132" w:type="pct"/>
            <w:tcBorders>
              <w:top w:val="single" w:color="auto" w:sz="4" w:space="0"/>
              <w:left w:val="single" w:color="auto" w:sz="4" w:space="0"/>
              <w:bottom w:val="single" w:color="auto" w:sz="4" w:space="0"/>
              <w:right w:val="single" w:color="auto" w:sz="4" w:space="0"/>
            </w:tcBorders>
          </w:tcPr>
          <w:p w14:paraId="74888682">
            <w:pPr>
              <w:jc w:val="right"/>
            </w:pPr>
            <w:r>
              <w:t>21,749,251.37</w:t>
            </w:r>
          </w:p>
        </w:tc>
        <w:tc>
          <w:tcPr>
            <w:tcW w:w="1137" w:type="pct"/>
            <w:tcBorders>
              <w:top w:val="single" w:color="auto" w:sz="4" w:space="0"/>
              <w:left w:val="single" w:color="auto" w:sz="4" w:space="0"/>
              <w:bottom w:val="single" w:color="auto" w:sz="4" w:space="0"/>
              <w:right w:val="single" w:color="auto" w:sz="4" w:space="0"/>
            </w:tcBorders>
          </w:tcPr>
          <w:p w14:paraId="76122B1D">
            <w:pPr>
              <w:jc w:val="right"/>
            </w:pPr>
            <w:r>
              <w:t>0.0913</w:t>
            </w:r>
          </w:p>
        </w:tc>
        <w:tc>
          <w:tcPr>
            <w:tcW w:w="1130" w:type="pct"/>
            <w:tcBorders>
              <w:top w:val="single" w:color="auto" w:sz="4" w:space="0"/>
              <w:left w:val="single" w:color="auto" w:sz="4" w:space="0"/>
              <w:bottom w:val="single" w:color="auto" w:sz="4" w:space="0"/>
              <w:right w:val="single" w:color="auto" w:sz="4" w:space="0"/>
            </w:tcBorders>
          </w:tcPr>
          <w:p w14:paraId="24590F86">
            <w:pPr>
              <w:jc w:val="right"/>
            </w:pPr>
            <w:r>
              <w:t>1,985,706.65</w:t>
            </w:r>
          </w:p>
        </w:tc>
      </w:tr>
      <w:tr w14:paraId="58A5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7732EE9F">
            <w:pPr>
              <w:ind w:firstLine="630" w:firstLineChars="300"/>
            </w:pPr>
            <w:r>
              <w:t>泰国铢</w:t>
            </w:r>
          </w:p>
        </w:tc>
        <w:tc>
          <w:tcPr>
            <w:tcW w:w="1132" w:type="pct"/>
            <w:tcBorders>
              <w:top w:val="single" w:color="auto" w:sz="4" w:space="0"/>
              <w:left w:val="single" w:color="auto" w:sz="4" w:space="0"/>
              <w:bottom w:val="single" w:color="auto" w:sz="4" w:space="0"/>
              <w:right w:val="single" w:color="auto" w:sz="4" w:space="0"/>
            </w:tcBorders>
          </w:tcPr>
          <w:p w14:paraId="092BD64D">
            <w:pPr>
              <w:jc w:val="right"/>
            </w:pPr>
            <w:r>
              <w:t>2,245,287.18</w:t>
            </w:r>
          </w:p>
        </w:tc>
        <w:tc>
          <w:tcPr>
            <w:tcW w:w="1137" w:type="pct"/>
            <w:tcBorders>
              <w:top w:val="single" w:color="auto" w:sz="4" w:space="0"/>
              <w:left w:val="single" w:color="auto" w:sz="4" w:space="0"/>
              <w:bottom w:val="single" w:color="auto" w:sz="4" w:space="0"/>
              <w:right w:val="single" w:color="auto" w:sz="4" w:space="0"/>
            </w:tcBorders>
          </w:tcPr>
          <w:p w14:paraId="51E19AC5">
            <w:pPr>
              <w:jc w:val="right"/>
            </w:pPr>
            <w:r>
              <w:t>0.2197</w:t>
            </w:r>
          </w:p>
        </w:tc>
        <w:tc>
          <w:tcPr>
            <w:tcW w:w="1130" w:type="pct"/>
            <w:tcBorders>
              <w:top w:val="single" w:color="auto" w:sz="4" w:space="0"/>
              <w:left w:val="single" w:color="auto" w:sz="4" w:space="0"/>
              <w:bottom w:val="single" w:color="auto" w:sz="4" w:space="0"/>
              <w:right w:val="single" w:color="auto" w:sz="4" w:space="0"/>
            </w:tcBorders>
          </w:tcPr>
          <w:p w14:paraId="7A287AF1">
            <w:pPr>
              <w:jc w:val="right"/>
            </w:pPr>
            <w:r>
              <w:t>493,289.59</w:t>
            </w:r>
          </w:p>
        </w:tc>
      </w:tr>
      <w:tr w14:paraId="65EB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236AD437">
            <w:pPr>
              <w:ind w:firstLine="630" w:firstLineChars="300"/>
            </w:pPr>
            <w:r>
              <w:t>越南盾</w:t>
            </w:r>
          </w:p>
        </w:tc>
        <w:tc>
          <w:tcPr>
            <w:tcW w:w="1132" w:type="pct"/>
            <w:tcBorders>
              <w:top w:val="single" w:color="auto" w:sz="4" w:space="0"/>
              <w:left w:val="single" w:color="auto" w:sz="4" w:space="0"/>
              <w:bottom w:val="single" w:color="auto" w:sz="4" w:space="0"/>
              <w:right w:val="single" w:color="auto" w:sz="4" w:space="0"/>
            </w:tcBorders>
          </w:tcPr>
          <w:p w14:paraId="39A259B5">
            <w:pPr>
              <w:jc w:val="right"/>
            </w:pPr>
            <w:r>
              <w:t>2,839,871,586.00</w:t>
            </w:r>
          </w:p>
        </w:tc>
        <w:tc>
          <w:tcPr>
            <w:tcW w:w="1137" w:type="pct"/>
            <w:tcBorders>
              <w:top w:val="single" w:color="auto" w:sz="4" w:space="0"/>
              <w:left w:val="single" w:color="auto" w:sz="4" w:space="0"/>
              <w:bottom w:val="single" w:color="auto" w:sz="4" w:space="0"/>
              <w:right w:val="single" w:color="auto" w:sz="4" w:space="0"/>
            </w:tcBorders>
          </w:tcPr>
          <w:p w14:paraId="21E03ADD">
            <w:pPr>
              <w:jc w:val="right"/>
            </w:pPr>
            <w:r>
              <w:t>0.000279</w:t>
            </w:r>
          </w:p>
        </w:tc>
        <w:tc>
          <w:tcPr>
            <w:tcW w:w="1130" w:type="pct"/>
            <w:tcBorders>
              <w:top w:val="single" w:color="auto" w:sz="4" w:space="0"/>
              <w:left w:val="single" w:color="auto" w:sz="4" w:space="0"/>
              <w:bottom w:val="single" w:color="auto" w:sz="4" w:space="0"/>
              <w:right w:val="single" w:color="auto" w:sz="4" w:space="0"/>
            </w:tcBorders>
          </w:tcPr>
          <w:p w14:paraId="3FC0B1BE">
            <w:pPr>
              <w:jc w:val="right"/>
            </w:pPr>
            <w:r>
              <w:t>792,324.17</w:t>
            </w:r>
          </w:p>
        </w:tc>
      </w:tr>
      <w:tr w14:paraId="7428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40D26362">
            <w:pPr>
              <w:ind w:firstLine="630" w:firstLineChars="300"/>
            </w:pPr>
            <w:r>
              <w:t>墨西哥比索</w:t>
            </w:r>
          </w:p>
        </w:tc>
        <w:tc>
          <w:tcPr>
            <w:tcW w:w="1132" w:type="pct"/>
            <w:tcBorders>
              <w:top w:val="single" w:color="auto" w:sz="4" w:space="0"/>
              <w:left w:val="single" w:color="auto" w:sz="4" w:space="0"/>
              <w:bottom w:val="single" w:color="auto" w:sz="4" w:space="0"/>
              <w:right w:val="single" w:color="auto" w:sz="4" w:space="0"/>
            </w:tcBorders>
          </w:tcPr>
          <w:p w14:paraId="55984EBD">
            <w:pPr>
              <w:jc w:val="right"/>
            </w:pPr>
            <w:r>
              <w:t>75,400.00</w:t>
            </w:r>
          </w:p>
        </w:tc>
        <w:tc>
          <w:tcPr>
            <w:tcW w:w="1137" w:type="pct"/>
            <w:tcBorders>
              <w:top w:val="single" w:color="auto" w:sz="4" w:space="0"/>
              <w:left w:val="single" w:color="auto" w:sz="4" w:space="0"/>
              <w:bottom w:val="single" w:color="auto" w:sz="4" w:space="0"/>
              <w:right w:val="single" w:color="auto" w:sz="4" w:space="0"/>
            </w:tcBorders>
          </w:tcPr>
          <w:p w14:paraId="33F6AF56">
            <w:pPr>
              <w:jc w:val="right"/>
            </w:pPr>
            <w:r>
              <w:t>0.3809</w:t>
            </w:r>
          </w:p>
        </w:tc>
        <w:tc>
          <w:tcPr>
            <w:tcW w:w="1130" w:type="pct"/>
            <w:tcBorders>
              <w:top w:val="single" w:color="auto" w:sz="4" w:space="0"/>
              <w:left w:val="single" w:color="auto" w:sz="4" w:space="0"/>
              <w:bottom w:val="single" w:color="auto" w:sz="4" w:space="0"/>
              <w:right w:val="single" w:color="auto" w:sz="4" w:space="0"/>
            </w:tcBorders>
          </w:tcPr>
          <w:p w14:paraId="52D63913">
            <w:pPr>
              <w:jc w:val="right"/>
            </w:pPr>
            <w:r>
              <w:t>28,719.86</w:t>
            </w:r>
          </w:p>
        </w:tc>
      </w:tr>
      <w:tr w14:paraId="3DC2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3512537C">
            <w:pPr>
              <w:ind w:firstLine="630" w:firstLineChars="300"/>
            </w:pPr>
            <w:r>
              <w:t>埃塞俄比亚比尔</w:t>
            </w:r>
          </w:p>
        </w:tc>
        <w:tc>
          <w:tcPr>
            <w:tcW w:w="1132" w:type="pct"/>
            <w:tcBorders>
              <w:top w:val="single" w:color="auto" w:sz="4" w:space="0"/>
              <w:left w:val="single" w:color="auto" w:sz="4" w:space="0"/>
              <w:bottom w:val="single" w:color="auto" w:sz="4" w:space="0"/>
              <w:right w:val="single" w:color="auto" w:sz="4" w:space="0"/>
            </w:tcBorders>
          </w:tcPr>
          <w:p w14:paraId="1B0E66C7">
            <w:pPr>
              <w:jc w:val="right"/>
            </w:pPr>
            <w:r>
              <w:t>156,431.11</w:t>
            </w:r>
          </w:p>
        </w:tc>
        <w:tc>
          <w:tcPr>
            <w:tcW w:w="1137" w:type="pct"/>
            <w:tcBorders>
              <w:top w:val="single" w:color="auto" w:sz="4" w:space="0"/>
              <w:left w:val="single" w:color="auto" w:sz="4" w:space="0"/>
              <w:bottom w:val="single" w:color="auto" w:sz="4" w:space="0"/>
              <w:right w:val="single" w:color="auto" w:sz="4" w:space="0"/>
            </w:tcBorders>
          </w:tcPr>
          <w:p w14:paraId="4D1008DE">
            <w:pPr>
              <w:jc w:val="right"/>
            </w:pPr>
            <w:r>
              <w:t>0.0539</w:t>
            </w:r>
          </w:p>
        </w:tc>
        <w:tc>
          <w:tcPr>
            <w:tcW w:w="1130" w:type="pct"/>
            <w:tcBorders>
              <w:top w:val="single" w:color="auto" w:sz="4" w:space="0"/>
              <w:left w:val="single" w:color="auto" w:sz="4" w:space="0"/>
              <w:bottom w:val="single" w:color="auto" w:sz="4" w:space="0"/>
              <w:right w:val="single" w:color="auto" w:sz="4" w:space="0"/>
            </w:tcBorders>
          </w:tcPr>
          <w:p w14:paraId="47A0A6F8">
            <w:pPr>
              <w:jc w:val="right"/>
            </w:pPr>
            <w:r>
              <w:t>8,431.64</w:t>
            </w:r>
          </w:p>
        </w:tc>
      </w:tr>
      <w:tr w14:paraId="1465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tcPr>
          <w:p w14:paraId="77423A47">
            <w:pPr>
              <w:ind w:firstLine="630" w:firstLineChars="300"/>
            </w:pPr>
            <w:r>
              <w:t>港币</w:t>
            </w:r>
          </w:p>
        </w:tc>
        <w:tc>
          <w:tcPr>
            <w:tcW w:w="1132" w:type="pct"/>
            <w:tcBorders>
              <w:top w:val="single" w:color="auto" w:sz="4" w:space="0"/>
              <w:left w:val="single" w:color="auto" w:sz="4" w:space="0"/>
              <w:bottom w:val="single" w:color="auto" w:sz="4" w:space="0"/>
              <w:right w:val="single" w:color="auto" w:sz="4" w:space="0"/>
            </w:tcBorders>
          </w:tcPr>
          <w:p w14:paraId="25E797DA">
            <w:pPr>
              <w:jc w:val="right"/>
            </w:pPr>
            <w:r>
              <w:t>6,067,089.14</w:t>
            </w:r>
          </w:p>
        </w:tc>
        <w:tc>
          <w:tcPr>
            <w:tcW w:w="1137" w:type="pct"/>
            <w:tcBorders>
              <w:top w:val="single" w:color="auto" w:sz="4" w:space="0"/>
              <w:left w:val="single" w:color="auto" w:sz="4" w:space="0"/>
              <w:bottom w:val="single" w:color="auto" w:sz="4" w:space="0"/>
              <w:right w:val="single" w:color="auto" w:sz="4" w:space="0"/>
            </w:tcBorders>
          </w:tcPr>
          <w:p w14:paraId="73CD26F5">
            <w:pPr>
              <w:jc w:val="right"/>
            </w:pPr>
            <w:r>
              <w:t>0.91195</w:t>
            </w:r>
          </w:p>
        </w:tc>
        <w:tc>
          <w:tcPr>
            <w:tcW w:w="1130" w:type="pct"/>
            <w:tcBorders>
              <w:top w:val="single" w:color="auto" w:sz="4" w:space="0"/>
              <w:left w:val="single" w:color="auto" w:sz="4" w:space="0"/>
              <w:bottom w:val="single" w:color="auto" w:sz="4" w:space="0"/>
              <w:right w:val="single" w:color="auto" w:sz="4" w:space="0"/>
            </w:tcBorders>
          </w:tcPr>
          <w:p w14:paraId="797F96C5">
            <w:pPr>
              <w:jc w:val="right"/>
            </w:pPr>
            <w:r>
              <w:t>5,532,881.94</w:t>
            </w:r>
          </w:p>
        </w:tc>
      </w:tr>
    </w:tbl>
    <w:p w14:paraId="454B2719"/>
    <w:p w14:paraId="1DD8AD8B">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外币货币性项目的其他说明"/>
        <w:tag w:val="_GBC_a16b850d98e24762adbee5a1d5628893"/>
        <w:id w:val="2061205646"/>
        <w:placeholder>
          <w:docPart w:val="GBC22222222222222222222222222222"/>
        </w:placeholder>
      </w:sdtPr>
      <w:sdtEndPr>
        <w:rPr>
          <w:color w:val="000000" w:themeColor="text1"/>
          <w14:textFill>
            <w14:solidFill>
              <w14:schemeClr w14:val="tx1"/>
            </w14:solidFill>
          </w14:textFill>
        </w:rPr>
      </w:sdtEndPr>
      <w:sdtContent>
        <w:p w14:paraId="06641FA2">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121D8C59">
      <w:pPr>
        <w:rPr>
          <w:color w:val="000000" w:themeColor="text1"/>
          <w14:textFill>
            <w14:solidFill>
              <w14:schemeClr w14:val="tx1"/>
            </w14:solidFill>
          </w14:textFill>
        </w:rPr>
      </w:pPr>
    </w:p>
    <w:p w14:paraId="0BF5F7FF">
      <w:pPr>
        <w:pStyle w:val="5"/>
        <w:numPr>
          <w:ilvl w:val="0"/>
          <w:numId w:val="79"/>
        </w:numPr>
        <w:rPr>
          <w:b w:val="0"/>
          <w:bCs w:val="0"/>
          <w:color w:val="000000" w:themeColor="text1"/>
          <w14:textFill>
            <w14:solidFill>
              <w14:schemeClr w14:val="tx1"/>
            </w14:solidFill>
          </w14:textFill>
        </w:rPr>
      </w:pPr>
      <w:r>
        <w:rPr>
          <w:rStyle w:val="48"/>
          <w:rFonts w:hint="eastAsia" w:ascii="宋体" w:hAnsi="宋体"/>
          <w:b/>
          <w:bCs w:val="0"/>
          <w:color w:val="000000" w:themeColor="text1"/>
          <w:szCs w:val="21"/>
          <w14:textFill>
            <w14:solidFill>
              <w14:schemeClr w14:val="tx1"/>
            </w14:solidFill>
          </w14:textFill>
        </w:rPr>
        <w:t>境外经营实体说明，包括对于重要的境外经营实体，应披露其境外主要经营地、记账本位币及选择依据，记账本位币发生变化的还应披露原因</w:t>
      </w:r>
    </w:p>
    <w:p w14:paraId="369A01EA">
      <w:pPr>
        <w:rPr>
          <w:color w:val="000000" w:themeColor="text1"/>
          <w14:textFill>
            <w14:solidFill>
              <w14:schemeClr w14:val="tx1"/>
            </w14:solidFill>
          </w14:textFill>
        </w:rPr>
      </w:pPr>
      <w:sdt>
        <w:sdtPr>
          <w:rPr>
            <w:color w:val="000000" w:themeColor="text1"/>
            <w14:textFill>
              <w14:solidFill>
                <w14:schemeClr w14:val="tx1"/>
              </w14:solidFill>
            </w14:textFill>
          </w:rPr>
          <w:alias w:val="是否适用：境外经营实体主要报表项目的折算汇率[双击切换]"/>
          <w:tag w:val="_GBC_4ad16f5c306d4c6ead144dfd007fb925"/>
          <w:id w:val="521751263"/>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54C1292A">
      <w:pPr>
        <w:rPr>
          <w:color w:val="000000" w:themeColor="text1"/>
          <w14:textFill>
            <w14:solidFill>
              <w14:schemeClr w14:val="tx1"/>
            </w14:solidFill>
          </w14:textFill>
        </w:rPr>
      </w:pPr>
    </w:p>
    <w:bookmarkEnd w:id="352"/>
    <w:p w14:paraId="3E1AB086">
      <w:pPr>
        <w:pStyle w:val="4"/>
        <w:numPr>
          <w:ilvl w:val="0"/>
          <w:numId w:val="41"/>
        </w:numPr>
        <w:rPr>
          <w:color w:val="000000" w:themeColor="text1"/>
          <w:szCs w:val="21"/>
          <w14:textFill>
            <w14:solidFill>
              <w14:schemeClr w14:val="tx1"/>
            </w14:solidFill>
          </w14:textFill>
        </w:rPr>
      </w:pPr>
      <w:bookmarkStart w:id="353" w:name="_Hlk167971524"/>
      <w:r>
        <w:rPr>
          <w:color w:val="000000" w:themeColor="text1"/>
          <w:szCs w:val="21"/>
          <w14:textFill>
            <w14:solidFill>
              <w14:schemeClr w14:val="tx1"/>
            </w14:solidFill>
          </w14:textFill>
        </w:rPr>
        <w:t>租赁</w:t>
      </w:r>
    </w:p>
    <w:p w14:paraId="0FA2CE69">
      <w:pPr>
        <w:pStyle w:val="5"/>
        <w:numPr>
          <w:ilvl w:val="0"/>
          <w:numId w:val="80"/>
        </w:numPr>
        <w:ind w:left="0" w:firstLine="0"/>
        <w:rPr>
          <w:color w:val="000000" w:themeColor="text1"/>
          <w14:textFill>
            <w14:solidFill>
              <w14:schemeClr w14:val="tx1"/>
            </w14:solidFill>
          </w14:textFill>
        </w:rPr>
      </w:pPr>
      <w:r>
        <w:rPr>
          <w:color w:val="000000" w:themeColor="text1"/>
          <w14:textFill>
            <w14:solidFill>
              <w14:schemeClr w14:val="tx1"/>
            </w14:solidFill>
          </w14:textFill>
        </w:rPr>
        <w:t>作为承租人</w:t>
      </w:r>
    </w:p>
    <w:sdt>
      <w:sdtPr>
        <w:rPr>
          <w:color w:val="000000" w:themeColor="text1"/>
          <w14:textFill>
            <w14:solidFill>
              <w14:schemeClr w14:val="tx1"/>
            </w14:solidFill>
          </w14:textFill>
        </w:rPr>
        <w:alias w:val="是否适用：作为承租人[双击切换]"/>
        <w:tag w:val="_GBC_1a127bd18c664ed8bca6a513c43f1fa2"/>
        <w:id w:val="-1646664456"/>
        <w:lock w:val="contentLocked"/>
        <w:placeholder>
          <w:docPart w:val="GBC22222222222222222222222222222"/>
        </w:placeholder>
      </w:sdtPr>
      <w:sdtEndPr>
        <w:rPr>
          <w:color w:val="000000" w:themeColor="text1"/>
          <w14:textFill>
            <w14:solidFill>
              <w14:schemeClr w14:val="tx1"/>
            </w14:solidFill>
          </w14:textFill>
        </w:rPr>
      </w:sdtEndPr>
      <w:sdtContent>
        <w:p w14:paraId="379DD60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66762D7">
      <w:pPr>
        <w:rPr>
          <w:color w:val="000000" w:themeColor="text1"/>
          <w14:textFill>
            <w14:solidFill>
              <w14:schemeClr w14:val="tx1"/>
            </w14:solidFill>
          </w14:textFill>
        </w:rPr>
      </w:pPr>
    </w:p>
    <w:p w14:paraId="2D2E7A42">
      <w:pPr>
        <w:rPr>
          <w:color w:val="000000" w:themeColor="text1"/>
          <w14:textFill>
            <w14:solidFill>
              <w14:schemeClr w14:val="tx1"/>
            </w14:solidFill>
          </w14:textFill>
        </w:rPr>
      </w:pPr>
      <w:r>
        <w:rPr>
          <w:rFonts w:hint="eastAsia"/>
          <w:color w:val="000000" w:themeColor="text1"/>
          <w14:textFill>
            <w14:solidFill>
              <w14:schemeClr w14:val="tx1"/>
            </w14:solidFill>
          </w14:textFill>
        </w:rPr>
        <w:t>未纳入租赁负债计量的可变租赁付款额</w:t>
      </w:r>
    </w:p>
    <w:sdt>
      <w:sdtPr>
        <w:rPr>
          <w:color w:val="000000" w:themeColor="text1"/>
          <w14:textFill>
            <w14:solidFill>
              <w14:schemeClr w14:val="tx1"/>
            </w14:solidFill>
          </w14:textFill>
        </w:rPr>
        <w:alias w:val="是否适用：未纳入租赁负债计量的可变租赁付款额[双击切换]"/>
        <w:tag w:val="_GBC_bd2e1ace9f86422a8f860b71955642d7"/>
        <w:id w:val="1697809187"/>
        <w:placeholder>
          <w:docPart w:val="GBC22222222222222222222222222222"/>
        </w:placeholder>
      </w:sdtPr>
      <w:sdtEndPr>
        <w:rPr>
          <w:color w:val="000000" w:themeColor="text1"/>
          <w14:textFill>
            <w14:solidFill>
              <w14:schemeClr w14:val="tx1"/>
            </w14:solidFill>
          </w14:textFill>
        </w:rPr>
      </w:sdtEndPr>
      <w:sdtContent>
        <w:p w14:paraId="2A2117B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2009BE7">
      <w:pPr>
        <w:rPr>
          <w:color w:val="000000" w:themeColor="text1"/>
          <w14:textFill>
            <w14:solidFill>
              <w14:schemeClr w14:val="tx1"/>
            </w14:solidFill>
          </w14:textFill>
        </w:rPr>
      </w:pPr>
    </w:p>
    <w:p w14:paraId="6110B42C">
      <w:pPr>
        <w:rPr>
          <w:color w:val="000000" w:themeColor="text1"/>
          <w14:textFill>
            <w14:solidFill>
              <w14:schemeClr w14:val="tx1"/>
            </w14:solidFill>
          </w14:textFill>
        </w:rPr>
      </w:pPr>
      <w:r>
        <w:rPr>
          <w:rFonts w:hint="eastAsia"/>
          <w:color w:val="000000" w:themeColor="text1"/>
          <w14:textFill>
            <w14:solidFill>
              <w14:schemeClr w14:val="tx1"/>
            </w14:solidFill>
          </w14:textFill>
        </w:rPr>
        <w:t>简化处理的短期租赁或低价值资产的租赁费用</w:t>
      </w:r>
    </w:p>
    <w:sdt>
      <w:sdtPr>
        <w:rPr>
          <w:color w:val="000000" w:themeColor="text1"/>
          <w14:textFill>
            <w14:solidFill>
              <w14:schemeClr w14:val="tx1"/>
            </w14:solidFill>
          </w14:textFill>
        </w:rPr>
        <w:alias w:val="是否适用：简化处理的短期租赁或低价值资产的租赁费用[双击切换]"/>
        <w:tag w:val="_GBC_f3c273f8bb6d4e099c00c1591f5a5a4f"/>
        <w:id w:val="678701536"/>
        <w:placeholder>
          <w:docPart w:val="GBC22222222222222222222222222222"/>
        </w:placeholder>
      </w:sdtPr>
      <w:sdtEndPr>
        <w:rPr>
          <w:color w:val="000000" w:themeColor="text1"/>
          <w14:textFill>
            <w14:solidFill>
              <w14:schemeClr w14:val="tx1"/>
            </w14:solidFill>
          </w14:textFill>
        </w:rPr>
      </w:sdtEndPr>
      <w:sdtContent>
        <w:p w14:paraId="3EA1B2B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简化处理的短期租赁或低价值资产的租赁费用"/>
        <w:tag w:val="_GBC_36bcbd6cb13f43938e3736b9a975fb9b"/>
        <w:id w:val="-905372868"/>
        <w:placeholder>
          <w:docPart w:val="GBC22222222222222222222222222222"/>
        </w:placeholder>
      </w:sdtPr>
      <w:sdtEndPr>
        <w:rPr>
          <w:color w:val="000000" w:themeColor="text1"/>
          <w14:textFill>
            <w14:solidFill>
              <w14:schemeClr w14:val="tx1"/>
            </w14:solidFill>
          </w14:textFill>
        </w:rPr>
      </w:sdtEndPr>
      <w:sdtContent>
        <w:p w14:paraId="4A86C048">
          <w:pPr>
            <w:spacing w:line="360" w:lineRule="auto"/>
          </w:pPr>
          <w:r>
            <w:rPr>
              <w:rFonts w:hint="eastAsia"/>
            </w:rPr>
            <w:t>简化处理的短期租赁或低价值资产的租赁费用：</w:t>
          </w:r>
          <w:r>
            <w:t>10,023,366.08</w:t>
          </w:r>
          <w:r>
            <w:rPr>
              <w:rFonts w:hint="eastAsia"/>
            </w:rPr>
            <w:t>元。</w:t>
          </w:r>
        </w:p>
      </w:sdtContent>
    </w:sdt>
    <w:p w14:paraId="09A827C6">
      <w:pPr>
        <w:rPr>
          <w:color w:val="000000" w:themeColor="text1"/>
          <w14:textFill>
            <w14:solidFill>
              <w14:schemeClr w14:val="tx1"/>
            </w14:solidFill>
          </w14:textFill>
        </w:rPr>
      </w:pPr>
    </w:p>
    <w:p w14:paraId="5F24D0FF">
      <w:pPr>
        <w:rPr>
          <w:color w:val="000000" w:themeColor="text1"/>
          <w14:textFill>
            <w14:solidFill>
              <w14:schemeClr w14:val="tx1"/>
            </w14:solidFill>
          </w14:textFill>
        </w:rPr>
      </w:pPr>
      <w:r>
        <w:rPr>
          <w:rFonts w:hint="eastAsia"/>
          <w:color w:val="000000" w:themeColor="text1"/>
          <w14:textFill>
            <w14:solidFill>
              <w14:schemeClr w14:val="tx1"/>
            </w14:solidFill>
          </w14:textFill>
        </w:rPr>
        <w:t>售后租回交易及判断依据</w:t>
      </w:r>
    </w:p>
    <w:sdt>
      <w:sdtPr>
        <w:rPr>
          <w:color w:val="000000" w:themeColor="text1"/>
          <w14:textFill>
            <w14:solidFill>
              <w14:schemeClr w14:val="tx1"/>
            </w14:solidFill>
          </w14:textFill>
        </w:rPr>
        <w:alias w:val="是否适用：售后租回交易及判断依据[双击切换]"/>
        <w:tag w:val="_GBC_1ca4680bb4e9497e80b8d3a59c79d5a1"/>
        <w:id w:val="361182337"/>
        <w:placeholder>
          <w:docPart w:val="GBC22222222222222222222222222222"/>
        </w:placeholder>
      </w:sdtPr>
      <w:sdtEndPr>
        <w:rPr>
          <w:color w:val="000000" w:themeColor="text1"/>
          <w14:textFill>
            <w14:solidFill>
              <w14:schemeClr w14:val="tx1"/>
            </w14:solidFill>
          </w14:textFill>
        </w:rPr>
      </w:sdtEndPr>
      <w:sdtContent>
        <w:p w14:paraId="70B47B2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92C9C56">
      <w:pPr>
        <w:rPr>
          <w:color w:val="000000" w:themeColor="text1"/>
          <w14:textFill>
            <w14:solidFill>
              <w14:schemeClr w14:val="tx1"/>
            </w14:solidFill>
          </w14:textFill>
        </w:rPr>
      </w:pPr>
    </w:p>
    <w:p w14:paraId="560DFC3C">
      <w:pPr>
        <w:rPr>
          <w:color w:val="000000" w:themeColor="text1"/>
          <w14:textFill>
            <w14:solidFill>
              <w14:schemeClr w14:val="tx1"/>
            </w14:solidFill>
          </w14:textFill>
        </w:rPr>
      </w:pPr>
      <w:r>
        <w:rPr>
          <w:rFonts w:hint="eastAsia"/>
          <w:color w:val="000000" w:themeColor="text1"/>
          <w14:textFill>
            <w14:solidFill>
              <w14:schemeClr w14:val="tx1"/>
            </w14:solidFill>
          </w14:textFill>
        </w:rPr>
        <w:t>与租赁相关的现金流出总额</w:t>
      </w:r>
      <w:r>
        <w:rPr>
          <w:color w:val="000000" w:themeColor="text1"/>
          <w14:textFill>
            <w14:solidFill>
              <w14:schemeClr w14:val="tx1"/>
            </w14:solidFill>
          </w14:textFill>
        </w:rPr>
        <w:t xml:space="preserve"> </w:t>
      </w:r>
      <w:sdt>
        <w:sdtPr>
          <w:rPr>
            <w:rFonts w:hint="eastAsia"/>
            <w:color w:val="000000" w:themeColor="text1"/>
            <w14:textFill>
              <w14:solidFill>
                <w14:schemeClr w14:val="tx1"/>
              </w14:solidFill>
            </w14:textFill>
          </w:rPr>
          <w:alias w:val="与租赁相关的现金流出总额"/>
          <w:tag w:val="_GBC_d78e0355036a45b9afc0eca5988d4956"/>
          <w:id w:val="-2009673239"/>
          <w:placeholder>
            <w:docPart w:val="GBC22222222222222222222222222222"/>
          </w:placeholder>
        </w:sdtPr>
        <w:sdtEndPr>
          <w:rPr>
            <w:rFonts w:hint="eastAsia"/>
            <w:color w:val="000000" w:themeColor="text1"/>
            <w14:textFill>
              <w14:solidFill>
                <w14:schemeClr w14:val="tx1"/>
              </w14:solidFill>
            </w14:textFill>
          </w:rPr>
        </w:sdtEndPr>
        <w:sdtContent>
          <w:r>
            <w:rPr>
              <w:color w:val="000000" w:themeColor="text1"/>
              <w14:textFill>
                <w14:solidFill>
                  <w14:schemeClr w14:val="tx1"/>
                </w14:solidFill>
              </w14:textFill>
            </w:rPr>
            <w:t>10,445,436.10</w:t>
          </w:r>
        </w:sdtContent>
      </w:sdt>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与租赁相关的现金流出总额"/>
          <w:tag w:val="_GBC_57a12ad185f640248e4c9dce377f5f57"/>
          <w:id w:val="126002771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与租赁相关的现金流出总额"/>
          <w:tag w:val="_GBC_a5553fa6fd6f4fefa66550584159c745"/>
          <w:id w:val="14209099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r>
        <w:rPr>
          <w:rFonts w:hint="eastAsia"/>
          <w:color w:val="000000" w:themeColor="text1"/>
          <w14:textFill>
            <w14:solidFill>
              <w14:schemeClr w14:val="tx1"/>
            </w14:solidFill>
          </w14:textFill>
        </w:rPr>
        <w:t>)</w:t>
      </w:r>
    </w:p>
    <w:p w14:paraId="12ACD9FD">
      <w:pPr>
        <w:rPr>
          <w:color w:val="000000" w:themeColor="text1"/>
          <w14:textFill>
            <w14:solidFill>
              <w14:schemeClr w14:val="tx1"/>
            </w14:solidFill>
          </w14:textFill>
        </w:rPr>
      </w:pPr>
    </w:p>
    <w:p w14:paraId="4EAF6B85">
      <w:pPr>
        <w:pStyle w:val="5"/>
        <w:numPr>
          <w:ilvl w:val="0"/>
          <w:numId w:val="80"/>
        </w:numPr>
        <w:ind w:left="0" w:firstLine="0"/>
        <w:rPr>
          <w:color w:val="000000" w:themeColor="text1"/>
          <w14:textFill>
            <w14:solidFill>
              <w14:schemeClr w14:val="tx1"/>
            </w14:solidFill>
          </w14:textFill>
        </w:rPr>
      </w:pPr>
      <w:r>
        <w:rPr>
          <w:color w:val="000000" w:themeColor="text1"/>
          <w14:textFill>
            <w14:solidFill>
              <w14:schemeClr w14:val="tx1"/>
            </w14:solidFill>
          </w14:textFill>
        </w:rPr>
        <w:t>作为出租人</w:t>
      </w:r>
    </w:p>
    <w:p w14:paraId="6DC1A9BF">
      <w:pPr>
        <w:rPr>
          <w:color w:val="000000" w:themeColor="text1"/>
          <w14:textFill>
            <w14:solidFill>
              <w14:schemeClr w14:val="tx1"/>
            </w14:solidFill>
          </w14:textFill>
        </w:rPr>
      </w:pPr>
      <w:r>
        <w:rPr>
          <w:color w:val="000000" w:themeColor="text1"/>
          <w14:textFill>
            <w14:solidFill>
              <w14:schemeClr w14:val="tx1"/>
            </w14:solidFill>
          </w14:textFill>
        </w:rPr>
        <w:t>作为出租人的经营</w:t>
      </w:r>
      <w:r>
        <w:rPr>
          <w:rFonts w:hint="eastAsia"/>
          <w:color w:val="000000" w:themeColor="text1"/>
          <w14:textFill>
            <w14:solidFill>
              <w14:schemeClr w14:val="tx1"/>
            </w14:solidFill>
          </w14:textFill>
        </w:rPr>
        <w:t>租赁</w:t>
      </w:r>
    </w:p>
    <w:sdt>
      <w:sdtPr>
        <w:rPr>
          <w:rFonts w:hint="eastAsia"/>
          <w:color w:val="000000" w:themeColor="text1"/>
          <w14:textFill>
            <w14:solidFill>
              <w14:schemeClr w14:val="tx1"/>
            </w14:solidFill>
          </w14:textFill>
        </w:rPr>
        <w:alias w:val="是否适用：作为出租人的经营租赁[双击切换]"/>
        <w:tag w:val="_GBC_8caa55cbe72d4d8cacd2b07a9782c9d1"/>
        <w:id w:val="1634287628"/>
        <w:placeholder>
          <w:docPart w:val="GBC22222222222222222222222222222"/>
        </w:placeholder>
      </w:sdtPr>
      <w:sdtEndPr>
        <w:rPr>
          <w:rFonts w:hint="eastAsia"/>
          <w:color w:val="000000" w:themeColor="text1"/>
          <w14:textFill>
            <w14:solidFill>
              <w14:schemeClr w14:val="tx1"/>
            </w14:solidFill>
          </w14:textFill>
        </w:rPr>
      </w:sdtEndPr>
      <w:sdtContent>
        <w:p w14:paraId="593AFC9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2CBDB3">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作为出租人的经营租赁"/>
          <w:tag w:val="_GBC_de6eb571fbe04adb9912546313da8056"/>
          <w:id w:val="176818826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作为出租人的经营租赁"/>
          <w:tag w:val="_GBC_3b9dbcc6234241c6ad9c2cb82be0f4e6"/>
          <w:id w:val="-16065003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1"/>
        <w:gridCol w:w="3013"/>
        <w:gridCol w:w="3014"/>
      </w:tblGrid>
      <w:tr w14:paraId="6EAB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92ea8def48e4d70a449933471ee6d8a"/>
            <w:id w:val="-90325844"/>
          </w:sdtPr>
          <w:sdtContent>
            <w:tc>
              <w:tcPr>
                <w:tcW w:w="1666" w:type="pct"/>
                <w:vAlign w:val="center"/>
              </w:tcPr>
              <w:p w14:paraId="4393DA0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fb99ae08176e462e8f93a77b1a3bf67d"/>
            <w:id w:val="1713386734"/>
          </w:sdtPr>
          <w:sdtContent>
            <w:tc>
              <w:tcPr>
                <w:tcW w:w="1667" w:type="pct"/>
                <w:vAlign w:val="center"/>
              </w:tcPr>
              <w:p w14:paraId="42208994">
                <w:pPr>
                  <w:jc w:val="center"/>
                  <w:rPr>
                    <w:color w:val="000000" w:themeColor="text1"/>
                    <w14:textFill>
                      <w14:solidFill>
                        <w14:schemeClr w14:val="tx1"/>
                      </w14:solidFill>
                    </w14:textFill>
                  </w:rPr>
                </w:pPr>
                <w:r>
                  <w:rPr>
                    <w:color w:val="000000" w:themeColor="text1"/>
                    <w14:textFill>
                      <w14:solidFill>
                        <w14:schemeClr w14:val="tx1"/>
                      </w14:solidFill>
                    </w14:textFill>
                  </w:rPr>
                  <w:t>租赁收入</w:t>
                </w:r>
              </w:p>
            </w:tc>
          </w:sdtContent>
        </w:sdt>
        <w:sdt>
          <w:sdtPr>
            <w:tag w:val="_PLD_b7054994bc594c33a61db80ee6e9bd3d"/>
            <w:id w:val="-626937110"/>
          </w:sdtPr>
          <w:sdtContent>
            <w:tc>
              <w:tcPr>
                <w:tcW w:w="1667" w:type="pct"/>
                <w:vAlign w:val="center"/>
              </w:tcPr>
              <w:p w14:paraId="3160FCBC">
                <w:pPr>
                  <w:jc w:val="center"/>
                  <w:rPr>
                    <w:color w:val="000000" w:themeColor="text1"/>
                    <w14:textFill>
                      <w14:solidFill>
                        <w14:schemeClr w14:val="tx1"/>
                      </w14:solidFill>
                    </w14:textFill>
                  </w:rPr>
                </w:pPr>
                <w:r>
                  <w:rPr>
                    <w:color w:val="000000" w:themeColor="text1"/>
                    <w14:textFill>
                      <w14:solidFill>
                        <w14:schemeClr w14:val="tx1"/>
                      </w14:solidFill>
                    </w14:textFill>
                  </w:rPr>
                  <w:t>其中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未计入租赁收款额的可变租赁付款额相关的收入</w:t>
                </w:r>
              </w:p>
            </w:tc>
          </w:sdtContent>
        </w:sdt>
      </w:tr>
      <w:tr w14:paraId="74FB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7C73D187">
            <w:pPr>
              <w:jc w:val="center"/>
            </w:pPr>
            <w:r>
              <w:t>房屋租赁</w:t>
            </w:r>
          </w:p>
        </w:tc>
        <w:tc>
          <w:tcPr>
            <w:tcW w:w="1667" w:type="pct"/>
            <w:vAlign w:val="center"/>
          </w:tcPr>
          <w:p w14:paraId="72690DD7">
            <w:pPr>
              <w:jc w:val="right"/>
            </w:pPr>
            <w:r>
              <w:t>48,188,482.03</w:t>
            </w:r>
          </w:p>
        </w:tc>
        <w:tc>
          <w:tcPr>
            <w:tcW w:w="1667" w:type="pct"/>
            <w:vAlign w:val="center"/>
          </w:tcPr>
          <w:p w14:paraId="1EC7617D">
            <w:pPr>
              <w:jc w:val="right"/>
            </w:pPr>
          </w:p>
        </w:tc>
      </w:tr>
      <w:tr w14:paraId="0E69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47953096">
            <w:pPr>
              <w:jc w:val="center"/>
            </w:pPr>
            <w:r>
              <w:t>运输工具</w:t>
            </w:r>
          </w:p>
        </w:tc>
        <w:tc>
          <w:tcPr>
            <w:tcW w:w="1667" w:type="pct"/>
            <w:vAlign w:val="center"/>
          </w:tcPr>
          <w:p w14:paraId="4CA52044">
            <w:pPr>
              <w:jc w:val="right"/>
            </w:pPr>
            <w:r>
              <w:t>581,887.87</w:t>
            </w:r>
          </w:p>
        </w:tc>
        <w:tc>
          <w:tcPr>
            <w:tcW w:w="1667" w:type="pct"/>
            <w:vAlign w:val="center"/>
          </w:tcPr>
          <w:p w14:paraId="12CB0EFC">
            <w:pPr>
              <w:jc w:val="right"/>
            </w:pPr>
          </w:p>
        </w:tc>
      </w:tr>
      <w:tr w14:paraId="5461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B73AFFB">
            <w:pPr>
              <w:jc w:val="center"/>
            </w:pPr>
            <w:r>
              <w:t>其他</w:t>
            </w:r>
          </w:p>
        </w:tc>
        <w:tc>
          <w:tcPr>
            <w:tcW w:w="1667" w:type="pct"/>
            <w:vAlign w:val="center"/>
          </w:tcPr>
          <w:p w14:paraId="260D5454">
            <w:pPr>
              <w:jc w:val="right"/>
            </w:pPr>
            <w:r>
              <w:t>4,385,469.00</w:t>
            </w:r>
          </w:p>
        </w:tc>
        <w:tc>
          <w:tcPr>
            <w:tcW w:w="1667" w:type="pct"/>
            <w:vAlign w:val="center"/>
          </w:tcPr>
          <w:p w14:paraId="4C7A915C">
            <w:pPr>
              <w:jc w:val="right"/>
            </w:pPr>
          </w:p>
        </w:tc>
      </w:tr>
      <w:tr w14:paraId="511D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ECBEB61">
            <w:pPr>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667" w:type="pct"/>
            <w:vAlign w:val="center"/>
          </w:tcPr>
          <w:p w14:paraId="650AD6D5">
            <w:pPr>
              <w:jc w:val="right"/>
            </w:pPr>
            <w:r>
              <w:t>53,155,838.90</w:t>
            </w:r>
          </w:p>
        </w:tc>
        <w:tc>
          <w:tcPr>
            <w:tcW w:w="1667" w:type="pct"/>
            <w:vAlign w:val="center"/>
          </w:tcPr>
          <w:p w14:paraId="1F4A2A39">
            <w:pPr>
              <w:jc w:val="right"/>
            </w:pPr>
          </w:p>
        </w:tc>
      </w:tr>
    </w:tbl>
    <w:p w14:paraId="6CCACB9C"/>
    <w:p w14:paraId="3620FA5B">
      <w:pPr>
        <w:rPr>
          <w:color w:val="000000" w:themeColor="text1"/>
          <w14:textFill>
            <w14:solidFill>
              <w14:schemeClr w14:val="tx1"/>
            </w14:solidFill>
          </w14:textFill>
        </w:rPr>
      </w:pPr>
      <w:r>
        <w:rPr>
          <w:color w:val="000000" w:themeColor="text1"/>
          <w14:textFill>
            <w14:solidFill>
              <w14:schemeClr w14:val="tx1"/>
            </w14:solidFill>
          </w14:textFill>
        </w:rPr>
        <w:t>作为出租人的融资租赁</w:t>
      </w:r>
    </w:p>
    <w:sdt>
      <w:sdtPr>
        <w:rPr>
          <w:color w:val="000000" w:themeColor="text1"/>
          <w14:textFill>
            <w14:solidFill>
              <w14:schemeClr w14:val="tx1"/>
            </w14:solidFill>
          </w14:textFill>
        </w:rPr>
        <w:alias w:val="是否适用：作为出租人的融资租赁[双击切换]"/>
        <w:tag w:val="_GBC_b8e25c7d290240c1ad7a8b299dddafda"/>
        <w:id w:val="827410973"/>
        <w:placeholder>
          <w:docPart w:val="GBC22222222222222222222222222222"/>
        </w:placeholder>
      </w:sdtPr>
      <w:sdtEndPr>
        <w:rPr>
          <w:color w:val="000000" w:themeColor="text1"/>
          <w14:textFill>
            <w14:solidFill>
              <w14:schemeClr w14:val="tx1"/>
            </w14:solidFill>
          </w14:textFill>
        </w:rPr>
      </w:sdtEndPr>
      <w:sdtContent>
        <w:p w14:paraId="54709AD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830DA9C">
      <w:pPr>
        <w:rPr>
          <w:b/>
          <w:color w:val="000000" w:themeColor="text1"/>
          <w14:textFill>
            <w14:solidFill>
              <w14:schemeClr w14:val="tx1"/>
            </w14:solidFill>
          </w14:textFill>
        </w:rPr>
      </w:pPr>
    </w:p>
    <w:p w14:paraId="44196EEC">
      <w:pPr>
        <w:rPr>
          <w:color w:val="000000" w:themeColor="text1"/>
          <w14:textFill>
            <w14:solidFill>
              <w14:schemeClr w14:val="tx1"/>
            </w14:solidFill>
          </w14:textFill>
        </w:rPr>
      </w:pPr>
      <w:r>
        <w:rPr>
          <w:color w:val="000000" w:themeColor="text1"/>
          <w14:textFill>
            <w14:solidFill>
              <w14:schemeClr w14:val="tx1"/>
            </w14:solidFill>
          </w14:textFill>
        </w:rPr>
        <w:t>未折现租赁收款额与租赁投资净额的调节表</w:t>
      </w:r>
    </w:p>
    <w:sdt>
      <w:sdtPr>
        <w:rPr>
          <w:color w:val="000000" w:themeColor="text1"/>
          <w14:textFill>
            <w14:solidFill>
              <w14:schemeClr w14:val="tx1"/>
            </w14:solidFill>
          </w14:textFill>
        </w:rPr>
        <w:alias w:val="是否适用：未折现租赁收款额与租赁投资净额的调节表?[双击切换]"/>
        <w:tag w:val="_GBC_24749e03a4f14d0186b6eef9cbb8456c"/>
        <w:id w:val="-2122292196"/>
        <w:placeholder>
          <w:docPart w:val="GBC22222222222222222222222222222"/>
        </w:placeholder>
      </w:sdtPr>
      <w:sdtEndPr>
        <w:rPr>
          <w:color w:val="000000" w:themeColor="text1"/>
          <w14:textFill>
            <w14:solidFill>
              <w14:schemeClr w14:val="tx1"/>
            </w14:solidFill>
          </w14:textFill>
        </w:rPr>
      </w:sdtEndPr>
      <w:sdtContent>
        <w:p w14:paraId="6055275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5E1A84">
      <w:pPr>
        <w:rPr>
          <w:b/>
          <w:color w:val="000000" w:themeColor="text1"/>
          <w14:textFill>
            <w14:solidFill>
              <w14:schemeClr w14:val="tx1"/>
            </w14:solidFill>
          </w14:textFill>
        </w:rPr>
      </w:pPr>
    </w:p>
    <w:p w14:paraId="39E5B9BB">
      <w:pPr>
        <w:rPr>
          <w:color w:val="000000" w:themeColor="text1"/>
          <w14:textFill>
            <w14:solidFill>
              <w14:schemeClr w14:val="tx1"/>
            </w14:solidFill>
          </w14:textFill>
        </w:rPr>
      </w:pPr>
      <w:r>
        <w:rPr>
          <w:color w:val="000000" w:themeColor="text1"/>
          <w14:textFill>
            <w14:solidFill>
              <w14:schemeClr w14:val="tx1"/>
            </w14:solidFill>
          </w14:textFill>
        </w:rPr>
        <w:t>未来五年</w:t>
      </w:r>
      <w:r>
        <w:rPr>
          <w:rFonts w:hint="eastAsia"/>
          <w:color w:val="000000" w:themeColor="text1"/>
          <w14:textFill>
            <w14:solidFill>
              <w14:schemeClr w14:val="tx1"/>
            </w14:solidFill>
          </w14:textFill>
        </w:rPr>
        <w:t>未</w:t>
      </w:r>
      <w:r>
        <w:rPr>
          <w:color w:val="000000" w:themeColor="text1"/>
          <w14:textFill>
            <w14:solidFill>
              <w14:schemeClr w14:val="tx1"/>
            </w14:solidFill>
          </w14:textFill>
        </w:rPr>
        <w:t>折现租赁收款额</w:t>
      </w:r>
    </w:p>
    <w:sdt>
      <w:sdtPr>
        <w:rPr>
          <w:color w:val="000000" w:themeColor="text1"/>
          <w14:textFill>
            <w14:solidFill>
              <w14:schemeClr w14:val="tx1"/>
            </w14:solidFill>
          </w14:textFill>
        </w:rPr>
        <w:alias w:val="是否适用：未来五年未折现租赁收款额[双击切换]"/>
        <w:tag w:val="_GBC_6011fa033af24e8c940b4fc9b0df290d"/>
        <w:id w:val="-459720291"/>
        <w:placeholder>
          <w:docPart w:val="GBC22222222222222222222222222222"/>
        </w:placeholder>
      </w:sdtPr>
      <w:sdtEndPr>
        <w:rPr>
          <w:color w:val="000000" w:themeColor="text1"/>
          <w14:textFill>
            <w14:solidFill>
              <w14:schemeClr w14:val="tx1"/>
            </w14:solidFill>
          </w14:textFill>
        </w:rPr>
      </w:sdtEndPr>
      <w:sdtContent>
        <w:p w14:paraId="58FF260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1BA83AC">
      <w:pPr>
        <w:rPr>
          <w:b/>
          <w:color w:val="000000" w:themeColor="text1"/>
          <w14:textFill>
            <w14:solidFill>
              <w14:schemeClr w14:val="tx1"/>
            </w14:solidFill>
          </w14:textFill>
        </w:rPr>
      </w:pPr>
    </w:p>
    <w:p w14:paraId="5372110D">
      <w:pPr>
        <w:pStyle w:val="5"/>
        <w:numPr>
          <w:ilvl w:val="0"/>
          <w:numId w:val="80"/>
        </w:numPr>
        <w:ind w:left="0" w:firstLine="0"/>
        <w:rPr>
          <w:color w:val="000000" w:themeColor="text1"/>
          <w14:textFill>
            <w14:solidFill>
              <w14:schemeClr w14:val="tx1"/>
            </w14:solidFill>
          </w14:textFill>
        </w:rPr>
      </w:pPr>
      <w:r>
        <w:rPr>
          <w:color w:val="000000" w:themeColor="text1"/>
          <w14:textFill>
            <w14:solidFill>
              <w14:schemeClr w14:val="tx1"/>
            </w14:solidFill>
          </w14:textFill>
        </w:rPr>
        <w:t>作为生产商或经销商确认融资租赁销售损益</w:t>
      </w:r>
    </w:p>
    <w:sdt>
      <w:sdtPr>
        <w:rPr>
          <w:color w:val="000000" w:themeColor="text1"/>
          <w14:textFill>
            <w14:solidFill>
              <w14:schemeClr w14:val="tx1"/>
            </w14:solidFill>
          </w14:textFill>
        </w:rPr>
        <w:alias w:val="是否适用：作为生产商或经销商确认融资租赁销售损益[双击切换]"/>
        <w:tag w:val="_GBC_213bb116a7f04deab5b21583470b1e43"/>
        <w:id w:val="-1858886747"/>
        <w:placeholder>
          <w:docPart w:val="GBC22222222222222222222222222222"/>
        </w:placeholder>
      </w:sdtPr>
      <w:sdtEndPr>
        <w:rPr>
          <w:color w:val="000000" w:themeColor="text1"/>
          <w14:textFill>
            <w14:solidFill>
              <w14:schemeClr w14:val="tx1"/>
            </w14:solidFill>
          </w14:textFill>
        </w:rPr>
      </w:sdtEndPr>
      <w:sdtContent>
        <w:p w14:paraId="5DBE6B9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41036A">
      <w:pPr>
        <w:rPr>
          <w:color w:val="000000" w:themeColor="text1"/>
          <w14:textFill>
            <w14:solidFill>
              <w14:schemeClr w14:val="tx1"/>
            </w14:solidFill>
          </w14:textFill>
        </w:rPr>
      </w:pPr>
    </w:p>
    <w:p w14:paraId="1A265D37">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租赁其他说明"/>
        <w:tag w:val="_GBC_7b832cbbef274cceadb68c4291f1d973"/>
        <w:id w:val="1202366393"/>
        <w:placeholder>
          <w:docPart w:val="GBC22222222222222222222222222222"/>
        </w:placeholder>
      </w:sdtPr>
      <w:sdtEndPr>
        <w:rPr>
          <w:color w:val="000000" w:themeColor="text1"/>
          <w14:textFill>
            <w14:solidFill>
              <w14:schemeClr w14:val="tx1"/>
            </w14:solidFill>
          </w14:textFill>
        </w:rPr>
      </w:sdtEndPr>
      <w:sdtContent>
        <w:p w14:paraId="3507E8E7">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1BB8EB68">
      <w:pPr>
        <w:rPr>
          <w:color w:val="000000" w:themeColor="text1"/>
          <w14:textFill>
            <w14:solidFill>
              <w14:schemeClr w14:val="tx1"/>
            </w14:solidFill>
          </w14:textFill>
        </w:rPr>
      </w:pPr>
    </w:p>
    <w:bookmarkEnd w:id="353"/>
    <w:p w14:paraId="418EA437">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数据资源</w:t>
      </w:r>
    </w:p>
    <w:sdt>
      <w:sdtPr>
        <w:rPr>
          <w:color w:val="000000" w:themeColor="text1"/>
          <w14:textFill>
            <w14:solidFill>
              <w14:schemeClr w14:val="tx1"/>
            </w14:solidFill>
          </w14:textFill>
        </w:rPr>
        <w:alias w:val="是否适用：附注数据资源需要说明的事项[双击切换]"/>
        <w:tag w:val="_GBC_69b3c483faf0482e86f2ca96cb446815"/>
        <w:id w:val="-1113820458"/>
        <w:placeholder>
          <w:docPart w:val="GBC22222222222222222222222222222"/>
        </w:placeholder>
      </w:sdtPr>
      <w:sdtEndPr>
        <w:rPr>
          <w:color w:val="000000" w:themeColor="text1"/>
          <w14:textFill>
            <w14:solidFill>
              <w14:schemeClr w14:val="tx1"/>
            </w14:solidFill>
          </w14:textFill>
        </w:rPr>
      </w:sdtEndPr>
      <w:sdtContent>
        <w:p w14:paraId="01E6F52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2FB084D">
      <w:pPr>
        <w:rPr>
          <w:color w:val="000000" w:themeColor="text1"/>
          <w14:textFill>
            <w14:solidFill>
              <w14:schemeClr w14:val="tx1"/>
            </w14:solidFill>
          </w14:textFill>
        </w:rPr>
      </w:pPr>
    </w:p>
    <w:p w14:paraId="012DCF63">
      <w:pPr>
        <w:pStyle w:val="4"/>
        <w:numPr>
          <w:ilvl w:val="0"/>
          <w:numId w:val="41"/>
        </w:numP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w:t>
      </w:r>
    </w:p>
    <w:sdt>
      <w:sdtPr>
        <w:rPr>
          <w:color w:val="000000" w:themeColor="text1"/>
          <w14:textFill>
            <w14:solidFill>
              <w14:schemeClr w14:val="tx1"/>
            </w14:solidFill>
          </w14:textFill>
        </w:rPr>
        <w:alias w:val="是否适用：合并财务报表项目注释其他需要说明的事项[双击切换]"/>
        <w:tag w:val="_GBC_d9335575f6594653aa8718dc633c644c"/>
        <w:id w:val="-597791719"/>
        <w:placeholder>
          <w:docPart w:val="GBC22222222222222222222222222222"/>
        </w:placeholder>
      </w:sdtPr>
      <w:sdtEndPr>
        <w:rPr>
          <w:color w:val="000000" w:themeColor="text1"/>
          <w14:textFill>
            <w14:solidFill>
              <w14:schemeClr w14:val="tx1"/>
            </w14:solidFill>
          </w14:textFill>
        </w:rPr>
      </w:sdtEndPr>
      <w:sdtContent>
        <w:p w14:paraId="6758096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A9288F">
      <w:pPr>
        <w:rPr>
          <w:color w:val="000000" w:themeColor="text1"/>
          <w14:textFill>
            <w14:solidFill>
              <w14:schemeClr w14:val="tx1"/>
            </w14:solidFill>
          </w14:textFill>
        </w:rPr>
      </w:pPr>
    </w:p>
    <w:p w14:paraId="165AD8D4">
      <w:pPr>
        <w:pStyle w:val="3"/>
        <w:numPr>
          <w:ilvl w:val="0"/>
          <w:numId w:val="30"/>
        </w:numPr>
        <w:ind w:left="420" w:hanging="420"/>
        <w:rPr>
          <w:rFonts w:ascii="宋体" w:hAnsi="宋体"/>
          <w:color w:val="000000" w:themeColor="text1"/>
          <w14:textFill>
            <w14:solidFill>
              <w14:schemeClr w14:val="tx1"/>
            </w14:solidFill>
          </w14:textFill>
        </w:rPr>
      </w:pPr>
      <w:bookmarkStart w:id="354" w:name="_Hlk40108415"/>
      <w:bookmarkStart w:id="355" w:name="_Hlk167971708"/>
      <w:r>
        <w:rPr>
          <w:rFonts w:hint="eastAsia" w:ascii="宋体" w:hAnsi="宋体"/>
          <w:color w:val="000000" w:themeColor="text1"/>
          <w14:textFill>
            <w14:solidFill>
              <w14:schemeClr w14:val="tx1"/>
            </w14:solidFill>
          </w14:textFill>
        </w:rPr>
        <w:t>研发支出</w:t>
      </w:r>
    </w:p>
    <w:p w14:paraId="52ED09C3">
      <w:pPr>
        <w:pStyle w:val="4"/>
        <w:numPr>
          <w:ilvl w:val="0"/>
          <w:numId w:val="81"/>
        </w:numPr>
        <w:ind w:left="360" w:hanging="360"/>
        <w:rPr>
          <w:color w:val="000000" w:themeColor="text1"/>
          <w14:textFill>
            <w14:solidFill>
              <w14:schemeClr w14:val="tx1"/>
            </w14:solidFill>
          </w14:textFill>
        </w:rPr>
      </w:pPr>
      <w:r>
        <w:rPr>
          <w:rFonts w:hint="eastAsia"/>
          <w:color w:val="000000" w:themeColor="text1"/>
          <w14:textFill>
            <w14:solidFill>
              <w14:schemeClr w14:val="tx1"/>
            </w14:solidFill>
          </w14:textFill>
        </w:rPr>
        <w:t>按费用性质列示</w:t>
      </w:r>
    </w:p>
    <w:sdt>
      <w:sdtPr>
        <w:rPr>
          <w:color w:val="000000" w:themeColor="text1"/>
          <w14:textFill>
            <w14:solidFill>
              <w14:schemeClr w14:val="tx1"/>
            </w14:solidFill>
          </w14:textFill>
        </w:rPr>
        <w:alias w:val="是否适用：研发费用[双击切换]"/>
        <w:tag w:val="_GBC_c038265fdb0b49dea367e73fadbd1bf3"/>
        <w:id w:val="1602602082"/>
        <w:placeholder>
          <w:docPart w:val="GBC22222222222222222222222222222"/>
        </w:placeholder>
      </w:sdtPr>
      <w:sdtEndPr>
        <w:rPr>
          <w:color w:val="000000" w:themeColor="text1"/>
          <w14:textFill>
            <w14:solidFill>
              <w14:schemeClr w14:val="tx1"/>
            </w14:solidFill>
          </w14:textFill>
        </w:rPr>
      </w:sdtEndPr>
      <w:sdtContent>
        <w:p w14:paraId="5BAA927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4DF213">
      <w:pPr>
        <w:pStyle w:val="68"/>
        <w:ind w:left="420" w:firstLine="0" w:firstLineChars="0"/>
        <w:jc w:val="righ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单位：</w:t>
      </w:r>
      <w:sdt>
        <w:sdtPr>
          <w:rPr>
            <w:rFonts w:hint="eastAsia"/>
            <w:color w:val="000000" w:themeColor="text1"/>
            <w:szCs w:val="21"/>
            <w14:textFill>
              <w14:solidFill>
                <w14:schemeClr w14:val="tx1"/>
              </w14:solidFill>
            </w14:textFill>
          </w:rPr>
          <w:alias w:val="单位：研发费用"/>
          <w:tag w:val="_GBC_ba6e122abfd8443283c681cd38b3d395"/>
          <w:id w:val="11816341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szCs w:val="21"/>
            <w14:textFill>
              <w14:solidFill>
                <w14:schemeClr w14:val="tx1"/>
              </w14:solidFill>
            </w14:textFill>
          </w:rPr>
        </w:sdtEndPr>
        <w:sdtContent>
          <w:r>
            <w:rPr>
              <w:rFonts w:hint="eastAsia"/>
              <w:color w:val="000000" w:themeColor="text1"/>
              <w:szCs w:val="21"/>
              <w14:textFill>
                <w14:solidFill>
                  <w14:schemeClr w14:val="tx1"/>
                </w14:solidFill>
              </w14:textFill>
            </w:rPr>
            <w:t>元</w:t>
          </w:r>
        </w:sdtContent>
      </w:sdt>
      <w:r>
        <w:rPr>
          <w:rFonts w:hint="eastAsia"/>
          <w:color w:val="000000" w:themeColor="text1"/>
          <w:szCs w:val="21"/>
          <w14:textFill>
            <w14:solidFill>
              <w14:schemeClr w14:val="tx1"/>
            </w14:solidFill>
          </w14:textFill>
        </w:rPr>
        <w:t xml:space="preserve">  币种：</w:t>
      </w:r>
      <w:sdt>
        <w:sdtPr>
          <w:rPr>
            <w:rFonts w:hint="eastAsia"/>
            <w:color w:val="000000" w:themeColor="text1"/>
            <w:szCs w:val="21"/>
            <w14:textFill>
              <w14:solidFill>
                <w14:schemeClr w14:val="tx1"/>
              </w14:solidFill>
            </w14:textFill>
          </w:rPr>
          <w:alias w:val="币种：研发费用"/>
          <w:tag w:val="_GBC_d5e978ec78684853899851ff1623b4fc"/>
          <w:id w:val="5648411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szCs w:val="21"/>
            <w14:textFill>
              <w14:solidFill>
                <w14:schemeClr w14:val="tx1"/>
              </w14:solidFill>
            </w14:textFill>
          </w:rPr>
        </w:sdtEndPr>
        <w:sdtContent>
          <w:r>
            <w:rPr>
              <w:rFonts w:hint="eastAsia"/>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14:paraId="6C40A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d7c4dfc9e774f139ca83d0601e815ea"/>
            <w:id w:val="-33432468"/>
          </w:sdtPr>
          <w:sdtContent>
            <w:tc>
              <w:tcPr>
                <w:tcW w:w="2213" w:type="pct"/>
                <w:tcBorders>
                  <w:top w:val="single" w:color="auto" w:sz="4" w:space="0"/>
                  <w:left w:val="single" w:color="auto" w:sz="4" w:space="0"/>
                  <w:bottom w:val="single" w:color="auto" w:sz="4" w:space="0"/>
                  <w:right w:val="single" w:color="auto" w:sz="4" w:space="0"/>
                </w:tcBorders>
              </w:tcPr>
              <w:p w14:paraId="36D72A8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d1e5baa8c6741cda3956270e192cc79"/>
            <w:id w:val="2039316256"/>
          </w:sdtPr>
          <w:sdtContent>
            <w:tc>
              <w:tcPr>
                <w:tcW w:w="1439" w:type="pct"/>
                <w:tcBorders>
                  <w:top w:val="single" w:color="auto" w:sz="4" w:space="0"/>
                  <w:left w:val="single" w:color="auto" w:sz="4" w:space="0"/>
                  <w:bottom w:val="single" w:color="auto" w:sz="4" w:space="0"/>
                  <w:right w:val="single" w:color="auto" w:sz="4" w:space="0"/>
                </w:tcBorders>
              </w:tcPr>
              <w:p w14:paraId="24E9010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91cd6ee02fbd4f6e86f6503667dce560"/>
            <w:id w:val="1464931918"/>
          </w:sdtPr>
          <w:sdtContent>
            <w:tc>
              <w:tcPr>
                <w:tcW w:w="1348" w:type="pct"/>
                <w:tcBorders>
                  <w:top w:val="single" w:color="auto" w:sz="4" w:space="0"/>
                  <w:left w:val="single" w:color="auto" w:sz="4" w:space="0"/>
                  <w:bottom w:val="single" w:color="auto" w:sz="4" w:space="0"/>
                  <w:right w:val="single" w:color="auto" w:sz="4" w:space="0"/>
                </w:tcBorders>
              </w:tcPr>
              <w:p w14:paraId="154B0AF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4702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3E5508E">
            <w:pPr>
              <w:jc w:val="center"/>
              <w:rPr>
                <w:color w:val="000000"/>
              </w:rPr>
            </w:pPr>
            <w:r>
              <w:rPr>
                <w:rFonts w:hint="eastAsia"/>
                <w:color w:val="000000"/>
              </w:rPr>
              <w:t>职工薪酬及福利费</w:t>
            </w:r>
          </w:p>
        </w:tc>
        <w:tc>
          <w:tcPr>
            <w:tcW w:w="1439" w:type="pct"/>
            <w:tcBorders>
              <w:top w:val="single" w:color="auto" w:sz="4" w:space="0"/>
              <w:left w:val="single" w:color="auto" w:sz="4" w:space="0"/>
              <w:bottom w:val="single" w:color="auto" w:sz="4" w:space="0"/>
              <w:right w:val="single" w:color="auto" w:sz="4" w:space="0"/>
            </w:tcBorders>
            <w:vAlign w:val="center"/>
          </w:tcPr>
          <w:p w14:paraId="52343F99">
            <w:pPr>
              <w:jc w:val="right"/>
              <w:rPr>
                <w:color w:val="000000"/>
              </w:rPr>
            </w:pPr>
            <w:r>
              <w:rPr>
                <w:color w:val="000000"/>
              </w:rPr>
              <w:t>112,582,492.88</w:t>
            </w:r>
          </w:p>
        </w:tc>
        <w:tc>
          <w:tcPr>
            <w:tcW w:w="1348" w:type="pct"/>
            <w:tcBorders>
              <w:top w:val="single" w:color="auto" w:sz="4" w:space="0"/>
              <w:left w:val="single" w:color="auto" w:sz="4" w:space="0"/>
              <w:bottom w:val="single" w:color="auto" w:sz="4" w:space="0"/>
              <w:right w:val="single" w:color="auto" w:sz="4" w:space="0"/>
            </w:tcBorders>
            <w:vAlign w:val="center"/>
          </w:tcPr>
          <w:p w14:paraId="10C7660A">
            <w:pPr>
              <w:jc w:val="right"/>
              <w:rPr>
                <w:color w:val="000000"/>
              </w:rPr>
            </w:pPr>
            <w:r>
              <w:rPr>
                <w:rFonts w:hint="eastAsia"/>
                <w:color w:val="000000"/>
              </w:rPr>
              <w:t>111,019,266.40</w:t>
            </w:r>
          </w:p>
        </w:tc>
      </w:tr>
      <w:tr w14:paraId="5C93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3BB83990">
            <w:pPr>
              <w:jc w:val="center"/>
              <w:rPr>
                <w:color w:val="000000"/>
              </w:rPr>
            </w:pPr>
            <w:r>
              <w:rPr>
                <w:rFonts w:hint="eastAsia"/>
                <w:color w:val="000000"/>
              </w:rPr>
              <w:t>委托外部开发费用</w:t>
            </w:r>
          </w:p>
        </w:tc>
        <w:tc>
          <w:tcPr>
            <w:tcW w:w="1439" w:type="pct"/>
            <w:tcBorders>
              <w:top w:val="single" w:color="auto" w:sz="4" w:space="0"/>
              <w:left w:val="single" w:color="auto" w:sz="4" w:space="0"/>
              <w:bottom w:val="single" w:color="auto" w:sz="4" w:space="0"/>
              <w:right w:val="single" w:color="auto" w:sz="4" w:space="0"/>
            </w:tcBorders>
            <w:vAlign w:val="center"/>
          </w:tcPr>
          <w:p w14:paraId="4849812A">
            <w:pPr>
              <w:jc w:val="right"/>
              <w:rPr>
                <w:color w:val="000000"/>
              </w:rPr>
            </w:pPr>
            <w:r>
              <w:rPr>
                <w:color w:val="000000"/>
              </w:rPr>
              <w:t>61,582,773.06</w:t>
            </w:r>
          </w:p>
        </w:tc>
        <w:tc>
          <w:tcPr>
            <w:tcW w:w="1348" w:type="pct"/>
            <w:tcBorders>
              <w:top w:val="single" w:color="auto" w:sz="4" w:space="0"/>
              <w:left w:val="single" w:color="auto" w:sz="4" w:space="0"/>
              <w:bottom w:val="single" w:color="auto" w:sz="4" w:space="0"/>
              <w:right w:val="single" w:color="auto" w:sz="4" w:space="0"/>
            </w:tcBorders>
            <w:vAlign w:val="center"/>
          </w:tcPr>
          <w:p w14:paraId="1A7534B1">
            <w:pPr>
              <w:jc w:val="right"/>
              <w:rPr>
                <w:color w:val="000000"/>
              </w:rPr>
            </w:pPr>
            <w:r>
              <w:rPr>
                <w:rFonts w:hint="eastAsia"/>
                <w:color w:val="000000"/>
              </w:rPr>
              <w:t>8,397,781.96</w:t>
            </w:r>
          </w:p>
        </w:tc>
      </w:tr>
      <w:tr w14:paraId="21ED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35F9842">
            <w:pPr>
              <w:jc w:val="center"/>
              <w:rPr>
                <w:color w:val="000000"/>
              </w:rPr>
            </w:pPr>
            <w:r>
              <w:rPr>
                <w:rFonts w:hint="eastAsia"/>
                <w:color w:val="000000"/>
              </w:rPr>
              <w:t>折旧及摊销</w:t>
            </w:r>
          </w:p>
        </w:tc>
        <w:tc>
          <w:tcPr>
            <w:tcW w:w="1439" w:type="pct"/>
            <w:tcBorders>
              <w:top w:val="single" w:color="auto" w:sz="4" w:space="0"/>
              <w:left w:val="single" w:color="auto" w:sz="4" w:space="0"/>
              <w:bottom w:val="single" w:color="auto" w:sz="4" w:space="0"/>
              <w:right w:val="single" w:color="auto" w:sz="4" w:space="0"/>
            </w:tcBorders>
            <w:vAlign w:val="center"/>
          </w:tcPr>
          <w:p w14:paraId="3020B321">
            <w:pPr>
              <w:jc w:val="right"/>
              <w:rPr>
                <w:color w:val="000000"/>
              </w:rPr>
            </w:pPr>
            <w:r>
              <w:rPr>
                <w:color w:val="000000"/>
              </w:rPr>
              <w:t>156,678,611.5</w:t>
            </w:r>
          </w:p>
        </w:tc>
        <w:tc>
          <w:tcPr>
            <w:tcW w:w="1348" w:type="pct"/>
            <w:tcBorders>
              <w:top w:val="single" w:color="auto" w:sz="4" w:space="0"/>
              <w:left w:val="single" w:color="auto" w:sz="4" w:space="0"/>
              <w:bottom w:val="single" w:color="auto" w:sz="4" w:space="0"/>
              <w:right w:val="single" w:color="auto" w:sz="4" w:space="0"/>
            </w:tcBorders>
            <w:vAlign w:val="center"/>
          </w:tcPr>
          <w:p w14:paraId="3271843E">
            <w:pPr>
              <w:jc w:val="right"/>
              <w:rPr>
                <w:color w:val="000000"/>
              </w:rPr>
            </w:pPr>
            <w:r>
              <w:rPr>
                <w:rFonts w:hint="eastAsia"/>
                <w:color w:val="000000"/>
              </w:rPr>
              <w:t>154,010,264.79</w:t>
            </w:r>
          </w:p>
        </w:tc>
      </w:tr>
      <w:tr w14:paraId="70E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2507CEE">
            <w:pPr>
              <w:jc w:val="center"/>
              <w:rPr>
                <w:color w:val="000000"/>
              </w:rPr>
            </w:pPr>
            <w:r>
              <w:rPr>
                <w:rFonts w:hint="eastAsia"/>
                <w:color w:val="000000"/>
              </w:rPr>
              <w:t>材料费</w:t>
            </w:r>
          </w:p>
        </w:tc>
        <w:tc>
          <w:tcPr>
            <w:tcW w:w="1439" w:type="pct"/>
            <w:tcBorders>
              <w:top w:val="single" w:color="auto" w:sz="4" w:space="0"/>
              <w:left w:val="single" w:color="auto" w:sz="4" w:space="0"/>
              <w:bottom w:val="single" w:color="auto" w:sz="4" w:space="0"/>
              <w:right w:val="single" w:color="auto" w:sz="4" w:space="0"/>
            </w:tcBorders>
            <w:vAlign w:val="center"/>
          </w:tcPr>
          <w:p w14:paraId="13C04DC8">
            <w:pPr>
              <w:jc w:val="right"/>
              <w:rPr>
                <w:color w:val="000000"/>
              </w:rPr>
            </w:pPr>
            <w:r>
              <w:rPr>
                <w:color w:val="000000"/>
              </w:rPr>
              <w:t>18,818,850.53</w:t>
            </w:r>
          </w:p>
        </w:tc>
        <w:tc>
          <w:tcPr>
            <w:tcW w:w="1348" w:type="pct"/>
            <w:tcBorders>
              <w:top w:val="single" w:color="auto" w:sz="4" w:space="0"/>
              <w:left w:val="single" w:color="auto" w:sz="4" w:space="0"/>
              <w:bottom w:val="single" w:color="auto" w:sz="4" w:space="0"/>
              <w:right w:val="single" w:color="auto" w:sz="4" w:space="0"/>
            </w:tcBorders>
            <w:vAlign w:val="center"/>
          </w:tcPr>
          <w:p w14:paraId="60016211">
            <w:pPr>
              <w:jc w:val="right"/>
              <w:rPr>
                <w:color w:val="000000"/>
              </w:rPr>
            </w:pPr>
            <w:r>
              <w:rPr>
                <w:rFonts w:hint="eastAsia"/>
                <w:color w:val="000000"/>
              </w:rPr>
              <w:t>7,173,024.52</w:t>
            </w:r>
          </w:p>
        </w:tc>
      </w:tr>
      <w:tr w14:paraId="50F2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F8AC600">
            <w:pPr>
              <w:jc w:val="center"/>
              <w:rPr>
                <w:color w:val="000000"/>
              </w:rPr>
            </w:pPr>
            <w:r>
              <w:rPr>
                <w:rFonts w:hint="eastAsia"/>
                <w:color w:val="000000"/>
              </w:rPr>
              <w:t>服务费</w:t>
            </w:r>
          </w:p>
        </w:tc>
        <w:tc>
          <w:tcPr>
            <w:tcW w:w="1439" w:type="pct"/>
            <w:tcBorders>
              <w:top w:val="single" w:color="auto" w:sz="4" w:space="0"/>
              <w:left w:val="single" w:color="auto" w:sz="4" w:space="0"/>
              <w:bottom w:val="single" w:color="auto" w:sz="4" w:space="0"/>
              <w:right w:val="single" w:color="auto" w:sz="4" w:space="0"/>
            </w:tcBorders>
            <w:vAlign w:val="center"/>
          </w:tcPr>
          <w:p w14:paraId="3E7FACC4">
            <w:pPr>
              <w:jc w:val="right"/>
              <w:rPr>
                <w:color w:val="000000"/>
              </w:rPr>
            </w:pPr>
            <w:r>
              <w:rPr>
                <w:color w:val="000000"/>
              </w:rPr>
              <w:t>9,720,207.23</w:t>
            </w:r>
          </w:p>
        </w:tc>
        <w:tc>
          <w:tcPr>
            <w:tcW w:w="1348" w:type="pct"/>
            <w:tcBorders>
              <w:top w:val="single" w:color="auto" w:sz="4" w:space="0"/>
              <w:left w:val="single" w:color="auto" w:sz="4" w:space="0"/>
              <w:bottom w:val="single" w:color="auto" w:sz="4" w:space="0"/>
              <w:right w:val="single" w:color="auto" w:sz="4" w:space="0"/>
            </w:tcBorders>
            <w:vAlign w:val="center"/>
          </w:tcPr>
          <w:p w14:paraId="6B58A312">
            <w:pPr>
              <w:jc w:val="right"/>
              <w:rPr>
                <w:color w:val="000000"/>
              </w:rPr>
            </w:pPr>
            <w:r>
              <w:rPr>
                <w:rFonts w:hint="eastAsia"/>
                <w:color w:val="000000"/>
              </w:rPr>
              <w:t>7,502,622.44</w:t>
            </w:r>
          </w:p>
        </w:tc>
      </w:tr>
      <w:tr w14:paraId="10BA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119DF7E6">
            <w:pPr>
              <w:jc w:val="center"/>
              <w:rPr>
                <w:color w:val="000000"/>
              </w:rPr>
            </w:pPr>
            <w:r>
              <w:rPr>
                <w:rFonts w:hint="eastAsia"/>
                <w:color w:val="000000"/>
              </w:rPr>
              <w:t>试验检测费</w:t>
            </w:r>
          </w:p>
        </w:tc>
        <w:tc>
          <w:tcPr>
            <w:tcW w:w="1439" w:type="pct"/>
            <w:tcBorders>
              <w:top w:val="single" w:color="auto" w:sz="4" w:space="0"/>
              <w:left w:val="single" w:color="auto" w:sz="4" w:space="0"/>
              <w:bottom w:val="single" w:color="auto" w:sz="4" w:space="0"/>
              <w:right w:val="single" w:color="auto" w:sz="4" w:space="0"/>
            </w:tcBorders>
            <w:vAlign w:val="center"/>
          </w:tcPr>
          <w:p w14:paraId="7C5707FE">
            <w:pPr>
              <w:jc w:val="right"/>
              <w:rPr>
                <w:color w:val="000000"/>
              </w:rPr>
            </w:pPr>
            <w:r>
              <w:rPr>
                <w:color w:val="000000"/>
              </w:rPr>
              <w:t>23,343,857.83</w:t>
            </w:r>
          </w:p>
        </w:tc>
        <w:tc>
          <w:tcPr>
            <w:tcW w:w="1348" w:type="pct"/>
            <w:tcBorders>
              <w:top w:val="single" w:color="auto" w:sz="4" w:space="0"/>
              <w:left w:val="single" w:color="auto" w:sz="4" w:space="0"/>
              <w:bottom w:val="single" w:color="auto" w:sz="4" w:space="0"/>
              <w:right w:val="single" w:color="auto" w:sz="4" w:space="0"/>
            </w:tcBorders>
            <w:vAlign w:val="center"/>
          </w:tcPr>
          <w:p w14:paraId="7F033262">
            <w:pPr>
              <w:jc w:val="right"/>
              <w:rPr>
                <w:color w:val="000000"/>
              </w:rPr>
            </w:pPr>
            <w:r>
              <w:rPr>
                <w:rFonts w:hint="eastAsia"/>
                <w:color w:val="000000"/>
              </w:rPr>
              <w:t>12,094,072.49</w:t>
            </w:r>
          </w:p>
        </w:tc>
      </w:tr>
      <w:tr w14:paraId="2512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7DC9369C">
            <w:pPr>
              <w:jc w:val="center"/>
              <w:rPr>
                <w:color w:val="000000"/>
              </w:rPr>
            </w:pPr>
            <w:r>
              <w:rPr>
                <w:rFonts w:hint="eastAsia"/>
                <w:color w:val="000000"/>
              </w:rPr>
              <w:t>开发设计费</w:t>
            </w:r>
          </w:p>
        </w:tc>
        <w:tc>
          <w:tcPr>
            <w:tcW w:w="1439" w:type="pct"/>
            <w:tcBorders>
              <w:top w:val="single" w:color="auto" w:sz="4" w:space="0"/>
              <w:left w:val="single" w:color="auto" w:sz="4" w:space="0"/>
              <w:bottom w:val="single" w:color="auto" w:sz="4" w:space="0"/>
              <w:right w:val="single" w:color="auto" w:sz="4" w:space="0"/>
            </w:tcBorders>
            <w:vAlign w:val="center"/>
          </w:tcPr>
          <w:p w14:paraId="62D6608D">
            <w:pPr>
              <w:jc w:val="right"/>
              <w:rPr>
                <w:color w:val="000000"/>
              </w:rPr>
            </w:pPr>
            <w:r>
              <w:rPr>
                <w:color w:val="000000"/>
              </w:rPr>
              <w:t>479,386.79</w:t>
            </w:r>
          </w:p>
        </w:tc>
        <w:tc>
          <w:tcPr>
            <w:tcW w:w="1348" w:type="pct"/>
            <w:tcBorders>
              <w:top w:val="single" w:color="auto" w:sz="4" w:space="0"/>
              <w:left w:val="single" w:color="auto" w:sz="4" w:space="0"/>
              <w:bottom w:val="single" w:color="auto" w:sz="4" w:space="0"/>
              <w:right w:val="single" w:color="auto" w:sz="4" w:space="0"/>
            </w:tcBorders>
            <w:vAlign w:val="center"/>
          </w:tcPr>
          <w:p w14:paraId="70EA349C">
            <w:pPr>
              <w:jc w:val="right"/>
              <w:rPr>
                <w:color w:val="000000"/>
              </w:rPr>
            </w:pPr>
            <w:r>
              <w:rPr>
                <w:rFonts w:hint="eastAsia"/>
                <w:color w:val="000000"/>
              </w:rPr>
              <w:t>83,336.52</w:t>
            </w:r>
          </w:p>
        </w:tc>
      </w:tr>
      <w:tr w14:paraId="33DE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4E1F0F9">
            <w:pPr>
              <w:jc w:val="center"/>
              <w:rPr>
                <w:color w:val="000000"/>
              </w:rPr>
            </w:pPr>
            <w:r>
              <w:rPr>
                <w:rFonts w:hint="eastAsia"/>
                <w:color w:val="000000"/>
              </w:rPr>
              <w:t>劳务费</w:t>
            </w:r>
          </w:p>
        </w:tc>
        <w:tc>
          <w:tcPr>
            <w:tcW w:w="1439" w:type="pct"/>
            <w:tcBorders>
              <w:top w:val="single" w:color="auto" w:sz="4" w:space="0"/>
              <w:left w:val="single" w:color="auto" w:sz="4" w:space="0"/>
              <w:bottom w:val="single" w:color="auto" w:sz="4" w:space="0"/>
              <w:right w:val="single" w:color="auto" w:sz="4" w:space="0"/>
            </w:tcBorders>
            <w:vAlign w:val="center"/>
          </w:tcPr>
          <w:p w14:paraId="709BF5B0">
            <w:pPr>
              <w:jc w:val="right"/>
              <w:rPr>
                <w:color w:val="000000"/>
              </w:rPr>
            </w:pPr>
            <w:r>
              <w:rPr>
                <w:color w:val="000000"/>
              </w:rPr>
              <w:t>1,341,079.66</w:t>
            </w:r>
          </w:p>
        </w:tc>
        <w:tc>
          <w:tcPr>
            <w:tcW w:w="1348" w:type="pct"/>
            <w:tcBorders>
              <w:top w:val="single" w:color="auto" w:sz="4" w:space="0"/>
              <w:left w:val="single" w:color="auto" w:sz="4" w:space="0"/>
              <w:bottom w:val="single" w:color="auto" w:sz="4" w:space="0"/>
              <w:right w:val="single" w:color="auto" w:sz="4" w:space="0"/>
            </w:tcBorders>
            <w:vAlign w:val="center"/>
          </w:tcPr>
          <w:p w14:paraId="0DC2F352">
            <w:pPr>
              <w:jc w:val="right"/>
              <w:rPr>
                <w:color w:val="000000"/>
              </w:rPr>
            </w:pPr>
            <w:r>
              <w:rPr>
                <w:rFonts w:hint="eastAsia"/>
                <w:color w:val="000000"/>
              </w:rPr>
              <w:t>1,009,277.20</w:t>
            </w:r>
          </w:p>
        </w:tc>
      </w:tr>
      <w:tr w14:paraId="08F3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2176436">
            <w:pPr>
              <w:jc w:val="center"/>
            </w:pPr>
            <w:r>
              <w:t>其他</w:t>
            </w:r>
          </w:p>
        </w:tc>
        <w:tc>
          <w:tcPr>
            <w:tcW w:w="1439" w:type="pct"/>
            <w:tcBorders>
              <w:top w:val="single" w:color="auto" w:sz="4" w:space="0"/>
              <w:left w:val="single" w:color="auto" w:sz="4" w:space="0"/>
              <w:bottom w:val="single" w:color="auto" w:sz="4" w:space="0"/>
              <w:right w:val="single" w:color="auto" w:sz="4" w:space="0"/>
            </w:tcBorders>
            <w:vAlign w:val="center"/>
          </w:tcPr>
          <w:p w14:paraId="3C33071C">
            <w:pPr>
              <w:jc w:val="right"/>
            </w:pPr>
            <w:r>
              <w:rPr>
                <w:color w:val="000000"/>
              </w:rPr>
              <w:t>9,479,646.48</w:t>
            </w:r>
          </w:p>
        </w:tc>
        <w:tc>
          <w:tcPr>
            <w:tcW w:w="1348" w:type="pct"/>
            <w:tcBorders>
              <w:top w:val="single" w:color="auto" w:sz="4" w:space="0"/>
              <w:left w:val="single" w:color="auto" w:sz="4" w:space="0"/>
              <w:bottom w:val="single" w:color="auto" w:sz="4" w:space="0"/>
              <w:right w:val="single" w:color="auto" w:sz="4" w:space="0"/>
            </w:tcBorders>
            <w:vAlign w:val="center"/>
          </w:tcPr>
          <w:p w14:paraId="6958099F">
            <w:pPr>
              <w:jc w:val="right"/>
            </w:pPr>
            <w:r>
              <w:t>20,734,771.33</w:t>
            </w:r>
          </w:p>
        </w:tc>
      </w:tr>
      <w:tr w14:paraId="198C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05A43DD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439" w:type="pct"/>
            <w:tcBorders>
              <w:top w:val="single" w:color="auto" w:sz="4" w:space="0"/>
              <w:left w:val="single" w:color="auto" w:sz="4" w:space="0"/>
              <w:bottom w:val="single" w:color="auto" w:sz="4" w:space="0"/>
              <w:right w:val="single" w:color="auto" w:sz="4" w:space="0"/>
            </w:tcBorders>
            <w:vAlign w:val="center"/>
          </w:tcPr>
          <w:p w14:paraId="27B8E1BB">
            <w:pPr>
              <w:jc w:val="right"/>
              <w:rPr>
                <w:color w:val="000000"/>
              </w:rPr>
            </w:pPr>
            <w:r>
              <w:rPr>
                <w:color w:val="000000"/>
              </w:rPr>
              <w:t>394,026,905.96</w:t>
            </w:r>
          </w:p>
        </w:tc>
        <w:tc>
          <w:tcPr>
            <w:tcW w:w="1348" w:type="pct"/>
            <w:tcBorders>
              <w:top w:val="single" w:color="auto" w:sz="4" w:space="0"/>
              <w:left w:val="single" w:color="auto" w:sz="4" w:space="0"/>
              <w:bottom w:val="single" w:color="auto" w:sz="4" w:space="0"/>
              <w:right w:val="single" w:color="auto" w:sz="4" w:space="0"/>
            </w:tcBorders>
            <w:vAlign w:val="center"/>
          </w:tcPr>
          <w:p w14:paraId="62ECB557">
            <w:pPr>
              <w:jc w:val="right"/>
              <w:rPr>
                <w:color w:val="000000"/>
              </w:rPr>
            </w:pPr>
            <w:r>
              <w:rPr>
                <w:rFonts w:hint="eastAsia"/>
                <w:color w:val="000000"/>
              </w:rPr>
              <w:t>322,024,417.65</w:t>
            </w:r>
          </w:p>
        </w:tc>
      </w:tr>
      <w:tr w14:paraId="1E32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4DE6E15F">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其中：费用化研发支出</w:t>
            </w:r>
          </w:p>
        </w:tc>
        <w:tc>
          <w:tcPr>
            <w:tcW w:w="1439" w:type="pct"/>
            <w:tcBorders>
              <w:top w:val="single" w:color="auto" w:sz="4" w:space="0"/>
              <w:left w:val="single" w:color="auto" w:sz="4" w:space="0"/>
              <w:bottom w:val="single" w:color="auto" w:sz="4" w:space="0"/>
              <w:right w:val="single" w:color="auto" w:sz="4" w:space="0"/>
            </w:tcBorders>
            <w:vAlign w:val="center"/>
          </w:tcPr>
          <w:p w14:paraId="441C99DC">
            <w:pPr>
              <w:jc w:val="right"/>
              <w:rPr>
                <w:color w:val="000000"/>
              </w:rPr>
            </w:pPr>
            <w:r>
              <w:rPr>
                <w:rFonts w:hint="eastAsia"/>
                <w:color w:val="000000"/>
              </w:rPr>
              <w:t>287,588,035.92</w:t>
            </w:r>
          </w:p>
        </w:tc>
        <w:tc>
          <w:tcPr>
            <w:tcW w:w="1348" w:type="pct"/>
            <w:tcBorders>
              <w:top w:val="single" w:color="auto" w:sz="4" w:space="0"/>
              <w:left w:val="single" w:color="auto" w:sz="4" w:space="0"/>
              <w:bottom w:val="single" w:color="auto" w:sz="4" w:space="0"/>
              <w:right w:val="single" w:color="auto" w:sz="4" w:space="0"/>
            </w:tcBorders>
            <w:vAlign w:val="center"/>
          </w:tcPr>
          <w:p w14:paraId="0F2CE871">
            <w:pPr>
              <w:jc w:val="right"/>
              <w:rPr>
                <w:color w:val="000000"/>
              </w:rPr>
            </w:pPr>
            <w:r>
              <w:rPr>
                <w:rFonts w:hint="eastAsia"/>
                <w:color w:val="000000"/>
              </w:rPr>
              <w:t>180,113,516.39</w:t>
            </w:r>
          </w:p>
        </w:tc>
      </w:tr>
      <w:tr w14:paraId="3D0A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vAlign w:val="center"/>
          </w:tcPr>
          <w:p w14:paraId="6E7643EB">
            <w:pPr>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资本化研发支出</w:t>
            </w:r>
          </w:p>
        </w:tc>
        <w:tc>
          <w:tcPr>
            <w:tcW w:w="1439" w:type="pct"/>
            <w:tcBorders>
              <w:top w:val="single" w:color="auto" w:sz="4" w:space="0"/>
              <w:left w:val="single" w:color="auto" w:sz="4" w:space="0"/>
              <w:bottom w:val="single" w:color="auto" w:sz="4" w:space="0"/>
              <w:right w:val="single" w:color="auto" w:sz="4" w:space="0"/>
            </w:tcBorders>
            <w:vAlign w:val="center"/>
          </w:tcPr>
          <w:p w14:paraId="7C9100CC">
            <w:pPr>
              <w:jc w:val="right"/>
              <w:rPr>
                <w:color w:val="000000"/>
              </w:rPr>
            </w:pPr>
            <w:r>
              <w:rPr>
                <w:color w:val="000000"/>
              </w:rPr>
              <w:t>106,438,870.04</w:t>
            </w:r>
          </w:p>
        </w:tc>
        <w:tc>
          <w:tcPr>
            <w:tcW w:w="1348" w:type="pct"/>
            <w:tcBorders>
              <w:top w:val="single" w:color="auto" w:sz="4" w:space="0"/>
              <w:left w:val="single" w:color="auto" w:sz="4" w:space="0"/>
              <w:bottom w:val="single" w:color="auto" w:sz="4" w:space="0"/>
              <w:right w:val="single" w:color="auto" w:sz="4" w:space="0"/>
            </w:tcBorders>
            <w:vAlign w:val="center"/>
          </w:tcPr>
          <w:p w14:paraId="30C680BE">
            <w:pPr>
              <w:jc w:val="right"/>
              <w:rPr>
                <w:color w:val="000000"/>
              </w:rPr>
            </w:pPr>
            <w:r>
              <w:rPr>
                <w:rFonts w:hint="eastAsia"/>
                <w:color w:val="000000"/>
              </w:rPr>
              <w:t>141,910,901.26</w:t>
            </w:r>
          </w:p>
        </w:tc>
      </w:tr>
    </w:tbl>
    <w:p w14:paraId="4950FEE0"/>
    <w:p w14:paraId="735B7DAC">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sdt>
        <w:sdtPr>
          <w:rPr>
            <w:color w:val="000000" w:themeColor="text1"/>
            <w14:textFill>
              <w14:solidFill>
                <w14:schemeClr w14:val="tx1"/>
              </w14:solidFill>
            </w14:textFill>
          </w:rPr>
          <w:alias w:val="研发支出按费用性质列示的其他说明"/>
          <w:tag w:val="_GBC_6b3d42161462405e8011d40253de8df9"/>
          <w:id w:val="1665051587"/>
          <w:placeholder>
            <w:docPart w:val="7DCE43F128424BED9B00BE003472A691"/>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28ED5A47">
      <w:pPr>
        <w:rPr>
          <w:color w:val="000000" w:themeColor="text1"/>
          <w14:textFill>
            <w14:solidFill>
              <w14:schemeClr w14:val="tx1"/>
            </w14:solidFill>
          </w14:textFill>
        </w:rPr>
      </w:pPr>
    </w:p>
    <w:bookmarkEnd w:id="354"/>
    <w:p w14:paraId="2A4805B1">
      <w:pPr>
        <w:pStyle w:val="4"/>
        <w:numPr>
          <w:ilvl w:val="0"/>
          <w:numId w:val="81"/>
        </w:numPr>
        <w:ind w:left="360" w:hanging="360"/>
        <w:rPr>
          <w:color w:val="000000" w:themeColor="text1"/>
          <w14:textFill>
            <w14:solidFill>
              <w14:schemeClr w14:val="tx1"/>
            </w14:solidFill>
          </w14:textFill>
        </w:rPr>
      </w:pPr>
      <w:bookmarkStart w:id="356" w:name="_Hlk153266294"/>
      <w:r>
        <w:rPr>
          <w:rFonts w:hint="eastAsia"/>
          <w:color w:val="000000" w:themeColor="text1"/>
          <w14:textFill>
            <w14:solidFill>
              <w14:schemeClr w14:val="tx1"/>
            </w14:solidFill>
          </w14:textFill>
        </w:rPr>
        <w:t>符合资本化条件的研发项目开发支出</w:t>
      </w:r>
    </w:p>
    <w:sdt>
      <w:sdtPr>
        <w:rPr>
          <w:color w:val="000000" w:themeColor="text1"/>
          <w14:textFill>
            <w14:solidFill>
              <w14:schemeClr w14:val="tx1"/>
            </w14:solidFill>
          </w14:textFill>
        </w:rPr>
        <w:alias w:val="是否适用：开发支出[双击切换]"/>
        <w:tag w:val="_GBC_c4491189045f4579aa1097e6d5456e9e"/>
        <w:id w:val="-1371374423"/>
        <w:placeholder>
          <w:docPart w:val="GBC22222222222222222222222222222"/>
        </w:placeholder>
      </w:sdtPr>
      <w:sdtEndPr>
        <w:rPr>
          <w:color w:val="000000" w:themeColor="text1"/>
          <w14:textFill>
            <w14:solidFill>
              <w14:schemeClr w14:val="tx1"/>
            </w14:solidFill>
          </w14:textFill>
        </w:rPr>
      </w:sdtEndPr>
      <w:sdtContent>
        <w:p w14:paraId="6AAA48E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157DE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公司内部研究开发项目支出"/>
          <w:tag w:val="_GBC_633fd69730494b1eb42c3d1e6a4d06b5"/>
          <w:id w:val="-14260295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公司内部研究开发项目支出"/>
          <w:tag w:val="_GBC_086e5306589c448ebd13fd518e27619e"/>
          <w:id w:val="-11192260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356"/>
    <w:tbl>
      <w:tblPr>
        <w:tblStyle w:val="37"/>
        <w:tblW w:w="51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633"/>
        <w:gridCol w:w="1638"/>
        <w:gridCol w:w="524"/>
        <w:gridCol w:w="1531"/>
        <w:gridCol w:w="1638"/>
        <w:gridCol w:w="1568"/>
      </w:tblGrid>
      <w:tr w14:paraId="3234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f5493f6efc48be8ae7882f8b567dd1"/>
            <w:id w:val="-2103024144"/>
          </w:sdtPr>
          <w:sdtContent>
            <w:tc>
              <w:tcPr>
                <w:tcW w:w="390" w:type="pct"/>
                <w:vMerge w:val="restart"/>
                <w:tcBorders>
                  <w:top w:val="single" w:color="auto" w:sz="4" w:space="0"/>
                  <w:left w:val="single" w:color="auto" w:sz="4" w:space="0"/>
                  <w:right w:val="single" w:color="auto" w:sz="4" w:space="0"/>
                </w:tcBorders>
                <w:vAlign w:val="center"/>
              </w:tcPr>
              <w:p w14:paraId="2283C8C4">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7ad5fc99e3fb461b9aac7afd572feb62"/>
            <w:id w:val="-72751305"/>
          </w:sdtPr>
          <w:sdtContent>
            <w:tc>
              <w:tcPr>
                <w:tcW w:w="882" w:type="pct"/>
                <w:vMerge w:val="restart"/>
                <w:tcBorders>
                  <w:top w:val="single" w:color="auto" w:sz="4" w:space="0"/>
                  <w:left w:val="single" w:color="auto" w:sz="4" w:space="0"/>
                  <w:right w:val="single" w:color="auto" w:sz="4" w:space="0"/>
                </w:tcBorders>
                <w:vAlign w:val="center"/>
              </w:tcPr>
              <w:p w14:paraId="4D4A8656">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w:t>
                </w:r>
              </w:p>
              <w:p w14:paraId="7F17453A">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w:t>
                </w:r>
              </w:p>
            </w:tc>
          </w:sdtContent>
        </w:sdt>
        <w:sdt>
          <w:sdtPr>
            <w:tag w:val="_PLD_048955083ca94d4f90169248f9c292db"/>
            <w:id w:val="-1660456101"/>
          </w:sdtPr>
          <w:sdtContent>
            <w:tc>
              <w:tcPr>
                <w:tcW w:w="1168" w:type="pct"/>
                <w:gridSpan w:val="2"/>
                <w:tcBorders>
                  <w:top w:val="single" w:color="auto" w:sz="4" w:space="0"/>
                  <w:left w:val="single" w:color="auto" w:sz="4" w:space="0"/>
                  <w:right w:val="single" w:color="auto" w:sz="4" w:space="0"/>
                </w:tcBorders>
                <w:vAlign w:val="center"/>
              </w:tcPr>
              <w:p w14:paraId="0C63385B">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本期增加金额</w:t>
                </w:r>
              </w:p>
            </w:tc>
          </w:sdtContent>
        </w:sdt>
        <w:sdt>
          <w:sdtPr>
            <w:tag w:val="_PLD_459c91c20c87401395c97b0e69ffe300"/>
            <w:id w:val="-896206437"/>
          </w:sdtPr>
          <w:sdtContent>
            <w:tc>
              <w:tcPr>
                <w:tcW w:w="1712" w:type="pct"/>
                <w:gridSpan w:val="2"/>
                <w:tcBorders>
                  <w:top w:val="single" w:color="auto" w:sz="4" w:space="0"/>
                  <w:left w:val="single" w:color="auto" w:sz="4" w:space="0"/>
                  <w:bottom w:val="single" w:color="auto" w:sz="4" w:space="0"/>
                  <w:right w:val="single" w:color="auto" w:sz="4" w:space="0"/>
                </w:tcBorders>
                <w:vAlign w:val="center"/>
              </w:tcPr>
              <w:p w14:paraId="20E2101C">
                <w:pPr>
                  <w:ind w:left="-65" w:right="5" w:hanging="48"/>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本期减少金额</w:t>
                </w:r>
              </w:p>
            </w:tc>
          </w:sdtContent>
        </w:sdt>
        <w:sdt>
          <w:sdtPr>
            <w:tag w:val="_PLD_da0f04e2773a412b981e15a532a794ca"/>
            <w:id w:val="239149048"/>
          </w:sdtPr>
          <w:sdtContent>
            <w:tc>
              <w:tcPr>
                <w:tcW w:w="847" w:type="pct"/>
                <w:vMerge w:val="restart"/>
                <w:tcBorders>
                  <w:top w:val="single" w:color="auto" w:sz="4" w:space="0"/>
                  <w:left w:val="single" w:color="auto" w:sz="4" w:space="0"/>
                  <w:right w:val="single" w:color="auto" w:sz="4" w:space="0"/>
                </w:tcBorders>
                <w:vAlign w:val="center"/>
              </w:tcPr>
              <w:p w14:paraId="4DC28A2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w:t>
                </w:r>
              </w:p>
              <w:p w14:paraId="619A716E">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余额</w:t>
                </w:r>
              </w:p>
            </w:tc>
          </w:sdtContent>
        </w:sdt>
      </w:tr>
      <w:tr w14:paraId="456C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Merge w:val="continue"/>
            <w:tcBorders>
              <w:left w:val="single" w:color="auto" w:sz="4" w:space="0"/>
              <w:bottom w:val="single" w:color="auto" w:sz="4" w:space="0"/>
              <w:right w:val="single" w:color="auto" w:sz="4" w:space="0"/>
            </w:tcBorders>
          </w:tcPr>
          <w:p w14:paraId="6FC101A5">
            <w:pPr>
              <w:autoSpaceDE w:val="0"/>
              <w:autoSpaceDN w:val="0"/>
              <w:adjustRightInd w:val="0"/>
              <w:rPr>
                <w:color w:val="000000" w:themeColor="text1"/>
                <w14:textFill>
                  <w14:solidFill>
                    <w14:schemeClr w14:val="tx1"/>
                  </w14:solidFill>
                </w14:textFill>
              </w:rPr>
            </w:pPr>
          </w:p>
        </w:tc>
        <w:tc>
          <w:tcPr>
            <w:tcW w:w="882" w:type="pct"/>
            <w:vMerge w:val="continue"/>
            <w:tcBorders>
              <w:left w:val="single" w:color="auto" w:sz="4" w:space="0"/>
              <w:bottom w:val="single" w:color="auto" w:sz="4" w:space="0"/>
              <w:right w:val="single" w:color="auto" w:sz="4" w:space="0"/>
            </w:tcBorders>
          </w:tcPr>
          <w:p w14:paraId="2C0DD041">
            <w:pPr>
              <w:autoSpaceDE w:val="0"/>
              <w:autoSpaceDN w:val="0"/>
              <w:adjustRightInd w:val="0"/>
              <w:jc w:val="center"/>
              <w:rPr>
                <w:color w:val="000000" w:themeColor="text1"/>
                <w14:textFill>
                  <w14:solidFill>
                    <w14:schemeClr w14:val="tx1"/>
                  </w14:solidFill>
                </w14:textFill>
              </w:rPr>
            </w:pPr>
          </w:p>
        </w:tc>
        <w:sdt>
          <w:sdtPr>
            <w:tag w:val="_PLD_826ccf1d2951442bab8f488585fd3d06"/>
            <w:id w:val="-1255432382"/>
          </w:sdtPr>
          <w:sdtContent>
            <w:tc>
              <w:tcPr>
                <w:tcW w:w="885" w:type="pct"/>
                <w:tcBorders>
                  <w:left w:val="single" w:color="auto" w:sz="4" w:space="0"/>
                  <w:bottom w:val="single" w:color="auto" w:sz="4" w:space="0"/>
                  <w:right w:val="single" w:color="auto" w:sz="4" w:space="0"/>
                </w:tcBorders>
                <w:vAlign w:val="center"/>
              </w:tcPr>
              <w:p w14:paraId="6ADD3161">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内部开发支出</w:t>
                </w:r>
              </w:p>
            </w:tc>
          </w:sdtContent>
        </w:sdt>
        <w:sdt>
          <w:sdtPr>
            <w:tag w:val="_PLD_481fc05f00024c71bc579f7cd4ea8c87"/>
            <w:id w:val="-124081754"/>
          </w:sdtPr>
          <w:sdtContent>
            <w:tc>
              <w:tcPr>
                <w:tcW w:w="283" w:type="pct"/>
                <w:tcBorders>
                  <w:left w:val="single" w:color="auto" w:sz="4" w:space="0"/>
                  <w:bottom w:val="single" w:color="auto" w:sz="4" w:space="0"/>
                  <w:right w:val="single" w:color="auto" w:sz="4" w:space="0"/>
                </w:tcBorders>
                <w:vAlign w:val="center"/>
              </w:tcPr>
              <w:p w14:paraId="6EA5A85B">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sdtContent>
        </w:sdt>
        <w:sdt>
          <w:sdtPr>
            <w:tag w:val="_PLD_77c1fd279d3e466fa9785e70c17200bb"/>
            <w:id w:val="209306035"/>
          </w:sdtPr>
          <w:sdtContent>
            <w:tc>
              <w:tcPr>
                <w:tcW w:w="827" w:type="pct"/>
                <w:tcBorders>
                  <w:top w:val="single" w:color="auto" w:sz="4" w:space="0"/>
                  <w:left w:val="single" w:color="auto" w:sz="4" w:space="0"/>
                  <w:bottom w:val="single" w:color="auto" w:sz="4" w:space="0"/>
                  <w:right w:val="single" w:color="auto" w:sz="4" w:space="0"/>
                </w:tcBorders>
                <w:vAlign w:val="center"/>
              </w:tcPr>
              <w:p w14:paraId="0BB08E10">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确认为无形资产</w:t>
                </w:r>
              </w:p>
            </w:tc>
          </w:sdtContent>
        </w:sdt>
        <w:sdt>
          <w:sdtPr>
            <w:tag w:val="_PLD_032387d10f6149b6b295c71f110b4b8a"/>
            <w:id w:val="1218553053"/>
          </w:sdtPr>
          <w:sdtContent>
            <w:tc>
              <w:tcPr>
                <w:tcW w:w="885" w:type="pct"/>
                <w:tcBorders>
                  <w:top w:val="single" w:color="auto" w:sz="4" w:space="0"/>
                  <w:left w:val="single" w:color="auto" w:sz="4" w:space="0"/>
                  <w:bottom w:val="single" w:color="auto" w:sz="4" w:space="0"/>
                  <w:right w:val="single" w:color="auto" w:sz="4" w:space="0"/>
                </w:tcBorders>
                <w:vAlign w:val="center"/>
              </w:tcPr>
              <w:p w14:paraId="049D6342">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转入当期损益</w:t>
                </w:r>
              </w:p>
            </w:tc>
          </w:sdtContent>
        </w:sdt>
        <w:tc>
          <w:tcPr>
            <w:tcW w:w="847" w:type="pct"/>
            <w:vMerge w:val="continue"/>
            <w:tcBorders>
              <w:left w:val="single" w:color="auto" w:sz="4" w:space="0"/>
              <w:bottom w:val="single" w:color="auto" w:sz="4" w:space="0"/>
              <w:right w:val="single" w:color="auto" w:sz="4" w:space="0"/>
            </w:tcBorders>
          </w:tcPr>
          <w:p w14:paraId="62B1F21F">
            <w:pPr>
              <w:autoSpaceDE w:val="0"/>
              <w:autoSpaceDN w:val="0"/>
              <w:adjustRightInd w:val="0"/>
              <w:jc w:val="center"/>
              <w:rPr>
                <w:color w:val="000000" w:themeColor="text1"/>
                <w14:textFill>
                  <w14:solidFill>
                    <w14:schemeClr w14:val="tx1"/>
                  </w14:solidFill>
                </w14:textFill>
              </w:rPr>
            </w:pPr>
          </w:p>
        </w:tc>
      </w:tr>
      <w:tr w14:paraId="2AFD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tcBorders>
              <w:top w:val="single" w:color="auto" w:sz="4" w:space="0"/>
              <w:left w:val="single" w:color="auto" w:sz="4" w:space="0"/>
              <w:bottom w:val="single" w:color="auto" w:sz="4" w:space="0"/>
              <w:right w:val="single" w:color="auto" w:sz="4" w:space="0"/>
            </w:tcBorders>
          </w:tcPr>
          <w:p w14:paraId="0CD9FC74">
            <w:r>
              <w:t>整车设计开发</w:t>
            </w:r>
          </w:p>
        </w:tc>
        <w:tc>
          <w:tcPr>
            <w:tcW w:w="882" w:type="pct"/>
            <w:tcBorders>
              <w:top w:val="single" w:color="auto" w:sz="4" w:space="0"/>
              <w:left w:val="single" w:color="auto" w:sz="4" w:space="0"/>
              <w:bottom w:val="single" w:color="auto" w:sz="4" w:space="0"/>
              <w:right w:val="single" w:color="auto" w:sz="4" w:space="0"/>
            </w:tcBorders>
            <w:vAlign w:val="center"/>
          </w:tcPr>
          <w:p w14:paraId="4F467822">
            <w:pPr>
              <w:jc w:val="right"/>
              <w:rPr>
                <w:color w:val="000000"/>
              </w:rPr>
            </w:pPr>
            <w:r>
              <w:rPr>
                <w:rFonts w:hint="eastAsia"/>
                <w:color w:val="000000"/>
              </w:rPr>
              <w:t>542,292,929.33</w:t>
            </w:r>
          </w:p>
        </w:tc>
        <w:tc>
          <w:tcPr>
            <w:tcW w:w="885" w:type="pct"/>
            <w:tcBorders>
              <w:top w:val="single" w:color="auto" w:sz="4" w:space="0"/>
              <w:left w:val="single" w:color="auto" w:sz="4" w:space="0"/>
              <w:bottom w:val="single" w:color="auto" w:sz="4" w:space="0"/>
              <w:right w:val="single" w:color="auto" w:sz="4" w:space="0"/>
            </w:tcBorders>
            <w:vAlign w:val="center"/>
          </w:tcPr>
          <w:p w14:paraId="018682D4">
            <w:pPr>
              <w:jc w:val="right"/>
              <w:rPr>
                <w:color w:val="000000"/>
              </w:rPr>
            </w:pPr>
            <w:r>
              <w:rPr>
                <w:color w:val="000000"/>
              </w:rPr>
              <w:t>116,750,580.15</w:t>
            </w:r>
          </w:p>
        </w:tc>
        <w:tc>
          <w:tcPr>
            <w:tcW w:w="283" w:type="pct"/>
            <w:tcBorders>
              <w:top w:val="single" w:color="auto" w:sz="4" w:space="0"/>
              <w:left w:val="single" w:color="auto" w:sz="4" w:space="0"/>
              <w:bottom w:val="single" w:color="auto" w:sz="4" w:space="0"/>
              <w:right w:val="single" w:color="auto" w:sz="4" w:space="0"/>
            </w:tcBorders>
            <w:vAlign w:val="center"/>
          </w:tcPr>
          <w:p w14:paraId="67968FF8">
            <w:pPr>
              <w:jc w:val="right"/>
              <w:rPr>
                <w:color w:val="000000"/>
              </w:rPr>
            </w:pPr>
            <w:r>
              <w:rPr>
                <w:rFonts w:hint="eastAsia"/>
                <w:color w:val="000000"/>
              </w:rPr>
              <w:t>　</w:t>
            </w:r>
          </w:p>
        </w:tc>
        <w:tc>
          <w:tcPr>
            <w:tcW w:w="827" w:type="pct"/>
            <w:tcBorders>
              <w:top w:val="single" w:color="auto" w:sz="4" w:space="0"/>
              <w:left w:val="single" w:color="auto" w:sz="4" w:space="0"/>
              <w:bottom w:val="single" w:color="auto" w:sz="4" w:space="0"/>
              <w:right w:val="single" w:color="auto" w:sz="4" w:space="0"/>
            </w:tcBorders>
            <w:vAlign w:val="center"/>
          </w:tcPr>
          <w:p w14:paraId="3B799E3B">
            <w:pPr>
              <w:jc w:val="right"/>
              <w:rPr>
                <w:color w:val="000000"/>
              </w:rPr>
            </w:pPr>
            <w:r>
              <w:rPr>
                <w:color w:val="000000"/>
              </w:rPr>
              <w:t>45,730,465.59</w:t>
            </w:r>
          </w:p>
        </w:tc>
        <w:tc>
          <w:tcPr>
            <w:tcW w:w="885" w:type="pct"/>
            <w:tcBorders>
              <w:top w:val="single" w:color="auto" w:sz="4" w:space="0"/>
              <w:left w:val="single" w:color="auto" w:sz="4" w:space="0"/>
              <w:bottom w:val="single" w:color="auto" w:sz="4" w:space="0"/>
              <w:right w:val="single" w:color="auto" w:sz="4" w:space="0"/>
            </w:tcBorders>
            <w:vAlign w:val="center"/>
          </w:tcPr>
          <w:p w14:paraId="6816079C">
            <w:pPr>
              <w:jc w:val="right"/>
              <w:rPr>
                <w:color w:val="000000"/>
              </w:rPr>
            </w:pPr>
            <w:r>
              <w:rPr>
                <w:color w:val="000000"/>
              </w:rPr>
              <w:t>11,736,574.20</w:t>
            </w:r>
          </w:p>
        </w:tc>
        <w:tc>
          <w:tcPr>
            <w:tcW w:w="847" w:type="pct"/>
            <w:tcBorders>
              <w:top w:val="single" w:color="auto" w:sz="4" w:space="0"/>
              <w:left w:val="single" w:color="auto" w:sz="4" w:space="0"/>
              <w:bottom w:val="single" w:color="auto" w:sz="4" w:space="0"/>
              <w:right w:val="single" w:color="auto" w:sz="4" w:space="0"/>
            </w:tcBorders>
            <w:vAlign w:val="center"/>
          </w:tcPr>
          <w:p w14:paraId="68477F7D">
            <w:pPr>
              <w:jc w:val="right"/>
              <w:rPr>
                <w:color w:val="000000"/>
              </w:rPr>
            </w:pPr>
            <w:r>
              <w:rPr>
                <w:rFonts w:hint="eastAsia"/>
                <w:color w:val="000000"/>
              </w:rPr>
              <w:t>601,576,469.69</w:t>
            </w:r>
          </w:p>
        </w:tc>
      </w:tr>
      <w:tr w14:paraId="2357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tcBorders>
              <w:top w:val="single" w:color="auto" w:sz="4" w:space="0"/>
              <w:left w:val="single" w:color="auto" w:sz="4" w:space="0"/>
              <w:bottom w:val="single" w:color="auto" w:sz="4" w:space="0"/>
              <w:right w:val="single" w:color="auto" w:sz="4" w:space="0"/>
            </w:tcBorders>
          </w:tcPr>
          <w:p w14:paraId="272D2C98">
            <w:r>
              <w:t>其他</w:t>
            </w:r>
          </w:p>
        </w:tc>
        <w:tc>
          <w:tcPr>
            <w:tcW w:w="882" w:type="pct"/>
            <w:tcBorders>
              <w:top w:val="single" w:color="auto" w:sz="4" w:space="0"/>
              <w:left w:val="single" w:color="auto" w:sz="4" w:space="0"/>
              <w:bottom w:val="single" w:color="auto" w:sz="4" w:space="0"/>
              <w:right w:val="single" w:color="auto" w:sz="4" w:space="0"/>
            </w:tcBorders>
            <w:vAlign w:val="center"/>
          </w:tcPr>
          <w:p w14:paraId="66CE545A">
            <w:pPr>
              <w:jc w:val="right"/>
              <w:rPr>
                <w:color w:val="000000"/>
              </w:rPr>
            </w:pPr>
            <w:r>
              <w:rPr>
                <w:rFonts w:hint="eastAsia"/>
                <w:color w:val="000000"/>
              </w:rPr>
              <w:t>3,412,499.14</w:t>
            </w:r>
          </w:p>
        </w:tc>
        <w:tc>
          <w:tcPr>
            <w:tcW w:w="885" w:type="pct"/>
            <w:tcBorders>
              <w:top w:val="single" w:color="auto" w:sz="4" w:space="0"/>
              <w:left w:val="single" w:color="auto" w:sz="4" w:space="0"/>
              <w:bottom w:val="single" w:color="auto" w:sz="4" w:space="0"/>
              <w:right w:val="single" w:color="auto" w:sz="4" w:space="0"/>
            </w:tcBorders>
            <w:vAlign w:val="center"/>
          </w:tcPr>
          <w:p w14:paraId="5FD811FC">
            <w:pPr>
              <w:jc w:val="right"/>
              <w:rPr>
                <w:color w:val="000000"/>
              </w:rPr>
            </w:pPr>
            <w:r>
              <w:rPr>
                <w:color w:val="000000"/>
              </w:rPr>
              <w:t>2,650,936.98</w:t>
            </w:r>
          </w:p>
        </w:tc>
        <w:tc>
          <w:tcPr>
            <w:tcW w:w="283" w:type="pct"/>
            <w:tcBorders>
              <w:top w:val="single" w:color="auto" w:sz="4" w:space="0"/>
              <w:left w:val="single" w:color="auto" w:sz="4" w:space="0"/>
              <w:bottom w:val="single" w:color="auto" w:sz="4" w:space="0"/>
              <w:right w:val="single" w:color="auto" w:sz="4" w:space="0"/>
            </w:tcBorders>
            <w:vAlign w:val="center"/>
          </w:tcPr>
          <w:p w14:paraId="6D02B6CF">
            <w:pPr>
              <w:jc w:val="right"/>
              <w:rPr>
                <w:color w:val="000000"/>
              </w:rPr>
            </w:pPr>
            <w:r>
              <w:rPr>
                <w:rFonts w:hint="eastAsia"/>
                <w:color w:val="000000"/>
              </w:rPr>
              <w:t>　</w:t>
            </w:r>
          </w:p>
        </w:tc>
        <w:tc>
          <w:tcPr>
            <w:tcW w:w="827" w:type="pct"/>
            <w:tcBorders>
              <w:top w:val="single" w:color="auto" w:sz="4" w:space="0"/>
              <w:left w:val="single" w:color="auto" w:sz="4" w:space="0"/>
              <w:bottom w:val="single" w:color="auto" w:sz="4" w:space="0"/>
              <w:right w:val="single" w:color="auto" w:sz="4" w:space="0"/>
            </w:tcBorders>
            <w:vAlign w:val="center"/>
          </w:tcPr>
          <w:p w14:paraId="462C8A3A">
            <w:pPr>
              <w:jc w:val="right"/>
              <w:rPr>
                <w:color w:val="000000"/>
              </w:rPr>
            </w:pPr>
            <w:r>
              <w:rPr>
                <w:color w:val="000000"/>
              </w:rPr>
              <w:t>2,452,755.65</w:t>
            </w:r>
          </w:p>
        </w:tc>
        <w:tc>
          <w:tcPr>
            <w:tcW w:w="885" w:type="pct"/>
            <w:tcBorders>
              <w:top w:val="single" w:color="auto" w:sz="4" w:space="0"/>
              <w:left w:val="single" w:color="auto" w:sz="4" w:space="0"/>
              <w:bottom w:val="single" w:color="auto" w:sz="4" w:space="0"/>
              <w:right w:val="single" w:color="auto" w:sz="4" w:space="0"/>
            </w:tcBorders>
            <w:vAlign w:val="center"/>
          </w:tcPr>
          <w:p w14:paraId="24CD16A4">
            <w:pPr>
              <w:jc w:val="right"/>
              <w:rPr>
                <w:color w:val="000000"/>
              </w:rPr>
            </w:pPr>
            <w:r>
              <w:rPr>
                <w:color w:val="000000"/>
              </w:rPr>
              <w:t>1,226,072.89</w:t>
            </w:r>
          </w:p>
        </w:tc>
        <w:tc>
          <w:tcPr>
            <w:tcW w:w="847" w:type="pct"/>
            <w:tcBorders>
              <w:top w:val="single" w:color="auto" w:sz="4" w:space="0"/>
              <w:left w:val="single" w:color="auto" w:sz="4" w:space="0"/>
              <w:bottom w:val="single" w:color="auto" w:sz="4" w:space="0"/>
              <w:right w:val="single" w:color="auto" w:sz="4" w:space="0"/>
            </w:tcBorders>
            <w:vAlign w:val="center"/>
          </w:tcPr>
          <w:p w14:paraId="3C4B10D1">
            <w:pPr>
              <w:jc w:val="right"/>
              <w:rPr>
                <w:color w:val="000000"/>
              </w:rPr>
            </w:pPr>
            <w:r>
              <w:rPr>
                <w:rFonts w:hint="eastAsia"/>
                <w:color w:val="000000"/>
              </w:rPr>
              <w:t>2,384,607.58</w:t>
            </w:r>
          </w:p>
        </w:tc>
      </w:tr>
      <w:tr w14:paraId="4917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tcBorders>
              <w:top w:val="single" w:color="auto" w:sz="4" w:space="0"/>
              <w:left w:val="single" w:color="auto" w:sz="4" w:space="0"/>
              <w:bottom w:val="single" w:color="auto" w:sz="4" w:space="0"/>
              <w:right w:val="single" w:color="auto" w:sz="4" w:space="0"/>
            </w:tcBorders>
            <w:vAlign w:val="center"/>
          </w:tcPr>
          <w:p w14:paraId="530E568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882" w:type="pct"/>
            <w:tcBorders>
              <w:top w:val="single" w:color="auto" w:sz="4" w:space="0"/>
              <w:left w:val="single" w:color="auto" w:sz="4" w:space="0"/>
              <w:bottom w:val="single" w:color="auto" w:sz="4" w:space="0"/>
              <w:right w:val="single" w:color="auto" w:sz="4" w:space="0"/>
            </w:tcBorders>
            <w:vAlign w:val="center"/>
          </w:tcPr>
          <w:p w14:paraId="3F364259">
            <w:pPr>
              <w:jc w:val="right"/>
              <w:rPr>
                <w:color w:val="000000"/>
              </w:rPr>
            </w:pPr>
            <w:r>
              <w:rPr>
                <w:rFonts w:hint="eastAsia"/>
                <w:color w:val="000000"/>
              </w:rPr>
              <w:t>545,705,428.47</w:t>
            </w:r>
          </w:p>
        </w:tc>
        <w:tc>
          <w:tcPr>
            <w:tcW w:w="885" w:type="pct"/>
            <w:tcBorders>
              <w:top w:val="single" w:color="auto" w:sz="4" w:space="0"/>
              <w:left w:val="single" w:color="auto" w:sz="4" w:space="0"/>
              <w:bottom w:val="single" w:color="auto" w:sz="4" w:space="0"/>
              <w:right w:val="single" w:color="auto" w:sz="4" w:space="0"/>
            </w:tcBorders>
            <w:vAlign w:val="center"/>
          </w:tcPr>
          <w:p w14:paraId="1E015D53">
            <w:pPr>
              <w:jc w:val="right"/>
              <w:rPr>
                <w:color w:val="000000"/>
              </w:rPr>
            </w:pPr>
            <w:r>
              <w:rPr>
                <w:color w:val="000000"/>
              </w:rPr>
              <w:t>119,401,517.13</w:t>
            </w:r>
          </w:p>
        </w:tc>
        <w:tc>
          <w:tcPr>
            <w:tcW w:w="283" w:type="pct"/>
            <w:tcBorders>
              <w:top w:val="single" w:color="auto" w:sz="4" w:space="0"/>
              <w:left w:val="single" w:color="auto" w:sz="4" w:space="0"/>
              <w:bottom w:val="single" w:color="auto" w:sz="4" w:space="0"/>
              <w:right w:val="single" w:color="auto" w:sz="4" w:space="0"/>
            </w:tcBorders>
            <w:vAlign w:val="center"/>
          </w:tcPr>
          <w:p w14:paraId="38F9A7BE">
            <w:pPr>
              <w:jc w:val="right"/>
              <w:rPr>
                <w:color w:val="000000"/>
              </w:rPr>
            </w:pPr>
            <w:r>
              <w:rPr>
                <w:rFonts w:hint="eastAsia"/>
                <w:color w:val="000000"/>
              </w:rPr>
              <w:t>　</w:t>
            </w:r>
          </w:p>
        </w:tc>
        <w:tc>
          <w:tcPr>
            <w:tcW w:w="827" w:type="pct"/>
            <w:tcBorders>
              <w:top w:val="single" w:color="auto" w:sz="4" w:space="0"/>
              <w:left w:val="single" w:color="auto" w:sz="4" w:space="0"/>
              <w:bottom w:val="single" w:color="auto" w:sz="4" w:space="0"/>
              <w:right w:val="single" w:color="auto" w:sz="4" w:space="0"/>
            </w:tcBorders>
            <w:vAlign w:val="center"/>
          </w:tcPr>
          <w:p w14:paraId="6466705D">
            <w:pPr>
              <w:jc w:val="right"/>
              <w:rPr>
                <w:color w:val="000000"/>
              </w:rPr>
            </w:pPr>
            <w:r>
              <w:rPr>
                <w:color w:val="000000"/>
              </w:rPr>
              <w:t>48,183,221.24</w:t>
            </w:r>
          </w:p>
        </w:tc>
        <w:tc>
          <w:tcPr>
            <w:tcW w:w="885" w:type="pct"/>
            <w:tcBorders>
              <w:top w:val="single" w:color="auto" w:sz="4" w:space="0"/>
              <w:left w:val="single" w:color="auto" w:sz="4" w:space="0"/>
              <w:bottom w:val="single" w:color="auto" w:sz="4" w:space="0"/>
              <w:right w:val="single" w:color="auto" w:sz="4" w:space="0"/>
            </w:tcBorders>
            <w:vAlign w:val="center"/>
          </w:tcPr>
          <w:p w14:paraId="56EDC7BE">
            <w:pPr>
              <w:jc w:val="right"/>
              <w:rPr>
                <w:color w:val="000000"/>
              </w:rPr>
            </w:pPr>
            <w:r>
              <w:rPr>
                <w:color w:val="000000"/>
              </w:rPr>
              <w:t>12,962,647.09</w:t>
            </w:r>
          </w:p>
        </w:tc>
        <w:tc>
          <w:tcPr>
            <w:tcW w:w="847" w:type="pct"/>
            <w:tcBorders>
              <w:top w:val="single" w:color="auto" w:sz="4" w:space="0"/>
              <w:left w:val="single" w:color="auto" w:sz="4" w:space="0"/>
              <w:bottom w:val="single" w:color="auto" w:sz="4" w:space="0"/>
              <w:right w:val="single" w:color="auto" w:sz="4" w:space="0"/>
            </w:tcBorders>
            <w:vAlign w:val="center"/>
          </w:tcPr>
          <w:p w14:paraId="79DE8303">
            <w:pPr>
              <w:jc w:val="right"/>
              <w:rPr>
                <w:color w:val="000000"/>
              </w:rPr>
            </w:pPr>
            <w:r>
              <w:rPr>
                <w:rFonts w:hint="eastAsia"/>
                <w:color w:val="000000"/>
              </w:rPr>
              <w:t>603,961,077.27</w:t>
            </w:r>
          </w:p>
        </w:tc>
      </w:tr>
    </w:tbl>
    <w:p w14:paraId="52C2FECA"/>
    <w:p w14:paraId="180C72BA">
      <w:pPr>
        <w:rPr>
          <w:color w:val="000000" w:themeColor="text1"/>
          <w14:textFill>
            <w14:solidFill>
              <w14:schemeClr w14:val="tx1"/>
            </w14:solidFill>
          </w14:textFill>
        </w:rPr>
      </w:pPr>
      <w:r>
        <w:rPr>
          <w:color w:val="000000" w:themeColor="text1"/>
          <w14:textFill>
            <w14:solidFill>
              <w14:schemeClr w14:val="tx1"/>
            </w14:solidFill>
          </w14:textFill>
        </w:rPr>
        <w:t>重要的资本化研发项目</w:t>
      </w:r>
    </w:p>
    <w:sdt>
      <w:sdtPr>
        <w:rPr>
          <w:color w:val="000000" w:themeColor="text1"/>
          <w14:textFill>
            <w14:solidFill>
              <w14:schemeClr w14:val="tx1"/>
            </w14:solidFill>
          </w14:textFill>
        </w:rPr>
        <w:alias w:val="是否适用：重要的资本化研发项目[双击切换]"/>
        <w:tag w:val="_GBC_1cd050ceff7c445bb12c764341f77187"/>
        <w:id w:val="1328098632"/>
        <w:placeholder>
          <w:docPart w:val="GBC22222222222222222222222222222"/>
        </w:placeholder>
      </w:sdtPr>
      <w:sdtEndPr>
        <w:rPr>
          <w:color w:val="000000" w:themeColor="text1"/>
          <w14:textFill>
            <w14:solidFill>
              <w14:schemeClr w14:val="tx1"/>
            </w14:solidFill>
          </w14:textFill>
        </w:rPr>
      </w:sdtEndPr>
      <w:sdtContent>
        <w:p w14:paraId="739CA3B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60A717">
      <w:pPr>
        <w:pStyle w:val="68"/>
        <w:ind w:left="420" w:firstLine="0" w:firstLineChars="0"/>
        <w:jc w:val="right"/>
        <w:rPr>
          <w:color w:val="000000" w:themeColor="text1"/>
          <w:szCs w:val="21"/>
          <w14:textFill>
            <w14:solidFill>
              <w14:schemeClr w14:val="tx1"/>
            </w14:solidFill>
          </w14:textFill>
        </w:rPr>
      </w:pP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275"/>
        <w:gridCol w:w="1985"/>
        <w:gridCol w:w="1276"/>
        <w:gridCol w:w="1984"/>
        <w:gridCol w:w="1559"/>
      </w:tblGrid>
      <w:tr w14:paraId="2EE0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95e928042f4f6fa80562cf25be838a"/>
            <w:id w:val="-394284875"/>
          </w:sdtPr>
          <w:sdtContent>
            <w:tc>
              <w:tcPr>
                <w:tcW w:w="988" w:type="dxa"/>
                <w:vAlign w:val="center"/>
              </w:tcPr>
              <w:p w14:paraId="77CEB44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246ac3c055f4acbb7b3472e0e2839c9"/>
            <w:id w:val="1959833490"/>
          </w:sdtPr>
          <w:sdtContent>
            <w:tc>
              <w:tcPr>
                <w:tcW w:w="1275" w:type="dxa"/>
                <w:vAlign w:val="center"/>
              </w:tcPr>
              <w:p w14:paraId="4F24B5AF">
                <w:pPr>
                  <w:jc w:val="center"/>
                  <w:rPr>
                    <w:color w:val="000000" w:themeColor="text1"/>
                    <w14:textFill>
                      <w14:solidFill>
                        <w14:schemeClr w14:val="tx1"/>
                      </w14:solidFill>
                    </w14:textFill>
                  </w:rPr>
                </w:pPr>
                <w:r>
                  <w:rPr>
                    <w:color w:val="000000" w:themeColor="text1"/>
                    <w14:textFill>
                      <w14:solidFill>
                        <w14:schemeClr w14:val="tx1"/>
                      </w14:solidFill>
                    </w14:textFill>
                  </w:rPr>
                  <w:t>研发进度</w:t>
                </w:r>
              </w:p>
            </w:tc>
          </w:sdtContent>
        </w:sdt>
        <w:sdt>
          <w:sdtPr>
            <w:tag w:val="_PLD_2e2b7c423ce844dab7de014b2901695d"/>
            <w:id w:val="-700016547"/>
          </w:sdtPr>
          <w:sdtContent>
            <w:tc>
              <w:tcPr>
                <w:tcW w:w="1985" w:type="dxa"/>
                <w:vAlign w:val="center"/>
              </w:tcPr>
              <w:p w14:paraId="7012324A">
                <w:pPr>
                  <w:jc w:val="center"/>
                  <w:rPr>
                    <w:color w:val="000000" w:themeColor="text1"/>
                    <w14:textFill>
                      <w14:solidFill>
                        <w14:schemeClr w14:val="tx1"/>
                      </w14:solidFill>
                    </w14:textFill>
                  </w:rPr>
                </w:pPr>
                <w:r>
                  <w:rPr>
                    <w:color w:val="000000" w:themeColor="text1"/>
                    <w14:textFill>
                      <w14:solidFill>
                        <w14:schemeClr w14:val="tx1"/>
                      </w14:solidFill>
                    </w14:textFill>
                  </w:rPr>
                  <w:t>预计完成时间</w:t>
                </w:r>
              </w:p>
            </w:tc>
          </w:sdtContent>
        </w:sdt>
        <w:sdt>
          <w:sdtPr>
            <w:tag w:val="_PLD_f80209ff796f4889aec4ea10cd00fba2"/>
            <w:id w:val="2015097821"/>
          </w:sdtPr>
          <w:sdtContent>
            <w:tc>
              <w:tcPr>
                <w:tcW w:w="1276" w:type="dxa"/>
                <w:vAlign w:val="center"/>
              </w:tcPr>
              <w:p w14:paraId="1EACE917">
                <w:pPr>
                  <w:jc w:val="center"/>
                  <w:rPr>
                    <w:color w:val="000000" w:themeColor="text1"/>
                    <w14:textFill>
                      <w14:solidFill>
                        <w14:schemeClr w14:val="tx1"/>
                      </w14:solidFill>
                    </w14:textFill>
                  </w:rPr>
                </w:pPr>
                <w:r>
                  <w:rPr>
                    <w:color w:val="000000" w:themeColor="text1"/>
                    <w14:textFill>
                      <w14:solidFill>
                        <w14:schemeClr w14:val="tx1"/>
                      </w14:solidFill>
                    </w14:textFill>
                  </w:rPr>
                  <w:t>预计经济利益产生方式</w:t>
                </w:r>
              </w:p>
            </w:tc>
          </w:sdtContent>
        </w:sdt>
        <w:sdt>
          <w:sdtPr>
            <w:tag w:val="_PLD_6707749271d74d6892fb4f26cc588c89"/>
            <w:id w:val="-930274552"/>
          </w:sdtPr>
          <w:sdtContent>
            <w:tc>
              <w:tcPr>
                <w:tcW w:w="1984" w:type="dxa"/>
                <w:vAlign w:val="center"/>
              </w:tcPr>
              <w:p w14:paraId="0ED9FBA5">
                <w:pPr>
                  <w:jc w:val="center"/>
                  <w:rPr>
                    <w:color w:val="000000" w:themeColor="text1"/>
                    <w14:textFill>
                      <w14:solidFill>
                        <w14:schemeClr w14:val="tx1"/>
                      </w14:solidFill>
                    </w14:textFill>
                  </w:rPr>
                </w:pPr>
                <w:r>
                  <w:rPr>
                    <w:color w:val="000000" w:themeColor="text1"/>
                    <w14:textFill>
                      <w14:solidFill>
                        <w14:schemeClr w14:val="tx1"/>
                      </w14:solidFill>
                    </w14:textFill>
                  </w:rPr>
                  <w:t>开始资本化的时点</w:t>
                </w:r>
              </w:p>
            </w:tc>
          </w:sdtContent>
        </w:sdt>
        <w:sdt>
          <w:sdtPr>
            <w:tag w:val="_PLD_903a7c9787d742368d22eff8029fa1a0"/>
            <w:id w:val="641241990"/>
          </w:sdtPr>
          <w:sdtContent>
            <w:tc>
              <w:tcPr>
                <w:tcW w:w="1559" w:type="dxa"/>
                <w:vAlign w:val="center"/>
              </w:tcPr>
              <w:p w14:paraId="6418FF11">
                <w:pPr>
                  <w:jc w:val="center"/>
                  <w:rPr>
                    <w:color w:val="000000" w:themeColor="text1"/>
                    <w14:textFill>
                      <w14:solidFill>
                        <w14:schemeClr w14:val="tx1"/>
                      </w14:solidFill>
                    </w14:textFill>
                  </w:rPr>
                </w:pPr>
                <w:r>
                  <w:rPr>
                    <w:color w:val="000000" w:themeColor="text1"/>
                    <w14:textFill>
                      <w14:solidFill>
                        <w14:schemeClr w14:val="tx1"/>
                      </w14:solidFill>
                    </w14:textFill>
                  </w:rPr>
                  <w:t>具体依据</w:t>
                </w:r>
              </w:p>
            </w:tc>
          </w:sdtContent>
        </w:sdt>
      </w:tr>
      <w:tr w14:paraId="78F8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78BE31E8">
            <w:pPr>
              <w:jc w:val="center"/>
            </w:pPr>
            <w:r>
              <w:t>E661</w:t>
            </w:r>
          </w:p>
        </w:tc>
        <w:tc>
          <w:tcPr>
            <w:tcW w:w="1275" w:type="dxa"/>
            <w:vAlign w:val="center"/>
          </w:tcPr>
          <w:p w14:paraId="45CE43BA">
            <w:pPr>
              <w:jc w:val="center"/>
            </w:pPr>
            <w:r>
              <w:rPr>
                <w:rFonts w:hint="eastAsia"/>
              </w:rPr>
              <w:t>晚期</w:t>
            </w:r>
          </w:p>
        </w:tc>
        <w:tc>
          <w:tcPr>
            <w:tcW w:w="1985" w:type="dxa"/>
            <w:vAlign w:val="center"/>
          </w:tcPr>
          <w:p w14:paraId="3FA0E632">
            <w:pPr>
              <w:jc w:val="center"/>
            </w:pPr>
            <w:r>
              <w:t>2026年5月31日</w:t>
            </w:r>
          </w:p>
        </w:tc>
        <w:tc>
          <w:tcPr>
            <w:tcW w:w="1276" w:type="dxa"/>
            <w:vAlign w:val="center"/>
          </w:tcPr>
          <w:p w14:paraId="547B0141">
            <w:r>
              <w:t>通过产品销售实现</w:t>
            </w:r>
          </w:p>
        </w:tc>
        <w:tc>
          <w:tcPr>
            <w:tcW w:w="1984" w:type="dxa"/>
            <w:vAlign w:val="center"/>
          </w:tcPr>
          <w:p w14:paraId="0ACAA4E2">
            <w:pPr>
              <w:jc w:val="center"/>
            </w:pPr>
            <w:r>
              <w:t>2023年1月3日</w:t>
            </w:r>
          </w:p>
        </w:tc>
        <w:tc>
          <w:tcPr>
            <w:tcW w:w="1559" w:type="dxa"/>
            <w:vAlign w:val="center"/>
          </w:tcPr>
          <w:p w14:paraId="5C14C0C9">
            <w:pPr>
              <w:jc w:val="center"/>
            </w:pPr>
            <w:r>
              <w:t>产业化立项书</w:t>
            </w:r>
          </w:p>
        </w:tc>
      </w:tr>
      <w:tr w14:paraId="5DC9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8918714">
            <w:pPr>
              <w:jc w:val="center"/>
            </w:pPr>
            <w:r>
              <w:t>P658-</w:t>
            </w:r>
          </w:p>
        </w:tc>
        <w:tc>
          <w:tcPr>
            <w:tcW w:w="1275" w:type="dxa"/>
            <w:vAlign w:val="center"/>
          </w:tcPr>
          <w:p w14:paraId="11F7D3B3">
            <w:pPr>
              <w:jc w:val="center"/>
            </w:pPr>
            <w:r>
              <w:rPr>
                <w:rFonts w:hint="eastAsia"/>
              </w:rPr>
              <w:t>晚期</w:t>
            </w:r>
          </w:p>
        </w:tc>
        <w:tc>
          <w:tcPr>
            <w:tcW w:w="1985" w:type="dxa"/>
            <w:vAlign w:val="center"/>
          </w:tcPr>
          <w:p w14:paraId="6B812DCD">
            <w:pPr>
              <w:jc w:val="center"/>
            </w:pPr>
            <w:r>
              <w:rPr>
                <w:rFonts w:hint="eastAsia"/>
              </w:rPr>
              <w:t>2025年7月30日</w:t>
            </w:r>
          </w:p>
        </w:tc>
        <w:tc>
          <w:tcPr>
            <w:tcW w:w="1276" w:type="dxa"/>
            <w:vAlign w:val="center"/>
          </w:tcPr>
          <w:p w14:paraId="55C6FF04">
            <w:r>
              <w:rPr>
                <w:rFonts w:hint="eastAsia"/>
              </w:rPr>
              <w:t>通过产品销售实现</w:t>
            </w:r>
          </w:p>
        </w:tc>
        <w:tc>
          <w:tcPr>
            <w:tcW w:w="1984" w:type="dxa"/>
            <w:vAlign w:val="center"/>
          </w:tcPr>
          <w:p w14:paraId="4E322BDF">
            <w:pPr>
              <w:jc w:val="center"/>
            </w:pPr>
            <w:r>
              <w:rPr>
                <w:rFonts w:hint="eastAsia"/>
              </w:rPr>
              <w:t>2024年7月25日</w:t>
            </w:r>
          </w:p>
        </w:tc>
        <w:tc>
          <w:tcPr>
            <w:tcW w:w="1559" w:type="dxa"/>
            <w:vAlign w:val="center"/>
          </w:tcPr>
          <w:p w14:paraId="75C9E7AB">
            <w:pPr>
              <w:jc w:val="center"/>
            </w:pPr>
            <w:r>
              <w:rPr>
                <w:rFonts w:hint="eastAsia"/>
              </w:rPr>
              <w:t>产业化立项书</w:t>
            </w:r>
          </w:p>
        </w:tc>
      </w:tr>
    </w:tbl>
    <w:p w14:paraId="4B863FF7"/>
    <w:p w14:paraId="7E248DB2">
      <w:pPr>
        <w:rPr>
          <w:color w:val="000000" w:themeColor="text1"/>
          <w14:textFill>
            <w14:solidFill>
              <w14:schemeClr w14:val="tx1"/>
            </w14:solidFill>
          </w14:textFill>
        </w:rPr>
      </w:pPr>
      <w:r>
        <w:rPr>
          <w:color w:val="000000" w:themeColor="text1"/>
          <w14:textFill>
            <w14:solidFill>
              <w14:schemeClr w14:val="tx1"/>
            </w14:solidFill>
          </w14:textFill>
        </w:rPr>
        <w:t>开发支出减值准备</w:t>
      </w:r>
    </w:p>
    <w:sdt>
      <w:sdtPr>
        <w:rPr>
          <w:color w:val="000000" w:themeColor="text1"/>
          <w14:textFill>
            <w14:solidFill>
              <w14:schemeClr w14:val="tx1"/>
            </w14:solidFill>
          </w14:textFill>
        </w:rPr>
        <w:alias w:val="是否适用：开发支出减值准备[双击切换]"/>
        <w:tag w:val="_GBC_61f8745227c4412fa050b0628c64a40a"/>
        <w:id w:val="-1343539933"/>
        <w:placeholder>
          <w:docPart w:val="GBC22222222222222222222222222222"/>
        </w:placeholder>
      </w:sdtPr>
      <w:sdtEndPr>
        <w:rPr>
          <w:color w:val="000000" w:themeColor="text1"/>
          <w14:textFill>
            <w14:solidFill>
              <w14:schemeClr w14:val="tx1"/>
            </w14:solidFill>
          </w14:textFill>
        </w:rPr>
      </w:sdtEndPr>
      <w:sdtContent>
        <w:p w14:paraId="55FA41F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C9E148D">
      <w:pPr>
        <w:rPr>
          <w:color w:val="000000" w:themeColor="text1"/>
          <w14:textFill>
            <w14:solidFill>
              <w14:schemeClr w14:val="tx1"/>
            </w14:solidFill>
          </w14:textFill>
        </w:rPr>
      </w:pPr>
    </w:p>
    <w:p w14:paraId="721183D8">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符合资本化条件的研发项目开发支出的其他说明"/>
        <w:tag w:val="_GBC_6f5dba19dcad4294ab6f74834cfe3448"/>
        <w:id w:val="-2093612069"/>
        <w:placeholder>
          <w:docPart w:val="GBC22222222222222222222222222222"/>
        </w:placeholder>
      </w:sdtPr>
      <w:sdtEndPr>
        <w:rPr>
          <w:color w:val="000000" w:themeColor="text1"/>
          <w14:textFill>
            <w14:solidFill>
              <w14:schemeClr w14:val="tx1"/>
            </w14:solidFill>
          </w14:textFill>
        </w:rPr>
      </w:sdtEndPr>
      <w:sdtContent>
        <w:p w14:paraId="23A2790B">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4E1C129">
      <w:pPr>
        <w:rPr>
          <w:color w:val="000000" w:themeColor="text1"/>
          <w14:textFill>
            <w14:solidFill>
              <w14:schemeClr w14:val="tx1"/>
            </w14:solidFill>
          </w14:textFill>
        </w:rPr>
      </w:pPr>
    </w:p>
    <w:p w14:paraId="3BD39599">
      <w:pPr>
        <w:pStyle w:val="4"/>
        <w:numPr>
          <w:ilvl w:val="0"/>
          <w:numId w:val="81"/>
        </w:numPr>
        <w:ind w:left="360" w:hanging="360"/>
        <w:rPr>
          <w:color w:val="000000" w:themeColor="text1"/>
          <w14:textFill>
            <w14:solidFill>
              <w14:schemeClr w14:val="tx1"/>
            </w14:solidFill>
          </w14:textFill>
        </w:rPr>
      </w:pPr>
      <w:r>
        <w:rPr>
          <w:rFonts w:hint="eastAsia"/>
          <w:color w:val="000000" w:themeColor="text1"/>
          <w14:textFill>
            <w14:solidFill>
              <w14:schemeClr w14:val="tx1"/>
            </w14:solidFill>
          </w14:textFill>
        </w:rPr>
        <w:t>重要的外购在研项目</w:t>
      </w:r>
    </w:p>
    <w:sdt>
      <w:sdtPr>
        <w:rPr>
          <w:color w:val="000000" w:themeColor="text1"/>
          <w14:textFill>
            <w14:solidFill>
              <w14:schemeClr w14:val="tx1"/>
            </w14:solidFill>
          </w14:textFill>
        </w:rPr>
        <w:alias w:val="是否适用：重要的外购在研项目[双击切换]"/>
        <w:tag w:val="_GBC_d8453a2bfa274fa6906f48d9a4c81bac"/>
        <w:id w:val="900560982"/>
        <w:placeholder>
          <w:docPart w:val="GBC22222222222222222222222222222"/>
        </w:placeholder>
      </w:sdtPr>
      <w:sdtEndPr>
        <w:rPr>
          <w:color w:val="000000" w:themeColor="text1"/>
          <w14:textFill>
            <w14:solidFill>
              <w14:schemeClr w14:val="tx1"/>
            </w14:solidFill>
          </w14:textFill>
        </w:rPr>
      </w:sdtEndPr>
      <w:sdtContent>
        <w:p w14:paraId="5BAE2B4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FA6B9D">
      <w:pPr>
        <w:rPr>
          <w:color w:val="000000" w:themeColor="text1"/>
          <w14:textFill>
            <w14:solidFill>
              <w14:schemeClr w14:val="tx1"/>
            </w14:solidFill>
          </w14:textFill>
        </w:rPr>
      </w:pPr>
      <w:r>
        <w:rPr>
          <w:rFonts w:hint="eastAsia"/>
        </w:rPr>
        <w:t>本公司外购研发项目由若干单项不重大的研发项目构成</w:t>
      </w:r>
    </w:p>
    <w:bookmarkEnd w:id="355"/>
    <w:p w14:paraId="3F9A0C2A">
      <w:pPr>
        <w:rPr>
          <w:color w:val="000000" w:themeColor="text1"/>
          <w14:textFill>
            <w14:solidFill>
              <w14:schemeClr w14:val="tx1"/>
            </w14:solidFill>
          </w14:textFill>
        </w:rPr>
      </w:pPr>
    </w:p>
    <w:p w14:paraId="33CE7F58">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合并范围的变更</w:t>
      </w:r>
    </w:p>
    <w:p w14:paraId="30BC8190">
      <w:pPr>
        <w:pStyle w:val="4"/>
        <w:numPr>
          <w:ilvl w:val="0"/>
          <w:numId w:val="82"/>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非同一控制下企业合并</w:t>
      </w:r>
    </w:p>
    <w:sdt>
      <w:sdtPr>
        <w:rPr>
          <w:color w:val="000000" w:themeColor="text1"/>
          <w14:textFill>
            <w14:solidFill>
              <w14:schemeClr w14:val="tx1"/>
            </w14:solidFill>
          </w14:textFill>
        </w:rPr>
        <w:alias w:val="是否适用：非同一控制下企业合并[双击切换]"/>
        <w:tag w:val="_GBC_2f9a65b0b4644b14ab5af1407e6467f1"/>
        <w:id w:val="-1186970562"/>
        <w:placeholder>
          <w:docPart w:val="GBC22222222222222222222222222222"/>
        </w:placeholder>
      </w:sdtPr>
      <w:sdtEndPr>
        <w:rPr>
          <w:color w:val="000000" w:themeColor="text1"/>
          <w14:textFill>
            <w14:solidFill>
              <w14:schemeClr w14:val="tx1"/>
            </w14:solidFill>
          </w14:textFill>
        </w:rPr>
      </w:sdtEndPr>
      <w:sdtContent>
        <w:p w14:paraId="275A2FF2">
          <w:pPr>
            <w:rPr>
              <w:rFonts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21D1CA">
      <w:pPr>
        <w:rPr>
          <w:color w:val="000000" w:themeColor="text1"/>
          <w14:textFill>
            <w14:solidFill>
              <w14:schemeClr w14:val="tx1"/>
            </w14:solidFill>
          </w14:textFill>
        </w:rPr>
      </w:pPr>
    </w:p>
    <w:p w14:paraId="3EEFDB58">
      <w:pPr>
        <w:pStyle w:val="4"/>
        <w:numPr>
          <w:ilvl w:val="0"/>
          <w:numId w:val="82"/>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同一控制下企业合并</w:t>
      </w:r>
    </w:p>
    <w:sdt>
      <w:sdtPr>
        <w:rPr>
          <w:color w:val="000000" w:themeColor="text1"/>
          <w14:textFill>
            <w14:solidFill>
              <w14:schemeClr w14:val="tx1"/>
            </w14:solidFill>
          </w14:textFill>
        </w:rPr>
        <w:alias w:val="是否适用：同一控制下企业合并[双击切换]"/>
        <w:tag w:val="_GBC_cde296136a1d4f2094eb79d21291eae2"/>
        <w:id w:val="1634605583"/>
        <w:placeholder>
          <w:docPart w:val="GBC22222222222222222222222222222"/>
        </w:placeholder>
      </w:sdtPr>
      <w:sdtEndPr>
        <w:rPr>
          <w:color w:val="000000" w:themeColor="text1"/>
          <w14:textFill>
            <w14:solidFill>
              <w14:schemeClr w14:val="tx1"/>
            </w14:solidFill>
          </w14:textFill>
        </w:rPr>
      </w:sdtEndPr>
      <w:sdtContent>
        <w:p w14:paraId="45EA6910">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42063E">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19BA0B8C">
      <w:pPr>
        <w:pStyle w:val="4"/>
        <w:numPr>
          <w:ilvl w:val="0"/>
          <w:numId w:val="82"/>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反向购买</w:t>
      </w:r>
    </w:p>
    <w:sdt>
      <w:sdtPr>
        <w:rPr>
          <w:color w:val="000000" w:themeColor="text1"/>
          <w14:textFill>
            <w14:solidFill>
              <w14:schemeClr w14:val="tx1"/>
            </w14:solidFill>
          </w14:textFill>
        </w:rPr>
        <w:alias w:val="是否适用：反向购买[双击切换]"/>
        <w:tag w:val="_GBC_973cde3cea5d460790de47cc49169bde"/>
        <w:id w:val="-168873951"/>
        <w:placeholder>
          <w:docPart w:val="GBC22222222222222222222222222222"/>
        </w:placeholder>
      </w:sdtPr>
      <w:sdtEndPr>
        <w:rPr>
          <w:color w:val="000000" w:themeColor="text1"/>
          <w14:textFill>
            <w14:solidFill>
              <w14:schemeClr w14:val="tx1"/>
            </w14:solidFill>
          </w14:textFill>
        </w:rPr>
      </w:sdtEndPr>
      <w:sdtContent>
        <w:p w14:paraId="5D8A90C7">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C196A50">
      <w:pPr>
        <w:rPr>
          <w:rFonts w:cs="Arial"/>
          <w:color w:val="000000" w:themeColor="text1"/>
          <w:lang w:val="en-GB"/>
          <w14:textFill>
            <w14:solidFill>
              <w14:schemeClr w14:val="tx1"/>
            </w14:solidFill>
          </w14:textFill>
        </w:rPr>
      </w:pPr>
    </w:p>
    <w:p w14:paraId="4FAFD190">
      <w:pPr>
        <w:pStyle w:val="4"/>
        <w:numPr>
          <w:ilvl w:val="0"/>
          <w:numId w:val="82"/>
        </w:numPr>
        <w:rPr>
          <w:rFonts w:ascii="宋体" w:hAnsi="宋体" w:cs="Arial"/>
          <w:color w:val="000000" w:themeColor="text1"/>
          <w:szCs w:val="21"/>
          <w14:textFill>
            <w14:solidFill>
              <w14:schemeClr w14:val="tx1"/>
            </w14:solidFill>
          </w14:textFill>
        </w:rPr>
      </w:pPr>
      <w:bookmarkStart w:id="357" w:name="_Hlk167975840"/>
      <w:r>
        <w:rPr>
          <w:rFonts w:hint="eastAsia" w:ascii="宋体" w:hAnsi="宋体" w:cs="Arial"/>
          <w:color w:val="000000" w:themeColor="text1"/>
          <w:szCs w:val="21"/>
          <w14:textFill>
            <w14:solidFill>
              <w14:schemeClr w14:val="tx1"/>
            </w14:solidFill>
          </w14:textFill>
        </w:rPr>
        <w:t>处置子公司</w:t>
      </w:r>
    </w:p>
    <w:p w14:paraId="37652F69">
      <w:pPr>
        <w:rPr>
          <w:color w:val="000000" w:themeColor="text1"/>
          <w14:textFill>
            <w14:solidFill>
              <w14:schemeClr w14:val="tx1"/>
            </w14:solidFill>
          </w14:textFill>
        </w:rPr>
      </w:pPr>
      <w:r>
        <w:rPr>
          <w:rFonts w:hint="eastAsia"/>
          <w:color w:val="000000" w:themeColor="text1"/>
          <w14:textFill>
            <w14:solidFill>
              <w14:schemeClr w14:val="tx1"/>
            </w14:solidFill>
          </w14:textFill>
        </w:rPr>
        <w:t>本期是否存在</w:t>
      </w:r>
      <w:r>
        <w:rPr>
          <w:color w:val="000000" w:themeColor="text1"/>
          <w14:textFill>
            <w14:solidFill>
              <w14:schemeClr w14:val="tx1"/>
            </w14:solidFill>
          </w14:textFill>
        </w:rPr>
        <w:t>丧失</w:t>
      </w:r>
      <w:r>
        <w:rPr>
          <w:rFonts w:hint="eastAsia"/>
          <w:color w:val="000000" w:themeColor="text1"/>
          <w14:textFill>
            <w14:solidFill>
              <w14:schemeClr w14:val="tx1"/>
            </w14:solidFill>
          </w14:textFill>
        </w:rPr>
        <w:t>子公司</w:t>
      </w:r>
      <w:r>
        <w:rPr>
          <w:color w:val="000000" w:themeColor="text1"/>
          <w14:textFill>
            <w14:solidFill>
              <w14:schemeClr w14:val="tx1"/>
            </w14:solidFill>
          </w14:textFill>
        </w:rPr>
        <w:t>控制权</w:t>
      </w:r>
      <w:r>
        <w:rPr>
          <w:rFonts w:hint="eastAsia"/>
          <w:color w:val="000000" w:themeColor="text1"/>
          <w14:textFill>
            <w14:solidFill>
              <w14:schemeClr w14:val="tx1"/>
            </w14:solidFill>
          </w14:textFill>
        </w:rPr>
        <w:t>的交易或事项</w:t>
      </w:r>
    </w:p>
    <w:sdt>
      <w:sdtPr>
        <w:rPr>
          <w:rFonts w:hint="eastAsia" w:cs="Arial"/>
          <w:color w:val="000000" w:themeColor="text1"/>
          <w14:textFill>
            <w14:solidFill>
              <w14:schemeClr w14:val="tx1"/>
            </w14:solidFill>
          </w14:textFill>
        </w:rPr>
        <w:alias w:val="是否存在单次交易处置对子公司投资即丧失控制权的情形[双击切换]"/>
        <w:tag w:val="_GBC_3326559ea8a84c1f80452d301a368ec5"/>
        <w:id w:val="-1066253368"/>
        <w:placeholder>
          <w:docPart w:val="GBC22222222222222222222222222222"/>
        </w:placeholder>
      </w:sdtPr>
      <w:sdtEndPr>
        <w:rPr>
          <w:rFonts w:hint="eastAsia" w:cs="Arial"/>
          <w:color w:val="000000" w:themeColor="text1"/>
          <w14:textFill>
            <w14:solidFill>
              <w14:schemeClr w14:val="tx1"/>
            </w14:solidFill>
          </w14:textFill>
        </w:rPr>
      </w:sdtEndPr>
      <w:sdtContent>
        <w:p w14:paraId="1266EAFE">
          <w:pPr>
            <w:rPr>
              <w:rFonts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hint="eastAsia" w:ascii="宋体" w:hAnsi="宋体" w:cs="Arial"/>
              <w:color w:val="000000" w:themeColor="text1"/>
              <w14:textFill>
                <w14:solidFill>
                  <w14:schemeClr w14:val="tx1"/>
                </w14:solidFill>
              </w14:textFill>
            </w:rPr>
            <w:instrText xml:space="preserve">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5B2B3BA4">
      <w:pPr>
        <w:jc w:val="right"/>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单位:</w:t>
      </w:r>
      <w:sdt>
        <w:sdtPr>
          <w:rPr>
            <w:rFonts w:hint="eastAsia" w:cs="Arial"/>
            <w:color w:val="000000" w:themeColor="text1"/>
            <w14:textFill>
              <w14:solidFill>
                <w14:schemeClr w14:val="tx1"/>
              </w14:solidFill>
            </w14:textFill>
          </w:rPr>
          <w:alias w:val="单位：财务附注：单次交易处置对子公司投资即丧失控制权的情形"/>
          <w:tag w:val="_GBC_a079dc7d2e694638a6dc7235bfcbfe33"/>
          <w:id w:val="-17699138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万元</w:t>
          </w:r>
        </w:sdtContent>
      </w:sdt>
      <w:r>
        <w:rPr>
          <w:rFonts w:hint="eastAsia" w:cs="Arial"/>
          <w:color w:val="000000" w:themeColor="text1"/>
          <w14:textFill>
            <w14:solidFill>
              <w14:schemeClr w14:val="tx1"/>
            </w14:solidFill>
          </w14:textFill>
        </w:rPr>
        <w:t xml:space="preserve">  币种:</w:t>
      </w:r>
      <w:sdt>
        <w:sdtPr>
          <w:rPr>
            <w:rFonts w:hint="eastAsia" w:cs="Arial"/>
            <w:color w:val="000000" w:themeColor="text1"/>
            <w14:textFill>
              <w14:solidFill>
                <w14:schemeClr w14:val="tx1"/>
              </w14:solidFill>
            </w14:textFill>
          </w:rPr>
          <w:alias w:val="币种：财务附注：单次交易处置对子公司投资即丧失控制权的情形"/>
          <w:tag w:val="_GBC_4ab04d4bc1454d11a829ed53c3ff7e1f"/>
          <w:id w:val="-2093996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人民币</w:t>
          </w:r>
        </w:sdtContent>
      </w:sdt>
    </w:p>
    <w:tbl>
      <w:tblPr>
        <w:tblStyle w:val="37"/>
        <w:tblW w:w="50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666"/>
        <w:gridCol w:w="1072"/>
        <w:gridCol w:w="951"/>
        <w:gridCol w:w="971"/>
        <w:gridCol w:w="948"/>
        <w:gridCol w:w="1634"/>
        <w:gridCol w:w="1106"/>
        <w:gridCol w:w="1168"/>
        <w:gridCol w:w="1157"/>
        <w:gridCol w:w="988"/>
        <w:gridCol w:w="1298"/>
        <w:gridCol w:w="1146"/>
      </w:tblGrid>
      <w:tr w14:paraId="6821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pacing w:val="-10"/>
            </w:rPr>
            <w:tag w:val="_PLD_c77296e415ac4281a48ad58564d2f70c"/>
            <w:id w:val="1145087315"/>
          </w:sdtPr>
          <w:sdtEndPr>
            <w:rPr>
              <w:spacing w:val="-10"/>
            </w:rPr>
          </w:sdtEndPr>
          <w:sdtContent>
            <w:tc>
              <w:tcPr>
                <w:tcW w:w="356" w:type="pct"/>
                <w:vAlign w:val="center"/>
              </w:tcPr>
              <w:p w14:paraId="3E832195">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ascii="宋体" w:hAnsi="宋体"/>
                    <w:color w:val="000000" w:themeColor="text1"/>
                    <w:spacing w:val="-10"/>
                    <w14:textFill>
                      <w14:solidFill>
                        <w14:schemeClr w14:val="tx1"/>
                      </w14:solidFill>
                    </w14:textFill>
                  </w:rPr>
                  <w:t>子公司名称</w:t>
                </w:r>
              </w:p>
            </w:tc>
          </w:sdtContent>
        </w:sdt>
        <w:sdt>
          <w:sdtPr>
            <w:rPr>
              <w:spacing w:val="-10"/>
            </w:rPr>
            <w:tag w:val="_PLD_40792ecc63a44bb2b462d18a35427a99"/>
            <w:id w:val="-860902025"/>
          </w:sdtPr>
          <w:sdtEndPr>
            <w:rPr>
              <w:spacing w:val="-10"/>
            </w:rPr>
          </w:sdtEndPr>
          <w:sdtContent>
            <w:tc>
              <w:tcPr>
                <w:tcW w:w="236" w:type="pct"/>
                <w:vAlign w:val="center"/>
              </w:tcPr>
              <w:p w14:paraId="2425CC97">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ascii="宋体" w:hAnsi="宋体"/>
                    <w:color w:val="000000" w:themeColor="text1"/>
                    <w:spacing w:val="-10"/>
                    <w14:textFill>
                      <w14:solidFill>
                        <w14:schemeClr w14:val="tx1"/>
                      </w14:solidFill>
                    </w14:textFill>
                  </w:rPr>
                  <w:t>丧失控制权的时点</w:t>
                </w:r>
              </w:p>
            </w:tc>
          </w:sdtContent>
        </w:sdt>
        <w:sdt>
          <w:sdtPr>
            <w:rPr>
              <w:spacing w:val="-10"/>
            </w:rPr>
            <w:tag w:val="_PLD_26e9f3fa37e04e78b857a214af781e55"/>
            <w:id w:val="527846563"/>
          </w:sdtPr>
          <w:sdtEndPr>
            <w:rPr>
              <w:spacing w:val="-10"/>
            </w:rPr>
          </w:sdtEndPr>
          <w:sdtContent>
            <w:tc>
              <w:tcPr>
                <w:tcW w:w="380" w:type="pct"/>
                <w:vAlign w:val="center"/>
              </w:tcPr>
              <w:p w14:paraId="1D8B0BDC">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丧失控制权时点的处置价款</w:t>
                </w:r>
              </w:p>
            </w:tc>
          </w:sdtContent>
        </w:sdt>
        <w:sdt>
          <w:sdtPr>
            <w:rPr>
              <w:spacing w:val="-10"/>
            </w:rPr>
            <w:tag w:val="_PLD_87a7891a3dbd4269928003f1e72bc3b6"/>
            <w:id w:val="1503012656"/>
          </w:sdtPr>
          <w:sdtEndPr>
            <w:rPr>
              <w:spacing w:val="-10"/>
            </w:rPr>
          </w:sdtEndPr>
          <w:sdtContent>
            <w:tc>
              <w:tcPr>
                <w:tcW w:w="337" w:type="pct"/>
                <w:vAlign w:val="center"/>
              </w:tcPr>
              <w:p w14:paraId="754A5BDF">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丧失控制权时点的处置比例（%）</w:t>
                </w:r>
              </w:p>
            </w:tc>
          </w:sdtContent>
        </w:sdt>
        <w:sdt>
          <w:sdtPr>
            <w:rPr>
              <w:spacing w:val="-10"/>
            </w:rPr>
            <w:tag w:val="_PLD_df1e141754bc4407bebb543cacf95af6"/>
            <w:id w:val="-1581746883"/>
          </w:sdtPr>
          <w:sdtEndPr>
            <w:rPr>
              <w:spacing w:val="-10"/>
            </w:rPr>
          </w:sdtEndPr>
          <w:sdtContent>
            <w:tc>
              <w:tcPr>
                <w:tcW w:w="344" w:type="pct"/>
                <w:vAlign w:val="center"/>
              </w:tcPr>
              <w:p w14:paraId="6D1ABE3B">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ascii="宋体" w:hAnsi="宋体"/>
                    <w:color w:val="000000" w:themeColor="text1"/>
                    <w:spacing w:val="-10"/>
                    <w14:textFill>
                      <w14:solidFill>
                        <w14:schemeClr w14:val="tx1"/>
                      </w14:solidFill>
                    </w14:textFill>
                  </w:rPr>
                  <w:t>丧失控制权时点的处置方式</w:t>
                </w:r>
              </w:p>
            </w:tc>
          </w:sdtContent>
        </w:sdt>
        <w:sdt>
          <w:sdtPr>
            <w:rPr>
              <w:spacing w:val="-10"/>
            </w:rPr>
            <w:tag w:val="_PLD_f82ffb7ef97d428284f08baa2b77ad58"/>
            <w:id w:val="271830985"/>
          </w:sdtPr>
          <w:sdtEndPr>
            <w:rPr>
              <w:spacing w:val="-10"/>
            </w:rPr>
          </w:sdtEndPr>
          <w:sdtContent>
            <w:tc>
              <w:tcPr>
                <w:tcW w:w="336" w:type="pct"/>
                <w:vAlign w:val="center"/>
              </w:tcPr>
              <w:p w14:paraId="4DE5F9E9">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ascii="宋体" w:hAnsi="宋体"/>
                    <w:color w:val="000000" w:themeColor="text1"/>
                    <w:spacing w:val="-10"/>
                    <w14:textFill>
                      <w14:solidFill>
                        <w14:schemeClr w14:val="tx1"/>
                      </w14:solidFill>
                    </w14:textFill>
                  </w:rPr>
                  <w:t>丧失控制权时点的判断依据</w:t>
                </w:r>
              </w:p>
            </w:tc>
          </w:sdtContent>
        </w:sdt>
        <w:sdt>
          <w:sdtPr>
            <w:rPr>
              <w:spacing w:val="-10"/>
            </w:rPr>
            <w:tag w:val="_PLD_ddf6caea87d3476597d93d9aa139e5c8"/>
            <w:id w:val="-1454247691"/>
          </w:sdtPr>
          <w:sdtEndPr>
            <w:rPr>
              <w:spacing w:val="-10"/>
            </w:rPr>
          </w:sdtEndPr>
          <w:sdtContent>
            <w:tc>
              <w:tcPr>
                <w:tcW w:w="579" w:type="pct"/>
                <w:vAlign w:val="center"/>
              </w:tcPr>
              <w:p w14:paraId="5C79A24A">
                <w:pPr>
                  <w:pStyle w:val="15"/>
                  <w:ind w:left="-53" w:leftChars="-25" w:right="-53" w:rightChars="-25"/>
                  <w:jc w:val="center"/>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处置价款与处置投资对应的合并财务报表层面享有该子公司净资产份额的差额</w:t>
                </w:r>
              </w:p>
            </w:tc>
          </w:sdtContent>
        </w:sdt>
        <w:sdt>
          <w:sdtPr>
            <w:rPr>
              <w:spacing w:val="-10"/>
            </w:rPr>
            <w:tag w:val="_PLD_c3f6d661cbf8452eac5ddc11f8d4eed8"/>
            <w:id w:val="1098830137"/>
          </w:sdtPr>
          <w:sdtEndPr>
            <w:rPr>
              <w:spacing w:val="-10"/>
            </w:rPr>
          </w:sdtEndPr>
          <w:sdtContent>
            <w:tc>
              <w:tcPr>
                <w:tcW w:w="392" w:type="pct"/>
                <w:vAlign w:val="center"/>
              </w:tcPr>
              <w:p w14:paraId="427C3142">
                <w:pPr>
                  <w:pStyle w:val="15"/>
                  <w:ind w:left="-53" w:leftChars="-25" w:right="-53" w:rightChars="-25"/>
                  <w:jc w:val="center"/>
                  <w:rPr>
                    <w:rFonts w:asciiTheme="minorEastAsia" w:hAnsiTheme="minorEastAsia" w:eastAsiaTheme="minorEastAsia"/>
                    <w:color w:val="000000" w:themeColor="text1"/>
                    <w:spacing w:val="-10"/>
                    <w14:textFill>
                      <w14:solidFill>
                        <w14:schemeClr w14:val="tx1"/>
                      </w14:solidFill>
                    </w14:textFill>
                  </w:rPr>
                </w:pPr>
                <w:r>
                  <w:rPr>
                    <w:rFonts w:hint="eastAsia" w:asciiTheme="minorEastAsia" w:hAnsiTheme="minorEastAsia" w:eastAsiaTheme="minorEastAsia"/>
                    <w:color w:val="000000" w:themeColor="text1"/>
                    <w:spacing w:val="-10"/>
                    <w14:textFill>
                      <w14:solidFill>
                        <w14:schemeClr w14:val="tx1"/>
                      </w14:solidFill>
                    </w14:textFill>
                  </w:rPr>
                  <w:t>丧失控制权之日剩余股权的比例</w:t>
                </w:r>
                <w:r>
                  <w:rPr>
                    <w:rFonts w:hint="eastAsia" w:cs="Arial" w:asciiTheme="minorEastAsia" w:hAnsiTheme="minorEastAsia" w:eastAsiaTheme="minorEastAsia"/>
                    <w:color w:val="000000" w:themeColor="text1"/>
                    <w:spacing w:val="-10"/>
                    <w:lang w:val="en-GB"/>
                    <w14:textFill>
                      <w14:solidFill>
                        <w14:schemeClr w14:val="tx1"/>
                      </w14:solidFill>
                    </w14:textFill>
                  </w:rPr>
                  <w:t>（%）</w:t>
                </w:r>
              </w:p>
            </w:tc>
          </w:sdtContent>
        </w:sdt>
        <w:sdt>
          <w:sdtPr>
            <w:rPr>
              <w:spacing w:val="-10"/>
            </w:rPr>
            <w:tag w:val="_PLD_a38ec4c04a064cd4b7fe05d6cbdf8759"/>
            <w:id w:val="-539439543"/>
          </w:sdtPr>
          <w:sdtEndPr>
            <w:rPr>
              <w:spacing w:val="-10"/>
            </w:rPr>
          </w:sdtEndPr>
          <w:sdtContent>
            <w:tc>
              <w:tcPr>
                <w:tcW w:w="414" w:type="pct"/>
                <w:vAlign w:val="center"/>
              </w:tcPr>
              <w:p w14:paraId="4CC66F3C">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ascii="宋体" w:hAnsi="宋体"/>
                    <w:color w:val="000000" w:themeColor="text1"/>
                    <w:spacing w:val="-10"/>
                    <w14:textFill>
                      <w14:solidFill>
                        <w14:schemeClr w14:val="tx1"/>
                      </w14:solidFill>
                    </w14:textFill>
                  </w:rPr>
                  <w:t>丧失控制权之日合并财务报表层面剩余股权的账面价值</w:t>
                </w:r>
              </w:p>
            </w:tc>
          </w:sdtContent>
        </w:sdt>
        <w:sdt>
          <w:sdtPr>
            <w:rPr>
              <w:spacing w:val="-10"/>
            </w:rPr>
            <w:tag w:val="_PLD_a65b19ee8c99463c8b5b6b19c3adcca1"/>
            <w:id w:val="1063068675"/>
          </w:sdtPr>
          <w:sdtEndPr>
            <w:rPr>
              <w:spacing w:val="-10"/>
            </w:rPr>
          </w:sdtEndPr>
          <w:sdtContent>
            <w:tc>
              <w:tcPr>
                <w:tcW w:w="410" w:type="pct"/>
                <w:vAlign w:val="center"/>
              </w:tcPr>
              <w:p w14:paraId="2706FBD5">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ascii="宋体" w:hAnsi="宋体"/>
                    <w:color w:val="000000" w:themeColor="text1"/>
                    <w:spacing w:val="-10"/>
                    <w14:textFill>
                      <w14:solidFill>
                        <w14:schemeClr w14:val="tx1"/>
                      </w14:solidFill>
                    </w14:textFill>
                  </w:rPr>
                  <w:t>丧失控制权之日合并财务报表层面剩余股权的公允价值</w:t>
                </w:r>
              </w:p>
            </w:tc>
          </w:sdtContent>
        </w:sdt>
        <w:sdt>
          <w:sdtPr>
            <w:rPr>
              <w:spacing w:val="-10"/>
            </w:rPr>
            <w:tag w:val="_PLD_34835d0139aa4d5eb7eaa2f47566b6fb"/>
            <w:id w:val="-1024778899"/>
          </w:sdtPr>
          <w:sdtEndPr>
            <w:rPr>
              <w:spacing w:val="-10"/>
            </w:rPr>
          </w:sdtEndPr>
          <w:sdtContent>
            <w:tc>
              <w:tcPr>
                <w:tcW w:w="350" w:type="pct"/>
                <w:vAlign w:val="center"/>
              </w:tcPr>
              <w:p w14:paraId="22E9DD96">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ascii="宋体" w:hAnsi="宋体"/>
                    <w:color w:val="000000" w:themeColor="text1"/>
                    <w:spacing w:val="-10"/>
                    <w14:textFill>
                      <w14:solidFill>
                        <w14:schemeClr w14:val="tx1"/>
                      </w14:solidFill>
                    </w14:textFill>
                  </w:rPr>
                  <w:t>按照公允价值重新计量剩余股权产生的利得或损失</w:t>
                </w:r>
              </w:p>
            </w:tc>
          </w:sdtContent>
        </w:sdt>
        <w:sdt>
          <w:sdtPr>
            <w:rPr>
              <w:spacing w:val="-10"/>
            </w:rPr>
            <w:tag w:val="_PLD_01d9c0ea306d42a88e5557becb63b0b2"/>
            <w:id w:val="662125925"/>
          </w:sdtPr>
          <w:sdtEndPr>
            <w:rPr>
              <w:spacing w:val="-10"/>
            </w:rPr>
          </w:sdtEndPr>
          <w:sdtContent>
            <w:tc>
              <w:tcPr>
                <w:tcW w:w="460" w:type="pct"/>
                <w:vAlign w:val="center"/>
              </w:tcPr>
              <w:p w14:paraId="370E70CC">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ascii="宋体" w:hAnsi="宋体"/>
                    <w:color w:val="000000" w:themeColor="text1"/>
                    <w:spacing w:val="-10"/>
                    <w14:textFill>
                      <w14:solidFill>
                        <w14:schemeClr w14:val="tx1"/>
                      </w14:solidFill>
                    </w14:textFill>
                  </w:rPr>
                  <w:t>丧失控制权之日合并财务报表层面剩余股权公允价值的确定方法及主要假设</w:t>
                </w:r>
              </w:p>
            </w:tc>
          </w:sdtContent>
        </w:sdt>
        <w:sdt>
          <w:sdtPr>
            <w:rPr>
              <w:spacing w:val="-10"/>
            </w:rPr>
            <w:tag w:val="_PLD_0f257a3422164fae8a2d5121b41f626f"/>
            <w:id w:val="-1649895631"/>
          </w:sdtPr>
          <w:sdtEndPr>
            <w:rPr>
              <w:spacing w:val="-10"/>
            </w:rPr>
          </w:sdtEndPr>
          <w:sdtContent>
            <w:tc>
              <w:tcPr>
                <w:tcW w:w="406" w:type="pct"/>
                <w:vAlign w:val="center"/>
              </w:tcPr>
              <w:p w14:paraId="58C83B35">
                <w:pPr>
                  <w:pStyle w:val="15"/>
                  <w:ind w:left="-53" w:leftChars="-25" w:right="-53" w:rightChars="-25"/>
                  <w:jc w:val="center"/>
                  <w:rPr>
                    <w:rFonts w:ascii="宋体" w:hAnsi="宋体"/>
                    <w:color w:val="000000" w:themeColor="text1"/>
                    <w:spacing w:val="-10"/>
                    <w14:textFill>
                      <w14:solidFill>
                        <w14:schemeClr w14:val="tx1"/>
                      </w14:solidFill>
                    </w14:textFill>
                  </w:rPr>
                </w:pPr>
                <w:r>
                  <w:rPr>
                    <w:rFonts w:hint="eastAsia" w:ascii="宋体" w:hAnsi="宋体"/>
                    <w:color w:val="000000" w:themeColor="text1"/>
                    <w:spacing w:val="-10"/>
                    <w14:textFill>
                      <w14:solidFill>
                        <w14:schemeClr w14:val="tx1"/>
                      </w14:solidFill>
                    </w14:textFill>
                  </w:rPr>
                  <w:t>与原子公司股权投资相关的其他综合收益转入投资损益或留存收益的金额</w:t>
                </w:r>
              </w:p>
            </w:tc>
          </w:sdtContent>
        </w:sdt>
      </w:tr>
      <w:tr w14:paraId="7A61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 w:type="pct"/>
          </w:tcPr>
          <w:p w14:paraId="472265D6">
            <w:pPr>
              <w:pStyle w:val="15"/>
              <w:ind w:left="-53" w:leftChars="-25" w:right="-53" w:rightChars="-25"/>
              <w:rPr>
                <w:rFonts w:ascii="宋体" w:hAnsi="宋体"/>
                <w:spacing w:val="-10"/>
              </w:rPr>
            </w:pPr>
            <w:r>
              <w:rPr>
                <w:spacing w:val="-10"/>
              </w:rPr>
              <w:t>海博瑞德(重庆)汽车动力控制系统有限公司</w:t>
            </w:r>
            <w:r>
              <w:rPr>
                <w:rFonts w:hint="eastAsia"/>
                <w:spacing w:val="-10"/>
              </w:rPr>
              <w:t>、北京海博瑞德科技有限公司</w:t>
            </w:r>
          </w:p>
        </w:tc>
        <w:tc>
          <w:tcPr>
            <w:tcW w:w="236" w:type="pct"/>
            <w:vAlign w:val="center"/>
          </w:tcPr>
          <w:p w14:paraId="34C902FE">
            <w:pPr>
              <w:pStyle w:val="15"/>
              <w:ind w:left="-53" w:leftChars="-25" w:right="-53" w:rightChars="-25"/>
              <w:jc w:val="center"/>
              <w:rPr>
                <w:rFonts w:ascii="宋体" w:hAnsi="宋体"/>
                <w:spacing w:val="-10"/>
              </w:rPr>
            </w:pPr>
            <w:r>
              <w:rPr>
                <w:rFonts w:hint="eastAsia" w:ascii="宋体" w:hAnsi="宋体"/>
                <w:spacing w:val="-10"/>
              </w:rPr>
              <w:t>2</w:t>
            </w:r>
            <w:r>
              <w:rPr>
                <w:rFonts w:ascii="宋体" w:hAnsi="宋体"/>
                <w:spacing w:val="-10"/>
              </w:rPr>
              <w:t>025</w:t>
            </w:r>
            <w:r>
              <w:rPr>
                <w:rFonts w:hint="eastAsia" w:ascii="宋体" w:hAnsi="宋体"/>
                <w:spacing w:val="-10"/>
              </w:rPr>
              <w:t>年4月</w:t>
            </w:r>
          </w:p>
        </w:tc>
        <w:tc>
          <w:tcPr>
            <w:tcW w:w="380" w:type="pct"/>
            <w:vAlign w:val="center"/>
          </w:tcPr>
          <w:p w14:paraId="14ED2C38">
            <w:pPr>
              <w:pStyle w:val="15"/>
              <w:ind w:left="-53" w:leftChars="-25" w:right="-53" w:rightChars="-25"/>
              <w:jc w:val="center"/>
              <w:rPr>
                <w:rFonts w:ascii="宋体" w:hAnsi="宋体"/>
                <w:spacing w:val="-10"/>
              </w:rPr>
            </w:pPr>
            <w:r>
              <w:rPr>
                <w:rFonts w:ascii="宋体" w:hAnsi="宋体"/>
                <w:spacing w:val="-10"/>
              </w:rPr>
              <w:t>1,600.00</w:t>
            </w:r>
          </w:p>
        </w:tc>
        <w:tc>
          <w:tcPr>
            <w:tcW w:w="337" w:type="pct"/>
            <w:vAlign w:val="center"/>
          </w:tcPr>
          <w:p w14:paraId="5F227E38">
            <w:pPr>
              <w:pStyle w:val="15"/>
              <w:ind w:left="-53" w:leftChars="-25" w:right="-53" w:rightChars="-25"/>
              <w:jc w:val="center"/>
              <w:rPr>
                <w:rFonts w:ascii="宋体" w:hAnsi="宋体"/>
                <w:spacing w:val="-10"/>
              </w:rPr>
            </w:pPr>
            <w:r>
              <w:rPr>
                <w:rFonts w:ascii="宋体" w:hAnsi="宋体"/>
                <w:spacing w:val="-10"/>
              </w:rPr>
              <w:t>93.97</w:t>
            </w:r>
          </w:p>
        </w:tc>
        <w:tc>
          <w:tcPr>
            <w:tcW w:w="344" w:type="pct"/>
            <w:vAlign w:val="center"/>
          </w:tcPr>
          <w:p w14:paraId="08565C5B">
            <w:pPr>
              <w:ind w:left="-53" w:leftChars="-25" w:right="-53" w:rightChars="-25"/>
              <w:rPr>
                <w:spacing w:val="-10"/>
              </w:rPr>
            </w:pPr>
            <w:r>
              <w:rPr>
                <w:spacing w:val="-10"/>
              </w:rPr>
              <w:t>股权变更</w:t>
            </w:r>
          </w:p>
        </w:tc>
        <w:tc>
          <w:tcPr>
            <w:tcW w:w="336" w:type="pct"/>
            <w:vAlign w:val="center"/>
          </w:tcPr>
          <w:p w14:paraId="7DADF44A">
            <w:pPr>
              <w:ind w:left="-53" w:leftChars="-25" w:right="-53" w:rightChars="-25"/>
              <w:jc w:val="center"/>
              <w:rPr>
                <w:spacing w:val="-10"/>
              </w:rPr>
            </w:pPr>
            <w:r>
              <w:rPr>
                <w:spacing w:val="-10"/>
              </w:rPr>
              <w:t>股权变更完成</w:t>
            </w:r>
          </w:p>
        </w:tc>
        <w:tc>
          <w:tcPr>
            <w:tcW w:w="579" w:type="pct"/>
            <w:vAlign w:val="center"/>
          </w:tcPr>
          <w:p w14:paraId="01708259">
            <w:pPr>
              <w:pStyle w:val="15"/>
              <w:ind w:left="-53" w:leftChars="-25" w:right="-53" w:rightChars="-25"/>
              <w:jc w:val="center"/>
              <w:rPr>
                <w:rFonts w:ascii="宋体" w:hAnsi="宋体"/>
                <w:spacing w:val="-10"/>
              </w:rPr>
            </w:pPr>
            <w:r>
              <w:rPr>
                <w:rFonts w:ascii="宋体" w:hAnsi="宋体"/>
                <w:spacing w:val="-10"/>
              </w:rPr>
              <w:t>3,212.23</w:t>
            </w:r>
          </w:p>
        </w:tc>
        <w:tc>
          <w:tcPr>
            <w:tcW w:w="392" w:type="pct"/>
            <w:vAlign w:val="center"/>
          </w:tcPr>
          <w:p w14:paraId="2F38E1A6">
            <w:pPr>
              <w:pStyle w:val="15"/>
              <w:ind w:left="-53" w:leftChars="-25" w:right="-53" w:rightChars="-25"/>
              <w:jc w:val="center"/>
              <w:rPr>
                <w:rFonts w:ascii="宋体" w:hAnsi="宋体"/>
                <w:spacing w:val="-10"/>
              </w:rPr>
            </w:pPr>
            <w:r>
              <w:rPr>
                <w:rFonts w:hint="eastAsia" w:ascii="宋体" w:hAnsi="宋体"/>
                <w:spacing w:val="-10"/>
              </w:rPr>
              <w:t>0.0</w:t>
            </w:r>
            <w:r>
              <w:rPr>
                <w:rFonts w:ascii="宋体" w:hAnsi="宋体"/>
                <w:spacing w:val="-10"/>
              </w:rPr>
              <w:t>0</w:t>
            </w:r>
          </w:p>
        </w:tc>
        <w:tc>
          <w:tcPr>
            <w:tcW w:w="414" w:type="pct"/>
            <w:vAlign w:val="center"/>
          </w:tcPr>
          <w:p w14:paraId="6739A680">
            <w:pPr>
              <w:pStyle w:val="15"/>
              <w:ind w:left="-53" w:leftChars="-25" w:right="-53" w:rightChars="-25"/>
              <w:jc w:val="center"/>
              <w:rPr>
                <w:rFonts w:ascii="宋体" w:hAnsi="宋体"/>
                <w:spacing w:val="-10"/>
              </w:rPr>
            </w:pPr>
            <w:r>
              <w:rPr>
                <w:rFonts w:ascii="宋体" w:hAnsi="宋体"/>
                <w:spacing w:val="-10"/>
              </w:rPr>
              <w:t>0.00</w:t>
            </w:r>
          </w:p>
        </w:tc>
        <w:tc>
          <w:tcPr>
            <w:tcW w:w="410" w:type="pct"/>
            <w:vAlign w:val="center"/>
          </w:tcPr>
          <w:p w14:paraId="5AAF1371">
            <w:pPr>
              <w:pStyle w:val="15"/>
              <w:ind w:left="-53" w:leftChars="-25" w:right="-53" w:rightChars="-25"/>
              <w:jc w:val="center"/>
              <w:rPr>
                <w:rFonts w:ascii="宋体" w:hAnsi="宋体"/>
                <w:spacing w:val="-10"/>
              </w:rPr>
            </w:pPr>
            <w:r>
              <w:rPr>
                <w:rFonts w:ascii="宋体" w:hAnsi="宋体"/>
                <w:spacing w:val="-10"/>
              </w:rPr>
              <w:t>0.00</w:t>
            </w:r>
          </w:p>
        </w:tc>
        <w:tc>
          <w:tcPr>
            <w:tcW w:w="350" w:type="pct"/>
            <w:vAlign w:val="center"/>
          </w:tcPr>
          <w:p w14:paraId="4CB6E156">
            <w:pPr>
              <w:pStyle w:val="15"/>
              <w:ind w:left="-53" w:leftChars="-25" w:right="-53" w:rightChars="-25"/>
              <w:jc w:val="center"/>
              <w:rPr>
                <w:rFonts w:ascii="宋体" w:hAnsi="宋体"/>
                <w:spacing w:val="-10"/>
              </w:rPr>
            </w:pPr>
            <w:r>
              <w:rPr>
                <w:rFonts w:ascii="宋体" w:hAnsi="宋体"/>
                <w:spacing w:val="-10"/>
              </w:rPr>
              <w:t>0.00</w:t>
            </w:r>
          </w:p>
        </w:tc>
        <w:tc>
          <w:tcPr>
            <w:tcW w:w="460" w:type="pct"/>
            <w:vAlign w:val="center"/>
          </w:tcPr>
          <w:p w14:paraId="16CC0D76">
            <w:pPr>
              <w:pStyle w:val="15"/>
              <w:ind w:left="-53" w:leftChars="-25" w:right="-53" w:rightChars="-25"/>
              <w:jc w:val="center"/>
              <w:rPr>
                <w:rFonts w:ascii="宋体" w:hAnsi="宋体"/>
                <w:spacing w:val="-10"/>
              </w:rPr>
            </w:pPr>
          </w:p>
        </w:tc>
        <w:tc>
          <w:tcPr>
            <w:tcW w:w="406" w:type="pct"/>
            <w:vAlign w:val="center"/>
          </w:tcPr>
          <w:p w14:paraId="40803F3A">
            <w:pPr>
              <w:pStyle w:val="15"/>
              <w:ind w:left="-53" w:leftChars="-25" w:right="-53" w:rightChars="-25"/>
              <w:jc w:val="center"/>
              <w:rPr>
                <w:rFonts w:ascii="宋体" w:hAnsi="宋体"/>
                <w:spacing w:val="-10"/>
              </w:rPr>
            </w:pPr>
            <w:r>
              <w:rPr>
                <w:rFonts w:ascii="宋体" w:hAnsi="宋体"/>
                <w:spacing w:val="-10"/>
              </w:rPr>
              <w:t>0.00</w:t>
            </w:r>
          </w:p>
        </w:tc>
      </w:tr>
    </w:tbl>
    <w:p w14:paraId="0324ADD2"/>
    <w:p w14:paraId="5B5FFC5B">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是否适用：单次交易处置对子公司投资即丧失控制权的情形的说明[双击切换]"/>
        <w:tag w:val="_GBC_29528d4c1c444136b1c9a196f82e0e52"/>
        <w:id w:val="-2043428200"/>
        <w:placeholder>
          <w:docPart w:val="GBC22222222222222222222222222222"/>
        </w:placeholder>
      </w:sdtPr>
      <w:sdtEndPr>
        <w:rPr>
          <w:rFonts w:cs="Arial"/>
          <w:color w:val="000000" w:themeColor="text1"/>
          <w14:textFill>
            <w14:solidFill>
              <w14:schemeClr w14:val="tx1"/>
            </w14:solidFill>
          </w14:textFill>
        </w:rPr>
      </w:sdtEndPr>
      <w:sdtContent>
        <w:p w14:paraId="7AFFE843">
          <w:pPr>
            <w:rPr>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7CDD52AF">
      <w:pPr>
        <w:pStyle w:val="15"/>
        <w:rPr>
          <w:color w:val="000000" w:themeColor="text1"/>
          <w14:textFill>
            <w14:solidFill>
              <w14:schemeClr w14:val="tx1"/>
            </w14:solidFill>
          </w14:textFill>
        </w:rPr>
      </w:pPr>
    </w:p>
    <w:p w14:paraId="0A581790">
      <w:pPr>
        <w:rPr>
          <w:rFonts w:cs="Arial"/>
          <w:color w:val="000000" w:themeColor="text1"/>
          <w14:textFill>
            <w14:solidFill>
              <w14:schemeClr w14:val="tx1"/>
            </w14:solidFill>
          </w14:textFill>
        </w:rPr>
      </w:pPr>
      <w:bookmarkStart w:id="358" w:name="_Hlk153549147"/>
      <w:r>
        <w:rPr>
          <w:rFonts w:hint="eastAsia" w:cs="Arial"/>
          <w:color w:val="000000" w:themeColor="text1"/>
          <w14:textFill>
            <w14:solidFill>
              <w14:schemeClr w14:val="tx1"/>
            </w14:solidFill>
          </w14:textFill>
        </w:rPr>
        <w:t>是否存在通过多次交易分步处置对子公司投资且在本期丧失控制权的情形</w:t>
      </w:r>
    </w:p>
    <w:sdt>
      <w:sdtPr>
        <w:rPr>
          <w:rFonts w:hint="eastAsia"/>
          <w:color w:val="000000" w:themeColor="text1"/>
          <w14:textFill>
            <w14:solidFill>
              <w14:schemeClr w14:val="tx1"/>
            </w14:solidFill>
          </w14:textFill>
        </w:rPr>
        <w:alias w:val="是否存在通过多次交易分步处置对子公司投资且在本期丧失控制权的情形[双击切换]"/>
        <w:tag w:val="_GBC_1aa1c46a77684c9fbd35fa14e4e37b0c"/>
        <w:id w:val="-1551145545"/>
        <w:placeholder>
          <w:docPart w:val="GBC22222222222222222222222222222"/>
        </w:placeholder>
      </w:sdtPr>
      <w:sdtEndPr>
        <w:rPr>
          <w:rFonts w:hint="eastAsia"/>
          <w:color w:val="000000" w:themeColor="text1"/>
          <w14:textFill>
            <w14:solidFill>
              <w14:schemeClr w14:val="tx1"/>
            </w14:solidFill>
          </w14:textFill>
        </w:rPr>
      </w:sdtEndPr>
      <w:sdtContent>
        <w:p w14:paraId="108CA5D1">
          <w:pPr>
            <w:pStyle w:val="15"/>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B0CE53"/>
    <w:bookmarkEnd w:id="358"/>
    <w:p w14:paraId="4C5D9553">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是否适用：是否存在通过多次交易分步处置对子公司投资且在本期丧失控制权的情形的说明[双击切换]"/>
        <w:tag w:val="_GBC_4d734455db284d62936c6dddb9394149"/>
        <w:id w:val="1793403603"/>
        <w:placeholder>
          <w:docPart w:val="GBC22222222222222222222222222222"/>
        </w:placeholder>
      </w:sdtPr>
      <w:sdtEndPr>
        <w:rPr>
          <w:rFonts w:cs="Arial"/>
          <w:color w:val="000000" w:themeColor="text1"/>
          <w14:textFill>
            <w14:solidFill>
              <w14:schemeClr w14:val="tx1"/>
            </w14:solidFill>
          </w14:textFill>
        </w:rPr>
      </w:sdtEndPr>
      <w:sdtContent>
        <w:p w14:paraId="3BD1572C">
          <w:pPr>
            <w:rPr>
              <w:rFonts w:ascii="Calibri" w:hAnsi="Calibri"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7DADD2A5">
      <w:pPr>
        <w:rPr>
          <w:rFonts w:ascii="Calibri" w:hAnsi="Calibri" w:cs="Arial"/>
          <w:color w:val="000000" w:themeColor="text1"/>
          <w14:textFill>
            <w14:solidFill>
              <w14:schemeClr w14:val="tx1"/>
            </w14:solidFill>
          </w14:textFill>
        </w:rPr>
      </w:pPr>
    </w:p>
    <w:bookmarkEnd w:id="357"/>
    <w:p w14:paraId="1CB62E69">
      <w:pPr>
        <w:pStyle w:val="4"/>
        <w:numPr>
          <w:ilvl w:val="0"/>
          <w:numId w:val="82"/>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其他原因的合并范围变动</w:t>
      </w:r>
    </w:p>
    <w:p w14:paraId="300C7DE1">
      <w:pPr>
        <w:rPr>
          <w:color w:val="000000" w:themeColor="text1"/>
          <w14:textFill>
            <w14:solidFill>
              <w14:schemeClr w14:val="tx1"/>
            </w14:solidFill>
          </w14:textFill>
        </w:rPr>
      </w:pPr>
      <w:r>
        <w:rPr>
          <w:rFonts w:hint="eastAsia"/>
          <w:color w:val="000000" w:themeColor="text1"/>
          <w14:textFill>
            <w14:solidFill>
              <w14:schemeClr w14:val="tx1"/>
            </w14:solidFill>
          </w14:textFill>
        </w:rPr>
        <w:t>说明其他原因导致的合并范围变动（如，新设子公司、清算子公司等）及其相关情况：</w:t>
      </w:r>
    </w:p>
    <w:sdt>
      <w:sdtPr>
        <w:rPr>
          <w:color w:val="000000" w:themeColor="text1"/>
          <w14:textFill>
            <w14:solidFill>
              <w14:schemeClr w14:val="tx1"/>
            </w14:solidFill>
          </w14:textFill>
        </w:rPr>
        <w:alias w:val="是否适用：其他原因导致的合并范围变动及其相关情况[双击切换]"/>
        <w:tag w:val="_GBC_55cbf4f78793498cb1532f08bfbb61f4"/>
        <w:id w:val="688798768"/>
        <w:placeholder>
          <w:docPart w:val="GBC22222222222222222222222222222"/>
        </w:placeholder>
      </w:sdtPr>
      <w:sdtEndPr>
        <w:rPr>
          <w:color w:val="000000" w:themeColor="text1"/>
          <w14:textFill>
            <w14:solidFill>
              <w14:schemeClr w14:val="tx1"/>
            </w14:solidFill>
          </w14:textFill>
        </w:rPr>
      </w:sdtEndPr>
      <w:sdtContent>
        <w:p w14:paraId="797BCD9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ascii="Times New Roman" w:hAnsi="Times New Roman" w:cs="宋体"/>
          <w:kern w:val="0"/>
          <w:szCs w:val="21"/>
        </w:rPr>
        <w:alias w:val="其他原因的合并范围变动"/>
        <w:tag w:val="_GBC_c83a0d19a27e42c0927cf85c8c6221e2"/>
        <w:id w:val="1236510384"/>
        <w:placeholder>
          <w:docPart w:val="GBC22222222222222222222222222222"/>
        </w:placeholder>
      </w:sdtPr>
      <w:sdtEndPr>
        <w:rPr>
          <w:rFonts w:ascii="Times New Roman" w:hAnsi="Times New Roman" w:cs="宋体"/>
          <w:kern w:val="0"/>
          <w:szCs w:val="21"/>
        </w:rPr>
      </w:sdtEndPr>
      <w:sdtContent>
        <w:p w14:paraId="48955E0D">
          <w:pPr>
            <w:pStyle w:val="51"/>
            <w:numPr>
              <w:ilvl w:val="2"/>
              <w:numId w:val="63"/>
            </w:numPr>
            <w:ind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本年度投资新设子公司</w:t>
          </w:r>
        </w:p>
        <w:tbl>
          <w:tblPr>
            <w:tblStyle w:val="37"/>
            <w:tblW w:w="9084" w:type="dxa"/>
            <w:tblInd w:w="0" w:type="dxa"/>
            <w:tblLayout w:type="autofit"/>
            <w:tblCellMar>
              <w:top w:w="0" w:type="dxa"/>
              <w:left w:w="108" w:type="dxa"/>
              <w:bottom w:w="0" w:type="dxa"/>
              <w:right w:w="108" w:type="dxa"/>
            </w:tblCellMar>
          </w:tblPr>
          <w:tblGrid>
            <w:gridCol w:w="3876"/>
            <w:gridCol w:w="1356"/>
            <w:gridCol w:w="1596"/>
            <w:gridCol w:w="2256"/>
          </w:tblGrid>
          <w:tr w14:paraId="4A8E3762">
            <w:tblPrEx>
              <w:tblCellMar>
                <w:top w:w="0" w:type="dxa"/>
                <w:left w:w="108" w:type="dxa"/>
                <w:bottom w:w="0" w:type="dxa"/>
                <w:right w:w="108" w:type="dxa"/>
              </w:tblCellMar>
            </w:tblPrEx>
            <w:trPr>
              <w:trHeight w:val="280" w:hRule="atLeast"/>
            </w:trPr>
            <w:tc>
              <w:tcPr>
                <w:tcW w:w="3876" w:type="dxa"/>
                <w:tcBorders>
                  <w:top w:val="single" w:color="auto" w:sz="4" w:space="0"/>
                  <w:left w:val="single" w:color="auto" w:sz="4" w:space="0"/>
                  <w:bottom w:val="single" w:color="auto" w:sz="4" w:space="0"/>
                  <w:right w:val="single" w:color="auto" w:sz="4" w:space="0"/>
                </w:tcBorders>
                <w:noWrap/>
                <w:vAlign w:val="center"/>
              </w:tcPr>
              <w:p w14:paraId="06E5CB6F">
                <w:pPr>
                  <w:jc w:val="center"/>
                  <w:rPr>
                    <w:rFonts w:ascii="宋体" w:hAnsi="宋体"/>
                    <w:color w:val="000000"/>
                  </w:rPr>
                </w:pPr>
                <w:r>
                  <w:rPr>
                    <w:rFonts w:hint="eastAsia" w:ascii="宋体" w:hAnsi="宋体"/>
                    <w:color w:val="000000"/>
                  </w:rPr>
                  <w:t>公司名称</w:t>
                </w:r>
              </w:p>
            </w:tc>
            <w:tc>
              <w:tcPr>
                <w:tcW w:w="1356" w:type="dxa"/>
                <w:tcBorders>
                  <w:top w:val="single" w:color="auto" w:sz="4" w:space="0"/>
                  <w:left w:val="nil"/>
                  <w:bottom w:val="single" w:color="auto" w:sz="4" w:space="0"/>
                  <w:right w:val="single" w:color="auto" w:sz="4" w:space="0"/>
                </w:tcBorders>
                <w:noWrap/>
                <w:vAlign w:val="center"/>
              </w:tcPr>
              <w:p w14:paraId="089CA13F">
                <w:pPr>
                  <w:jc w:val="center"/>
                  <w:rPr>
                    <w:rFonts w:ascii="宋体" w:hAnsi="宋体"/>
                    <w:color w:val="000000"/>
                  </w:rPr>
                </w:pPr>
                <w:r>
                  <w:rPr>
                    <w:rFonts w:hint="eastAsia" w:ascii="宋体" w:hAnsi="宋体"/>
                    <w:color w:val="000000"/>
                  </w:rPr>
                  <w:t>增加方式</w:t>
                </w:r>
              </w:p>
            </w:tc>
            <w:tc>
              <w:tcPr>
                <w:tcW w:w="1596" w:type="dxa"/>
                <w:tcBorders>
                  <w:top w:val="single" w:color="auto" w:sz="4" w:space="0"/>
                  <w:left w:val="nil"/>
                  <w:bottom w:val="single" w:color="auto" w:sz="4" w:space="0"/>
                  <w:right w:val="single" w:color="auto" w:sz="4" w:space="0"/>
                </w:tcBorders>
                <w:noWrap/>
                <w:vAlign w:val="center"/>
              </w:tcPr>
              <w:p w14:paraId="2BD1655F">
                <w:pPr>
                  <w:jc w:val="center"/>
                  <w:rPr>
                    <w:rFonts w:ascii="宋体" w:hAnsi="宋体"/>
                    <w:color w:val="000000"/>
                  </w:rPr>
                </w:pPr>
                <w:r>
                  <w:rPr>
                    <w:rFonts w:hint="eastAsia" w:ascii="宋体" w:hAnsi="宋体"/>
                    <w:color w:val="000000"/>
                  </w:rPr>
                  <w:t>增加时点</w:t>
                </w:r>
              </w:p>
            </w:tc>
            <w:tc>
              <w:tcPr>
                <w:tcW w:w="2256" w:type="dxa"/>
                <w:tcBorders>
                  <w:top w:val="single" w:color="auto" w:sz="4" w:space="0"/>
                  <w:left w:val="nil"/>
                  <w:bottom w:val="single" w:color="auto" w:sz="4" w:space="0"/>
                  <w:right w:val="single" w:color="auto" w:sz="4" w:space="0"/>
                </w:tcBorders>
                <w:noWrap/>
                <w:vAlign w:val="center"/>
              </w:tcPr>
              <w:p w14:paraId="58B4EC29">
                <w:pPr>
                  <w:jc w:val="center"/>
                  <w:rPr>
                    <w:rFonts w:ascii="宋体" w:hAnsi="宋体"/>
                    <w:color w:val="000000"/>
                  </w:rPr>
                </w:pPr>
                <w:r>
                  <w:rPr>
                    <w:rFonts w:hint="eastAsia" w:ascii="宋体" w:hAnsi="宋体"/>
                    <w:color w:val="000000"/>
                  </w:rPr>
                  <w:t>注册资本（万元）</w:t>
                </w:r>
              </w:p>
            </w:tc>
          </w:tr>
          <w:tr w14:paraId="1A943701">
            <w:tblPrEx>
              <w:tblCellMar>
                <w:top w:w="0" w:type="dxa"/>
                <w:left w:w="108" w:type="dxa"/>
                <w:bottom w:w="0" w:type="dxa"/>
                <w:right w:w="108" w:type="dxa"/>
              </w:tblCellMar>
            </w:tblPrEx>
            <w:trPr>
              <w:trHeight w:val="280" w:hRule="atLeast"/>
            </w:trPr>
            <w:tc>
              <w:tcPr>
                <w:tcW w:w="3876" w:type="dxa"/>
                <w:tcBorders>
                  <w:top w:val="nil"/>
                  <w:left w:val="single" w:color="auto" w:sz="4" w:space="0"/>
                  <w:bottom w:val="single" w:color="auto" w:sz="4" w:space="0"/>
                  <w:right w:val="single" w:color="auto" w:sz="4" w:space="0"/>
                </w:tcBorders>
                <w:noWrap/>
                <w:vAlign w:val="center"/>
              </w:tcPr>
              <w:p w14:paraId="6E2924F8">
                <w:pPr>
                  <w:rPr>
                    <w:rFonts w:ascii="宋体" w:hAnsi="宋体"/>
                    <w:color w:val="000000"/>
                  </w:rPr>
                </w:pPr>
                <w:r>
                  <w:rPr>
                    <w:rFonts w:hint="eastAsia" w:ascii="宋体" w:hAnsi="宋体"/>
                    <w:color w:val="000000"/>
                  </w:rPr>
                  <w:t>重庆智骐鑫旺企业管理有限公司</w:t>
                </w:r>
              </w:p>
            </w:tc>
            <w:tc>
              <w:tcPr>
                <w:tcW w:w="1356" w:type="dxa"/>
                <w:tcBorders>
                  <w:top w:val="nil"/>
                  <w:left w:val="nil"/>
                  <w:bottom w:val="single" w:color="auto" w:sz="4" w:space="0"/>
                  <w:right w:val="single" w:color="auto" w:sz="4" w:space="0"/>
                </w:tcBorders>
                <w:noWrap/>
                <w:vAlign w:val="center"/>
              </w:tcPr>
              <w:p w14:paraId="186BB356">
                <w:pPr>
                  <w:jc w:val="center"/>
                  <w:rPr>
                    <w:rFonts w:ascii="宋体" w:hAnsi="宋体"/>
                    <w:color w:val="000000"/>
                  </w:rPr>
                </w:pPr>
                <w:r>
                  <w:rPr>
                    <w:rFonts w:hint="eastAsia" w:ascii="宋体" w:hAnsi="宋体"/>
                    <w:color w:val="000000"/>
                  </w:rPr>
                  <w:t>设立</w:t>
                </w:r>
              </w:p>
            </w:tc>
            <w:tc>
              <w:tcPr>
                <w:tcW w:w="1596" w:type="dxa"/>
                <w:tcBorders>
                  <w:top w:val="nil"/>
                  <w:left w:val="nil"/>
                  <w:bottom w:val="single" w:color="auto" w:sz="4" w:space="0"/>
                  <w:right w:val="single" w:color="auto" w:sz="4" w:space="0"/>
                </w:tcBorders>
                <w:noWrap/>
                <w:vAlign w:val="center"/>
              </w:tcPr>
              <w:p w14:paraId="4E07E909">
                <w:pPr>
                  <w:jc w:val="right"/>
                  <w:rPr>
                    <w:rFonts w:ascii="宋体" w:hAnsi="宋体"/>
                    <w:color w:val="000000"/>
                  </w:rPr>
                </w:pPr>
                <w:r>
                  <w:rPr>
                    <w:rFonts w:hint="eastAsia" w:ascii="宋体" w:hAnsi="宋体"/>
                    <w:color w:val="000000"/>
                  </w:rPr>
                  <w:t>2025/6/3</w:t>
                </w:r>
              </w:p>
            </w:tc>
            <w:tc>
              <w:tcPr>
                <w:tcW w:w="2256" w:type="dxa"/>
                <w:tcBorders>
                  <w:top w:val="nil"/>
                  <w:left w:val="nil"/>
                  <w:bottom w:val="single" w:color="auto" w:sz="4" w:space="0"/>
                  <w:right w:val="single" w:color="auto" w:sz="4" w:space="0"/>
                </w:tcBorders>
                <w:noWrap/>
                <w:vAlign w:val="center"/>
              </w:tcPr>
              <w:p w14:paraId="4A3B38DB">
                <w:pPr>
                  <w:rPr>
                    <w:rFonts w:ascii="宋体" w:hAnsi="宋体"/>
                    <w:color w:val="000000"/>
                  </w:rPr>
                </w:pPr>
                <w:r>
                  <w:rPr>
                    <w:rFonts w:hint="eastAsia" w:ascii="宋体" w:hAnsi="宋体"/>
                    <w:color w:val="000000"/>
                  </w:rPr>
                  <w:t xml:space="preserve">         20,000.00 </w:t>
                </w:r>
              </w:p>
            </w:tc>
          </w:tr>
        </w:tbl>
        <w:p w14:paraId="5DF0B7E3">
          <w:pPr>
            <w:rPr>
              <w:rFonts w:cs="Arial"/>
              <w:color w:val="000000" w:themeColor="text1"/>
              <w14:textFill>
                <w14:solidFill>
                  <w14:schemeClr w14:val="tx1"/>
                </w14:solidFill>
              </w14:textFill>
            </w:rPr>
          </w:pPr>
        </w:p>
      </w:sdtContent>
    </w:sdt>
    <w:p w14:paraId="0176745E">
      <w:pPr>
        <w:pStyle w:val="4"/>
        <w:numPr>
          <w:ilvl w:val="0"/>
          <w:numId w:val="82"/>
        </w:numPr>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其他</w:t>
      </w:r>
    </w:p>
    <w:sdt>
      <w:sdtPr>
        <w:rPr>
          <w:color w:val="000000" w:themeColor="text1"/>
          <w14:textFill>
            <w14:solidFill>
              <w14:schemeClr w14:val="tx1"/>
            </w14:solidFill>
          </w14:textFill>
        </w:rPr>
        <w:alias w:val="是否适用：合并范围的变更-其他说明[双击切换]"/>
        <w:tag w:val="_GBC_cca0ea12df6c44878cdcbeced06ed993"/>
        <w:id w:val="206227688"/>
        <w:placeholder>
          <w:docPart w:val="GBC22222222222222222222222222222"/>
        </w:placeholder>
      </w:sdtPr>
      <w:sdtEndPr>
        <w:rPr>
          <w:color w:val="000000" w:themeColor="text1"/>
          <w14:textFill>
            <w14:solidFill>
              <w14:schemeClr w14:val="tx1"/>
            </w14:solidFill>
          </w14:textFill>
        </w:rPr>
      </w:sdtEndPr>
      <w:sdtContent>
        <w:p w14:paraId="74D31002">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D1FBB9B">
      <w:pPr>
        <w:rPr>
          <w:color w:val="000000" w:themeColor="text1"/>
          <w14:textFill>
            <w14:solidFill>
              <w14:schemeClr w14:val="tx1"/>
            </w14:solidFill>
          </w14:textFill>
        </w:rPr>
      </w:pPr>
    </w:p>
    <w:p w14:paraId="7052C00E">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在其他主体中的权益</w:t>
      </w:r>
    </w:p>
    <w:p w14:paraId="30DD535F">
      <w:pPr>
        <w:pStyle w:val="4"/>
        <w:numPr>
          <w:ilvl w:val="2"/>
          <w:numId w:val="8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在子公司中的权益</w:t>
      </w:r>
    </w:p>
    <w:p w14:paraId="7C09DA80">
      <w:pPr>
        <w:pStyle w:val="5"/>
        <w:numPr>
          <w:ilvl w:val="3"/>
          <w:numId w:val="84"/>
        </w:numPr>
        <w:ind w:left="426" w:hanging="426" w:hangingChars="202"/>
        <w:rPr>
          <w:color w:val="000000" w:themeColor="text1"/>
          <w14:textFill>
            <w14:solidFill>
              <w14:schemeClr w14:val="tx1"/>
            </w14:solidFill>
          </w14:textFill>
        </w:rPr>
      </w:pPr>
      <w:bookmarkStart w:id="359" w:name="_Hlk167975969"/>
      <w:r>
        <w:rPr>
          <w:rFonts w:hint="eastAsia"/>
          <w:color w:val="000000" w:themeColor="text1"/>
          <w14:textFill>
            <w14:solidFill>
              <w14:schemeClr w14:val="tx1"/>
            </w14:solidFill>
          </w14:textFill>
        </w:rPr>
        <w:t>企业集团的构成</w:t>
      </w:r>
    </w:p>
    <w:sdt>
      <w:sdtPr>
        <w:rPr>
          <w:color w:val="000000" w:themeColor="text1"/>
          <w14:textFill>
            <w14:solidFill>
              <w14:schemeClr w14:val="tx1"/>
            </w14:solidFill>
          </w14:textFill>
        </w:rPr>
        <w:alias w:val="是否适用：企业集团的构成[双击切换]"/>
        <w:tag w:val="_GBC_d1c28d303a594095b9e1cc6b9a265571"/>
        <w:id w:val="-841075609"/>
        <w:placeholder>
          <w:docPart w:val="GBC22222222222222222222222222222"/>
        </w:placeholder>
      </w:sdtPr>
      <w:sdtEndPr>
        <w:rPr>
          <w:color w:val="000000" w:themeColor="text1"/>
          <w14:textFill>
            <w14:solidFill>
              <w14:schemeClr w14:val="tx1"/>
            </w14:solidFill>
          </w14:textFill>
        </w:rPr>
      </w:sdtEndPr>
      <w:sdtContent>
        <w:p w14:paraId="3DDF828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67C42F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企业集团的构成"/>
          <w:tag w:val="_GBC_02462820d05142eca3713abc443b34f5"/>
          <w:id w:val="-13204136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企业集团的构成"/>
          <w:tag w:val="_GBC_9d84d297c94f41a5a9a7a18208389646"/>
          <w:id w:val="12398325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6"/>
        <w:gridCol w:w="1280"/>
        <w:gridCol w:w="2195"/>
        <w:gridCol w:w="2302"/>
        <w:gridCol w:w="1011"/>
        <w:gridCol w:w="577"/>
        <w:gridCol w:w="722"/>
        <w:gridCol w:w="2277"/>
      </w:tblGrid>
      <w:tr w14:paraId="38FB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sdt>
          <w:sdtPr>
            <w:rPr>
              <w:spacing w:val="-6"/>
            </w:rPr>
            <w:tag w:val="_PLD_f9c2120a205a401daafe7d623ad6f73f"/>
            <w:id w:val="1119023769"/>
          </w:sdtPr>
          <w:sdtEndPr>
            <w:rPr>
              <w:spacing w:val="-6"/>
            </w:rPr>
          </w:sdtEndPr>
          <w:sdtContent>
            <w:tc>
              <w:tcPr>
                <w:tcW w:w="1322" w:type="pct"/>
                <w:vMerge w:val="restart"/>
                <w:vAlign w:val="center"/>
              </w:tcPr>
              <w:p w14:paraId="4343924E">
                <w:pPr>
                  <w:ind w:left="-53" w:leftChars="-25" w:right="-53" w:rightChars="-25"/>
                  <w:jc w:val="center"/>
                  <w:rPr>
                    <w:rFonts w:cs="Arial"/>
                    <w:color w:val="000000" w:themeColor="text1"/>
                    <w:spacing w:val="-6"/>
                    <w:lang w:val="en-GB"/>
                    <w14:textFill>
                      <w14:solidFill>
                        <w14:schemeClr w14:val="tx1"/>
                      </w14:solidFill>
                    </w14:textFill>
                  </w:rPr>
                </w:pPr>
                <w:r>
                  <w:rPr>
                    <w:rFonts w:hint="eastAsia" w:cs="Arial"/>
                    <w:color w:val="000000" w:themeColor="text1"/>
                    <w:spacing w:val="-6"/>
                    <w:lang w:val="en-GB"/>
                    <w14:textFill>
                      <w14:solidFill>
                        <w14:schemeClr w14:val="tx1"/>
                      </w14:solidFill>
                    </w14:textFill>
                  </w:rPr>
                  <w:t>子公司名称</w:t>
                </w:r>
              </w:p>
            </w:tc>
          </w:sdtContent>
        </w:sdt>
        <w:sdt>
          <w:sdtPr>
            <w:rPr>
              <w:spacing w:val="-6"/>
            </w:rPr>
            <w:tag w:val="_PLD_723e5916e8d942aa8a0a08bb0a7836d4"/>
            <w:id w:val="1165437655"/>
          </w:sdtPr>
          <w:sdtEndPr>
            <w:rPr>
              <w:spacing w:val="-6"/>
            </w:rPr>
          </w:sdtEndPr>
          <w:sdtContent>
            <w:tc>
              <w:tcPr>
                <w:tcW w:w="454" w:type="pct"/>
                <w:vMerge w:val="restart"/>
                <w:vAlign w:val="center"/>
              </w:tcPr>
              <w:p w14:paraId="6F828D5D">
                <w:pPr>
                  <w:ind w:left="-53" w:leftChars="-25" w:right="-53" w:rightChars="-25"/>
                  <w:jc w:val="center"/>
                  <w:rPr>
                    <w:rFonts w:cs="Arial"/>
                    <w:color w:val="000000" w:themeColor="text1"/>
                    <w:spacing w:val="-6"/>
                    <w14:textFill>
                      <w14:solidFill>
                        <w14:schemeClr w14:val="tx1"/>
                      </w14:solidFill>
                    </w14:textFill>
                  </w:rPr>
                </w:pPr>
                <w:r>
                  <w:rPr>
                    <w:rFonts w:hint="eastAsia" w:cs="Arial"/>
                    <w:color w:val="000000" w:themeColor="text1"/>
                    <w:spacing w:val="-6"/>
                    <w:lang w:val="en-GB"/>
                    <w14:textFill>
                      <w14:solidFill>
                        <w14:schemeClr w14:val="tx1"/>
                      </w14:solidFill>
                    </w14:textFill>
                  </w:rPr>
                  <w:t>主要经营地</w:t>
                </w:r>
              </w:p>
            </w:tc>
          </w:sdtContent>
        </w:sdt>
        <w:tc>
          <w:tcPr>
            <w:tcW w:w="779" w:type="pct"/>
            <w:vMerge w:val="restart"/>
            <w:vAlign w:val="center"/>
          </w:tcPr>
          <w:sdt>
            <w:sdtPr>
              <w:rPr>
                <w:spacing w:val="-6"/>
              </w:rPr>
              <w:tag w:val="_PLD_d5e3d7a26fa0476b87e5fb13adf75c0b"/>
              <w:id w:val="-784966395"/>
            </w:sdtPr>
            <w:sdtEndPr>
              <w:rPr>
                <w:spacing w:val="-6"/>
              </w:rPr>
            </w:sdtEndPr>
            <w:sdtContent>
              <w:p w14:paraId="345991FD">
                <w:pPr>
                  <w:ind w:left="-53" w:leftChars="-25" w:right="-53" w:rightChars="-25"/>
                  <w:jc w:val="center"/>
                  <w:rPr>
                    <w:color w:val="000000" w:themeColor="text1"/>
                    <w:spacing w:val="-6"/>
                    <w14:textFill>
                      <w14:solidFill>
                        <w14:schemeClr w14:val="tx1"/>
                      </w14:solidFill>
                    </w14:textFill>
                  </w:rPr>
                </w:pPr>
                <w:r>
                  <w:rPr>
                    <w:rFonts w:hint="eastAsia"/>
                    <w:color w:val="000000" w:themeColor="text1"/>
                    <w:spacing w:val="-6"/>
                    <w14:textFill>
                      <w14:solidFill>
                        <w14:schemeClr w14:val="tx1"/>
                      </w14:solidFill>
                    </w14:textFill>
                  </w:rPr>
                  <w:t>注册资本</w:t>
                </w:r>
              </w:p>
            </w:sdtContent>
          </w:sdt>
        </w:tc>
        <w:sdt>
          <w:sdtPr>
            <w:rPr>
              <w:spacing w:val="-6"/>
            </w:rPr>
            <w:tag w:val="_PLD_75992b931bd8473e8e862e94745012a5"/>
            <w:id w:val="-771394132"/>
          </w:sdtPr>
          <w:sdtEndPr>
            <w:rPr>
              <w:spacing w:val="-6"/>
            </w:rPr>
          </w:sdtEndPr>
          <w:sdtContent>
            <w:tc>
              <w:tcPr>
                <w:tcW w:w="817" w:type="pct"/>
                <w:vMerge w:val="restart"/>
                <w:vAlign w:val="center"/>
              </w:tcPr>
              <w:p w14:paraId="6CE1D694">
                <w:pPr>
                  <w:ind w:left="-53" w:leftChars="-25" w:right="-53" w:rightChars="-25"/>
                  <w:jc w:val="center"/>
                  <w:rPr>
                    <w:rFonts w:cs="Arial"/>
                    <w:color w:val="000000" w:themeColor="text1"/>
                    <w:spacing w:val="-6"/>
                    <w14:textFill>
                      <w14:solidFill>
                        <w14:schemeClr w14:val="tx1"/>
                      </w14:solidFill>
                    </w14:textFill>
                  </w:rPr>
                </w:pPr>
                <w:r>
                  <w:rPr>
                    <w:rFonts w:hint="eastAsia" w:cs="Arial"/>
                    <w:color w:val="000000" w:themeColor="text1"/>
                    <w:spacing w:val="-6"/>
                    <w:lang w:val="en-GB"/>
                    <w14:textFill>
                      <w14:solidFill>
                        <w14:schemeClr w14:val="tx1"/>
                      </w14:solidFill>
                    </w14:textFill>
                  </w:rPr>
                  <w:t>注册地</w:t>
                </w:r>
              </w:p>
            </w:tc>
          </w:sdtContent>
        </w:sdt>
        <w:sdt>
          <w:sdtPr>
            <w:rPr>
              <w:spacing w:val="-6"/>
            </w:rPr>
            <w:tag w:val="_PLD_81986d200a3740efb1af7efc5e522b86"/>
            <w:id w:val="-1582912115"/>
          </w:sdtPr>
          <w:sdtEndPr>
            <w:rPr>
              <w:spacing w:val="-6"/>
            </w:rPr>
          </w:sdtEndPr>
          <w:sdtContent>
            <w:tc>
              <w:tcPr>
                <w:tcW w:w="359" w:type="pct"/>
                <w:vMerge w:val="restart"/>
                <w:vAlign w:val="center"/>
              </w:tcPr>
              <w:p w14:paraId="752B704F">
                <w:pPr>
                  <w:ind w:left="-53" w:leftChars="-25" w:right="-53" w:rightChars="-25"/>
                  <w:jc w:val="center"/>
                  <w:rPr>
                    <w:rFonts w:cs="Arial"/>
                    <w:color w:val="000000" w:themeColor="text1"/>
                    <w:spacing w:val="-6"/>
                    <w14:textFill>
                      <w14:solidFill>
                        <w14:schemeClr w14:val="tx1"/>
                      </w14:solidFill>
                    </w14:textFill>
                  </w:rPr>
                </w:pPr>
                <w:r>
                  <w:rPr>
                    <w:rFonts w:hint="eastAsia" w:cs="Arial"/>
                    <w:color w:val="000000" w:themeColor="text1"/>
                    <w:spacing w:val="-6"/>
                    <w:lang w:val="en-GB"/>
                    <w14:textFill>
                      <w14:solidFill>
                        <w14:schemeClr w14:val="tx1"/>
                      </w14:solidFill>
                    </w14:textFill>
                  </w:rPr>
                  <w:t>业务性质</w:t>
                </w:r>
              </w:p>
            </w:tc>
          </w:sdtContent>
        </w:sdt>
        <w:sdt>
          <w:sdtPr>
            <w:rPr>
              <w:spacing w:val="-6"/>
            </w:rPr>
            <w:tag w:val="_PLD_03c285667c254271b982c3c49476d597"/>
            <w:id w:val="1718550900"/>
          </w:sdtPr>
          <w:sdtEndPr>
            <w:rPr>
              <w:spacing w:val="-6"/>
            </w:rPr>
          </w:sdtEndPr>
          <w:sdtContent>
            <w:tc>
              <w:tcPr>
                <w:tcW w:w="461" w:type="pct"/>
                <w:gridSpan w:val="2"/>
                <w:vAlign w:val="center"/>
              </w:tcPr>
              <w:p w14:paraId="1C9ADD2F">
                <w:pPr>
                  <w:ind w:left="-53" w:leftChars="-25" w:right="-53" w:rightChars="-25"/>
                  <w:jc w:val="center"/>
                  <w:rPr>
                    <w:rFonts w:cs="Arial"/>
                    <w:color w:val="000000" w:themeColor="text1"/>
                    <w:spacing w:val="-6"/>
                    <w14:textFill>
                      <w14:solidFill>
                        <w14:schemeClr w14:val="tx1"/>
                      </w14:solidFill>
                    </w14:textFill>
                  </w:rPr>
                </w:pPr>
                <w:r>
                  <w:rPr>
                    <w:rFonts w:hint="eastAsia" w:cs="Arial"/>
                    <w:color w:val="000000" w:themeColor="text1"/>
                    <w:spacing w:val="-6"/>
                    <w:lang w:val="en-GB"/>
                    <w14:textFill>
                      <w14:solidFill>
                        <w14:schemeClr w14:val="tx1"/>
                      </w14:solidFill>
                    </w14:textFill>
                  </w:rPr>
                  <w:t>持股比例</w:t>
                </w:r>
                <w:r>
                  <w:rPr>
                    <w:rFonts w:cs="Arial"/>
                    <w:color w:val="000000" w:themeColor="text1"/>
                    <w:spacing w:val="-6"/>
                    <w14:textFill>
                      <w14:solidFill>
                        <w14:schemeClr w14:val="tx1"/>
                      </w14:solidFill>
                    </w14:textFill>
                  </w:rPr>
                  <w:t>(%)</w:t>
                </w:r>
              </w:p>
            </w:tc>
          </w:sdtContent>
        </w:sdt>
        <w:sdt>
          <w:sdtPr>
            <w:rPr>
              <w:spacing w:val="-6"/>
            </w:rPr>
            <w:tag w:val="_PLD_b9a7fd2e9d044a72815c35f904479ae4"/>
            <w:id w:val="316768432"/>
          </w:sdtPr>
          <w:sdtEndPr>
            <w:rPr>
              <w:spacing w:val="-6"/>
            </w:rPr>
          </w:sdtEndPr>
          <w:sdtContent>
            <w:tc>
              <w:tcPr>
                <w:tcW w:w="808" w:type="pct"/>
                <w:vMerge w:val="restart"/>
                <w:vAlign w:val="center"/>
              </w:tcPr>
              <w:p w14:paraId="43C163EB">
                <w:pPr>
                  <w:ind w:left="-53" w:leftChars="-25" w:right="-53" w:rightChars="-25"/>
                  <w:jc w:val="center"/>
                  <w:rPr>
                    <w:rFonts w:cs="Arial"/>
                    <w:color w:val="000000" w:themeColor="text1"/>
                    <w:spacing w:val="-6"/>
                    <w:lang w:val="en-GB"/>
                    <w14:textFill>
                      <w14:solidFill>
                        <w14:schemeClr w14:val="tx1"/>
                      </w14:solidFill>
                    </w14:textFill>
                  </w:rPr>
                </w:pPr>
                <w:r>
                  <w:rPr>
                    <w:rFonts w:hint="eastAsia" w:cs="Arial"/>
                    <w:color w:val="000000" w:themeColor="text1"/>
                    <w:spacing w:val="-6"/>
                    <w:lang w:val="en-GB"/>
                    <w14:textFill>
                      <w14:solidFill>
                        <w14:schemeClr w14:val="tx1"/>
                      </w14:solidFill>
                    </w14:textFill>
                  </w:rPr>
                  <w:t>取得</w:t>
                </w:r>
              </w:p>
              <w:p w14:paraId="0EA831CD">
                <w:pPr>
                  <w:ind w:left="-53" w:leftChars="-25" w:right="-53" w:rightChars="-25"/>
                  <w:jc w:val="center"/>
                  <w:rPr>
                    <w:rFonts w:cs="Arial"/>
                    <w:color w:val="000000" w:themeColor="text1"/>
                    <w:spacing w:val="-6"/>
                    <w:lang w:val="en-GB"/>
                    <w14:textFill>
                      <w14:solidFill>
                        <w14:schemeClr w14:val="tx1"/>
                      </w14:solidFill>
                    </w14:textFill>
                  </w:rPr>
                </w:pPr>
                <w:r>
                  <w:rPr>
                    <w:rFonts w:hint="eastAsia" w:cs="Arial"/>
                    <w:color w:val="000000" w:themeColor="text1"/>
                    <w:spacing w:val="-6"/>
                    <w:lang w:val="en-GB"/>
                    <w14:textFill>
                      <w14:solidFill>
                        <w14:schemeClr w14:val="tx1"/>
                      </w14:solidFill>
                    </w14:textFill>
                  </w:rPr>
                  <w:t>方式</w:t>
                </w:r>
              </w:p>
            </w:tc>
          </w:sdtContent>
        </w:sdt>
      </w:tr>
      <w:tr w14:paraId="38DE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322" w:type="pct"/>
            <w:vMerge w:val="continue"/>
            <w:vAlign w:val="center"/>
          </w:tcPr>
          <w:p w14:paraId="5012C8E0">
            <w:pPr>
              <w:ind w:left="-53" w:leftChars="-25" w:right="-53" w:rightChars="-25"/>
              <w:rPr>
                <w:rFonts w:cs="Arial"/>
                <w:color w:val="000000" w:themeColor="text1"/>
                <w:spacing w:val="-6"/>
                <w14:textFill>
                  <w14:solidFill>
                    <w14:schemeClr w14:val="tx1"/>
                  </w14:solidFill>
                </w14:textFill>
              </w:rPr>
            </w:pPr>
          </w:p>
        </w:tc>
        <w:tc>
          <w:tcPr>
            <w:tcW w:w="454" w:type="pct"/>
            <w:vMerge w:val="continue"/>
            <w:vAlign w:val="center"/>
          </w:tcPr>
          <w:p w14:paraId="20147B82">
            <w:pPr>
              <w:ind w:left="-53" w:leftChars="-25" w:right="-53" w:rightChars="-25"/>
              <w:jc w:val="center"/>
              <w:rPr>
                <w:rFonts w:cs="Arial"/>
                <w:color w:val="000000" w:themeColor="text1"/>
                <w:spacing w:val="-6"/>
                <w14:textFill>
                  <w14:solidFill>
                    <w14:schemeClr w14:val="tx1"/>
                  </w14:solidFill>
                </w14:textFill>
              </w:rPr>
            </w:pPr>
          </w:p>
        </w:tc>
        <w:tc>
          <w:tcPr>
            <w:tcW w:w="779" w:type="pct"/>
            <w:vMerge w:val="continue"/>
            <w:vAlign w:val="center"/>
          </w:tcPr>
          <w:p w14:paraId="510F733E">
            <w:pPr>
              <w:ind w:left="-53" w:leftChars="-25" w:right="-53" w:rightChars="-25"/>
              <w:rPr>
                <w:rFonts w:cs="Arial"/>
                <w:color w:val="000000" w:themeColor="text1"/>
                <w:spacing w:val="-6"/>
                <w14:textFill>
                  <w14:solidFill>
                    <w14:schemeClr w14:val="tx1"/>
                  </w14:solidFill>
                </w14:textFill>
              </w:rPr>
            </w:pPr>
          </w:p>
        </w:tc>
        <w:tc>
          <w:tcPr>
            <w:tcW w:w="817" w:type="pct"/>
            <w:vMerge w:val="continue"/>
            <w:vAlign w:val="center"/>
          </w:tcPr>
          <w:p w14:paraId="7BE532FF">
            <w:pPr>
              <w:ind w:left="-53" w:leftChars="-25" w:right="-53" w:rightChars="-25"/>
              <w:jc w:val="center"/>
              <w:rPr>
                <w:rFonts w:cs="Arial"/>
                <w:color w:val="000000" w:themeColor="text1"/>
                <w:spacing w:val="-6"/>
                <w14:textFill>
                  <w14:solidFill>
                    <w14:schemeClr w14:val="tx1"/>
                  </w14:solidFill>
                </w14:textFill>
              </w:rPr>
            </w:pPr>
          </w:p>
        </w:tc>
        <w:tc>
          <w:tcPr>
            <w:tcW w:w="359" w:type="pct"/>
            <w:vMerge w:val="continue"/>
            <w:vAlign w:val="center"/>
          </w:tcPr>
          <w:p w14:paraId="5C93B9A3">
            <w:pPr>
              <w:ind w:left="-53" w:leftChars="-25" w:right="-53" w:rightChars="-25"/>
              <w:rPr>
                <w:rFonts w:cs="Arial"/>
                <w:color w:val="000000" w:themeColor="text1"/>
                <w:spacing w:val="-6"/>
                <w14:textFill>
                  <w14:solidFill>
                    <w14:schemeClr w14:val="tx1"/>
                  </w14:solidFill>
                </w14:textFill>
              </w:rPr>
            </w:pPr>
          </w:p>
        </w:tc>
        <w:sdt>
          <w:sdtPr>
            <w:rPr>
              <w:spacing w:val="-6"/>
            </w:rPr>
            <w:tag w:val="_PLD_de578ebcf9ae4a679d3c9d71857b038a"/>
            <w:id w:val="1303656718"/>
          </w:sdtPr>
          <w:sdtEndPr>
            <w:rPr>
              <w:spacing w:val="-6"/>
            </w:rPr>
          </w:sdtEndPr>
          <w:sdtContent>
            <w:tc>
              <w:tcPr>
                <w:tcW w:w="205" w:type="pct"/>
                <w:vAlign w:val="center"/>
              </w:tcPr>
              <w:p w14:paraId="7E68DC2E">
                <w:pPr>
                  <w:ind w:left="-53" w:leftChars="-25" w:right="-53" w:rightChars="-25"/>
                  <w:jc w:val="center"/>
                  <w:rPr>
                    <w:rFonts w:cs="Arial"/>
                    <w:color w:val="000000" w:themeColor="text1"/>
                    <w:spacing w:val="-6"/>
                    <w14:textFill>
                      <w14:solidFill>
                        <w14:schemeClr w14:val="tx1"/>
                      </w14:solidFill>
                    </w14:textFill>
                  </w:rPr>
                </w:pPr>
                <w:r>
                  <w:rPr>
                    <w:rFonts w:hint="eastAsia" w:cs="Arial"/>
                    <w:color w:val="000000" w:themeColor="text1"/>
                    <w:spacing w:val="-6"/>
                    <w:lang w:val="en-GB"/>
                    <w14:textFill>
                      <w14:solidFill>
                        <w14:schemeClr w14:val="tx1"/>
                      </w14:solidFill>
                    </w14:textFill>
                  </w:rPr>
                  <w:t>直接</w:t>
                </w:r>
              </w:p>
            </w:tc>
          </w:sdtContent>
        </w:sdt>
        <w:sdt>
          <w:sdtPr>
            <w:rPr>
              <w:spacing w:val="-6"/>
            </w:rPr>
            <w:tag w:val="_PLD_154fe2dd001b4c93b14ff5f5aec1fbc8"/>
            <w:id w:val="663662334"/>
          </w:sdtPr>
          <w:sdtEndPr>
            <w:rPr>
              <w:spacing w:val="-6"/>
            </w:rPr>
          </w:sdtEndPr>
          <w:sdtContent>
            <w:tc>
              <w:tcPr>
                <w:tcW w:w="256" w:type="pct"/>
                <w:vAlign w:val="center"/>
              </w:tcPr>
              <w:p w14:paraId="5D514564">
                <w:pPr>
                  <w:ind w:left="-53" w:leftChars="-25" w:right="-53" w:rightChars="-25"/>
                  <w:jc w:val="center"/>
                  <w:rPr>
                    <w:rFonts w:cs="Arial"/>
                    <w:color w:val="000000" w:themeColor="text1"/>
                    <w:spacing w:val="-6"/>
                    <w14:textFill>
                      <w14:solidFill>
                        <w14:schemeClr w14:val="tx1"/>
                      </w14:solidFill>
                    </w14:textFill>
                  </w:rPr>
                </w:pPr>
                <w:r>
                  <w:rPr>
                    <w:rFonts w:hint="eastAsia" w:cs="Arial"/>
                    <w:color w:val="000000" w:themeColor="text1"/>
                    <w:spacing w:val="-6"/>
                    <w:lang w:val="en-GB"/>
                    <w14:textFill>
                      <w14:solidFill>
                        <w14:schemeClr w14:val="tx1"/>
                      </w14:solidFill>
                    </w14:textFill>
                  </w:rPr>
                  <w:t>间接</w:t>
                </w:r>
              </w:p>
            </w:tc>
          </w:sdtContent>
        </w:sdt>
        <w:tc>
          <w:tcPr>
            <w:tcW w:w="808" w:type="pct"/>
            <w:vMerge w:val="continue"/>
            <w:vAlign w:val="center"/>
          </w:tcPr>
          <w:p w14:paraId="162C1898">
            <w:pPr>
              <w:ind w:left="-53" w:leftChars="-25" w:right="-53" w:rightChars="-25"/>
              <w:rPr>
                <w:rFonts w:cs="Arial"/>
                <w:color w:val="000000" w:themeColor="text1"/>
                <w:spacing w:val="-6"/>
                <w14:textFill>
                  <w14:solidFill>
                    <w14:schemeClr w14:val="tx1"/>
                  </w14:solidFill>
                </w14:textFill>
              </w:rPr>
            </w:pPr>
          </w:p>
        </w:tc>
      </w:tr>
      <w:tr w14:paraId="467B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059C4A03">
            <w:pPr>
              <w:ind w:left="-53" w:leftChars="-25" w:right="-53" w:rightChars="-25"/>
              <w:rPr>
                <w:spacing w:val="-6"/>
              </w:rPr>
            </w:pPr>
            <w:r>
              <w:rPr>
                <w:spacing w:val="-6"/>
              </w:rPr>
              <w:t>重庆力帆电喷软件有限公司</w:t>
            </w:r>
          </w:p>
        </w:tc>
        <w:tc>
          <w:tcPr>
            <w:tcW w:w="454" w:type="pct"/>
            <w:vAlign w:val="center"/>
          </w:tcPr>
          <w:p w14:paraId="6FAF7117">
            <w:pPr>
              <w:ind w:left="-53" w:leftChars="-25" w:right="-53" w:rightChars="-25"/>
              <w:jc w:val="center"/>
              <w:rPr>
                <w:spacing w:val="-6"/>
              </w:rPr>
            </w:pPr>
            <w:r>
              <w:rPr>
                <w:spacing w:val="-6"/>
              </w:rPr>
              <w:t>重庆</w:t>
            </w:r>
          </w:p>
        </w:tc>
        <w:tc>
          <w:tcPr>
            <w:tcW w:w="779" w:type="pct"/>
            <w:vAlign w:val="center"/>
          </w:tcPr>
          <w:p w14:paraId="299365EA">
            <w:pPr>
              <w:ind w:left="-53" w:leftChars="-25" w:right="-53" w:rightChars="-25"/>
              <w:jc w:val="right"/>
              <w:rPr>
                <w:spacing w:val="-6"/>
              </w:rPr>
            </w:pPr>
            <w:r>
              <w:rPr>
                <w:spacing w:val="-6"/>
              </w:rPr>
              <w:t>2,400.00</w:t>
            </w:r>
          </w:p>
        </w:tc>
        <w:tc>
          <w:tcPr>
            <w:tcW w:w="817" w:type="pct"/>
            <w:vAlign w:val="center"/>
          </w:tcPr>
          <w:p w14:paraId="4A4CE848">
            <w:pPr>
              <w:ind w:left="-53" w:leftChars="-25" w:right="-53" w:rightChars="-25"/>
              <w:jc w:val="center"/>
              <w:rPr>
                <w:spacing w:val="-6"/>
              </w:rPr>
            </w:pPr>
            <w:r>
              <w:rPr>
                <w:spacing w:val="-6"/>
              </w:rPr>
              <w:t>重庆市沙坪坝区</w:t>
            </w:r>
          </w:p>
        </w:tc>
        <w:tc>
          <w:tcPr>
            <w:tcW w:w="359" w:type="pct"/>
            <w:vAlign w:val="center"/>
          </w:tcPr>
          <w:p w14:paraId="4D1AFA54">
            <w:pPr>
              <w:ind w:left="-53" w:leftChars="-25" w:right="-53" w:rightChars="-25"/>
              <w:jc w:val="center"/>
              <w:rPr>
                <w:spacing w:val="-6"/>
              </w:rPr>
            </w:pPr>
            <w:r>
              <w:rPr>
                <w:spacing w:val="-6"/>
              </w:rPr>
              <w:t>服务</w:t>
            </w:r>
          </w:p>
        </w:tc>
        <w:tc>
          <w:tcPr>
            <w:tcW w:w="205" w:type="pct"/>
            <w:vAlign w:val="center"/>
          </w:tcPr>
          <w:p w14:paraId="29073DC7">
            <w:pPr>
              <w:ind w:left="-53" w:leftChars="-25" w:right="-53" w:rightChars="-25"/>
              <w:jc w:val="right"/>
              <w:rPr>
                <w:spacing w:val="-6"/>
              </w:rPr>
            </w:pPr>
          </w:p>
        </w:tc>
        <w:tc>
          <w:tcPr>
            <w:tcW w:w="256" w:type="pct"/>
            <w:vAlign w:val="center"/>
          </w:tcPr>
          <w:p w14:paraId="504951FA">
            <w:pPr>
              <w:ind w:left="-53" w:leftChars="-25" w:right="-53" w:rightChars="-25"/>
              <w:jc w:val="center"/>
              <w:rPr>
                <w:spacing w:val="-6"/>
              </w:rPr>
            </w:pPr>
            <w:r>
              <w:rPr>
                <w:spacing w:val="-6"/>
              </w:rPr>
              <w:t>100</w:t>
            </w:r>
          </w:p>
        </w:tc>
        <w:tc>
          <w:tcPr>
            <w:tcW w:w="808" w:type="pct"/>
            <w:vAlign w:val="center"/>
          </w:tcPr>
          <w:p w14:paraId="38CF102C">
            <w:pPr>
              <w:ind w:left="-53" w:leftChars="-25" w:right="-53" w:rightChars="-25"/>
              <w:jc w:val="center"/>
              <w:rPr>
                <w:spacing w:val="-6"/>
              </w:rPr>
            </w:pPr>
            <w:r>
              <w:rPr>
                <w:spacing w:val="-6"/>
              </w:rPr>
              <w:t>设立</w:t>
            </w:r>
          </w:p>
        </w:tc>
      </w:tr>
      <w:tr w14:paraId="68FC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42CA4042">
            <w:pPr>
              <w:ind w:left="-53" w:leftChars="-25" w:right="-53" w:rightChars="-25"/>
              <w:rPr>
                <w:spacing w:val="-6"/>
              </w:rPr>
            </w:pPr>
            <w:r>
              <w:rPr>
                <w:spacing w:val="-6"/>
              </w:rPr>
              <w:t>河南力帆树民车业有限公司</w:t>
            </w:r>
          </w:p>
        </w:tc>
        <w:tc>
          <w:tcPr>
            <w:tcW w:w="454" w:type="pct"/>
            <w:vAlign w:val="center"/>
          </w:tcPr>
          <w:p w14:paraId="0CEED834">
            <w:pPr>
              <w:ind w:left="-53" w:leftChars="-25" w:right="-53" w:rightChars="-25"/>
              <w:jc w:val="center"/>
              <w:rPr>
                <w:spacing w:val="-6"/>
              </w:rPr>
            </w:pPr>
            <w:r>
              <w:rPr>
                <w:spacing w:val="-6"/>
              </w:rPr>
              <w:t>河南</w:t>
            </w:r>
          </w:p>
        </w:tc>
        <w:tc>
          <w:tcPr>
            <w:tcW w:w="779" w:type="pct"/>
            <w:vAlign w:val="center"/>
          </w:tcPr>
          <w:p w14:paraId="563F0A82">
            <w:pPr>
              <w:ind w:left="-53" w:leftChars="-25" w:right="-53" w:rightChars="-25"/>
              <w:jc w:val="right"/>
              <w:rPr>
                <w:spacing w:val="-6"/>
              </w:rPr>
            </w:pPr>
            <w:r>
              <w:rPr>
                <w:spacing w:val="-6"/>
              </w:rPr>
              <w:t>21,034.94</w:t>
            </w:r>
          </w:p>
        </w:tc>
        <w:tc>
          <w:tcPr>
            <w:tcW w:w="817" w:type="pct"/>
            <w:vAlign w:val="center"/>
          </w:tcPr>
          <w:p w14:paraId="6FD0BC47">
            <w:pPr>
              <w:ind w:left="-53" w:leftChars="-25" w:right="-53" w:rightChars="-25"/>
              <w:jc w:val="center"/>
              <w:rPr>
                <w:spacing w:val="-6"/>
              </w:rPr>
            </w:pPr>
            <w:r>
              <w:rPr>
                <w:spacing w:val="-6"/>
              </w:rPr>
              <w:t>河南省叶县</w:t>
            </w:r>
          </w:p>
        </w:tc>
        <w:tc>
          <w:tcPr>
            <w:tcW w:w="359" w:type="pct"/>
            <w:vAlign w:val="center"/>
          </w:tcPr>
          <w:p w14:paraId="425CD745">
            <w:pPr>
              <w:ind w:left="-53" w:leftChars="-25" w:right="-53" w:rightChars="-25"/>
              <w:jc w:val="center"/>
              <w:rPr>
                <w:spacing w:val="-6"/>
              </w:rPr>
            </w:pPr>
            <w:r>
              <w:rPr>
                <w:spacing w:val="-6"/>
              </w:rPr>
              <w:t>制造</w:t>
            </w:r>
          </w:p>
        </w:tc>
        <w:tc>
          <w:tcPr>
            <w:tcW w:w="205" w:type="pct"/>
            <w:vAlign w:val="center"/>
          </w:tcPr>
          <w:p w14:paraId="0EF40FA5">
            <w:pPr>
              <w:ind w:left="-53" w:leftChars="-25" w:right="-53" w:rightChars="-25"/>
              <w:jc w:val="right"/>
              <w:rPr>
                <w:spacing w:val="-6"/>
              </w:rPr>
            </w:pPr>
          </w:p>
        </w:tc>
        <w:tc>
          <w:tcPr>
            <w:tcW w:w="256" w:type="pct"/>
            <w:vAlign w:val="center"/>
          </w:tcPr>
          <w:p w14:paraId="063176C7">
            <w:pPr>
              <w:ind w:left="-53" w:leftChars="-25" w:right="-53" w:rightChars="-25"/>
              <w:jc w:val="center"/>
              <w:rPr>
                <w:spacing w:val="-6"/>
              </w:rPr>
            </w:pPr>
            <w:r>
              <w:rPr>
                <w:spacing w:val="-6"/>
              </w:rPr>
              <w:t>80</w:t>
            </w:r>
          </w:p>
        </w:tc>
        <w:tc>
          <w:tcPr>
            <w:tcW w:w="808" w:type="pct"/>
            <w:vAlign w:val="center"/>
          </w:tcPr>
          <w:p w14:paraId="6565421F">
            <w:pPr>
              <w:ind w:left="-53" w:leftChars="-25" w:right="-53" w:rightChars="-25"/>
              <w:jc w:val="center"/>
              <w:rPr>
                <w:spacing w:val="-6"/>
              </w:rPr>
            </w:pPr>
            <w:r>
              <w:rPr>
                <w:spacing w:val="-6"/>
              </w:rPr>
              <w:t>设立</w:t>
            </w:r>
          </w:p>
        </w:tc>
      </w:tr>
      <w:tr w14:paraId="2007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7ED7EF9C">
            <w:pPr>
              <w:ind w:left="-53" w:leftChars="-25" w:right="-53" w:rightChars="-25"/>
              <w:rPr>
                <w:spacing w:val="-6"/>
              </w:rPr>
            </w:pPr>
            <w:r>
              <w:rPr>
                <w:spacing w:val="-6"/>
              </w:rPr>
              <w:t>河南力帆树民进出口有限公司</w:t>
            </w:r>
          </w:p>
        </w:tc>
        <w:tc>
          <w:tcPr>
            <w:tcW w:w="454" w:type="pct"/>
            <w:vAlign w:val="center"/>
          </w:tcPr>
          <w:p w14:paraId="035A15DB">
            <w:pPr>
              <w:ind w:left="-53" w:leftChars="-25" w:right="-53" w:rightChars="-25"/>
              <w:jc w:val="center"/>
              <w:rPr>
                <w:spacing w:val="-6"/>
              </w:rPr>
            </w:pPr>
            <w:r>
              <w:rPr>
                <w:spacing w:val="-6"/>
              </w:rPr>
              <w:t>河南</w:t>
            </w:r>
          </w:p>
        </w:tc>
        <w:tc>
          <w:tcPr>
            <w:tcW w:w="779" w:type="pct"/>
            <w:vAlign w:val="center"/>
          </w:tcPr>
          <w:p w14:paraId="1A49ECF6">
            <w:pPr>
              <w:ind w:left="-53" w:leftChars="-25" w:right="-53" w:rightChars="-25"/>
              <w:jc w:val="right"/>
              <w:rPr>
                <w:spacing w:val="-6"/>
              </w:rPr>
            </w:pPr>
            <w:r>
              <w:rPr>
                <w:spacing w:val="-6"/>
              </w:rPr>
              <w:t>200</w:t>
            </w:r>
          </w:p>
        </w:tc>
        <w:tc>
          <w:tcPr>
            <w:tcW w:w="817" w:type="pct"/>
            <w:vAlign w:val="center"/>
          </w:tcPr>
          <w:p w14:paraId="08AFB39A">
            <w:pPr>
              <w:ind w:left="-53" w:leftChars="-25" w:right="-53" w:rightChars="-25"/>
              <w:jc w:val="center"/>
              <w:rPr>
                <w:spacing w:val="-6"/>
              </w:rPr>
            </w:pPr>
            <w:r>
              <w:rPr>
                <w:spacing w:val="-6"/>
              </w:rPr>
              <w:t>河南省叶县</w:t>
            </w:r>
          </w:p>
        </w:tc>
        <w:tc>
          <w:tcPr>
            <w:tcW w:w="359" w:type="pct"/>
            <w:vAlign w:val="center"/>
          </w:tcPr>
          <w:p w14:paraId="07AFCC73">
            <w:pPr>
              <w:ind w:left="-53" w:leftChars="-25" w:right="-53" w:rightChars="-25"/>
              <w:jc w:val="center"/>
              <w:rPr>
                <w:spacing w:val="-6"/>
              </w:rPr>
            </w:pPr>
            <w:r>
              <w:rPr>
                <w:spacing w:val="-6"/>
              </w:rPr>
              <w:t>销售</w:t>
            </w:r>
          </w:p>
        </w:tc>
        <w:tc>
          <w:tcPr>
            <w:tcW w:w="205" w:type="pct"/>
            <w:vAlign w:val="center"/>
          </w:tcPr>
          <w:p w14:paraId="5385EC2C">
            <w:pPr>
              <w:ind w:left="-53" w:leftChars="-25" w:right="-53" w:rightChars="-25"/>
              <w:jc w:val="center"/>
              <w:rPr>
                <w:spacing w:val="-6"/>
              </w:rPr>
            </w:pPr>
          </w:p>
        </w:tc>
        <w:tc>
          <w:tcPr>
            <w:tcW w:w="256" w:type="pct"/>
            <w:vAlign w:val="center"/>
          </w:tcPr>
          <w:p w14:paraId="2DFCC2E7">
            <w:pPr>
              <w:ind w:left="-53" w:leftChars="-25" w:right="-53" w:rightChars="-25"/>
              <w:jc w:val="center"/>
              <w:rPr>
                <w:spacing w:val="-6"/>
              </w:rPr>
            </w:pPr>
            <w:r>
              <w:rPr>
                <w:spacing w:val="-6"/>
              </w:rPr>
              <w:t>80</w:t>
            </w:r>
          </w:p>
        </w:tc>
        <w:tc>
          <w:tcPr>
            <w:tcW w:w="808" w:type="pct"/>
            <w:vAlign w:val="center"/>
          </w:tcPr>
          <w:p w14:paraId="586A3116">
            <w:pPr>
              <w:ind w:left="-53" w:leftChars="-25" w:right="-53" w:rightChars="-25"/>
              <w:jc w:val="center"/>
              <w:rPr>
                <w:spacing w:val="-6"/>
              </w:rPr>
            </w:pPr>
            <w:r>
              <w:rPr>
                <w:spacing w:val="-6"/>
              </w:rPr>
              <w:t>设立</w:t>
            </w:r>
          </w:p>
        </w:tc>
      </w:tr>
      <w:tr w14:paraId="496F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533FD7F9">
            <w:pPr>
              <w:ind w:left="-53" w:leftChars="-25" w:right="-53" w:rightChars="-25"/>
              <w:rPr>
                <w:spacing w:val="-6"/>
              </w:rPr>
            </w:pPr>
            <w:r>
              <w:rPr>
                <w:spacing w:val="-6"/>
              </w:rPr>
              <w:t>重庆力帆摩托车发动机有限公司</w:t>
            </w:r>
          </w:p>
        </w:tc>
        <w:tc>
          <w:tcPr>
            <w:tcW w:w="454" w:type="pct"/>
            <w:vAlign w:val="center"/>
          </w:tcPr>
          <w:p w14:paraId="4BCBF627">
            <w:pPr>
              <w:ind w:left="-53" w:leftChars="-25" w:right="-53" w:rightChars="-25"/>
              <w:jc w:val="center"/>
              <w:rPr>
                <w:spacing w:val="-6"/>
              </w:rPr>
            </w:pPr>
            <w:r>
              <w:rPr>
                <w:spacing w:val="-6"/>
              </w:rPr>
              <w:t>重庆</w:t>
            </w:r>
          </w:p>
        </w:tc>
        <w:tc>
          <w:tcPr>
            <w:tcW w:w="779" w:type="pct"/>
            <w:vAlign w:val="center"/>
          </w:tcPr>
          <w:p w14:paraId="6EE0BA27">
            <w:pPr>
              <w:ind w:left="-53" w:leftChars="-25" w:right="-53" w:rightChars="-25"/>
              <w:jc w:val="right"/>
              <w:rPr>
                <w:spacing w:val="-6"/>
              </w:rPr>
            </w:pPr>
            <w:r>
              <w:rPr>
                <w:spacing w:val="-6"/>
              </w:rPr>
              <w:t>20,000.00</w:t>
            </w:r>
          </w:p>
        </w:tc>
        <w:tc>
          <w:tcPr>
            <w:tcW w:w="817" w:type="pct"/>
            <w:vAlign w:val="center"/>
          </w:tcPr>
          <w:p w14:paraId="413A979F">
            <w:pPr>
              <w:ind w:left="-53" w:leftChars="-25" w:right="-53" w:rightChars="-25"/>
              <w:jc w:val="center"/>
              <w:rPr>
                <w:spacing w:val="-6"/>
              </w:rPr>
            </w:pPr>
            <w:r>
              <w:rPr>
                <w:spacing w:val="-6"/>
              </w:rPr>
              <w:t>重庆市北碚区</w:t>
            </w:r>
          </w:p>
        </w:tc>
        <w:tc>
          <w:tcPr>
            <w:tcW w:w="359" w:type="pct"/>
            <w:vAlign w:val="center"/>
          </w:tcPr>
          <w:p w14:paraId="6AC0C6E3">
            <w:pPr>
              <w:ind w:left="-53" w:leftChars="-25" w:right="-53" w:rightChars="-25"/>
              <w:jc w:val="center"/>
              <w:rPr>
                <w:spacing w:val="-6"/>
              </w:rPr>
            </w:pPr>
            <w:r>
              <w:rPr>
                <w:spacing w:val="-6"/>
              </w:rPr>
              <w:t>制造</w:t>
            </w:r>
          </w:p>
        </w:tc>
        <w:tc>
          <w:tcPr>
            <w:tcW w:w="205" w:type="pct"/>
            <w:vAlign w:val="center"/>
          </w:tcPr>
          <w:p w14:paraId="5C02277A">
            <w:pPr>
              <w:ind w:left="-53" w:leftChars="-25" w:right="-53" w:rightChars="-25"/>
              <w:jc w:val="center"/>
              <w:rPr>
                <w:spacing w:val="-6"/>
              </w:rPr>
            </w:pPr>
            <w:r>
              <w:rPr>
                <w:spacing w:val="-6"/>
              </w:rPr>
              <w:t>100</w:t>
            </w:r>
          </w:p>
        </w:tc>
        <w:tc>
          <w:tcPr>
            <w:tcW w:w="256" w:type="pct"/>
            <w:vAlign w:val="center"/>
          </w:tcPr>
          <w:p w14:paraId="17CFF123">
            <w:pPr>
              <w:ind w:left="-53" w:leftChars="-25" w:right="-53" w:rightChars="-25"/>
              <w:jc w:val="center"/>
              <w:rPr>
                <w:spacing w:val="-6"/>
              </w:rPr>
            </w:pPr>
          </w:p>
        </w:tc>
        <w:tc>
          <w:tcPr>
            <w:tcW w:w="808" w:type="pct"/>
            <w:vAlign w:val="center"/>
          </w:tcPr>
          <w:p w14:paraId="1A6B1C81">
            <w:pPr>
              <w:ind w:left="-53" w:leftChars="-25" w:right="-53" w:rightChars="-25"/>
              <w:jc w:val="center"/>
              <w:rPr>
                <w:spacing w:val="-6"/>
              </w:rPr>
            </w:pPr>
            <w:r>
              <w:rPr>
                <w:spacing w:val="-6"/>
              </w:rPr>
              <w:t>设立</w:t>
            </w:r>
          </w:p>
        </w:tc>
      </w:tr>
      <w:tr w14:paraId="1C74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1CBE4E9A">
            <w:pPr>
              <w:ind w:left="-53" w:leftChars="-25" w:right="-53" w:rightChars="-25"/>
              <w:rPr>
                <w:spacing w:val="-6"/>
              </w:rPr>
            </w:pPr>
            <w:r>
              <w:rPr>
                <w:spacing w:val="-6"/>
              </w:rPr>
              <w:t>重庆力帆摩托车产销有限公司</w:t>
            </w:r>
          </w:p>
        </w:tc>
        <w:tc>
          <w:tcPr>
            <w:tcW w:w="454" w:type="pct"/>
            <w:vAlign w:val="center"/>
          </w:tcPr>
          <w:p w14:paraId="1F065615">
            <w:pPr>
              <w:ind w:left="-53" w:leftChars="-25" w:right="-53" w:rightChars="-25"/>
              <w:jc w:val="center"/>
              <w:rPr>
                <w:spacing w:val="-6"/>
              </w:rPr>
            </w:pPr>
            <w:r>
              <w:rPr>
                <w:spacing w:val="-6"/>
              </w:rPr>
              <w:t>重庆</w:t>
            </w:r>
          </w:p>
        </w:tc>
        <w:tc>
          <w:tcPr>
            <w:tcW w:w="779" w:type="pct"/>
            <w:vAlign w:val="center"/>
          </w:tcPr>
          <w:p w14:paraId="0FF3E1AE">
            <w:pPr>
              <w:ind w:left="-53" w:leftChars="-25" w:right="-53" w:rightChars="-25"/>
              <w:jc w:val="right"/>
              <w:rPr>
                <w:spacing w:val="-6"/>
              </w:rPr>
            </w:pPr>
            <w:r>
              <w:rPr>
                <w:spacing w:val="-6"/>
              </w:rPr>
              <w:t>80,160.00</w:t>
            </w:r>
          </w:p>
        </w:tc>
        <w:tc>
          <w:tcPr>
            <w:tcW w:w="817" w:type="pct"/>
            <w:vAlign w:val="center"/>
          </w:tcPr>
          <w:p w14:paraId="3D65EDB9">
            <w:pPr>
              <w:ind w:left="-53" w:leftChars="-25" w:right="-53" w:rightChars="-25"/>
              <w:jc w:val="center"/>
              <w:rPr>
                <w:spacing w:val="-6"/>
              </w:rPr>
            </w:pPr>
            <w:r>
              <w:rPr>
                <w:spacing w:val="-6"/>
              </w:rPr>
              <w:t>重庆市北碚区</w:t>
            </w:r>
          </w:p>
        </w:tc>
        <w:tc>
          <w:tcPr>
            <w:tcW w:w="359" w:type="pct"/>
            <w:vAlign w:val="center"/>
          </w:tcPr>
          <w:p w14:paraId="732E130C">
            <w:pPr>
              <w:ind w:left="-53" w:leftChars="-25" w:right="-53" w:rightChars="-25"/>
              <w:jc w:val="center"/>
              <w:rPr>
                <w:spacing w:val="-6"/>
              </w:rPr>
            </w:pPr>
            <w:r>
              <w:rPr>
                <w:spacing w:val="-6"/>
              </w:rPr>
              <w:t>销售</w:t>
            </w:r>
          </w:p>
        </w:tc>
        <w:tc>
          <w:tcPr>
            <w:tcW w:w="205" w:type="pct"/>
            <w:vAlign w:val="center"/>
          </w:tcPr>
          <w:p w14:paraId="2498AB1E">
            <w:pPr>
              <w:ind w:left="-53" w:leftChars="-25" w:right="-53" w:rightChars="-25"/>
              <w:jc w:val="center"/>
              <w:rPr>
                <w:spacing w:val="-6"/>
              </w:rPr>
            </w:pPr>
            <w:r>
              <w:rPr>
                <w:spacing w:val="-6"/>
              </w:rPr>
              <w:t>100</w:t>
            </w:r>
          </w:p>
        </w:tc>
        <w:tc>
          <w:tcPr>
            <w:tcW w:w="256" w:type="pct"/>
            <w:vAlign w:val="center"/>
          </w:tcPr>
          <w:p w14:paraId="685C7C16">
            <w:pPr>
              <w:ind w:left="-53" w:leftChars="-25" w:right="-53" w:rightChars="-25"/>
              <w:jc w:val="center"/>
              <w:rPr>
                <w:spacing w:val="-6"/>
              </w:rPr>
            </w:pPr>
          </w:p>
        </w:tc>
        <w:tc>
          <w:tcPr>
            <w:tcW w:w="808" w:type="pct"/>
            <w:vAlign w:val="center"/>
          </w:tcPr>
          <w:p w14:paraId="5AD5C3D4">
            <w:pPr>
              <w:ind w:left="-53" w:leftChars="-25" w:right="-53" w:rightChars="-25"/>
              <w:jc w:val="center"/>
              <w:rPr>
                <w:spacing w:val="-6"/>
              </w:rPr>
            </w:pPr>
            <w:r>
              <w:rPr>
                <w:spacing w:val="-6"/>
              </w:rPr>
              <w:t>设立</w:t>
            </w:r>
          </w:p>
        </w:tc>
      </w:tr>
      <w:tr w14:paraId="72EB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4A938EE3">
            <w:pPr>
              <w:ind w:left="-53" w:leftChars="-25" w:right="-53" w:rightChars="-25"/>
              <w:rPr>
                <w:spacing w:val="-6"/>
              </w:rPr>
            </w:pPr>
            <w:r>
              <w:rPr>
                <w:spacing w:val="-6"/>
              </w:rPr>
              <w:t>重庆千里速达进出口贸易有限公司</w:t>
            </w:r>
          </w:p>
        </w:tc>
        <w:tc>
          <w:tcPr>
            <w:tcW w:w="454" w:type="pct"/>
            <w:vAlign w:val="center"/>
          </w:tcPr>
          <w:p w14:paraId="13367B95">
            <w:pPr>
              <w:ind w:left="-53" w:leftChars="-25" w:right="-53" w:rightChars="-25"/>
              <w:jc w:val="center"/>
              <w:rPr>
                <w:spacing w:val="-6"/>
              </w:rPr>
            </w:pPr>
            <w:r>
              <w:rPr>
                <w:spacing w:val="-6"/>
              </w:rPr>
              <w:t>重庆</w:t>
            </w:r>
          </w:p>
        </w:tc>
        <w:tc>
          <w:tcPr>
            <w:tcW w:w="779" w:type="pct"/>
            <w:vAlign w:val="center"/>
          </w:tcPr>
          <w:p w14:paraId="3282F4EE">
            <w:pPr>
              <w:ind w:left="-53" w:leftChars="-25" w:right="-53" w:rightChars="-25"/>
              <w:jc w:val="right"/>
              <w:rPr>
                <w:spacing w:val="-6"/>
              </w:rPr>
            </w:pPr>
            <w:r>
              <w:rPr>
                <w:spacing w:val="-6"/>
              </w:rPr>
              <w:t>2,399.30</w:t>
            </w:r>
          </w:p>
        </w:tc>
        <w:tc>
          <w:tcPr>
            <w:tcW w:w="817" w:type="pct"/>
            <w:vAlign w:val="center"/>
          </w:tcPr>
          <w:p w14:paraId="44BEF761">
            <w:pPr>
              <w:ind w:left="-53" w:leftChars="-25" w:right="-53" w:rightChars="-25"/>
              <w:jc w:val="center"/>
              <w:rPr>
                <w:spacing w:val="-6"/>
              </w:rPr>
            </w:pPr>
            <w:r>
              <w:rPr>
                <w:spacing w:val="-6"/>
              </w:rPr>
              <w:t>重庆市北碚区</w:t>
            </w:r>
          </w:p>
        </w:tc>
        <w:tc>
          <w:tcPr>
            <w:tcW w:w="359" w:type="pct"/>
            <w:vAlign w:val="center"/>
          </w:tcPr>
          <w:p w14:paraId="5DD1D054">
            <w:pPr>
              <w:ind w:left="-53" w:leftChars="-25" w:right="-53" w:rightChars="-25"/>
              <w:jc w:val="center"/>
              <w:rPr>
                <w:spacing w:val="-6"/>
              </w:rPr>
            </w:pPr>
            <w:r>
              <w:rPr>
                <w:spacing w:val="-6"/>
              </w:rPr>
              <w:t>制造</w:t>
            </w:r>
          </w:p>
        </w:tc>
        <w:tc>
          <w:tcPr>
            <w:tcW w:w="205" w:type="pct"/>
            <w:vAlign w:val="center"/>
          </w:tcPr>
          <w:p w14:paraId="6C45E143">
            <w:pPr>
              <w:ind w:left="-53" w:leftChars="-25" w:right="-53" w:rightChars="-25"/>
              <w:jc w:val="center"/>
              <w:rPr>
                <w:spacing w:val="-6"/>
              </w:rPr>
            </w:pPr>
          </w:p>
        </w:tc>
        <w:tc>
          <w:tcPr>
            <w:tcW w:w="256" w:type="pct"/>
            <w:vAlign w:val="center"/>
          </w:tcPr>
          <w:p w14:paraId="0AC38603">
            <w:pPr>
              <w:ind w:left="-53" w:leftChars="-25" w:right="-53" w:rightChars="-25"/>
              <w:jc w:val="center"/>
              <w:rPr>
                <w:spacing w:val="-6"/>
              </w:rPr>
            </w:pPr>
            <w:r>
              <w:rPr>
                <w:spacing w:val="-6"/>
              </w:rPr>
              <w:t>100</w:t>
            </w:r>
          </w:p>
        </w:tc>
        <w:tc>
          <w:tcPr>
            <w:tcW w:w="808" w:type="pct"/>
            <w:vAlign w:val="center"/>
          </w:tcPr>
          <w:p w14:paraId="5BC62F64">
            <w:pPr>
              <w:ind w:left="-53" w:leftChars="-25" w:right="-53" w:rightChars="-25"/>
              <w:jc w:val="center"/>
              <w:rPr>
                <w:spacing w:val="-6"/>
              </w:rPr>
            </w:pPr>
            <w:r>
              <w:rPr>
                <w:spacing w:val="-6"/>
              </w:rPr>
              <w:t>设立</w:t>
            </w:r>
          </w:p>
        </w:tc>
      </w:tr>
      <w:tr w14:paraId="59C9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47F6B6D1">
            <w:pPr>
              <w:ind w:left="-53" w:leftChars="-25" w:right="-53" w:rightChars="-25"/>
              <w:rPr>
                <w:spacing w:val="-6"/>
              </w:rPr>
            </w:pPr>
            <w:r>
              <w:rPr>
                <w:spacing w:val="-6"/>
              </w:rPr>
              <w:t>重庆力帆瑞驰摩托车有限公司</w:t>
            </w:r>
          </w:p>
        </w:tc>
        <w:tc>
          <w:tcPr>
            <w:tcW w:w="454" w:type="pct"/>
            <w:vAlign w:val="center"/>
          </w:tcPr>
          <w:p w14:paraId="741CDB44">
            <w:pPr>
              <w:ind w:left="-53" w:leftChars="-25" w:right="-53" w:rightChars="-25"/>
              <w:jc w:val="center"/>
              <w:rPr>
                <w:spacing w:val="-6"/>
              </w:rPr>
            </w:pPr>
            <w:r>
              <w:rPr>
                <w:spacing w:val="-6"/>
              </w:rPr>
              <w:t>重庆</w:t>
            </w:r>
          </w:p>
        </w:tc>
        <w:tc>
          <w:tcPr>
            <w:tcW w:w="779" w:type="pct"/>
            <w:vAlign w:val="center"/>
          </w:tcPr>
          <w:p w14:paraId="09F3ADC1">
            <w:pPr>
              <w:ind w:left="-53" w:leftChars="-25" w:right="-53" w:rightChars="-25"/>
              <w:jc w:val="right"/>
              <w:rPr>
                <w:spacing w:val="-6"/>
              </w:rPr>
            </w:pPr>
            <w:r>
              <w:rPr>
                <w:spacing w:val="-6"/>
              </w:rPr>
              <w:t>2,000.00</w:t>
            </w:r>
          </w:p>
        </w:tc>
        <w:tc>
          <w:tcPr>
            <w:tcW w:w="817" w:type="pct"/>
            <w:vAlign w:val="center"/>
          </w:tcPr>
          <w:p w14:paraId="5387975D">
            <w:pPr>
              <w:ind w:left="-53" w:leftChars="-25" w:right="-53" w:rightChars="-25"/>
              <w:jc w:val="center"/>
              <w:rPr>
                <w:spacing w:val="-6"/>
              </w:rPr>
            </w:pPr>
            <w:r>
              <w:rPr>
                <w:spacing w:val="-6"/>
              </w:rPr>
              <w:t>重庆市北碚区</w:t>
            </w:r>
          </w:p>
        </w:tc>
        <w:tc>
          <w:tcPr>
            <w:tcW w:w="359" w:type="pct"/>
            <w:vAlign w:val="center"/>
          </w:tcPr>
          <w:p w14:paraId="73F12198">
            <w:pPr>
              <w:ind w:left="-53" w:leftChars="-25" w:right="-53" w:rightChars="-25"/>
              <w:jc w:val="center"/>
              <w:rPr>
                <w:spacing w:val="-6"/>
              </w:rPr>
            </w:pPr>
            <w:r>
              <w:rPr>
                <w:spacing w:val="-6"/>
              </w:rPr>
              <w:t>制造</w:t>
            </w:r>
          </w:p>
        </w:tc>
        <w:tc>
          <w:tcPr>
            <w:tcW w:w="205" w:type="pct"/>
            <w:vAlign w:val="center"/>
          </w:tcPr>
          <w:p w14:paraId="43178C82">
            <w:pPr>
              <w:ind w:left="-53" w:leftChars="-25" w:right="-53" w:rightChars="-25"/>
              <w:jc w:val="center"/>
              <w:rPr>
                <w:spacing w:val="-6"/>
              </w:rPr>
            </w:pPr>
          </w:p>
        </w:tc>
        <w:tc>
          <w:tcPr>
            <w:tcW w:w="256" w:type="pct"/>
            <w:vAlign w:val="center"/>
          </w:tcPr>
          <w:p w14:paraId="1F94D3E0">
            <w:pPr>
              <w:ind w:left="-53" w:leftChars="-25" w:right="-53" w:rightChars="-25"/>
              <w:jc w:val="center"/>
              <w:rPr>
                <w:spacing w:val="-6"/>
              </w:rPr>
            </w:pPr>
            <w:r>
              <w:rPr>
                <w:spacing w:val="-6"/>
              </w:rPr>
              <w:t>100</w:t>
            </w:r>
          </w:p>
        </w:tc>
        <w:tc>
          <w:tcPr>
            <w:tcW w:w="808" w:type="pct"/>
            <w:vAlign w:val="center"/>
          </w:tcPr>
          <w:p w14:paraId="58AB07A7">
            <w:pPr>
              <w:ind w:left="-53" w:leftChars="-25" w:right="-53" w:rightChars="-25"/>
              <w:jc w:val="center"/>
              <w:rPr>
                <w:spacing w:val="-6"/>
              </w:rPr>
            </w:pPr>
            <w:r>
              <w:rPr>
                <w:spacing w:val="-6"/>
              </w:rPr>
              <w:t>设立</w:t>
            </w:r>
          </w:p>
        </w:tc>
      </w:tr>
      <w:tr w14:paraId="2C01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433CD503">
            <w:pPr>
              <w:ind w:left="-53" w:leftChars="-25" w:right="-53" w:rightChars="-25"/>
              <w:rPr>
                <w:spacing w:val="-6"/>
              </w:rPr>
            </w:pPr>
            <w:r>
              <w:rPr>
                <w:spacing w:val="-6"/>
              </w:rPr>
              <w:t>重庆力帆喜生活摩托车销售有限公司</w:t>
            </w:r>
          </w:p>
        </w:tc>
        <w:tc>
          <w:tcPr>
            <w:tcW w:w="454" w:type="pct"/>
            <w:vAlign w:val="center"/>
          </w:tcPr>
          <w:p w14:paraId="1403CF85">
            <w:pPr>
              <w:ind w:left="-53" w:leftChars="-25" w:right="-53" w:rightChars="-25"/>
              <w:jc w:val="center"/>
              <w:rPr>
                <w:spacing w:val="-6"/>
              </w:rPr>
            </w:pPr>
            <w:r>
              <w:rPr>
                <w:spacing w:val="-6"/>
              </w:rPr>
              <w:t>重庆</w:t>
            </w:r>
          </w:p>
        </w:tc>
        <w:tc>
          <w:tcPr>
            <w:tcW w:w="779" w:type="pct"/>
            <w:vAlign w:val="center"/>
          </w:tcPr>
          <w:p w14:paraId="331A36B5">
            <w:pPr>
              <w:ind w:left="-53" w:leftChars="-25" w:right="-53" w:rightChars="-25"/>
              <w:jc w:val="right"/>
              <w:rPr>
                <w:spacing w:val="-6"/>
              </w:rPr>
            </w:pPr>
            <w:r>
              <w:rPr>
                <w:spacing w:val="-6"/>
              </w:rPr>
              <w:t>400</w:t>
            </w:r>
          </w:p>
        </w:tc>
        <w:tc>
          <w:tcPr>
            <w:tcW w:w="817" w:type="pct"/>
            <w:vAlign w:val="center"/>
          </w:tcPr>
          <w:p w14:paraId="760DDFB8">
            <w:pPr>
              <w:ind w:left="-53" w:leftChars="-25" w:right="-53" w:rightChars="-25"/>
              <w:jc w:val="center"/>
              <w:rPr>
                <w:spacing w:val="-6"/>
              </w:rPr>
            </w:pPr>
            <w:r>
              <w:rPr>
                <w:spacing w:val="-6"/>
              </w:rPr>
              <w:t>重庆市北碚区</w:t>
            </w:r>
          </w:p>
        </w:tc>
        <w:tc>
          <w:tcPr>
            <w:tcW w:w="359" w:type="pct"/>
            <w:vAlign w:val="center"/>
          </w:tcPr>
          <w:p w14:paraId="40F5A4E0">
            <w:pPr>
              <w:ind w:left="-53" w:leftChars="-25" w:right="-53" w:rightChars="-25"/>
              <w:jc w:val="center"/>
              <w:rPr>
                <w:spacing w:val="-6"/>
              </w:rPr>
            </w:pPr>
            <w:r>
              <w:rPr>
                <w:spacing w:val="-6"/>
              </w:rPr>
              <w:t>销售</w:t>
            </w:r>
          </w:p>
        </w:tc>
        <w:tc>
          <w:tcPr>
            <w:tcW w:w="205" w:type="pct"/>
            <w:vAlign w:val="center"/>
          </w:tcPr>
          <w:p w14:paraId="006103B5">
            <w:pPr>
              <w:ind w:left="-53" w:leftChars="-25" w:right="-53" w:rightChars="-25"/>
              <w:jc w:val="right"/>
              <w:rPr>
                <w:spacing w:val="-6"/>
              </w:rPr>
            </w:pPr>
          </w:p>
        </w:tc>
        <w:tc>
          <w:tcPr>
            <w:tcW w:w="256" w:type="pct"/>
            <w:vAlign w:val="center"/>
          </w:tcPr>
          <w:p w14:paraId="580C9CB1">
            <w:pPr>
              <w:ind w:left="-53" w:leftChars="-25" w:right="-53" w:rightChars="-25"/>
              <w:jc w:val="center"/>
              <w:rPr>
                <w:spacing w:val="-6"/>
              </w:rPr>
            </w:pPr>
            <w:r>
              <w:rPr>
                <w:spacing w:val="-6"/>
              </w:rPr>
              <w:t>100</w:t>
            </w:r>
          </w:p>
        </w:tc>
        <w:tc>
          <w:tcPr>
            <w:tcW w:w="808" w:type="pct"/>
            <w:vAlign w:val="center"/>
          </w:tcPr>
          <w:p w14:paraId="3B17F552">
            <w:pPr>
              <w:ind w:left="-53" w:leftChars="-25" w:right="-53" w:rightChars="-25"/>
              <w:jc w:val="center"/>
              <w:rPr>
                <w:spacing w:val="-6"/>
              </w:rPr>
            </w:pPr>
            <w:r>
              <w:rPr>
                <w:spacing w:val="-6"/>
              </w:rPr>
              <w:t>设立</w:t>
            </w:r>
          </w:p>
        </w:tc>
      </w:tr>
      <w:tr w14:paraId="2D3D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323892B9">
            <w:pPr>
              <w:ind w:left="-53" w:leftChars="-25" w:right="-53" w:rightChars="-25"/>
              <w:rPr>
                <w:spacing w:val="-6"/>
              </w:rPr>
            </w:pPr>
            <w:r>
              <w:rPr>
                <w:spacing w:val="-6"/>
              </w:rPr>
              <w:t>江门气派摩托车有限公司</w:t>
            </w:r>
          </w:p>
        </w:tc>
        <w:tc>
          <w:tcPr>
            <w:tcW w:w="454" w:type="pct"/>
            <w:vAlign w:val="center"/>
          </w:tcPr>
          <w:p w14:paraId="10397D70">
            <w:pPr>
              <w:ind w:left="-53" w:leftChars="-25" w:right="-53" w:rightChars="-25"/>
              <w:jc w:val="center"/>
              <w:rPr>
                <w:spacing w:val="-6"/>
              </w:rPr>
            </w:pPr>
            <w:r>
              <w:rPr>
                <w:spacing w:val="-6"/>
              </w:rPr>
              <w:t>广东</w:t>
            </w:r>
          </w:p>
        </w:tc>
        <w:tc>
          <w:tcPr>
            <w:tcW w:w="779" w:type="pct"/>
            <w:vAlign w:val="center"/>
          </w:tcPr>
          <w:p w14:paraId="480F02DA">
            <w:pPr>
              <w:ind w:left="-53" w:leftChars="-25" w:right="-53" w:rightChars="-25"/>
              <w:jc w:val="right"/>
              <w:rPr>
                <w:spacing w:val="-6"/>
              </w:rPr>
            </w:pPr>
            <w:r>
              <w:rPr>
                <w:spacing w:val="-6"/>
              </w:rPr>
              <w:t>15,000.00</w:t>
            </w:r>
          </w:p>
        </w:tc>
        <w:tc>
          <w:tcPr>
            <w:tcW w:w="817" w:type="pct"/>
            <w:vAlign w:val="center"/>
          </w:tcPr>
          <w:p w14:paraId="673112D3">
            <w:pPr>
              <w:ind w:left="-53" w:leftChars="-25" w:right="-53" w:rightChars="-25"/>
              <w:jc w:val="center"/>
              <w:rPr>
                <w:spacing w:val="-6"/>
              </w:rPr>
            </w:pPr>
            <w:r>
              <w:rPr>
                <w:spacing w:val="-6"/>
              </w:rPr>
              <w:t>广东省江门市</w:t>
            </w:r>
          </w:p>
        </w:tc>
        <w:tc>
          <w:tcPr>
            <w:tcW w:w="359" w:type="pct"/>
            <w:vAlign w:val="center"/>
          </w:tcPr>
          <w:p w14:paraId="1FF19AB3">
            <w:pPr>
              <w:ind w:left="-53" w:leftChars="-25" w:right="-53" w:rightChars="-25"/>
              <w:jc w:val="center"/>
              <w:rPr>
                <w:spacing w:val="-6"/>
              </w:rPr>
            </w:pPr>
            <w:r>
              <w:rPr>
                <w:spacing w:val="-6"/>
              </w:rPr>
              <w:t>制造</w:t>
            </w:r>
          </w:p>
        </w:tc>
        <w:tc>
          <w:tcPr>
            <w:tcW w:w="205" w:type="pct"/>
            <w:vAlign w:val="center"/>
          </w:tcPr>
          <w:p w14:paraId="530C16E4">
            <w:pPr>
              <w:ind w:left="-53" w:leftChars="-25" w:right="-53" w:rightChars="-25"/>
              <w:jc w:val="right"/>
              <w:rPr>
                <w:spacing w:val="-6"/>
              </w:rPr>
            </w:pPr>
          </w:p>
        </w:tc>
        <w:tc>
          <w:tcPr>
            <w:tcW w:w="256" w:type="pct"/>
            <w:vAlign w:val="center"/>
          </w:tcPr>
          <w:p w14:paraId="16271B21">
            <w:pPr>
              <w:ind w:left="-53" w:leftChars="-25" w:right="-53" w:rightChars="-25"/>
              <w:jc w:val="center"/>
              <w:rPr>
                <w:spacing w:val="-6"/>
              </w:rPr>
            </w:pPr>
            <w:r>
              <w:rPr>
                <w:spacing w:val="-6"/>
              </w:rPr>
              <w:t>100</w:t>
            </w:r>
          </w:p>
        </w:tc>
        <w:tc>
          <w:tcPr>
            <w:tcW w:w="808" w:type="pct"/>
            <w:vAlign w:val="center"/>
          </w:tcPr>
          <w:p w14:paraId="0CDF9595">
            <w:pPr>
              <w:ind w:left="-53" w:leftChars="-25" w:right="-53" w:rightChars="-25"/>
              <w:jc w:val="center"/>
              <w:rPr>
                <w:spacing w:val="-6"/>
              </w:rPr>
            </w:pPr>
            <w:r>
              <w:rPr>
                <w:spacing w:val="-6"/>
              </w:rPr>
              <w:t>设立</w:t>
            </w:r>
          </w:p>
        </w:tc>
      </w:tr>
      <w:tr w14:paraId="6F569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5AA6471B">
            <w:pPr>
              <w:ind w:left="-53" w:leftChars="-25" w:right="-53" w:rightChars="-25"/>
              <w:rPr>
                <w:spacing w:val="-6"/>
              </w:rPr>
            </w:pPr>
            <w:r>
              <w:rPr>
                <w:spacing w:val="-6"/>
              </w:rPr>
              <w:t>江门气派进出口有限公司</w:t>
            </w:r>
          </w:p>
        </w:tc>
        <w:tc>
          <w:tcPr>
            <w:tcW w:w="454" w:type="pct"/>
            <w:vAlign w:val="center"/>
          </w:tcPr>
          <w:p w14:paraId="1A9C4001">
            <w:pPr>
              <w:ind w:left="-53" w:leftChars="-25" w:right="-53" w:rightChars="-25"/>
              <w:jc w:val="center"/>
              <w:rPr>
                <w:spacing w:val="-6"/>
              </w:rPr>
            </w:pPr>
            <w:r>
              <w:rPr>
                <w:spacing w:val="-6"/>
              </w:rPr>
              <w:t>广东</w:t>
            </w:r>
          </w:p>
        </w:tc>
        <w:tc>
          <w:tcPr>
            <w:tcW w:w="779" w:type="pct"/>
            <w:vAlign w:val="center"/>
          </w:tcPr>
          <w:p w14:paraId="06452101">
            <w:pPr>
              <w:ind w:left="-53" w:leftChars="-25" w:right="-53" w:rightChars="-25"/>
              <w:jc w:val="right"/>
              <w:rPr>
                <w:spacing w:val="-6"/>
              </w:rPr>
            </w:pPr>
            <w:r>
              <w:rPr>
                <w:spacing w:val="-6"/>
              </w:rPr>
              <w:t>300</w:t>
            </w:r>
          </w:p>
        </w:tc>
        <w:tc>
          <w:tcPr>
            <w:tcW w:w="817" w:type="pct"/>
            <w:vAlign w:val="center"/>
          </w:tcPr>
          <w:p w14:paraId="24FEC594">
            <w:pPr>
              <w:ind w:left="-53" w:leftChars="-25" w:right="-53" w:rightChars="-25"/>
              <w:jc w:val="center"/>
              <w:rPr>
                <w:spacing w:val="-6"/>
              </w:rPr>
            </w:pPr>
            <w:r>
              <w:rPr>
                <w:spacing w:val="-6"/>
              </w:rPr>
              <w:t>广东省江门市</w:t>
            </w:r>
          </w:p>
        </w:tc>
        <w:tc>
          <w:tcPr>
            <w:tcW w:w="359" w:type="pct"/>
            <w:vAlign w:val="center"/>
          </w:tcPr>
          <w:p w14:paraId="6CDAE2CA">
            <w:pPr>
              <w:ind w:left="-53" w:leftChars="-25" w:right="-53" w:rightChars="-25"/>
              <w:jc w:val="center"/>
              <w:rPr>
                <w:spacing w:val="-6"/>
              </w:rPr>
            </w:pPr>
            <w:r>
              <w:rPr>
                <w:spacing w:val="-6"/>
              </w:rPr>
              <w:t>销售</w:t>
            </w:r>
          </w:p>
        </w:tc>
        <w:tc>
          <w:tcPr>
            <w:tcW w:w="205" w:type="pct"/>
            <w:vAlign w:val="center"/>
          </w:tcPr>
          <w:p w14:paraId="25DB3435">
            <w:pPr>
              <w:ind w:left="-53" w:leftChars="-25" w:right="-53" w:rightChars="-25"/>
              <w:jc w:val="center"/>
              <w:rPr>
                <w:spacing w:val="-6"/>
              </w:rPr>
            </w:pPr>
          </w:p>
        </w:tc>
        <w:tc>
          <w:tcPr>
            <w:tcW w:w="256" w:type="pct"/>
            <w:vAlign w:val="center"/>
          </w:tcPr>
          <w:p w14:paraId="67CDBAC9">
            <w:pPr>
              <w:ind w:left="-53" w:leftChars="-25" w:right="-53" w:rightChars="-25"/>
              <w:jc w:val="center"/>
              <w:rPr>
                <w:spacing w:val="-6"/>
              </w:rPr>
            </w:pPr>
            <w:r>
              <w:rPr>
                <w:spacing w:val="-6"/>
              </w:rPr>
              <w:t>100</w:t>
            </w:r>
          </w:p>
        </w:tc>
        <w:tc>
          <w:tcPr>
            <w:tcW w:w="808" w:type="pct"/>
            <w:vAlign w:val="center"/>
          </w:tcPr>
          <w:p w14:paraId="783DF5AE">
            <w:pPr>
              <w:ind w:left="-53" w:leftChars="-25" w:right="-53" w:rightChars="-25"/>
              <w:jc w:val="center"/>
              <w:rPr>
                <w:spacing w:val="-6"/>
              </w:rPr>
            </w:pPr>
            <w:r>
              <w:rPr>
                <w:spacing w:val="-6"/>
              </w:rPr>
              <w:t>设立</w:t>
            </w:r>
          </w:p>
        </w:tc>
      </w:tr>
      <w:tr w14:paraId="7E0B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667A5809">
            <w:pPr>
              <w:ind w:left="-53" w:leftChars="-25" w:right="-53" w:rightChars="-25"/>
              <w:rPr>
                <w:spacing w:val="-6"/>
              </w:rPr>
            </w:pPr>
            <w:r>
              <w:rPr>
                <w:spacing w:val="-6"/>
              </w:rPr>
              <w:t>重庆力帆实业(集团)进出口有限公司</w:t>
            </w:r>
          </w:p>
        </w:tc>
        <w:tc>
          <w:tcPr>
            <w:tcW w:w="454" w:type="pct"/>
            <w:vAlign w:val="center"/>
          </w:tcPr>
          <w:p w14:paraId="49CCD1C5">
            <w:pPr>
              <w:ind w:left="-53" w:leftChars="-25" w:right="-53" w:rightChars="-25"/>
              <w:jc w:val="center"/>
              <w:rPr>
                <w:spacing w:val="-6"/>
              </w:rPr>
            </w:pPr>
            <w:r>
              <w:rPr>
                <w:spacing w:val="-6"/>
              </w:rPr>
              <w:t>重庆</w:t>
            </w:r>
          </w:p>
        </w:tc>
        <w:tc>
          <w:tcPr>
            <w:tcW w:w="779" w:type="pct"/>
            <w:vAlign w:val="center"/>
          </w:tcPr>
          <w:p w14:paraId="72557C8E">
            <w:pPr>
              <w:ind w:left="-53" w:leftChars="-25" w:right="-53" w:rightChars="-25"/>
              <w:jc w:val="right"/>
              <w:rPr>
                <w:spacing w:val="-6"/>
              </w:rPr>
            </w:pPr>
            <w:r>
              <w:rPr>
                <w:spacing w:val="-6"/>
              </w:rPr>
              <w:t>200,000.00</w:t>
            </w:r>
          </w:p>
        </w:tc>
        <w:tc>
          <w:tcPr>
            <w:tcW w:w="817" w:type="pct"/>
            <w:vAlign w:val="center"/>
          </w:tcPr>
          <w:p w14:paraId="08E26635">
            <w:pPr>
              <w:ind w:left="-53" w:leftChars="-25" w:right="-53" w:rightChars="-25"/>
              <w:jc w:val="center"/>
              <w:rPr>
                <w:spacing w:val="-6"/>
              </w:rPr>
            </w:pPr>
            <w:r>
              <w:rPr>
                <w:spacing w:val="-6"/>
              </w:rPr>
              <w:t>重庆市沙坪坝区</w:t>
            </w:r>
          </w:p>
        </w:tc>
        <w:tc>
          <w:tcPr>
            <w:tcW w:w="359" w:type="pct"/>
            <w:vAlign w:val="center"/>
          </w:tcPr>
          <w:p w14:paraId="21421B7C">
            <w:pPr>
              <w:ind w:left="-53" w:leftChars="-25" w:right="-53" w:rightChars="-25"/>
              <w:jc w:val="center"/>
              <w:rPr>
                <w:spacing w:val="-6"/>
              </w:rPr>
            </w:pPr>
            <w:r>
              <w:rPr>
                <w:spacing w:val="-6"/>
              </w:rPr>
              <w:t>销售</w:t>
            </w:r>
          </w:p>
        </w:tc>
        <w:tc>
          <w:tcPr>
            <w:tcW w:w="205" w:type="pct"/>
            <w:vAlign w:val="center"/>
          </w:tcPr>
          <w:p w14:paraId="287547F5">
            <w:pPr>
              <w:ind w:left="-53" w:leftChars="-25" w:right="-53" w:rightChars="-25"/>
              <w:jc w:val="center"/>
              <w:rPr>
                <w:spacing w:val="-6"/>
              </w:rPr>
            </w:pPr>
          </w:p>
        </w:tc>
        <w:tc>
          <w:tcPr>
            <w:tcW w:w="256" w:type="pct"/>
            <w:vAlign w:val="center"/>
          </w:tcPr>
          <w:p w14:paraId="59BB52CC">
            <w:pPr>
              <w:ind w:left="-53" w:leftChars="-25" w:right="-53" w:rightChars="-25"/>
              <w:jc w:val="center"/>
              <w:rPr>
                <w:spacing w:val="-6"/>
              </w:rPr>
            </w:pPr>
            <w:r>
              <w:rPr>
                <w:spacing w:val="-6"/>
              </w:rPr>
              <w:t>100</w:t>
            </w:r>
          </w:p>
        </w:tc>
        <w:tc>
          <w:tcPr>
            <w:tcW w:w="808" w:type="pct"/>
            <w:vAlign w:val="center"/>
          </w:tcPr>
          <w:p w14:paraId="7116E7ED">
            <w:pPr>
              <w:ind w:left="-53" w:leftChars="-25" w:right="-53" w:rightChars="-25"/>
              <w:jc w:val="center"/>
              <w:rPr>
                <w:spacing w:val="-6"/>
              </w:rPr>
            </w:pPr>
            <w:r>
              <w:rPr>
                <w:spacing w:val="-6"/>
              </w:rPr>
              <w:t>设立</w:t>
            </w:r>
          </w:p>
        </w:tc>
      </w:tr>
      <w:tr w14:paraId="0D60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vAlign w:val="center"/>
          </w:tcPr>
          <w:p w14:paraId="28C73885">
            <w:pPr>
              <w:ind w:left="-53" w:leftChars="-25" w:right="-53" w:rightChars="-25"/>
              <w:rPr>
                <w:spacing w:val="-6"/>
              </w:rPr>
            </w:pPr>
            <w:r>
              <w:rPr>
                <w:spacing w:val="-6"/>
              </w:rPr>
              <w:t>美国力帆股份有限公司</w:t>
            </w:r>
          </w:p>
        </w:tc>
        <w:tc>
          <w:tcPr>
            <w:tcW w:w="454" w:type="pct"/>
            <w:vAlign w:val="center"/>
          </w:tcPr>
          <w:p w14:paraId="2FE4CCC9">
            <w:pPr>
              <w:ind w:left="-53" w:leftChars="-25" w:right="-53" w:rightChars="-25"/>
              <w:jc w:val="center"/>
              <w:rPr>
                <w:spacing w:val="-6"/>
              </w:rPr>
            </w:pPr>
            <w:r>
              <w:rPr>
                <w:spacing w:val="-6"/>
              </w:rPr>
              <w:t>美国</w:t>
            </w:r>
          </w:p>
        </w:tc>
        <w:tc>
          <w:tcPr>
            <w:tcW w:w="779" w:type="pct"/>
            <w:vAlign w:val="center"/>
          </w:tcPr>
          <w:p w14:paraId="5F3886EC">
            <w:pPr>
              <w:ind w:left="-53" w:leftChars="-25" w:right="-53" w:rightChars="-25"/>
              <w:jc w:val="right"/>
              <w:rPr>
                <w:spacing w:val="-6"/>
              </w:rPr>
            </w:pPr>
            <w:r>
              <w:rPr>
                <w:spacing w:val="-6"/>
              </w:rPr>
              <w:t>30万美元</w:t>
            </w:r>
          </w:p>
        </w:tc>
        <w:tc>
          <w:tcPr>
            <w:tcW w:w="817" w:type="pct"/>
            <w:vAlign w:val="center"/>
          </w:tcPr>
          <w:p w14:paraId="6A2A7765">
            <w:pPr>
              <w:ind w:left="-53" w:leftChars="-25" w:right="-53" w:rightChars="-25"/>
              <w:jc w:val="center"/>
              <w:rPr>
                <w:spacing w:val="-6"/>
              </w:rPr>
            </w:pPr>
            <w:r>
              <w:rPr>
                <w:spacing w:val="-6"/>
              </w:rPr>
              <w:t>美国加利福尼亚州安大略市</w:t>
            </w:r>
          </w:p>
        </w:tc>
        <w:tc>
          <w:tcPr>
            <w:tcW w:w="359" w:type="pct"/>
            <w:vAlign w:val="center"/>
          </w:tcPr>
          <w:p w14:paraId="0F380C99">
            <w:pPr>
              <w:ind w:left="-53" w:leftChars="-25" w:right="-53" w:rightChars="-25"/>
              <w:jc w:val="center"/>
              <w:rPr>
                <w:spacing w:val="-6"/>
              </w:rPr>
            </w:pPr>
            <w:r>
              <w:rPr>
                <w:spacing w:val="-6"/>
              </w:rPr>
              <w:t>销售</w:t>
            </w:r>
          </w:p>
        </w:tc>
        <w:tc>
          <w:tcPr>
            <w:tcW w:w="205" w:type="pct"/>
            <w:vAlign w:val="center"/>
          </w:tcPr>
          <w:p w14:paraId="2F7B1C55">
            <w:pPr>
              <w:ind w:left="-53" w:leftChars="-25" w:right="-53" w:rightChars="-25"/>
              <w:jc w:val="center"/>
              <w:rPr>
                <w:spacing w:val="-6"/>
              </w:rPr>
            </w:pPr>
          </w:p>
        </w:tc>
        <w:tc>
          <w:tcPr>
            <w:tcW w:w="256" w:type="pct"/>
            <w:vAlign w:val="center"/>
          </w:tcPr>
          <w:p w14:paraId="0BAF4F75">
            <w:pPr>
              <w:ind w:left="-53" w:leftChars="-25" w:right="-53" w:rightChars="-25"/>
              <w:jc w:val="center"/>
              <w:rPr>
                <w:spacing w:val="-6"/>
              </w:rPr>
            </w:pPr>
            <w:r>
              <w:rPr>
                <w:spacing w:val="-6"/>
              </w:rPr>
              <w:t>100</w:t>
            </w:r>
          </w:p>
        </w:tc>
        <w:tc>
          <w:tcPr>
            <w:tcW w:w="808" w:type="pct"/>
            <w:vAlign w:val="center"/>
          </w:tcPr>
          <w:p w14:paraId="163BE0BB">
            <w:pPr>
              <w:ind w:left="-53" w:leftChars="-25" w:right="-53" w:rightChars="-25"/>
              <w:jc w:val="center"/>
              <w:rPr>
                <w:spacing w:val="-6"/>
              </w:rPr>
            </w:pPr>
            <w:r>
              <w:rPr>
                <w:spacing w:val="-6"/>
              </w:rPr>
              <w:t>设立</w:t>
            </w:r>
          </w:p>
        </w:tc>
      </w:tr>
      <w:tr w14:paraId="2DAE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073097DE">
            <w:pPr>
              <w:ind w:left="-53" w:leftChars="-25" w:right="-53" w:rightChars="-25"/>
              <w:rPr>
                <w:spacing w:val="-6"/>
              </w:rPr>
            </w:pPr>
            <w:r>
              <w:rPr>
                <w:spacing w:val="-6"/>
              </w:rPr>
              <w:t>新力帆墨西哥有限责任公司</w:t>
            </w:r>
          </w:p>
        </w:tc>
        <w:tc>
          <w:tcPr>
            <w:tcW w:w="454" w:type="pct"/>
            <w:vAlign w:val="center"/>
          </w:tcPr>
          <w:p w14:paraId="1D7CC559">
            <w:pPr>
              <w:ind w:left="-53" w:leftChars="-25" w:right="-53" w:rightChars="-25"/>
              <w:jc w:val="center"/>
              <w:rPr>
                <w:spacing w:val="-6"/>
              </w:rPr>
            </w:pPr>
            <w:r>
              <w:rPr>
                <w:spacing w:val="-6"/>
              </w:rPr>
              <w:t>墨西哥</w:t>
            </w:r>
          </w:p>
        </w:tc>
        <w:tc>
          <w:tcPr>
            <w:tcW w:w="779" w:type="pct"/>
            <w:vAlign w:val="center"/>
          </w:tcPr>
          <w:p w14:paraId="09CBE100">
            <w:pPr>
              <w:ind w:left="-53" w:leftChars="-25" w:right="-53" w:rightChars="-25"/>
              <w:jc w:val="right"/>
              <w:rPr>
                <w:spacing w:val="-6"/>
              </w:rPr>
            </w:pPr>
            <w:r>
              <w:rPr>
                <w:spacing w:val="-6"/>
              </w:rPr>
              <w:t>5万墨西哥比索</w:t>
            </w:r>
          </w:p>
        </w:tc>
        <w:tc>
          <w:tcPr>
            <w:tcW w:w="817" w:type="pct"/>
            <w:vAlign w:val="center"/>
          </w:tcPr>
          <w:p w14:paraId="0D7C5C13">
            <w:pPr>
              <w:ind w:left="-53" w:leftChars="-25" w:right="-53" w:rightChars="-25"/>
              <w:jc w:val="center"/>
              <w:rPr>
                <w:spacing w:val="-6"/>
              </w:rPr>
            </w:pPr>
            <w:r>
              <w:rPr>
                <w:spacing w:val="-6"/>
              </w:rPr>
              <w:t>墨西哥哈利斯科州</w:t>
            </w:r>
          </w:p>
        </w:tc>
        <w:tc>
          <w:tcPr>
            <w:tcW w:w="359" w:type="pct"/>
            <w:vAlign w:val="center"/>
          </w:tcPr>
          <w:p w14:paraId="3A6BD823">
            <w:pPr>
              <w:ind w:left="-53" w:leftChars="-25" w:right="-53" w:rightChars="-25"/>
              <w:jc w:val="center"/>
              <w:rPr>
                <w:spacing w:val="-6"/>
              </w:rPr>
            </w:pPr>
            <w:r>
              <w:rPr>
                <w:spacing w:val="-6"/>
              </w:rPr>
              <w:t>销售</w:t>
            </w:r>
          </w:p>
        </w:tc>
        <w:tc>
          <w:tcPr>
            <w:tcW w:w="205" w:type="pct"/>
            <w:vAlign w:val="center"/>
          </w:tcPr>
          <w:p w14:paraId="3A24281E">
            <w:pPr>
              <w:ind w:left="-53" w:leftChars="-25" w:right="-53" w:rightChars="-25"/>
              <w:jc w:val="center"/>
              <w:rPr>
                <w:spacing w:val="-6"/>
              </w:rPr>
            </w:pPr>
            <w:r>
              <w:rPr>
                <w:spacing w:val="-6"/>
              </w:rPr>
              <w:t>100</w:t>
            </w:r>
          </w:p>
        </w:tc>
        <w:tc>
          <w:tcPr>
            <w:tcW w:w="256" w:type="pct"/>
            <w:vAlign w:val="center"/>
          </w:tcPr>
          <w:p w14:paraId="5841B845">
            <w:pPr>
              <w:ind w:left="-53" w:leftChars="-25" w:right="-53" w:rightChars="-25"/>
              <w:jc w:val="center"/>
              <w:rPr>
                <w:spacing w:val="-6"/>
              </w:rPr>
            </w:pPr>
          </w:p>
        </w:tc>
        <w:tc>
          <w:tcPr>
            <w:tcW w:w="808" w:type="pct"/>
            <w:vAlign w:val="center"/>
          </w:tcPr>
          <w:p w14:paraId="044611CE">
            <w:pPr>
              <w:ind w:left="-53" w:leftChars="-25" w:right="-53" w:rightChars="-25"/>
              <w:jc w:val="center"/>
              <w:rPr>
                <w:spacing w:val="-6"/>
              </w:rPr>
            </w:pPr>
            <w:r>
              <w:rPr>
                <w:spacing w:val="-6"/>
              </w:rPr>
              <w:t>设立</w:t>
            </w:r>
          </w:p>
        </w:tc>
      </w:tr>
      <w:tr w14:paraId="7AA3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7A21AF4F">
            <w:pPr>
              <w:ind w:left="-53" w:leftChars="-25" w:right="-53" w:rightChars="-25"/>
              <w:rPr>
                <w:spacing w:val="-6"/>
              </w:rPr>
            </w:pPr>
            <w:r>
              <w:rPr>
                <w:spacing w:val="-6"/>
              </w:rPr>
              <w:t>力帆泰国制造有限公司</w:t>
            </w:r>
          </w:p>
        </w:tc>
        <w:tc>
          <w:tcPr>
            <w:tcW w:w="454" w:type="pct"/>
            <w:vAlign w:val="center"/>
          </w:tcPr>
          <w:p w14:paraId="7A0A9DC5">
            <w:pPr>
              <w:ind w:left="-53" w:leftChars="-25" w:right="-53" w:rightChars="-25"/>
              <w:jc w:val="center"/>
              <w:rPr>
                <w:spacing w:val="-6"/>
              </w:rPr>
            </w:pPr>
            <w:r>
              <w:rPr>
                <w:spacing w:val="-6"/>
              </w:rPr>
              <w:t>泰国</w:t>
            </w:r>
          </w:p>
        </w:tc>
        <w:tc>
          <w:tcPr>
            <w:tcW w:w="779" w:type="pct"/>
            <w:vAlign w:val="center"/>
          </w:tcPr>
          <w:p w14:paraId="463673BE">
            <w:pPr>
              <w:ind w:left="-53" w:leftChars="-25" w:right="-53" w:rightChars="-25"/>
              <w:jc w:val="right"/>
              <w:rPr>
                <w:spacing w:val="-6"/>
              </w:rPr>
            </w:pPr>
            <w:r>
              <w:rPr>
                <w:spacing w:val="-6"/>
              </w:rPr>
              <w:t>5,100万泰铢</w:t>
            </w:r>
          </w:p>
        </w:tc>
        <w:tc>
          <w:tcPr>
            <w:tcW w:w="817" w:type="pct"/>
            <w:vAlign w:val="center"/>
          </w:tcPr>
          <w:p w14:paraId="18789CA0">
            <w:pPr>
              <w:ind w:left="-53" w:leftChars="-25" w:right="-53" w:rightChars="-25"/>
              <w:jc w:val="center"/>
              <w:rPr>
                <w:spacing w:val="-6"/>
              </w:rPr>
            </w:pPr>
            <w:r>
              <w:rPr>
                <w:spacing w:val="-6"/>
              </w:rPr>
              <w:t>泰国曼谷</w:t>
            </w:r>
          </w:p>
        </w:tc>
        <w:tc>
          <w:tcPr>
            <w:tcW w:w="359" w:type="pct"/>
            <w:vAlign w:val="center"/>
          </w:tcPr>
          <w:p w14:paraId="634E9DEF">
            <w:pPr>
              <w:ind w:left="-53" w:leftChars="-25" w:right="-53" w:rightChars="-25"/>
              <w:jc w:val="center"/>
              <w:rPr>
                <w:spacing w:val="-6"/>
              </w:rPr>
            </w:pPr>
            <w:r>
              <w:rPr>
                <w:spacing w:val="-6"/>
              </w:rPr>
              <w:t>销售</w:t>
            </w:r>
          </w:p>
        </w:tc>
        <w:tc>
          <w:tcPr>
            <w:tcW w:w="205" w:type="pct"/>
            <w:vAlign w:val="center"/>
          </w:tcPr>
          <w:p w14:paraId="7C848E08">
            <w:pPr>
              <w:ind w:left="-53" w:leftChars="-25" w:right="-53" w:rightChars="-25"/>
              <w:jc w:val="center"/>
              <w:rPr>
                <w:spacing w:val="-6"/>
              </w:rPr>
            </w:pPr>
            <w:r>
              <w:rPr>
                <w:spacing w:val="-6"/>
              </w:rPr>
              <w:t>80</w:t>
            </w:r>
          </w:p>
        </w:tc>
        <w:tc>
          <w:tcPr>
            <w:tcW w:w="256" w:type="pct"/>
            <w:vAlign w:val="center"/>
          </w:tcPr>
          <w:p w14:paraId="421D90DD">
            <w:pPr>
              <w:ind w:left="-53" w:leftChars="-25" w:right="-53" w:rightChars="-25"/>
              <w:jc w:val="center"/>
              <w:rPr>
                <w:spacing w:val="-6"/>
              </w:rPr>
            </w:pPr>
            <w:r>
              <w:rPr>
                <w:spacing w:val="-6"/>
              </w:rPr>
              <w:t>20</w:t>
            </w:r>
          </w:p>
        </w:tc>
        <w:tc>
          <w:tcPr>
            <w:tcW w:w="808" w:type="pct"/>
            <w:vAlign w:val="center"/>
          </w:tcPr>
          <w:p w14:paraId="45303E7F">
            <w:pPr>
              <w:ind w:left="-53" w:leftChars="-25" w:right="-53" w:rightChars="-25"/>
              <w:jc w:val="center"/>
              <w:rPr>
                <w:spacing w:val="-6"/>
              </w:rPr>
            </w:pPr>
            <w:r>
              <w:rPr>
                <w:spacing w:val="-6"/>
              </w:rPr>
              <w:t>设立</w:t>
            </w:r>
          </w:p>
        </w:tc>
      </w:tr>
      <w:tr w14:paraId="43BE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73721739">
            <w:pPr>
              <w:ind w:left="-53" w:leftChars="-25" w:right="-53" w:rightChars="-25"/>
              <w:rPr>
                <w:spacing w:val="-6"/>
              </w:rPr>
            </w:pPr>
            <w:r>
              <w:rPr>
                <w:spacing w:val="-6"/>
              </w:rPr>
              <w:t>力帆-越南摩托车制造联营公司</w:t>
            </w:r>
          </w:p>
        </w:tc>
        <w:tc>
          <w:tcPr>
            <w:tcW w:w="454" w:type="pct"/>
            <w:vAlign w:val="center"/>
          </w:tcPr>
          <w:p w14:paraId="77A64FF8">
            <w:pPr>
              <w:ind w:left="-53" w:leftChars="-25" w:right="-53" w:rightChars="-25"/>
              <w:jc w:val="center"/>
              <w:rPr>
                <w:spacing w:val="-6"/>
              </w:rPr>
            </w:pPr>
            <w:r>
              <w:rPr>
                <w:spacing w:val="-6"/>
              </w:rPr>
              <w:t>越南</w:t>
            </w:r>
          </w:p>
        </w:tc>
        <w:tc>
          <w:tcPr>
            <w:tcW w:w="779" w:type="pct"/>
            <w:vAlign w:val="center"/>
          </w:tcPr>
          <w:p w14:paraId="5F9FF37F">
            <w:pPr>
              <w:ind w:left="-53" w:leftChars="-25" w:right="-53" w:rightChars="-25"/>
              <w:jc w:val="right"/>
              <w:rPr>
                <w:spacing w:val="-6"/>
              </w:rPr>
            </w:pPr>
            <w:r>
              <w:rPr>
                <w:spacing w:val="-6"/>
              </w:rPr>
              <w:t>2,512,000万越南盾</w:t>
            </w:r>
          </w:p>
        </w:tc>
        <w:tc>
          <w:tcPr>
            <w:tcW w:w="817" w:type="pct"/>
            <w:vAlign w:val="center"/>
          </w:tcPr>
          <w:p w14:paraId="27378500">
            <w:pPr>
              <w:ind w:left="-53" w:leftChars="-25" w:right="-53" w:rightChars="-25"/>
              <w:jc w:val="center"/>
              <w:rPr>
                <w:spacing w:val="-6"/>
              </w:rPr>
            </w:pPr>
            <w:r>
              <w:rPr>
                <w:spacing w:val="-6"/>
              </w:rPr>
              <w:t>越南兴安省</w:t>
            </w:r>
          </w:p>
        </w:tc>
        <w:tc>
          <w:tcPr>
            <w:tcW w:w="359" w:type="pct"/>
            <w:vAlign w:val="center"/>
          </w:tcPr>
          <w:p w14:paraId="0A04D2C6">
            <w:pPr>
              <w:ind w:left="-53" w:leftChars="-25" w:right="-53" w:rightChars="-25"/>
              <w:jc w:val="center"/>
              <w:rPr>
                <w:spacing w:val="-6"/>
              </w:rPr>
            </w:pPr>
            <w:r>
              <w:rPr>
                <w:spacing w:val="-6"/>
              </w:rPr>
              <w:t>销售</w:t>
            </w:r>
          </w:p>
        </w:tc>
        <w:tc>
          <w:tcPr>
            <w:tcW w:w="205" w:type="pct"/>
            <w:vAlign w:val="center"/>
          </w:tcPr>
          <w:p w14:paraId="01341C1F">
            <w:pPr>
              <w:ind w:left="-53" w:leftChars="-25" w:right="-53" w:rightChars="-25"/>
              <w:jc w:val="center"/>
              <w:rPr>
                <w:spacing w:val="-6"/>
              </w:rPr>
            </w:pPr>
          </w:p>
        </w:tc>
        <w:tc>
          <w:tcPr>
            <w:tcW w:w="256" w:type="pct"/>
            <w:vAlign w:val="center"/>
          </w:tcPr>
          <w:p w14:paraId="1A3287C9">
            <w:pPr>
              <w:ind w:left="-53" w:leftChars="-25" w:right="-53" w:rightChars="-25"/>
              <w:jc w:val="center"/>
              <w:rPr>
                <w:spacing w:val="-6"/>
              </w:rPr>
            </w:pPr>
            <w:r>
              <w:rPr>
                <w:spacing w:val="-6"/>
              </w:rPr>
              <w:t>100</w:t>
            </w:r>
          </w:p>
        </w:tc>
        <w:tc>
          <w:tcPr>
            <w:tcW w:w="808" w:type="pct"/>
            <w:vAlign w:val="center"/>
          </w:tcPr>
          <w:p w14:paraId="72FE4280">
            <w:pPr>
              <w:ind w:left="-53" w:leftChars="-25" w:right="-53" w:rightChars="-25"/>
              <w:jc w:val="center"/>
              <w:rPr>
                <w:spacing w:val="-6"/>
              </w:rPr>
            </w:pPr>
            <w:r>
              <w:rPr>
                <w:spacing w:val="-6"/>
              </w:rPr>
              <w:t>设立</w:t>
            </w:r>
          </w:p>
        </w:tc>
      </w:tr>
      <w:tr w14:paraId="0DB9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45EA9433">
            <w:pPr>
              <w:ind w:left="-53" w:leftChars="-25" w:right="-53" w:rightChars="-25"/>
              <w:rPr>
                <w:spacing w:val="-6"/>
              </w:rPr>
            </w:pPr>
            <w:r>
              <w:rPr>
                <w:spacing w:val="-6"/>
              </w:rPr>
              <w:t>力帆国际(控股)有限公司</w:t>
            </w:r>
          </w:p>
        </w:tc>
        <w:tc>
          <w:tcPr>
            <w:tcW w:w="454" w:type="pct"/>
            <w:vAlign w:val="center"/>
          </w:tcPr>
          <w:p w14:paraId="52DCA456">
            <w:pPr>
              <w:ind w:left="-53" w:leftChars="-25" w:right="-53" w:rightChars="-25"/>
              <w:jc w:val="center"/>
              <w:rPr>
                <w:spacing w:val="-6"/>
              </w:rPr>
            </w:pPr>
            <w:r>
              <w:rPr>
                <w:spacing w:val="-6"/>
              </w:rPr>
              <w:t>香港</w:t>
            </w:r>
          </w:p>
        </w:tc>
        <w:tc>
          <w:tcPr>
            <w:tcW w:w="779" w:type="pct"/>
            <w:vAlign w:val="center"/>
          </w:tcPr>
          <w:p w14:paraId="3E4BA896">
            <w:pPr>
              <w:ind w:left="-53" w:leftChars="-25" w:right="-53" w:rightChars="-25"/>
              <w:jc w:val="right"/>
              <w:rPr>
                <w:spacing w:val="-6"/>
              </w:rPr>
            </w:pPr>
            <w:r>
              <w:rPr>
                <w:spacing w:val="-6"/>
              </w:rPr>
              <w:t>582.45万美元</w:t>
            </w:r>
          </w:p>
        </w:tc>
        <w:tc>
          <w:tcPr>
            <w:tcW w:w="817" w:type="pct"/>
            <w:vAlign w:val="center"/>
          </w:tcPr>
          <w:p w14:paraId="2F9DCF7D">
            <w:pPr>
              <w:ind w:left="-53" w:leftChars="-25" w:right="-53" w:rightChars="-25"/>
              <w:jc w:val="center"/>
              <w:rPr>
                <w:spacing w:val="-6"/>
              </w:rPr>
            </w:pPr>
            <w:r>
              <w:rPr>
                <w:spacing w:val="-6"/>
              </w:rPr>
              <w:t>香港</w:t>
            </w:r>
          </w:p>
        </w:tc>
        <w:tc>
          <w:tcPr>
            <w:tcW w:w="359" w:type="pct"/>
            <w:vAlign w:val="center"/>
          </w:tcPr>
          <w:p w14:paraId="706C223D">
            <w:pPr>
              <w:ind w:left="-53" w:leftChars="-25" w:right="-53" w:rightChars="-25"/>
              <w:jc w:val="center"/>
              <w:rPr>
                <w:spacing w:val="-6"/>
              </w:rPr>
            </w:pPr>
            <w:r>
              <w:rPr>
                <w:spacing w:val="-6"/>
              </w:rPr>
              <w:t>销售</w:t>
            </w:r>
          </w:p>
        </w:tc>
        <w:tc>
          <w:tcPr>
            <w:tcW w:w="205" w:type="pct"/>
            <w:vAlign w:val="center"/>
          </w:tcPr>
          <w:p w14:paraId="10B46875">
            <w:pPr>
              <w:ind w:left="-53" w:leftChars="-25" w:right="-53" w:rightChars="-25"/>
              <w:jc w:val="center"/>
              <w:rPr>
                <w:spacing w:val="-6"/>
              </w:rPr>
            </w:pPr>
            <w:r>
              <w:rPr>
                <w:spacing w:val="-6"/>
              </w:rPr>
              <w:t>100</w:t>
            </w:r>
          </w:p>
        </w:tc>
        <w:tc>
          <w:tcPr>
            <w:tcW w:w="256" w:type="pct"/>
            <w:vAlign w:val="center"/>
          </w:tcPr>
          <w:p w14:paraId="60A76994">
            <w:pPr>
              <w:ind w:left="-53" w:leftChars="-25" w:right="-53" w:rightChars="-25"/>
              <w:jc w:val="center"/>
              <w:rPr>
                <w:spacing w:val="-6"/>
              </w:rPr>
            </w:pPr>
          </w:p>
        </w:tc>
        <w:tc>
          <w:tcPr>
            <w:tcW w:w="808" w:type="pct"/>
            <w:vAlign w:val="center"/>
          </w:tcPr>
          <w:p w14:paraId="2FA36873">
            <w:pPr>
              <w:ind w:left="-53" w:leftChars="-25" w:right="-53" w:rightChars="-25"/>
              <w:jc w:val="center"/>
              <w:rPr>
                <w:spacing w:val="-6"/>
              </w:rPr>
            </w:pPr>
            <w:r>
              <w:rPr>
                <w:spacing w:val="-6"/>
              </w:rPr>
              <w:t>设立</w:t>
            </w:r>
          </w:p>
        </w:tc>
      </w:tr>
      <w:tr w14:paraId="3240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0751123D">
            <w:pPr>
              <w:ind w:left="-53" w:leftChars="-25" w:right="-53" w:rightChars="-25"/>
              <w:rPr>
                <w:spacing w:val="-6"/>
              </w:rPr>
            </w:pPr>
            <w:r>
              <w:rPr>
                <w:spacing w:val="-6"/>
              </w:rPr>
              <w:t>力帆国际(贸易)有限公司</w:t>
            </w:r>
          </w:p>
        </w:tc>
        <w:tc>
          <w:tcPr>
            <w:tcW w:w="454" w:type="pct"/>
            <w:vAlign w:val="center"/>
          </w:tcPr>
          <w:p w14:paraId="2282F31B">
            <w:pPr>
              <w:ind w:left="-53" w:leftChars="-25" w:right="-53" w:rightChars="-25"/>
              <w:jc w:val="center"/>
              <w:rPr>
                <w:spacing w:val="-6"/>
              </w:rPr>
            </w:pPr>
            <w:r>
              <w:rPr>
                <w:spacing w:val="-6"/>
              </w:rPr>
              <w:t>新加坡</w:t>
            </w:r>
          </w:p>
        </w:tc>
        <w:tc>
          <w:tcPr>
            <w:tcW w:w="779" w:type="pct"/>
            <w:vAlign w:val="center"/>
          </w:tcPr>
          <w:p w14:paraId="54E1DAC3">
            <w:pPr>
              <w:ind w:left="-53" w:leftChars="-25" w:right="-53" w:rightChars="-25"/>
              <w:jc w:val="right"/>
              <w:rPr>
                <w:spacing w:val="-6"/>
              </w:rPr>
            </w:pPr>
            <w:r>
              <w:rPr>
                <w:spacing w:val="-6"/>
              </w:rPr>
              <w:t>350万新加坡元</w:t>
            </w:r>
          </w:p>
        </w:tc>
        <w:tc>
          <w:tcPr>
            <w:tcW w:w="817" w:type="pct"/>
            <w:vAlign w:val="center"/>
          </w:tcPr>
          <w:p w14:paraId="0F7E8FB4">
            <w:pPr>
              <w:ind w:left="-53" w:leftChars="-25" w:right="-53" w:rightChars="-25"/>
              <w:jc w:val="center"/>
              <w:rPr>
                <w:spacing w:val="-6"/>
              </w:rPr>
            </w:pPr>
            <w:r>
              <w:rPr>
                <w:spacing w:val="-6"/>
              </w:rPr>
              <w:t>新加坡</w:t>
            </w:r>
          </w:p>
        </w:tc>
        <w:tc>
          <w:tcPr>
            <w:tcW w:w="359" w:type="pct"/>
            <w:vAlign w:val="center"/>
          </w:tcPr>
          <w:p w14:paraId="2E3902FF">
            <w:pPr>
              <w:ind w:left="-53" w:leftChars="-25" w:right="-53" w:rightChars="-25"/>
              <w:jc w:val="center"/>
              <w:rPr>
                <w:spacing w:val="-6"/>
              </w:rPr>
            </w:pPr>
            <w:r>
              <w:rPr>
                <w:spacing w:val="-6"/>
              </w:rPr>
              <w:t>销售</w:t>
            </w:r>
          </w:p>
        </w:tc>
        <w:tc>
          <w:tcPr>
            <w:tcW w:w="205" w:type="pct"/>
            <w:vAlign w:val="center"/>
          </w:tcPr>
          <w:p w14:paraId="128B41CB">
            <w:pPr>
              <w:ind w:left="-53" w:leftChars="-25" w:right="-53" w:rightChars="-25"/>
              <w:jc w:val="center"/>
              <w:rPr>
                <w:spacing w:val="-6"/>
              </w:rPr>
            </w:pPr>
          </w:p>
        </w:tc>
        <w:tc>
          <w:tcPr>
            <w:tcW w:w="256" w:type="pct"/>
            <w:vAlign w:val="center"/>
          </w:tcPr>
          <w:p w14:paraId="5D94A24B">
            <w:pPr>
              <w:ind w:left="-53" w:leftChars="-25" w:right="-53" w:rightChars="-25"/>
              <w:jc w:val="center"/>
              <w:rPr>
                <w:spacing w:val="-6"/>
              </w:rPr>
            </w:pPr>
            <w:r>
              <w:rPr>
                <w:spacing w:val="-6"/>
              </w:rPr>
              <w:t>100</w:t>
            </w:r>
          </w:p>
        </w:tc>
        <w:tc>
          <w:tcPr>
            <w:tcW w:w="808" w:type="pct"/>
            <w:vAlign w:val="center"/>
          </w:tcPr>
          <w:p w14:paraId="4AD0D69C">
            <w:pPr>
              <w:ind w:left="-53" w:leftChars="-25" w:right="-53" w:rightChars="-25"/>
              <w:jc w:val="center"/>
              <w:rPr>
                <w:spacing w:val="-6"/>
              </w:rPr>
            </w:pPr>
            <w:r>
              <w:rPr>
                <w:spacing w:val="-6"/>
              </w:rPr>
              <w:t>设立</w:t>
            </w:r>
          </w:p>
        </w:tc>
      </w:tr>
      <w:tr w14:paraId="3F45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4E62BEE0">
            <w:pPr>
              <w:ind w:left="-53" w:leftChars="-25" w:right="-53" w:rightChars="-25"/>
              <w:rPr>
                <w:spacing w:val="-6"/>
              </w:rPr>
            </w:pPr>
            <w:r>
              <w:rPr>
                <w:spacing w:val="-6"/>
              </w:rPr>
              <w:t>乌拉圭控股公司LAFERTINS.A</w:t>
            </w:r>
          </w:p>
        </w:tc>
        <w:tc>
          <w:tcPr>
            <w:tcW w:w="454" w:type="pct"/>
            <w:vAlign w:val="center"/>
          </w:tcPr>
          <w:p w14:paraId="602B6CF0">
            <w:pPr>
              <w:ind w:left="-53" w:leftChars="-25" w:right="-53" w:rightChars="-25"/>
              <w:jc w:val="center"/>
              <w:rPr>
                <w:spacing w:val="-6"/>
              </w:rPr>
            </w:pPr>
            <w:r>
              <w:rPr>
                <w:spacing w:val="-6"/>
              </w:rPr>
              <w:t>乌拉圭</w:t>
            </w:r>
          </w:p>
        </w:tc>
        <w:tc>
          <w:tcPr>
            <w:tcW w:w="779" w:type="pct"/>
            <w:vAlign w:val="center"/>
          </w:tcPr>
          <w:p w14:paraId="4CEA2927">
            <w:pPr>
              <w:ind w:left="-53" w:leftChars="-25" w:right="-53" w:rightChars="-25"/>
              <w:jc w:val="right"/>
              <w:rPr>
                <w:spacing w:val="-6"/>
              </w:rPr>
            </w:pPr>
            <w:r>
              <w:rPr>
                <w:spacing w:val="-6"/>
              </w:rPr>
              <w:t>49.50万乌拉圭比索</w:t>
            </w:r>
          </w:p>
        </w:tc>
        <w:tc>
          <w:tcPr>
            <w:tcW w:w="817" w:type="pct"/>
            <w:vAlign w:val="center"/>
          </w:tcPr>
          <w:p w14:paraId="694EF224">
            <w:pPr>
              <w:ind w:left="-53" w:leftChars="-25" w:right="-53" w:rightChars="-25"/>
              <w:jc w:val="center"/>
              <w:rPr>
                <w:spacing w:val="-6"/>
              </w:rPr>
            </w:pPr>
            <w:r>
              <w:rPr>
                <w:spacing w:val="-6"/>
              </w:rPr>
              <w:t>乌拉圭蒙得维的亚市</w:t>
            </w:r>
          </w:p>
        </w:tc>
        <w:tc>
          <w:tcPr>
            <w:tcW w:w="359" w:type="pct"/>
            <w:vAlign w:val="center"/>
          </w:tcPr>
          <w:p w14:paraId="3A2A3471">
            <w:pPr>
              <w:ind w:left="-53" w:leftChars="-25" w:right="-53" w:rightChars="-25"/>
              <w:jc w:val="center"/>
              <w:rPr>
                <w:spacing w:val="-6"/>
              </w:rPr>
            </w:pPr>
            <w:r>
              <w:rPr>
                <w:spacing w:val="-6"/>
              </w:rPr>
              <w:t>销售</w:t>
            </w:r>
          </w:p>
        </w:tc>
        <w:tc>
          <w:tcPr>
            <w:tcW w:w="205" w:type="pct"/>
            <w:vAlign w:val="center"/>
          </w:tcPr>
          <w:p w14:paraId="3DE0DB8D">
            <w:pPr>
              <w:ind w:left="-53" w:leftChars="-25" w:right="-53" w:rightChars="-25"/>
              <w:jc w:val="center"/>
              <w:rPr>
                <w:spacing w:val="-6"/>
              </w:rPr>
            </w:pPr>
          </w:p>
        </w:tc>
        <w:tc>
          <w:tcPr>
            <w:tcW w:w="256" w:type="pct"/>
            <w:vAlign w:val="center"/>
          </w:tcPr>
          <w:p w14:paraId="0F69923E">
            <w:pPr>
              <w:ind w:left="-53" w:leftChars="-25" w:right="-53" w:rightChars="-25"/>
              <w:jc w:val="center"/>
              <w:rPr>
                <w:spacing w:val="-6"/>
              </w:rPr>
            </w:pPr>
            <w:r>
              <w:rPr>
                <w:spacing w:val="-6"/>
              </w:rPr>
              <w:t>100</w:t>
            </w:r>
          </w:p>
        </w:tc>
        <w:tc>
          <w:tcPr>
            <w:tcW w:w="808" w:type="pct"/>
            <w:vAlign w:val="center"/>
          </w:tcPr>
          <w:p w14:paraId="14CE2BB7">
            <w:pPr>
              <w:ind w:left="-53" w:leftChars="-25" w:right="-53" w:rightChars="-25"/>
              <w:jc w:val="center"/>
              <w:rPr>
                <w:spacing w:val="-6"/>
              </w:rPr>
            </w:pPr>
            <w:r>
              <w:rPr>
                <w:spacing w:val="-6"/>
              </w:rPr>
              <w:t>设立</w:t>
            </w:r>
          </w:p>
        </w:tc>
      </w:tr>
      <w:tr w14:paraId="0BB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04F34098">
            <w:pPr>
              <w:ind w:left="-53" w:leftChars="-25" w:right="-53" w:rightChars="-25"/>
              <w:rPr>
                <w:spacing w:val="-6"/>
              </w:rPr>
            </w:pPr>
            <w:r>
              <w:rPr>
                <w:spacing w:val="-6"/>
              </w:rPr>
              <w:t>乌拉圭发动机公司ANIKTOS.A</w:t>
            </w:r>
          </w:p>
        </w:tc>
        <w:tc>
          <w:tcPr>
            <w:tcW w:w="454" w:type="pct"/>
            <w:vAlign w:val="center"/>
          </w:tcPr>
          <w:p w14:paraId="3177C07B">
            <w:pPr>
              <w:ind w:left="-53" w:leftChars="-25" w:right="-53" w:rightChars="-25"/>
              <w:jc w:val="center"/>
              <w:rPr>
                <w:spacing w:val="-6"/>
              </w:rPr>
            </w:pPr>
            <w:r>
              <w:rPr>
                <w:spacing w:val="-6"/>
              </w:rPr>
              <w:t>乌拉圭</w:t>
            </w:r>
          </w:p>
        </w:tc>
        <w:tc>
          <w:tcPr>
            <w:tcW w:w="779" w:type="pct"/>
            <w:vAlign w:val="center"/>
          </w:tcPr>
          <w:p w14:paraId="1ABABA6E">
            <w:pPr>
              <w:ind w:left="-53" w:leftChars="-25" w:right="-53" w:rightChars="-25"/>
              <w:jc w:val="right"/>
              <w:rPr>
                <w:spacing w:val="-6"/>
              </w:rPr>
            </w:pPr>
            <w:r>
              <w:rPr>
                <w:spacing w:val="-6"/>
              </w:rPr>
              <w:t>4万乌拉圭比索</w:t>
            </w:r>
          </w:p>
        </w:tc>
        <w:tc>
          <w:tcPr>
            <w:tcW w:w="817" w:type="pct"/>
            <w:vAlign w:val="center"/>
          </w:tcPr>
          <w:p w14:paraId="2EF1767B">
            <w:pPr>
              <w:ind w:left="-53" w:leftChars="-25" w:right="-53" w:rightChars="-25"/>
              <w:jc w:val="center"/>
              <w:rPr>
                <w:spacing w:val="-6"/>
              </w:rPr>
            </w:pPr>
            <w:r>
              <w:rPr>
                <w:spacing w:val="-6"/>
              </w:rPr>
              <w:t>乌拉圭圣何塞州</w:t>
            </w:r>
          </w:p>
        </w:tc>
        <w:tc>
          <w:tcPr>
            <w:tcW w:w="359" w:type="pct"/>
            <w:vAlign w:val="center"/>
          </w:tcPr>
          <w:p w14:paraId="1128ADE9">
            <w:pPr>
              <w:ind w:left="-53" w:leftChars="-25" w:right="-53" w:rightChars="-25"/>
              <w:jc w:val="center"/>
              <w:rPr>
                <w:spacing w:val="-6"/>
              </w:rPr>
            </w:pPr>
            <w:r>
              <w:rPr>
                <w:spacing w:val="-6"/>
              </w:rPr>
              <w:t>销售</w:t>
            </w:r>
          </w:p>
        </w:tc>
        <w:tc>
          <w:tcPr>
            <w:tcW w:w="205" w:type="pct"/>
            <w:vAlign w:val="center"/>
          </w:tcPr>
          <w:p w14:paraId="0244EDC9">
            <w:pPr>
              <w:ind w:left="-53" w:leftChars="-25" w:right="-53" w:rightChars="-25"/>
              <w:jc w:val="center"/>
              <w:rPr>
                <w:spacing w:val="-6"/>
              </w:rPr>
            </w:pPr>
          </w:p>
        </w:tc>
        <w:tc>
          <w:tcPr>
            <w:tcW w:w="256" w:type="pct"/>
            <w:vAlign w:val="center"/>
          </w:tcPr>
          <w:p w14:paraId="3757E982">
            <w:pPr>
              <w:ind w:left="-53" w:leftChars="-25" w:right="-53" w:rightChars="-25"/>
              <w:jc w:val="center"/>
              <w:rPr>
                <w:spacing w:val="-6"/>
              </w:rPr>
            </w:pPr>
            <w:r>
              <w:rPr>
                <w:spacing w:val="-6"/>
              </w:rPr>
              <w:t>100</w:t>
            </w:r>
          </w:p>
        </w:tc>
        <w:tc>
          <w:tcPr>
            <w:tcW w:w="808" w:type="pct"/>
            <w:vAlign w:val="center"/>
          </w:tcPr>
          <w:p w14:paraId="5C1D45E1">
            <w:pPr>
              <w:ind w:left="-53" w:leftChars="-25" w:right="-53" w:rightChars="-25"/>
              <w:jc w:val="center"/>
              <w:rPr>
                <w:spacing w:val="-6"/>
              </w:rPr>
            </w:pPr>
            <w:r>
              <w:rPr>
                <w:spacing w:val="-6"/>
              </w:rPr>
              <w:t>非同一控制下企业合并</w:t>
            </w:r>
          </w:p>
        </w:tc>
      </w:tr>
      <w:tr w14:paraId="2568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33BA71C1">
            <w:pPr>
              <w:ind w:left="-53" w:leftChars="-25" w:right="-53" w:rightChars="-25"/>
              <w:rPr>
                <w:spacing w:val="-6"/>
              </w:rPr>
            </w:pPr>
            <w:r>
              <w:rPr>
                <w:spacing w:val="-6"/>
              </w:rPr>
              <w:t>力帆巴西汽车有限公司LIFANDOBRASIL</w:t>
            </w:r>
          </w:p>
        </w:tc>
        <w:tc>
          <w:tcPr>
            <w:tcW w:w="454" w:type="pct"/>
            <w:vAlign w:val="center"/>
          </w:tcPr>
          <w:p w14:paraId="4FDB1334">
            <w:pPr>
              <w:ind w:left="-53" w:leftChars="-25" w:right="-53" w:rightChars="-25"/>
              <w:jc w:val="center"/>
              <w:rPr>
                <w:spacing w:val="-6"/>
              </w:rPr>
            </w:pPr>
            <w:r>
              <w:rPr>
                <w:spacing w:val="-6"/>
              </w:rPr>
              <w:t>巴西</w:t>
            </w:r>
          </w:p>
        </w:tc>
        <w:tc>
          <w:tcPr>
            <w:tcW w:w="779" w:type="pct"/>
            <w:vAlign w:val="center"/>
          </w:tcPr>
          <w:p w14:paraId="380C7476">
            <w:pPr>
              <w:ind w:left="-53" w:leftChars="-25" w:right="-53" w:rightChars="-25"/>
              <w:jc w:val="right"/>
              <w:rPr>
                <w:spacing w:val="-6"/>
              </w:rPr>
            </w:pPr>
            <w:r>
              <w:rPr>
                <w:spacing w:val="-6"/>
              </w:rPr>
              <w:t>24,175.531万雷亚尔</w:t>
            </w:r>
          </w:p>
        </w:tc>
        <w:tc>
          <w:tcPr>
            <w:tcW w:w="817" w:type="pct"/>
            <w:vAlign w:val="center"/>
          </w:tcPr>
          <w:p w14:paraId="5E569A75">
            <w:pPr>
              <w:ind w:left="-53" w:leftChars="-25" w:right="-53" w:rightChars="-25"/>
              <w:jc w:val="center"/>
              <w:rPr>
                <w:spacing w:val="-6"/>
              </w:rPr>
            </w:pPr>
            <w:r>
              <w:rPr>
                <w:spacing w:val="-6"/>
              </w:rPr>
              <w:t>圣保罗州</w:t>
            </w:r>
          </w:p>
        </w:tc>
        <w:tc>
          <w:tcPr>
            <w:tcW w:w="359" w:type="pct"/>
            <w:vAlign w:val="center"/>
          </w:tcPr>
          <w:p w14:paraId="4B218F0A">
            <w:pPr>
              <w:ind w:left="-53" w:leftChars="-25" w:right="-53" w:rightChars="-25"/>
              <w:jc w:val="center"/>
              <w:rPr>
                <w:spacing w:val="-6"/>
              </w:rPr>
            </w:pPr>
            <w:r>
              <w:rPr>
                <w:spacing w:val="-6"/>
              </w:rPr>
              <w:t>销售</w:t>
            </w:r>
          </w:p>
        </w:tc>
        <w:tc>
          <w:tcPr>
            <w:tcW w:w="205" w:type="pct"/>
            <w:vAlign w:val="center"/>
          </w:tcPr>
          <w:p w14:paraId="49B355BC">
            <w:pPr>
              <w:ind w:left="-53" w:leftChars="-25" w:right="-53" w:rightChars="-25"/>
              <w:jc w:val="center"/>
              <w:rPr>
                <w:spacing w:val="-6"/>
              </w:rPr>
            </w:pPr>
          </w:p>
        </w:tc>
        <w:tc>
          <w:tcPr>
            <w:tcW w:w="256" w:type="pct"/>
            <w:vAlign w:val="center"/>
          </w:tcPr>
          <w:p w14:paraId="3FC19086">
            <w:pPr>
              <w:ind w:left="-53" w:leftChars="-25" w:right="-53" w:rightChars="-25"/>
              <w:jc w:val="center"/>
              <w:rPr>
                <w:spacing w:val="-6"/>
              </w:rPr>
            </w:pPr>
            <w:r>
              <w:rPr>
                <w:spacing w:val="-6"/>
              </w:rPr>
              <w:t>100</w:t>
            </w:r>
          </w:p>
        </w:tc>
        <w:tc>
          <w:tcPr>
            <w:tcW w:w="808" w:type="pct"/>
            <w:vAlign w:val="center"/>
          </w:tcPr>
          <w:p w14:paraId="5B4AEF1F">
            <w:pPr>
              <w:ind w:left="-53" w:leftChars="-25" w:right="-53" w:rightChars="-25"/>
              <w:jc w:val="center"/>
              <w:rPr>
                <w:spacing w:val="-6"/>
              </w:rPr>
            </w:pPr>
            <w:r>
              <w:rPr>
                <w:spacing w:val="-6"/>
              </w:rPr>
              <w:t>非同一控制下企业合并</w:t>
            </w:r>
          </w:p>
        </w:tc>
      </w:tr>
      <w:tr w14:paraId="35F2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2C27899F">
            <w:pPr>
              <w:ind w:left="-53" w:leftChars="-25" w:right="-53" w:rightChars="-25"/>
              <w:rPr>
                <w:spacing w:val="-6"/>
              </w:rPr>
            </w:pPr>
            <w:r>
              <w:rPr>
                <w:spacing w:val="-6"/>
              </w:rPr>
              <w:t>乌拉圭汽车公司BESINEYS.A</w:t>
            </w:r>
          </w:p>
        </w:tc>
        <w:tc>
          <w:tcPr>
            <w:tcW w:w="454" w:type="pct"/>
            <w:vAlign w:val="center"/>
          </w:tcPr>
          <w:p w14:paraId="0D9CF098">
            <w:pPr>
              <w:ind w:left="-53" w:leftChars="-25" w:right="-53" w:rightChars="-25"/>
              <w:jc w:val="center"/>
              <w:rPr>
                <w:spacing w:val="-6"/>
              </w:rPr>
            </w:pPr>
            <w:r>
              <w:rPr>
                <w:spacing w:val="-6"/>
              </w:rPr>
              <w:t>乌拉圭</w:t>
            </w:r>
          </w:p>
        </w:tc>
        <w:tc>
          <w:tcPr>
            <w:tcW w:w="779" w:type="pct"/>
            <w:vAlign w:val="center"/>
          </w:tcPr>
          <w:p w14:paraId="6A948B7C">
            <w:pPr>
              <w:ind w:left="-53" w:leftChars="-25" w:right="-53" w:rightChars="-25"/>
              <w:jc w:val="right"/>
              <w:rPr>
                <w:spacing w:val="-6"/>
              </w:rPr>
            </w:pPr>
            <w:r>
              <w:rPr>
                <w:spacing w:val="-6"/>
              </w:rPr>
              <w:t>12,000万乌拉圭比索</w:t>
            </w:r>
          </w:p>
        </w:tc>
        <w:tc>
          <w:tcPr>
            <w:tcW w:w="817" w:type="pct"/>
            <w:vAlign w:val="center"/>
          </w:tcPr>
          <w:p w14:paraId="001AAE57">
            <w:pPr>
              <w:ind w:left="-53" w:leftChars="-25" w:right="-53" w:rightChars="-25"/>
              <w:jc w:val="center"/>
              <w:rPr>
                <w:spacing w:val="-6"/>
              </w:rPr>
            </w:pPr>
            <w:r>
              <w:rPr>
                <w:spacing w:val="-6"/>
              </w:rPr>
              <w:t>乌拉圭圣何塞州</w:t>
            </w:r>
          </w:p>
        </w:tc>
        <w:tc>
          <w:tcPr>
            <w:tcW w:w="359" w:type="pct"/>
            <w:vAlign w:val="center"/>
          </w:tcPr>
          <w:p w14:paraId="32EF3B5E">
            <w:pPr>
              <w:ind w:left="-53" w:leftChars="-25" w:right="-53" w:rightChars="-25"/>
              <w:jc w:val="center"/>
              <w:rPr>
                <w:spacing w:val="-6"/>
              </w:rPr>
            </w:pPr>
            <w:r>
              <w:rPr>
                <w:spacing w:val="-6"/>
              </w:rPr>
              <w:t>销售</w:t>
            </w:r>
          </w:p>
        </w:tc>
        <w:tc>
          <w:tcPr>
            <w:tcW w:w="205" w:type="pct"/>
            <w:vAlign w:val="center"/>
          </w:tcPr>
          <w:p w14:paraId="6B1D599A">
            <w:pPr>
              <w:ind w:left="-53" w:leftChars="-25" w:right="-53" w:rightChars="-25"/>
              <w:jc w:val="center"/>
              <w:rPr>
                <w:spacing w:val="-6"/>
              </w:rPr>
            </w:pPr>
          </w:p>
        </w:tc>
        <w:tc>
          <w:tcPr>
            <w:tcW w:w="256" w:type="pct"/>
            <w:vAlign w:val="center"/>
          </w:tcPr>
          <w:p w14:paraId="40577BC3">
            <w:pPr>
              <w:ind w:left="-53" w:leftChars="-25" w:right="-53" w:rightChars="-25"/>
              <w:jc w:val="center"/>
              <w:rPr>
                <w:spacing w:val="-6"/>
              </w:rPr>
            </w:pPr>
            <w:r>
              <w:rPr>
                <w:spacing w:val="-6"/>
              </w:rPr>
              <w:t>100</w:t>
            </w:r>
          </w:p>
        </w:tc>
        <w:tc>
          <w:tcPr>
            <w:tcW w:w="808" w:type="pct"/>
            <w:vAlign w:val="center"/>
          </w:tcPr>
          <w:p w14:paraId="0D1A29A8">
            <w:pPr>
              <w:ind w:left="-53" w:leftChars="-25" w:right="-53" w:rightChars="-25"/>
              <w:jc w:val="center"/>
              <w:rPr>
                <w:spacing w:val="-6"/>
              </w:rPr>
            </w:pPr>
            <w:r>
              <w:rPr>
                <w:spacing w:val="-6"/>
              </w:rPr>
              <w:t>非同一控制下企业合并</w:t>
            </w:r>
          </w:p>
        </w:tc>
      </w:tr>
      <w:tr w14:paraId="3261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7ADEB7DD">
            <w:pPr>
              <w:ind w:left="-53" w:leftChars="-25" w:right="-53" w:rightChars="-25"/>
              <w:rPr>
                <w:spacing w:val="-6"/>
              </w:rPr>
            </w:pPr>
            <w:r>
              <w:rPr>
                <w:spacing w:val="-6"/>
              </w:rPr>
              <w:t>力帆俄罗斯车辆有限责任公司</w:t>
            </w:r>
          </w:p>
        </w:tc>
        <w:tc>
          <w:tcPr>
            <w:tcW w:w="454" w:type="pct"/>
            <w:vAlign w:val="center"/>
          </w:tcPr>
          <w:p w14:paraId="1E579267">
            <w:pPr>
              <w:ind w:left="-53" w:leftChars="-25" w:right="-53" w:rightChars="-25"/>
              <w:jc w:val="center"/>
              <w:rPr>
                <w:spacing w:val="-6"/>
              </w:rPr>
            </w:pPr>
            <w:r>
              <w:rPr>
                <w:spacing w:val="-6"/>
              </w:rPr>
              <w:t>俄罗斯</w:t>
            </w:r>
          </w:p>
        </w:tc>
        <w:tc>
          <w:tcPr>
            <w:tcW w:w="779" w:type="pct"/>
            <w:vAlign w:val="center"/>
          </w:tcPr>
          <w:p w14:paraId="3CC04CF3">
            <w:pPr>
              <w:ind w:left="-53" w:leftChars="-25" w:right="-53" w:rightChars="-25"/>
              <w:jc w:val="right"/>
              <w:rPr>
                <w:spacing w:val="-6"/>
              </w:rPr>
            </w:pPr>
            <w:r>
              <w:rPr>
                <w:spacing w:val="-6"/>
              </w:rPr>
              <w:t>25,000万卢布</w:t>
            </w:r>
          </w:p>
        </w:tc>
        <w:tc>
          <w:tcPr>
            <w:tcW w:w="817" w:type="pct"/>
            <w:vAlign w:val="center"/>
          </w:tcPr>
          <w:p w14:paraId="72FD9254">
            <w:pPr>
              <w:ind w:left="-53" w:leftChars="-25" w:right="-53" w:rightChars="-25"/>
              <w:jc w:val="center"/>
              <w:rPr>
                <w:spacing w:val="-6"/>
              </w:rPr>
            </w:pPr>
            <w:r>
              <w:rPr>
                <w:spacing w:val="-6"/>
              </w:rPr>
              <w:t>俄罗斯联邦利佩茨克州</w:t>
            </w:r>
          </w:p>
        </w:tc>
        <w:tc>
          <w:tcPr>
            <w:tcW w:w="359" w:type="pct"/>
            <w:vAlign w:val="center"/>
          </w:tcPr>
          <w:p w14:paraId="4113BD32">
            <w:pPr>
              <w:ind w:left="-53" w:leftChars="-25" w:right="-53" w:rightChars="-25"/>
              <w:jc w:val="center"/>
              <w:rPr>
                <w:spacing w:val="-6"/>
              </w:rPr>
            </w:pPr>
            <w:r>
              <w:rPr>
                <w:spacing w:val="-6"/>
              </w:rPr>
              <w:t>销售</w:t>
            </w:r>
          </w:p>
        </w:tc>
        <w:tc>
          <w:tcPr>
            <w:tcW w:w="205" w:type="pct"/>
            <w:vAlign w:val="center"/>
          </w:tcPr>
          <w:p w14:paraId="30B60D8A">
            <w:pPr>
              <w:ind w:left="-53" w:leftChars="-25" w:right="-53" w:rightChars="-25"/>
              <w:jc w:val="center"/>
              <w:rPr>
                <w:spacing w:val="-6"/>
              </w:rPr>
            </w:pPr>
            <w:r>
              <w:rPr>
                <w:spacing w:val="-6"/>
              </w:rPr>
              <w:t>5</w:t>
            </w:r>
          </w:p>
        </w:tc>
        <w:tc>
          <w:tcPr>
            <w:tcW w:w="256" w:type="pct"/>
            <w:vAlign w:val="center"/>
          </w:tcPr>
          <w:p w14:paraId="1394EB87">
            <w:pPr>
              <w:ind w:left="-53" w:leftChars="-25" w:right="-53" w:rightChars="-25"/>
              <w:jc w:val="center"/>
              <w:rPr>
                <w:spacing w:val="-6"/>
              </w:rPr>
            </w:pPr>
            <w:r>
              <w:rPr>
                <w:spacing w:val="-6"/>
              </w:rPr>
              <w:t>95</w:t>
            </w:r>
          </w:p>
        </w:tc>
        <w:tc>
          <w:tcPr>
            <w:tcW w:w="808" w:type="pct"/>
            <w:vAlign w:val="center"/>
          </w:tcPr>
          <w:p w14:paraId="3762F1B6">
            <w:pPr>
              <w:ind w:left="-53" w:leftChars="-25" w:right="-53" w:rightChars="-25"/>
              <w:jc w:val="center"/>
              <w:rPr>
                <w:spacing w:val="-6"/>
              </w:rPr>
            </w:pPr>
            <w:r>
              <w:rPr>
                <w:spacing w:val="-6"/>
              </w:rPr>
              <w:t>设立</w:t>
            </w:r>
          </w:p>
        </w:tc>
      </w:tr>
      <w:tr w14:paraId="72BD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3975DB92">
            <w:pPr>
              <w:ind w:left="-53" w:leftChars="-25" w:right="-53" w:rightChars="-25"/>
              <w:rPr>
                <w:spacing w:val="-6"/>
              </w:rPr>
            </w:pPr>
            <w:r>
              <w:rPr>
                <w:spacing w:val="-6"/>
              </w:rPr>
              <w:t>睿蓝俄罗斯有限责任公司</w:t>
            </w:r>
          </w:p>
        </w:tc>
        <w:tc>
          <w:tcPr>
            <w:tcW w:w="454" w:type="pct"/>
            <w:vAlign w:val="center"/>
          </w:tcPr>
          <w:p w14:paraId="4FFBA91A">
            <w:pPr>
              <w:ind w:left="-53" w:leftChars="-25" w:right="-53" w:rightChars="-25"/>
              <w:jc w:val="center"/>
              <w:rPr>
                <w:spacing w:val="-6"/>
              </w:rPr>
            </w:pPr>
            <w:r>
              <w:rPr>
                <w:spacing w:val="-6"/>
              </w:rPr>
              <w:t>俄罗斯</w:t>
            </w:r>
          </w:p>
        </w:tc>
        <w:tc>
          <w:tcPr>
            <w:tcW w:w="779" w:type="pct"/>
            <w:vAlign w:val="center"/>
          </w:tcPr>
          <w:p w14:paraId="6975ED4C">
            <w:pPr>
              <w:ind w:left="-53" w:leftChars="-25" w:right="-53" w:rightChars="-25"/>
              <w:jc w:val="right"/>
              <w:rPr>
                <w:spacing w:val="-6"/>
              </w:rPr>
            </w:pPr>
            <w:r>
              <w:rPr>
                <w:spacing w:val="-6"/>
              </w:rPr>
              <w:t>1,250万卢布</w:t>
            </w:r>
          </w:p>
        </w:tc>
        <w:tc>
          <w:tcPr>
            <w:tcW w:w="817" w:type="pct"/>
            <w:vAlign w:val="center"/>
          </w:tcPr>
          <w:p w14:paraId="08682FA4">
            <w:pPr>
              <w:ind w:left="-53" w:leftChars="-25" w:right="-53" w:rightChars="-25"/>
              <w:jc w:val="center"/>
              <w:rPr>
                <w:spacing w:val="-6"/>
              </w:rPr>
            </w:pPr>
            <w:r>
              <w:rPr>
                <w:spacing w:val="-6"/>
              </w:rPr>
              <w:t>俄罗斯莫斯科</w:t>
            </w:r>
          </w:p>
        </w:tc>
        <w:tc>
          <w:tcPr>
            <w:tcW w:w="359" w:type="pct"/>
            <w:vAlign w:val="center"/>
          </w:tcPr>
          <w:p w14:paraId="71F5A5B1">
            <w:pPr>
              <w:ind w:left="-53" w:leftChars="-25" w:right="-53" w:rightChars="-25"/>
              <w:jc w:val="center"/>
              <w:rPr>
                <w:spacing w:val="-6"/>
              </w:rPr>
            </w:pPr>
            <w:r>
              <w:rPr>
                <w:spacing w:val="-6"/>
              </w:rPr>
              <w:t>销售</w:t>
            </w:r>
          </w:p>
        </w:tc>
        <w:tc>
          <w:tcPr>
            <w:tcW w:w="205" w:type="pct"/>
            <w:vAlign w:val="center"/>
          </w:tcPr>
          <w:p w14:paraId="367B2D01">
            <w:pPr>
              <w:ind w:left="-53" w:leftChars="-25" w:right="-53" w:rightChars="-25"/>
              <w:jc w:val="center"/>
              <w:rPr>
                <w:spacing w:val="-6"/>
              </w:rPr>
            </w:pPr>
          </w:p>
        </w:tc>
        <w:tc>
          <w:tcPr>
            <w:tcW w:w="256" w:type="pct"/>
            <w:vAlign w:val="center"/>
          </w:tcPr>
          <w:p w14:paraId="7F3F391B">
            <w:pPr>
              <w:ind w:left="-53" w:leftChars="-25" w:right="-53" w:rightChars="-25"/>
              <w:jc w:val="center"/>
              <w:rPr>
                <w:spacing w:val="-6"/>
              </w:rPr>
            </w:pPr>
            <w:r>
              <w:rPr>
                <w:spacing w:val="-6"/>
              </w:rPr>
              <w:t>100</w:t>
            </w:r>
          </w:p>
        </w:tc>
        <w:tc>
          <w:tcPr>
            <w:tcW w:w="808" w:type="pct"/>
            <w:vAlign w:val="center"/>
          </w:tcPr>
          <w:p w14:paraId="60BEC62F">
            <w:pPr>
              <w:ind w:left="-53" w:leftChars="-25" w:right="-53" w:rightChars="-25"/>
              <w:jc w:val="center"/>
              <w:rPr>
                <w:spacing w:val="-6"/>
              </w:rPr>
            </w:pPr>
            <w:r>
              <w:rPr>
                <w:spacing w:val="-6"/>
              </w:rPr>
              <w:t>设立</w:t>
            </w:r>
          </w:p>
        </w:tc>
      </w:tr>
      <w:tr w14:paraId="798D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3D49E40F">
            <w:pPr>
              <w:ind w:left="-53" w:leftChars="-25" w:right="-53" w:rightChars="-25"/>
              <w:rPr>
                <w:spacing w:val="-6"/>
              </w:rPr>
            </w:pPr>
            <w:r>
              <w:rPr>
                <w:spacing w:val="-6"/>
              </w:rPr>
              <w:t>ThreesailsLLC(三帆有限责任公司)</w:t>
            </w:r>
          </w:p>
        </w:tc>
        <w:tc>
          <w:tcPr>
            <w:tcW w:w="454" w:type="pct"/>
            <w:vAlign w:val="center"/>
          </w:tcPr>
          <w:p w14:paraId="793C58AA">
            <w:pPr>
              <w:ind w:left="-53" w:leftChars="-25" w:right="-53" w:rightChars="-25"/>
              <w:jc w:val="center"/>
              <w:rPr>
                <w:spacing w:val="-6"/>
              </w:rPr>
            </w:pPr>
            <w:r>
              <w:rPr>
                <w:spacing w:val="-6"/>
              </w:rPr>
              <w:t>俄罗斯</w:t>
            </w:r>
          </w:p>
        </w:tc>
        <w:tc>
          <w:tcPr>
            <w:tcW w:w="779" w:type="pct"/>
            <w:vAlign w:val="center"/>
          </w:tcPr>
          <w:p w14:paraId="46C2940A">
            <w:pPr>
              <w:ind w:left="-53" w:leftChars="-25" w:right="-53" w:rightChars="-25"/>
              <w:jc w:val="right"/>
              <w:rPr>
                <w:spacing w:val="-6"/>
              </w:rPr>
            </w:pPr>
            <w:r>
              <w:rPr>
                <w:spacing w:val="-6"/>
              </w:rPr>
              <w:t>1万卢布</w:t>
            </w:r>
          </w:p>
        </w:tc>
        <w:tc>
          <w:tcPr>
            <w:tcW w:w="817" w:type="pct"/>
            <w:vAlign w:val="center"/>
          </w:tcPr>
          <w:p w14:paraId="622E33FC">
            <w:pPr>
              <w:ind w:left="-53" w:leftChars="-25" w:right="-53" w:rightChars="-25"/>
              <w:jc w:val="center"/>
              <w:rPr>
                <w:spacing w:val="-6"/>
              </w:rPr>
            </w:pPr>
            <w:r>
              <w:rPr>
                <w:spacing w:val="-6"/>
              </w:rPr>
              <w:t>俄罗斯莫斯科</w:t>
            </w:r>
          </w:p>
        </w:tc>
        <w:tc>
          <w:tcPr>
            <w:tcW w:w="359" w:type="pct"/>
            <w:vAlign w:val="center"/>
          </w:tcPr>
          <w:p w14:paraId="655CDF54">
            <w:pPr>
              <w:ind w:left="-53" w:leftChars="-25" w:right="-53" w:rightChars="-25"/>
              <w:jc w:val="center"/>
              <w:rPr>
                <w:spacing w:val="-6"/>
              </w:rPr>
            </w:pPr>
            <w:r>
              <w:rPr>
                <w:spacing w:val="-6"/>
              </w:rPr>
              <w:t>销售</w:t>
            </w:r>
          </w:p>
        </w:tc>
        <w:tc>
          <w:tcPr>
            <w:tcW w:w="205" w:type="pct"/>
            <w:vAlign w:val="center"/>
          </w:tcPr>
          <w:p w14:paraId="50A95A1C">
            <w:pPr>
              <w:ind w:left="-53" w:leftChars="-25" w:right="-53" w:rightChars="-25"/>
              <w:jc w:val="center"/>
              <w:rPr>
                <w:spacing w:val="-6"/>
              </w:rPr>
            </w:pPr>
          </w:p>
        </w:tc>
        <w:tc>
          <w:tcPr>
            <w:tcW w:w="256" w:type="pct"/>
            <w:vAlign w:val="center"/>
          </w:tcPr>
          <w:p w14:paraId="150385CE">
            <w:pPr>
              <w:ind w:left="-53" w:leftChars="-25" w:right="-53" w:rightChars="-25"/>
              <w:jc w:val="center"/>
              <w:rPr>
                <w:spacing w:val="-6"/>
              </w:rPr>
            </w:pPr>
            <w:r>
              <w:rPr>
                <w:spacing w:val="-6"/>
              </w:rPr>
              <w:t>100</w:t>
            </w:r>
          </w:p>
        </w:tc>
        <w:tc>
          <w:tcPr>
            <w:tcW w:w="808" w:type="pct"/>
            <w:vAlign w:val="center"/>
          </w:tcPr>
          <w:p w14:paraId="7DB60440">
            <w:pPr>
              <w:ind w:left="-53" w:leftChars="-25" w:right="-53" w:rightChars="-25"/>
              <w:jc w:val="center"/>
              <w:rPr>
                <w:spacing w:val="-6"/>
              </w:rPr>
            </w:pPr>
            <w:r>
              <w:rPr>
                <w:spacing w:val="-6"/>
              </w:rPr>
              <w:t>设立</w:t>
            </w:r>
          </w:p>
        </w:tc>
      </w:tr>
      <w:tr w14:paraId="3965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2794B7C8">
            <w:pPr>
              <w:ind w:left="-53" w:leftChars="-25" w:right="-53" w:rightChars="-25"/>
              <w:rPr>
                <w:spacing w:val="-6"/>
              </w:rPr>
            </w:pPr>
            <w:r>
              <w:rPr>
                <w:spacing w:val="-6"/>
              </w:rPr>
              <w:t>扬帆汽车私人有限公司</w:t>
            </w:r>
          </w:p>
        </w:tc>
        <w:tc>
          <w:tcPr>
            <w:tcW w:w="454" w:type="pct"/>
            <w:vAlign w:val="center"/>
          </w:tcPr>
          <w:p w14:paraId="01AA9151">
            <w:pPr>
              <w:ind w:left="-53" w:leftChars="-25" w:right="-53" w:rightChars="-25"/>
              <w:jc w:val="center"/>
              <w:rPr>
                <w:spacing w:val="-6"/>
              </w:rPr>
            </w:pPr>
            <w:r>
              <w:rPr>
                <w:spacing w:val="-6"/>
              </w:rPr>
              <w:t>埃塞俄比亚</w:t>
            </w:r>
          </w:p>
        </w:tc>
        <w:tc>
          <w:tcPr>
            <w:tcW w:w="779" w:type="pct"/>
            <w:vAlign w:val="center"/>
          </w:tcPr>
          <w:p w14:paraId="3C853259">
            <w:pPr>
              <w:ind w:left="-53" w:leftChars="-25" w:right="-53" w:rightChars="-25"/>
              <w:jc w:val="center"/>
              <w:rPr>
                <w:spacing w:val="-10"/>
              </w:rPr>
            </w:pPr>
            <w:r>
              <w:rPr>
                <w:spacing w:val="-10"/>
              </w:rPr>
              <w:t>2,000万埃塞俄比亚比尔</w:t>
            </w:r>
          </w:p>
        </w:tc>
        <w:tc>
          <w:tcPr>
            <w:tcW w:w="817" w:type="pct"/>
            <w:vAlign w:val="center"/>
          </w:tcPr>
          <w:p w14:paraId="166F6CAF">
            <w:pPr>
              <w:ind w:left="-53" w:leftChars="-25" w:right="-53" w:rightChars="-25"/>
              <w:jc w:val="center"/>
              <w:rPr>
                <w:spacing w:val="-10"/>
              </w:rPr>
            </w:pPr>
            <w:r>
              <w:rPr>
                <w:spacing w:val="-10"/>
              </w:rPr>
              <w:t>埃塞俄比亚亚的斯亚贝巴</w:t>
            </w:r>
          </w:p>
        </w:tc>
        <w:tc>
          <w:tcPr>
            <w:tcW w:w="359" w:type="pct"/>
            <w:vAlign w:val="center"/>
          </w:tcPr>
          <w:p w14:paraId="7498CE82">
            <w:pPr>
              <w:ind w:left="-53" w:leftChars="-25" w:right="-53" w:rightChars="-25"/>
              <w:jc w:val="center"/>
              <w:rPr>
                <w:spacing w:val="-6"/>
              </w:rPr>
            </w:pPr>
            <w:r>
              <w:rPr>
                <w:spacing w:val="-6"/>
              </w:rPr>
              <w:t>销售</w:t>
            </w:r>
          </w:p>
        </w:tc>
        <w:tc>
          <w:tcPr>
            <w:tcW w:w="205" w:type="pct"/>
            <w:vAlign w:val="center"/>
          </w:tcPr>
          <w:p w14:paraId="7918D5FB">
            <w:pPr>
              <w:ind w:left="-53" w:leftChars="-25" w:right="-53" w:rightChars="-25"/>
              <w:jc w:val="center"/>
              <w:rPr>
                <w:spacing w:val="-6"/>
              </w:rPr>
            </w:pPr>
          </w:p>
        </w:tc>
        <w:tc>
          <w:tcPr>
            <w:tcW w:w="256" w:type="pct"/>
            <w:vAlign w:val="center"/>
          </w:tcPr>
          <w:p w14:paraId="0C296398">
            <w:pPr>
              <w:ind w:left="-53" w:leftChars="-25" w:right="-53" w:rightChars="-25"/>
              <w:jc w:val="center"/>
              <w:rPr>
                <w:spacing w:val="-6"/>
              </w:rPr>
            </w:pPr>
            <w:r>
              <w:rPr>
                <w:spacing w:val="-6"/>
              </w:rPr>
              <w:t>100</w:t>
            </w:r>
          </w:p>
        </w:tc>
        <w:tc>
          <w:tcPr>
            <w:tcW w:w="808" w:type="pct"/>
            <w:vAlign w:val="center"/>
          </w:tcPr>
          <w:p w14:paraId="762FA17F">
            <w:pPr>
              <w:ind w:left="-53" w:leftChars="-25" w:right="-53" w:rightChars="-25"/>
              <w:jc w:val="center"/>
              <w:rPr>
                <w:spacing w:val="-6"/>
              </w:rPr>
            </w:pPr>
            <w:r>
              <w:rPr>
                <w:spacing w:val="-6"/>
              </w:rPr>
              <w:t>设立</w:t>
            </w:r>
          </w:p>
        </w:tc>
      </w:tr>
      <w:tr w14:paraId="00AD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7C0334B2">
            <w:pPr>
              <w:ind w:left="-53" w:leftChars="-25" w:right="-53" w:rightChars="-25"/>
              <w:rPr>
                <w:spacing w:val="-6"/>
              </w:rPr>
            </w:pPr>
            <w:r>
              <w:rPr>
                <w:spacing w:val="-6"/>
              </w:rPr>
              <w:t>重庆派方摩托车有限公司</w:t>
            </w:r>
          </w:p>
        </w:tc>
        <w:tc>
          <w:tcPr>
            <w:tcW w:w="454" w:type="pct"/>
            <w:vAlign w:val="center"/>
          </w:tcPr>
          <w:p w14:paraId="60B57BFD">
            <w:pPr>
              <w:ind w:left="-53" w:leftChars="-25" w:right="-53" w:rightChars="-25"/>
              <w:jc w:val="center"/>
              <w:rPr>
                <w:spacing w:val="-6"/>
              </w:rPr>
            </w:pPr>
            <w:r>
              <w:rPr>
                <w:spacing w:val="-6"/>
              </w:rPr>
              <w:t>重庆</w:t>
            </w:r>
          </w:p>
        </w:tc>
        <w:tc>
          <w:tcPr>
            <w:tcW w:w="779" w:type="pct"/>
            <w:vAlign w:val="center"/>
          </w:tcPr>
          <w:p w14:paraId="16B17715">
            <w:pPr>
              <w:ind w:left="-53" w:leftChars="-25" w:right="-53" w:rightChars="-25"/>
              <w:jc w:val="right"/>
              <w:rPr>
                <w:spacing w:val="-6"/>
              </w:rPr>
            </w:pPr>
            <w:r>
              <w:rPr>
                <w:spacing w:val="-6"/>
              </w:rPr>
              <w:t>1,000.00</w:t>
            </w:r>
          </w:p>
        </w:tc>
        <w:tc>
          <w:tcPr>
            <w:tcW w:w="817" w:type="pct"/>
            <w:vAlign w:val="center"/>
          </w:tcPr>
          <w:p w14:paraId="4FAE151E">
            <w:pPr>
              <w:ind w:left="-53" w:leftChars="-25" w:right="-53" w:rightChars="-25"/>
              <w:jc w:val="center"/>
              <w:rPr>
                <w:spacing w:val="-6"/>
              </w:rPr>
            </w:pPr>
            <w:r>
              <w:rPr>
                <w:spacing w:val="-6"/>
              </w:rPr>
              <w:t>重庆市北碚区</w:t>
            </w:r>
          </w:p>
        </w:tc>
        <w:tc>
          <w:tcPr>
            <w:tcW w:w="359" w:type="pct"/>
            <w:vAlign w:val="center"/>
          </w:tcPr>
          <w:p w14:paraId="37DB2A8A">
            <w:pPr>
              <w:ind w:left="-53" w:leftChars="-25" w:right="-53" w:rightChars="-25"/>
              <w:jc w:val="center"/>
              <w:rPr>
                <w:spacing w:val="-6"/>
              </w:rPr>
            </w:pPr>
            <w:r>
              <w:rPr>
                <w:spacing w:val="-6"/>
              </w:rPr>
              <w:t>销售</w:t>
            </w:r>
          </w:p>
        </w:tc>
        <w:tc>
          <w:tcPr>
            <w:tcW w:w="205" w:type="pct"/>
            <w:vAlign w:val="center"/>
          </w:tcPr>
          <w:p w14:paraId="0C9F818E">
            <w:pPr>
              <w:ind w:left="-53" w:leftChars="-25" w:right="-53" w:rightChars="-25"/>
              <w:jc w:val="center"/>
              <w:rPr>
                <w:spacing w:val="-6"/>
              </w:rPr>
            </w:pPr>
          </w:p>
        </w:tc>
        <w:tc>
          <w:tcPr>
            <w:tcW w:w="256" w:type="pct"/>
            <w:vAlign w:val="center"/>
          </w:tcPr>
          <w:p w14:paraId="3B41C03B">
            <w:pPr>
              <w:ind w:left="-53" w:leftChars="-25" w:right="-53" w:rightChars="-25"/>
              <w:jc w:val="center"/>
              <w:rPr>
                <w:spacing w:val="-6"/>
              </w:rPr>
            </w:pPr>
            <w:r>
              <w:rPr>
                <w:spacing w:val="-6"/>
              </w:rPr>
              <w:t>100</w:t>
            </w:r>
          </w:p>
        </w:tc>
        <w:tc>
          <w:tcPr>
            <w:tcW w:w="808" w:type="pct"/>
            <w:vAlign w:val="center"/>
          </w:tcPr>
          <w:p w14:paraId="6041E452">
            <w:pPr>
              <w:ind w:left="-53" w:leftChars="-25" w:right="-53" w:rightChars="-25"/>
              <w:jc w:val="center"/>
              <w:rPr>
                <w:spacing w:val="-6"/>
              </w:rPr>
            </w:pPr>
            <w:r>
              <w:rPr>
                <w:spacing w:val="-6"/>
              </w:rPr>
              <w:t>设立</w:t>
            </w:r>
          </w:p>
        </w:tc>
      </w:tr>
      <w:tr w14:paraId="557C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5A4F7B28">
            <w:pPr>
              <w:ind w:left="-53" w:leftChars="-25" w:right="-53" w:rightChars="-25"/>
              <w:rPr>
                <w:spacing w:val="-6"/>
              </w:rPr>
            </w:pPr>
            <w:r>
              <w:rPr>
                <w:spacing w:val="-6"/>
              </w:rPr>
              <w:t>重庆力帆速骓进出口贸易有限公司</w:t>
            </w:r>
          </w:p>
        </w:tc>
        <w:tc>
          <w:tcPr>
            <w:tcW w:w="454" w:type="pct"/>
            <w:vAlign w:val="center"/>
          </w:tcPr>
          <w:p w14:paraId="1D01DC25">
            <w:pPr>
              <w:ind w:left="-53" w:leftChars="-25" w:right="-53" w:rightChars="-25"/>
              <w:jc w:val="center"/>
              <w:rPr>
                <w:spacing w:val="-6"/>
              </w:rPr>
            </w:pPr>
            <w:r>
              <w:rPr>
                <w:spacing w:val="-6"/>
              </w:rPr>
              <w:t>重庆</w:t>
            </w:r>
          </w:p>
        </w:tc>
        <w:tc>
          <w:tcPr>
            <w:tcW w:w="779" w:type="pct"/>
            <w:vAlign w:val="center"/>
          </w:tcPr>
          <w:p w14:paraId="72E39D56">
            <w:pPr>
              <w:ind w:left="-53" w:leftChars="-25" w:right="-53" w:rightChars="-25"/>
              <w:jc w:val="right"/>
              <w:rPr>
                <w:spacing w:val="-6"/>
              </w:rPr>
            </w:pPr>
            <w:r>
              <w:rPr>
                <w:spacing w:val="-6"/>
              </w:rPr>
              <w:t>3,300.00</w:t>
            </w:r>
          </w:p>
        </w:tc>
        <w:tc>
          <w:tcPr>
            <w:tcW w:w="817" w:type="pct"/>
            <w:vAlign w:val="center"/>
          </w:tcPr>
          <w:p w14:paraId="420B9A6C">
            <w:pPr>
              <w:ind w:left="-53" w:leftChars="-25" w:right="-53" w:rightChars="-25"/>
              <w:jc w:val="center"/>
              <w:rPr>
                <w:spacing w:val="-6"/>
              </w:rPr>
            </w:pPr>
            <w:r>
              <w:rPr>
                <w:spacing w:val="-6"/>
              </w:rPr>
              <w:t>重庆市两江新区</w:t>
            </w:r>
          </w:p>
        </w:tc>
        <w:tc>
          <w:tcPr>
            <w:tcW w:w="359" w:type="pct"/>
            <w:vAlign w:val="center"/>
          </w:tcPr>
          <w:p w14:paraId="731BD2CD">
            <w:pPr>
              <w:ind w:left="-53" w:leftChars="-25" w:right="-53" w:rightChars="-25"/>
              <w:jc w:val="center"/>
              <w:rPr>
                <w:spacing w:val="-6"/>
              </w:rPr>
            </w:pPr>
            <w:r>
              <w:rPr>
                <w:spacing w:val="-6"/>
              </w:rPr>
              <w:t>销售</w:t>
            </w:r>
          </w:p>
        </w:tc>
        <w:tc>
          <w:tcPr>
            <w:tcW w:w="205" w:type="pct"/>
            <w:vAlign w:val="center"/>
          </w:tcPr>
          <w:p w14:paraId="56FF7BF8">
            <w:pPr>
              <w:ind w:left="-53" w:leftChars="-25" w:right="-53" w:rightChars="-25"/>
              <w:jc w:val="center"/>
              <w:rPr>
                <w:spacing w:val="-6"/>
              </w:rPr>
            </w:pPr>
          </w:p>
        </w:tc>
        <w:tc>
          <w:tcPr>
            <w:tcW w:w="256" w:type="pct"/>
            <w:vAlign w:val="center"/>
          </w:tcPr>
          <w:p w14:paraId="7EA93080">
            <w:pPr>
              <w:ind w:left="-53" w:leftChars="-25" w:right="-53" w:rightChars="-25"/>
              <w:jc w:val="center"/>
              <w:rPr>
                <w:spacing w:val="-6"/>
              </w:rPr>
            </w:pPr>
            <w:r>
              <w:rPr>
                <w:spacing w:val="-6"/>
              </w:rPr>
              <w:t>100</w:t>
            </w:r>
          </w:p>
        </w:tc>
        <w:tc>
          <w:tcPr>
            <w:tcW w:w="808" w:type="pct"/>
            <w:vAlign w:val="center"/>
          </w:tcPr>
          <w:p w14:paraId="360A2BA3">
            <w:pPr>
              <w:ind w:left="-53" w:leftChars="-25" w:right="-53" w:rightChars="-25"/>
              <w:jc w:val="center"/>
              <w:rPr>
                <w:spacing w:val="-6"/>
              </w:rPr>
            </w:pPr>
            <w:r>
              <w:rPr>
                <w:spacing w:val="-6"/>
              </w:rPr>
              <w:t>设立</w:t>
            </w:r>
          </w:p>
        </w:tc>
      </w:tr>
      <w:tr w14:paraId="0828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5B2E3B2B">
            <w:pPr>
              <w:ind w:left="-53" w:leftChars="-25" w:right="-53" w:rightChars="-25"/>
              <w:rPr>
                <w:spacing w:val="-6"/>
              </w:rPr>
            </w:pPr>
            <w:r>
              <w:rPr>
                <w:spacing w:val="-6"/>
              </w:rPr>
              <w:t>重庆力帆内燃机有限公司</w:t>
            </w:r>
          </w:p>
        </w:tc>
        <w:tc>
          <w:tcPr>
            <w:tcW w:w="454" w:type="pct"/>
            <w:vAlign w:val="center"/>
          </w:tcPr>
          <w:p w14:paraId="57C73711">
            <w:pPr>
              <w:ind w:left="-53" w:leftChars="-25" w:right="-53" w:rightChars="-25"/>
              <w:jc w:val="center"/>
              <w:rPr>
                <w:spacing w:val="-6"/>
              </w:rPr>
            </w:pPr>
            <w:r>
              <w:rPr>
                <w:spacing w:val="-6"/>
              </w:rPr>
              <w:t>重庆</w:t>
            </w:r>
          </w:p>
        </w:tc>
        <w:tc>
          <w:tcPr>
            <w:tcW w:w="779" w:type="pct"/>
            <w:vAlign w:val="center"/>
          </w:tcPr>
          <w:p w14:paraId="74E8D0D4">
            <w:pPr>
              <w:ind w:left="-53" w:leftChars="-25" w:right="-53" w:rightChars="-25"/>
              <w:jc w:val="right"/>
              <w:rPr>
                <w:spacing w:val="-6"/>
              </w:rPr>
            </w:pPr>
            <w:r>
              <w:rPr>
                <w:spacing w:val="-6"/>
              </w:rPr>
              <w:t>10,000.00</w:t>
            </w:r>
          </w:p>
        </w:tc>
        <w:tc>
          <w:tcPr>
            <w:tcW w:w="817" w:type="pct"/>
            <w:vAlign w:val="center"/>
          </w:tcPr>
          <w:p w14:paraId="7A6EC6BA">
            <w:pPr>
              <w:ind w:left="-53" w:leftChars="-25" w:right="-53" w:rightChars="-25"/>
              <w:jc w:val="center"/>
              <w:rPr>
                <w:spacing w:val="-6"/>
              </w:rPr>
            </w:pPr>
            <w:r>
              <w:rPr>
                <w:spacing w:val="-6"/>
              </w:rPr>
              <w:t>重庆市北部新区</w:t>
            </w:r>
          </w:p>
        </w:tc>
        <w:tc>
          <w:tcPr>
            <w:tcW w:w="359" w:type="pct"/>
            <w:vAlign w:val="center"/>
          </w:tcPr>
          <w:p w14:paraId="6B2D2E95">
            <w:pPr>
              <w:ind w:left="-53" w:leftChars="-25" w:right="-53" w:rightChars="-25"/>
              <w:jc w:val="center"/>
              <w:rPr>
                <w:spacing w:val="-6"/>
              </w:rPr>
            </w:pPr>
            <w:r>
              <w:rPr>
                <w:spacing w:val="-6"/>
              </w:rPr>
              <w:t>制造</w:t>
            </w:r>
          </w:p>
        </w:tc>
        <w:tc>
          <w:tcPr>
            <w:tcW w:w="205" w:type="pct"/>
            <w:vAlign w:val="center"/>
          </w:tcPr>
          <w:p w14:paraId="51192C65">
            <w:pPr>
              <w:ind w:left="-53" w:leftChars="-25" w:right="-53" w:rightChars="-25"/>
              <w:jc w:val="center"/>
              <w:rPr>
                <w:spacing w:val="-6"/>
              </w:rPr>
            </w:pPr>
          </w:p>
        </w:tc>
        <w:tc>
          <w:tcPr>
            <w:tcW w:w="256" w:type="pct"/>
            <w:vAlign w:val="center"/>
          </w:tcPr>
          <w:p w14:paraId="736DD717">
            <w:pPr>
              <w:ind w:left="-53" w:leftChars="-25" w:right="-53" w:rightChars="-25"/>
              <w:jc w:val="center"/>
              <w:rPr>
                <w:spacing w:val="-6"/>
              </w:rPr>
            </w:pPr>
            <w:r>
              <w:rPr>
                <w:spacing w:val="-6"/>
              </w:rPr>
              <w:t>100</w:t>
            </w:r>
          </w:p>
        </w:tc>
        <w:tc>
          <w:tcPr>
            <w:tcW w:w="808" w:type="pct"/>
            <w:vAlign w:val="center"/>
          </w:tcPr>
          <w:p w14:paraId="304F2C01">
            <w:pPr>
              <w:ind w:left="-53" w:leftChars="-25" w:right="-53" w:rightChars="-25"/>
              <w:jc w:val="center"/>
              <w:rPr>
                <w:spacing w:val="-6"/>
              </w:rPr>
            </w:pPr>
            <w:r>
              <w:rPr>
                <w:spacing w:val="-6"/>
              </w:rPr>
              <w:t>非同一控制下企业合并</w:t>
            </w:r>
          </w:p>
        </w:tc>
      </w:tr>
      <w:tr w14:paraId="4700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776277E1">
            <w:pPr>
              <w:ind w:left="-53" w:leftChars="-25" w:right="-53" w:rightChars="-25"/>
              <w:rPr>
                <w:spacing w:val="-6"/>
              </w:rPr>
            </w:pPr>
            <w:r>
              <w:rPr>
                <w:spacing w:val="-6"/>
              </w:rPr>
              <w:t>重庆睿蓝汽车科技有限公司</w:t>
            </w:r>
          </w:p>
        </w:tc>
        <w:tc>
          <w:tcPr>
            <w:tcW w:w="454" w:type="pct"/>
            <w:vAlign w:val="center"/>
          </w:tcPr>
          <w:p w14:paraId="30BF876D">
            <w:pPr>
              <w:ind w:left="-53" w:leftChars="-25" w:right="-53" w:rightChars="-25"/>
              <w:jc w:val="center"/>
              <w:rPr>
                <w:spacing w:val="-6"/>
              </w:rPr>
            </w:pPr>
            <w:r>
              <w:rPr>
                <w:spacing w:val="-6"/>
              </w:rPr>
              <w:t>重庆</w:t>
            </w:r>
          </w:p>
        </w:tc>
        <w:tc>
          <w:tcPr>
            <w:tcW w:w="779" w:type="pct"/>
            <w:vAlign w:val="center"/>
          </w:tcPr>
          <w:p w14:paraId="24BBB35C">
            <w:pPr>
              <w:ind w:left="-53" w:leftChars="-25" w:right="-53" w:rightChars="-25"/>
              <w:jc w:val="right"/>
              <w:rPr>
                <w:spacing w:val="-6"/>
              </w:rPr>
            </w:pPr>
            <w:r>
              <w:rPr>
                <w:spacing w:val="-6"/>
              </w:rPr>
              <w:t>145,000.00</w:t>
            </w:r>
          </w:p>
        </w:tc>
        <w:tc>
          <w:tcPr>
            <w:tcW w:w="817" w:type="pct"/>
            <w:vAlign w:val="center"/>
          </w:tcPr>
          <w:p w14:paraId="272E60C8">
            <w:pPr>
              <w:ind w:left="-53" w:leftChars="-25" w:right="-53" w:rightChars="-25"/>
              <w:jc w:val="center"/>
              <w:rPr>
                <w:spacing w:val="-6"/>
              </w:rPr>
            </w:pPr>
            <w:r>
              <w:rPr>
                <w:spacing w:val="-6"/>
              </w:rPr>
              <w:t>重庆市渝北区</w:t>
            </w:r>
          </w:p>
        </w:tc>
        <w:tc>
          <w:tcPr>
            <w:tcW w:w="359" w:type="pct"/>
            <w:vAlign w:val="center"/>
          </w:tcPr>
          <w:p w14:paraId="6559D983">
            <w:pPr>
              <w:ind w:left="-53" w:leftChars="-25" w:right="-53" w:rightChars="-25"/>
              <w:jc w:val="center"/>
              <w:rPr>
                <w:spacing w:val="-6"/>
              </w:rPr>
            </w:pPr>
            <w:r>
              <w:rPr>
                <w:spacing w:val="-6"/>
              </w:rPr>
              <w:t>销售</w:t>
            </w:r>
          </w:p>
        </w:tc>
        <w:tc>
          <w:tcPr>
            <w:tcW w:w="205" w:type="pct"/>
            <w:vAlign w:val="center"/>
          </w:tcPr>
          <w:p w14:paraId="486F61F2">
            <w:pPr>
              <w:ind w:left="-53" w:leftChars="-25" w:right="-53" w:rightChars="-25"/>
              <w:jc w:val="center"/>
              <w:rPr>
                <w:spacing w:val="-6"/>
              </w:rPr>
            </w:pPr>
            <w:r>
              <w:rPr>
                <w:spacing w:val="-6"/>
              </w:rPr>
              <w:t>55</w:t>
            </w:r>
          </w:p>
        </w:tc>
        <w:tc>
          <w:tcPr>
            <w:tcW w:w="256" w:type="pct"/>
            <w:vAlign w:val="center"/>
          </w:tcPr>
          <w:p w14:paraId="23C77098">
            <w:pPr>
              <w:ind w:left="-53" w:leftChars="-25" w:right="-53" w:rightChars="-25"/>
              <w:jc w:val="center"/>
              <w:rPr>
                <w:spacing w:val="-6"/>
              </w:rPr>
            </w:pPr>
          </w:p>
        </w:tc>
        <w:tc>
          <w:tcPr>
            <w:tcW w:w="808" w:type="pct"/>
            <w:vAlign w:val="center"/>
          </w:tcPr>
          <w:p w14:paraId="62EC9686">
            <w:pPr>
              <w:ind w:left="-53" w:leftChars="-25" w:right="-53" w:rightChars="-25"/>
              <w:jc w:val="center"/>
              <w:rPr>
                <w:spacing w:val="-6"/>
              </w:rPr>
            </w:pPr>
            <w:r>
              <w:rPr>
                <w:spacing w:val="-6"/>
              </w:rPr>
              <w:t>设立</w:t>
            </w:r>
          </w:p>
        </w:tc>
      </w:tr>
      <w:tr w14:paraId="3246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68BBB00E">
            <w:pPr>
              <w:ind w:left="-53" w:leftChars="-25" w:right="-53" w:rightChars="-25"/>
              <w:rPr>
                <w:spacing w:val="-6"/>
              </w:rPr>
            </w:pPr>
            <w:r>
              <w:rPr>
                <w:spacing w:val="-6"/>
              </w:rPr>
              <w:t>重庆睿蓝汽车研究院有限公司</w:t>
            </w:r>
          </w:p>
        </w:tc>
        <w:tc>
          <w:tcPr>
            <w:tcW w:w="454" w:type="pct"/>
            <w:vAlign w:val="center"/>
          </w:tcPr>
          <w:p w14:paraId="0931D75D">
            <w:pPr>
              <w:ind w:left="-53" w:leftChars="-25" w:right="-53" w:rightChars="-25"/>
              <w:jc w:val="center"/>
              <w:rPr>
                <w:spacing w:val="-6"/>
              </w:rPr>
            </w:pPr>
            <w:r>
              <w:rPr>
                <w:spacing w:val="-6"/>
              </w:rPr>
              <w:t>重庆</w:t>
            </w:r>
          </w:p>
        </w:tc>
        <w:tc>
          <w:tcPr>
            <w:tcW w:w="779" w:type="pct"/>
            <w:vAlign w:val="center"/>
          </w:tcPr>
          <w:p w14:paraId="5BFCE24B">
            <w:pPr>
              <w:ind w:left="-53" w:leftChars="-25" w:right="-53" w:rightChars="-25"/>
              <w:jc w:val="right"/>
              <w:rPr>
                <w:spacing w:val="-6"/>
              </w:rPr>
            </w:pPr>
            <w:r>
              <w:rPr>
                <w:spacing w:val="-6"/>
              </w:rPr>
              <w:t>21,800.00</w:t>
            </w:r>
          </w:p>
        </w:tc>
        <w:tc>
          <w:tcPr>
            <w:tcW w:w="817" w:type="pct"/>
            <w:vAlign w:val="center"/>
          </w:tcPr>
          <w:p w14:paraId="4A17C320">
            <w:pPr>
              <w:ind w:left="-53" w:leftChars="-25" w:right="-53" w:rightChars="-25"/>
              <w:jc w:val="center"/>
              <w:rPr>
                <w:spacing w:val="-6"/>
              </w:rPr>
            </w:pPr>
            <w:r>
              <w:rPr>
                <w:spacing w:val="-6"/>
              </w:rPr>
              <w:t>重庆市渝北区</w:t>
            </w:r>
          </w:p>
        </w:tc>
        <w:tc>
          <w:tcPr>
            <w:tcW w:w="359" w:type="pct"/>
            <w:vAlign w:val="center"/>
          </w:tcPr>
          <w:p w14:paraId="06761C13">
            <w:pPr>
              <w:ind w:left="-53" w:leftChars="-25" w:right="-53" w:rightChars="-25"/>
              <w:jc w:val="center"/>
              <w:rPr>
                <w:spacing w:val="-6"/>
              </w:rPr>
            </w:pPr>
            <w:r>
              <w:rPr>
                <w:spacing w:val="-6"/>
              </w:rPr>
              <w:t>研发</w:t>
            </w:r>
          </w:p>
        </w:tc>
        <w:tc>
          <w:tcPr>
            <w:tcW w:w="205" w:type="pct"/>
            <w:vAlign w:val="center"/>
          </w:tcPr>
          <w:p w14:paraId="1E6D7AA2">
            <w:pPr>
              <w:ind w:left="-53" w:leftChars="-25" w:right="-53" w:rightChars="-25"/>
              <w:jc w:val="center"/>
              <w:rPr>
                <w:spacing w:val="-6"/>
              </w:rPr>
            </w:pPr>
          </w:p>
        </w:tc>
        <w:tc>
          <w:tcPr>
            <w:tcW w:w="256" w:type="pct"/>
            <w:vAlign w:val="center"/>
          </w:tcPr>
          <w:p w14:paraId="7AEC7D7B">
            <w:pPr>
              <w:ind w:left="-53" w:leftChars="-25" w:right="-53" w:rightChars="-25"/>
              <w:jc w:val="center"/>
              <w:rPr>
                <w:spacing w:val="-6"/>
              </w:rPr>
            </w:pPr>
            <w:r>
              <w:rPr>
                <w:spacing w:val="-6"/>
              </w:rPr>
              <w:t>55</w:t>
            </w:r>
          </w:p>
        </w:tc>
        <w:tc>
          <w:tcPr>
            <w:tcW w:w="808" w:type="pct"/>
            <w:vAlign w:val="center"/>
          </w:tcPr>
          <w:p w14:paraId="20F1814C">
            <w:pPr>
              <w:ind w:left="-53" w:leftChars="-25" w:right="-53" w:rightChars="-25"/>
              <w:jc w:val="center"/>
              <w:rPr>
                <w:spacing w:val="-6"/>
              </w:rPr>
            </w:pPr>
            <w:r>
              <w:rPr>
                <w:spacing w:val="-6"/>
              </w:rPr>
              <w:t>设立</w:t>
            </w:r>
          </w:p>
        </w:tc>
      </w:tr>
      <w:tr w14:paraId="6A62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178129F6">
            <w:pPr>
              <w:ind w:left="-53" w:leftChars="-25" w:right="-53" w:rightChars="-25"/>
              <w:rPr>
                <w:spacing w:val="-6"/>
              </w:rPr>
            </w:pPr>
            <w:r>
              <w:rPr>
                <w:spacing w:val="-6"/>
              </w:rPr>
              <w:t>重庆睿蓝汽车销售有限公司</w:t>
            </w:r>
          </w:p>
        </w:tc>
        <w:tc>
          <w:tcPr>
            <w:tcW w:w="454" w:type="pct"/>
            <w:vAlign w:val="center"/>
          </w:tcPr>
          <w:p w14:paraId="263D27E4">
            <w:pPr>
              <w:ind w:left="-53" w:leftChars="-25" w:right="-53" w:rightChars="-25"/>
              <w:jc w:val="center"/>
              <w:rPr>
                <w:spacing w:val="-6"/>
              </w:rPr>
            </w:pPr>
            <w:r>
              <w:rPr>
                <w:spacing w:val="-6"/>
              </w:rPr>
              <w:t>重庆</w:t>
            </w:r>
          </w:p>
        </w:tc>
        <w:tc>
          <w:tcPr>
            <w:tcW w:w="779" w:type="pct"/>
            <w:vAlign w:val="center"/>
          </w:tcPr>
          <w:p w14:paraId="36958E13">
            <w:pPr>
              <w:ind w:left="-53" w:leftChars="-25" w:right="-53" w:rightChars="-25"/>
              <w:jc w:val="right"/>
              <w:rPr>
                <w:spacing w:val="-6"/>
              </w:rPr>
            </w:pPr>
            <w:r>
              <w:rPr>
                <w:spacing w:val="-6"/>
              </w:rPr>
              <w:t>10,000.00</w:t>
            </w:r>
          </w:p>
        </w:tc>
        <w:tc>
          <w:tcPr>
            <w:tcW w:w="817" w:type="pct"/>
            <w:vAlign w:val="center"/>
          </w:tcPr>
          <w:p w14:paraId="7ACCCC2F">
            <w:pPr>
              <w:ind w:left="-53" w:leftChars="-25" w:right="-53" w:rightChars="-25"/>
              <w:jc w:val="center"/>
              <w:rPr>
                <w:spacing w:val="-6"/>
              </w:rPr>
            </w:pPr>
            <w:r>
              <w:rPr>
                <w:spacing w:val="-6"/>
              </w:rPr>
              <w:t>重庆市渝北区</w:t>
            </w:r>
          </w:p>
        </w:tc>
        <w:tc>
          <w:tcPr>
            <w:tcW w:w="359" w:type="pct"/>
            <w:vAlign w:val="center"/>
          </w:tcPr>
          <w:p w14:paraId="38A93843">
            <w:pPr>
              <w:ind w:left="-53" w:leftChars="-25" w:right="-53" w:rightChars="-25"/>
              <w:jc w:val="center"/>
              <w:rPr>
                <w:spacing w:val="-6"/>
              </w:rPr>
            </w:pPr>
            <w:r>
              <w:rPr>
                <w:spacing w:val="-6"/>
              </w:rPr>
              <w:t>销售</w:t>
            </w:r>
          </w:p>
        </w:tc>
        <w:tc>
          <w:tcPr>
            <w:tcW w:w="205" w:type="pct"/>
            <w:vAlign w:val="center"/>
          </w:tcPr>
          <w:p w14:paraId="313A1608">
            <w:pPr>
              <w:ind w:left="-53" w:leftChars="-25" w:right="-53" w:rightChars="-25"/>
              <w:jc w:val="center"/>
              <w:rPr>
                <w:spacing w:val="-6"/>
              </w:rPr>
            </w:pPr>
          </w:p>
        </w:tc>
        <w:tc>
          <w:tcPr>
            <w:tcW w:w="256" w:type="pct"/>
            <w:vAlign w:val="center"/>
          </w:tcPr>
          <w:p w14:paraId="37A9E834">
            <w:pPr>
              <w:ind w:left="-53" w:leftChars="-25" w:right="-53" w:rightChars="-25"/>
              <w:jc w:val="center"/>
              <w:rPr>
                <w:spacing w:val="-6"/>
              </w:rPr>
            </w:pPr>
            <w:r>
              <w:rPr>
                <w:spacing w:val="-6"/>
              </w:rPr>
              <w:t>55</w:t>
            </w:r>
          </w:p>
        </w:tc>
        <w:tc>
          <w:tcPr>
            <w:tcW w:w="808" w:type="pct"/>
            <w:vAlign w:val="center"/>
          </w:tcPr>
          <w:p w14:paraId="54BCA1C7">
            <w:pPr>
              <w:ind w:left="-53" w:leftChars="-25" w:right="-53" w:rightChars="-25"/>
              <w:jc w:val="center"/>
              <w:rPr>
                <w:spacing w:val="-6"/>
              </w:rPr>
            </w:pPr>
            <w:r>
              <w:rPr>
                <w:spacing w:val="-6"/>
              </w:rPr>
              <w:t>设立</w:t>
            </w:r>
          </w:p>
        </w:tc>
      </w:tr>
      <w:tr w14:paraId="5616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33085980">
            <w:pPr>
              <w:ind w:left="-53" w:leftChars="-25" w:right="-53" w:rightChars="-25"/>
              <w:rPr>
                <w:spacing w:val="-6"/>
              </w:rPr>
            </w:pPr>
            <w:r>
              <w:rPr>
                <w:spacing w:val="-6"/>
              </w:rPr>
              <w:t>重庆睿蓝汽车进出口有限公司</w:t>
            </w:r>
          </w:p>
        </w:tc>
        <w:tc>
          <w:tcPr>
            <w:tcW w:w="454" w:type="pct"/>
            <w:vAlign w:val="center"/>
          </w:tcPr>
          <w:p w14:paraId="5FF3247F">
            <w:pPr>
              <w:ind w:left="-53" w:leftChars="-25" w:right="-53" w:rightChars="-25"/>
              <w:jc w:val="center"/>
              <w:rPr>
                <w:spacing w:val="-6"/>
              </w:rPr>
            </w:pPr>
            <w:r>
              <w:rPr>
                <w:spacing w:val="-6"/>
              </w:rPr>
              <w:t>重庆</w:t>
            </w:r>
          </w:p>
        </w:tc>
        <w:tc>
          <w:tcPr>
            <w:tcW w:w="779" w:type="pct"/>
            <w:vAlign w:val="center"/>
          </w:tcPr>
          <w:p w14:paraId="6CF428D5">
            <w:pPr>
              <w:ind w:left="-53" w:leftChars="-25" w:right="-53" w:rightChars="-25"/>
              <w:jc w:val="right"/>
              <w:rPr>
                <w:spacing w:val="-6"/>
              </w:rPr>
            </w:pPr>
            <w:r>
              <w:rPr>
                <w:spacing w:val="-6"/>
              </w:rPr>
              <w:t>6,000.00</w:t>
            </w:r>
          </w:p>
        </w:tc>
        <w:tc>
          <w:tcPr>
            <w:tcW w:w="817" w:type="pct"/>
            <w:vAlign w:val="center"/>
          </w:tcPr>
          <w:p w14:paraId="23933A1F">
            <w:pPr>
              <w:ind w:left="-53" w:leftChars="-25" w:right="-53" w:rightChars="-25"/>
              <w:jc w:val="center"/>
              <w:rPr>
                <w:spacing w:val="-6"/>
              </w:rPr>
            </w:pPr>
            <w:r>
              <w:rPr>
                <w:spacing w:val="-6"/>
              </w:rPr>
              <w:t>重庆市沙坪坝区</w:t>
            </w:r>
          </w:p>
        </w:tc>
        <w:tc>
          <w:tcPr>
            <w:tcW w:w="359" w:type="pct"/>
            <w:vAlign w:val="center"/>
          </w:tcPr>
          <w:p w14:paraId="098D2FF0">
            <w:pPr>
              <w:ind w:left="-53" w:leftChars="-25" w:right="-53" w:rightChars="-25"/>
              <w:jc w:val="center"/>
              <w:rPr>
                <w:spacing w:val="-6"/>
              </w:rPr>
            </w:pPr>
            <w:r>
              <w:rPr>
                <w:spacing w:val="-6"/>
              </w:rPr>
              <w:t>销售</w:t>
            </w:r>
          </w:p>
        </w:tc>
        <w:tc>
          <w:tcPr>
            <w:tcW w:w="205" w:type="pct"/>
            <w:vAlign w:val="center"/>
          </w:tcPr>
          <w:p w14:paraId="3C9F8043">
            <w:pPr>
              <w:ind w:left="-53" w:leftChars="-25" w:right="-53" w:rightChars="-25"/>
              <w:jc w:val="center"/>
              <w:rPr>
                <w:spacing w:val="-6"/>
              </w:rPr>
            </w:pPr>
          </w:p>
        </w:tc>
        <w:tc>
          <w:tcPr>
            <w:tcW w:w="256" w:type="pct"/>
            <w:vAlign w:val="center"/>
          </w:tcPr>
          <w:p w14:paraId="7D3C1F9F">
            <w:pPr>
              <w:ind w:left="-53" w:leftChars="-25" w:right="-53" w:rightChars="-25"/>
              <w:jc w:val="center"/>
              <w:rPr>
                <w:spacing w:val="-6"/>
              </w:rPr>
            </w:pPr>
            <w:r>
              <w:rPr>
                <w:spacing w:val="-6"/>
              </w:rPr>
              <w:t>55</w:t>
            </w:r>
          </w:p>
        </w:tc>
        <w:tc>
          <w:tcPr>
            <w:tcW w:w="808" w:type="pct"/>
            <w:vAlign w:val="center"/>
          </w:tcPr>
          <w:p w14:paraId="69943E70">
            <w:pPr>
              <w:ind w:left="-53" w:leftChars="-25" w:right="-53" w:rightChars="-25"/>
              <w:jc w:val="center"/>
              <w:rPr>
                <w:spacing w:val="-6"/>
              </w:rPr>
            </w:pPr>
            <w:r>
              <w:rPr>
                <w:spacing w:val="-6"/>
              </w:rPr>
              <w:t>设立</w:t>
            </w:r>
          </w:p>
        </w:tc>
      </w:tr>
      <w:tr w14:paraId="6510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15A2F476">
            <w:pPr>
              <w:ind w:left="-53" w:leftChars="-25" w:right="-53" w:rightChars="-25"/>
              <w:rPr>
                <w:spacing w:val="-6"/>
              </w:rPr>
            </w:pPr>
            <w:r>
              <w:rPr>
                <w:spacing w:val="-6"/>
              </w:rPr>
              <w:t>重庆无线绿洲通信技术有限公司</w:t>
            </w:r>
          </w:p>
        </w:tc>
        <w:tc>
          <w:tcPr>
            <w:tcW w:w="454" w:type="pct"/>
            <w:vAlign w:val="center"/>
          </w:tcPr>
          <w:p w14:paraId="7FCD0038">
            <w:pPr>
              <w:ind w:left="-53" w:leftChars="-25" w:right="-53" w:rightChars="-25"/>
              <w:jc w:val="center"/>
              <w:rPr>
                <w:spacing w:val="-6"/>
              </w:rPr>
            </w:pPr>
            <w:r>
              <w:rPr>
                <w:spacing w:val="-6"/>
              </w:rPr>
              <w:t>重庆</w:t>
            </w:r>
          </w:p>
        </w:tc>
        <w:tc>
          <w:tcPr>
            <w:tcW w:w="779" w:type="pct"/>
            <w:vAlign w:val="center"/>
          </w:tcPr>
          <w:p w14:paraId="61D373AD">
            <w:pPr>
              <w:ind w:left="-53" w:leftChars="-25" w:right="-53" w:rightChars="-25"/>
              <w:jc w:val="right"/>
              <w:rPr>
                <w:spacing w:val="-6"/>
              </w:rPr>
            </w:pPr>
            <w:r>
              <w:rPr>
                <w:spacing w:val="-6"/>
              </w:rPr>
              <w:t>1,344.44</w:t>
            </w:r>
          </w:p>
        </w:tc>
        <w:tc>
          <w:tcPr>
            <w:tcW w:w="817" w:type="pct"/>
            <w:vAlign w:val="center"/>
          </w:tcPr>
          <w:p w14:paraId="1080B447">
            <w:pPr>
              <w:ind w:left="-53" w:leftChars="-25" w:right="-53" w:rightChars="-25"/>
              <w:jc w:val="center"/>
              <w:rPr>
                <w:spacing w:val="-6"/>
              </w:rPr>
            </w:pPr>
            <w:r>
              <w:rPr>
                <w:spacing w:val="-6"/>
              </w:rPr>
              <w:t>重庆市北碚区</w:t>
            </w:r>
          </w:p>
        </w:tc>
        <w:tc>
          <w:tcPr>
            <w:tcW w:w="359" w:type="pct"/>
            <w:vAlign w:val="center"/>
          </w:tcPr>
          <w:p w14:paraId="284AD26F">
            <w:pPr>
              <w:ind w:left="-53" w:leftChars="-25" w:right="-53" w:rightChars="-25"/>
              <w:jc w:val="center"/>
              <w:rPr>
                <w:spacing w:val="-6"/>
              </w:rPr>
            </w:pPr>
            <w:r>
              <w:rPr>
                <w:spacing w:val="-6"/>
              </w:rPr>
              <w:t>服务</w:t>
            </w:r>
          </w:p>
        </w:tc>
        <w:tc>
          <w:tcPr>
            <w:tcW w:w="205" w:type="pct"/>
            <w:vAlign w:val="center"/>
          </w:tcPr>
          <w:p w14:paraId="1F0650CB">
            <w:pPr>
              <w:ind w:left="-53" w:leftChars="-25" w:right="-53" w:rightChars="-25"/>
              <w:jc w:val="center"/>
              <w:rPr>
                <w:spacing w:val="-6"/>
              </w:rPr>
            </w:pPr>
            <w:r>
              <w:rPr>
                <w:spacing w:val="-6"/>
              </w:rPr>
              <w:t>100</w:t>
            </w:r>
          </w:p>
        </w:tc>
        <w:tc>
          <w:tcPr>
            <w:tcW w:w="256" w:type="pct"/>
            <w:vAlign w:val="center"/>
          </w:tcPr>
          <w:p w14:paraId="1509E520">
            <w:pPr>
              <w:ind w:left="-53" w:leftChars="-25" w:right="-53" w:rightChars="-25"/>
              <w:jc w:val="center"/>
              <w:rPr>
                <w:spacing w:val="-6"/>
              </w:rPr>
            </w:pPr>
          </w:p>
        </w:tc>
        <w:tc>
          <w:tcPr>
            <w:tcW w:w="808" w:type="pct"/>
            <w:vAlign w:val="center"/>
          </w:tcPr>
          <w:p w14:paraId="14CF9AC7">
            <w:pPr>
              <w:ind w:left="-53" w:leftChars="-25" w:right="-53" w:rightChars="-25"/>
              <w:jc w:val="center"/>
              <w:rPr>
                <w:spacing w:val="-6"/>
              </w:rPr>
            </w:pPr>
            <w:r>
              <w:rPr>
                <w:spacing w:val="-6"/>
              </w:rPr>
              <w:t>非同一控制下企业合并</w:t>
            </w:r>
          </w:p>
        </w:tc>
      </w:tr>
      <w:tr w14:paraId="7BD5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35D9B96D">
            <w:pPr>
              <w:ind w:left="-53" w:leftChars="-25" w:right="-53" w:rightChars="-25"/>
              <w:rPr>
                <w:spacing w:val="-6"/>
              </w:rPr>
            </w:pPr>
            <w:r>
              <w:rPr>
                <w:spacing w:val="-6"/>
              </w:rPr>
              <w:t>北京无线绿洲通信技术有限公司</w:t>
            </w:r>
          </w:p>
        </w:tc>
        <w:tc>
          <w:tcPr>
            <w:tcW w:w="454" w:type="pct"/>
            <w:vAlign w:val="center"/>
          </w:tcPr>
          <w:p w14:paraId="18B9C88F">
            <w:pPr>
              <w:ind w:left="-53" w:leftChars="-25" w:right="-53" w:rightChars="-25"/>
              <w:jc w:val="center"/>
              <w:rPr>
                <w:spacing w:val="-6"/>
              </w:rPr>
            </w:pPr>
            <w:r>
              <w:rPr>
                <w:spacing w:val="-6"/>
              </w:rPr>
              <w:t>北京</w:t>
            </w:r>
          </w:p>
        </w:tc>
        <w:tc>
          <w:tcPr>
            <w:tcW w:w="779" w:type="pct"/>
            <w:vAlign w:val="center"/>
          </w:tcPr>
          <w:p w14:paraId="3EF79025">
            <w:pPr>
              <w:ind w:left="-53" w:leftChars="-25" w:right="-53" w:rightChars="-25"/>
              <w:jc w:val="right"/>
              <w:rPr>
                <w:spacing w:val="-6"/>
              </w:rPr>
            </w:pPr>
            <w:r>
              <w:rPr>
                <w:spacing w:val="-6"/>
              </w:rPr>
              <w:t>100</w:t>
            </w:r>
          </w:p>
        </w:tc>
        <w:tc>
          <w:tcPr>
            <w:tcW w:w="817" w:type="pct"/>
            <w:vAlign w:val="center"/>
          </w:tcPr>
          <w:p w14:paraId="146F017B">
            <w:pPr>
              <w:ind w:left="-53" w:leftChars="-25" w:right="-53" w:rightChars="-25"/>
              <w:jc w:val="center"/>
              <w:rPr>
                <w:spacing w:val="-6"/>
              </w:rPr>
            </w:pPr>
            <w:r>
              <w:rPr>
                <w:spacing w:val="-6"/>
              </w:rPr>
              <w:t>北京市朝阳区</w:t>
            </w:r>
          </w:p>
        </w:tc>
        <w:tc>
          <w:tcPr>
            <w:tcW w:w="359" w:type="pct"/>
            <w:vAlign w:val="center"/>
          </w:tcPr>
          <w:p w14:paraId="1CAF5274">
            <w:pPr>
              <w:ind w:left="-53" w:leftChars="-25" w:right="-53" w:rightChars="-25"/>
              <w:jc w:val="center"/>
              <w:rPr>
                <w:spacing w:val="-6"/>
              </w:rPr>
            </w:pPr>
            <w:r>
              <w:rPr>
                <w:spacing w:val="-6"/>
              </w:rPr>
              <w:t>服务</w:t>
            </w:r>
          </w:p>
        </w:tc>
        <w:tc>
          <w:tcPr>
            <w:tcW w:w="205" w:type="pct"/>
            <w:vAlign w:val="center"/>
          </w:tcPr>
          <w:p w14:paraId="2F078927">
            <w:pPr>
              <w:ind w:left="-53" w:leftChars="-25" w:right="-53" w:rightChars="-25"/>
              <w:jc w:val="center"/>
              <w:rPr>
                <w:spacing w:val="-6"/>
              </w:rPr>
            </w:pPr>
          </w:p>
        </w:tc>
        <w:tc>
          <w:tcPr>
            <w:tcW w:w="256" w:type="pct"/>
            <w:vAlign w:val="center"/>
          </w:tcPr>
          <w:p w14:paraId="3178A984">
            <w:pPr>
              <w:ind w:left="-53" w:leftChars="-25" w:right="-53" w:rightChars="-25"/>
              <w:jc w:val="center"/>
              <w:rPr>
                <w:spacing w:val="-6"/>
              </w:rPr>
            </w:pPr>
            <w:r>
              <w:rPr>
                <w:spacing w:val="-6"/>
              </w:rPr>
              <w:t>100</w:t>
            </w:r>
          </w:p>
        </w:tc>
        <w:tc>
          <w:tcPr>
            <w:tcW w:w="808" w:type="pct"/>
            <w:vAlign w:val="center"/>
          </w:tcPr>
          <w:p w14:paraId="39E0514D">
            <w:pPr>
              <w:ind w:left="-53" w:leftChars="-25" w:right="-53" w:rightChars="-25"/>
              <w:jc w:val="center"/>
              <w:rPr>
                <w:spacing w:val="-6"/>
              </w:rPr>
            </w:pPr>
            <w:r>
              <w:rPr>
                <w:spacing w:val="-6"/>
              </w:rPr>
              <w:t>非同一控制下企业合并</w:t>
            </w:r>
          </w:p>
        </w:tc>
      </w:tr>
      <w:tr w14:paraId="2D75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0B3109AB">
            <w:pPr>
              <w:ind w:left="-53" w:leftChars="-25" w:right="-53" w:rightChars="-25"/>
              <w:rPr>
                <w:spacing w:val="-6"/>
              </w:rPr>
            </w:pPr>
            <w:r>
              <w:rPr>
                <w:spacing w:val="-6"/>
              </w:rPr>
              <w:t>重庆力帆新能源汽车有限公司</w:t>
            </w:r>
          </w:p>
        </w:tc>
        <w:tc>
          <w:tcPr>
            <w:tcW w:w="454" w:type="pct"/>
            <w:vAlign w:val="center"/>
          </w:tcPr>
          <w:p w14:paraId="6E9A0B38">
            <w:pPr>
              <w:ind w:left="-53" w:leftChars="-25" w:right="-53" w:rightChars="-25"/>
              <w:jc w:val="center"/>
              <w:rPr>
                <w:spacing w:val="-6"/>
              </w:rPr>
            </w:pPr>
            <w:r>
              <w:rPr>
                <w:spacing w:val="-6"/>
              </w:rPr>
              <w:t>重庆</w:t>
            </w:r>
          </w:p>
        </w:tc>
        <w:tc>
          <w:tcPr>
            <w:tcW w:w="779" w:type="pct"/>
            <w:vAlign w:val="center"/>
          </w:tcPr>
          <w:p w14:paraId="781690BA">
            <w:pPr>
              <w:ind w:left="-53" w:leftChars="-25" w:right="-53" w:rightChars="-25"/>
              <w:jc w:val="right"/>
              <w:rPr>
                <w:spacing w:val="-6"/>
              </w:rPr>
            </w:pPr>
            <w:r>
              <w:rPr>
                <w:spacing w:val="-6"/>
              </w:rPr>
              <w:t>520</w:t>
            </w:r>
          </w:p>
        </w:tc>
        <w:tc>
          <w:tcPr>
            <w:tcW w:w="817" w:type="pct"/>
            <w:vAlign w:val="center"/>
          </w:tcPr>
          <w:p w14:paraId="341EE3A1">
            <w:pPr>
              <w:ind w:left="-53" w:leftChars="-25" w:right="-53" w:rightChars="-25"/>
              <w:jc w:val="center"/>
              <w:rPr>
                <w:spacing w:val="-6"/>
              </w:rPr>
            </w:pPr>
            <w:r>
              <w:rPr>
                <w:spacing w:val="-6"/>
              </w:rPr>
              <w:t>重庆市北碚区</w:t>
            </w:r>
          </w:p>
        </w:tc>
        <w:tc>
          <w:tcPr>
            <w:tcW w:w="359" w:type="pct"/>
            <w:vAlign w:val="center"/>
          </w:tcPr>
          <w:p w14:paraId="5AEB392A">
            <w:pPr>
              <w:ind w:left="-53" w:leftChars="-25" w:right="-53" w:rightChars="-25"/>
              <w:jc w:val="center"/>
              <w:rPr>
                <w:spacing w:val="-6"/>
              </w:rPr>
            </w:pPr>
            <w:r>
              <w:rPr>
                <w:spacing w:val="-6"/>
              </w:rPr>
              <w:t>制造</w:t>
            </w:r>
          </w:p>
        </w:tc>
        <w:tc>
          <w:tcPr>
            <w:tcW w:w="205" w:type="pct"/>
            <w:vAlign w:val="center"/>
          </w:tcPr>
          <w:p w14:paraId="3BBAEB6A">
            <w:pPr>
              <w:ind w:left="-53" w:leftChars="-25" w:right="-53" w:rightChars="-25"/>
              <w:jc w:val="center"/>
              <w:rPr>
                <w:spacing w:val="-6"/>
              </w:rPr>
            </w:pPr>
            <w:r>
              <w:rPr>
                <w:spacing w:val="-6"/>
              </w:rPr>
              <w:t>100</w:t>
            </w:r>
          </w:p>
        </w:tc>
        <w:tc>
          <w:tcPr>
            <w:tcW w:w="256" w:type="pct"/>
            <w:vAlign w:val="center"/>
          </w:tcPr>
          <w:p w14:paraId="25430B2E">
            <w:pPr>
              <w:ind w:left="-53" w:leftChars="-25" w:right="-53" w:rightChars="-25"/>
              <w:jc w:val="center"/>
              <w:rPr>
                <w:spacing w:val="-6"/>
              </w:rPr>
            </w:pPr>
          </w:p>
        </w:tc>
        <w:tc>
          <w:tcPr>
            <w:tcW w:w="808" w:type="pct"/>
            <w:vAlign w:val="center"/>
          </w:tcPr>
          <w:p w14:paraId="33BA48B3">
            <w:pPr>
              <w:ind w:left="-53" w:leftChars="-25" w:right="-53" w:rightChars="-25"/>
              <w:jc w:val="center"/>
              <w:rPr>
                <w:spacing w:val="-6"/>
              </w:rPr>
            </w:pPr>
            <w:r>
              <w:rPr>
                <w:spacing w:val="-6"/>
              </w:rPr>
              <w:t>设立</w:t>
            </w:r>
          </w:p>
        </w:tc>
      </w:tr>
      <w:tr w14:paraId="1448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5B981C9D">
            <w:pPr>
              <w:ind w:left="-53" w:leftChars="-25" w:right="-53" w:rightChars="-25"/>
              <w:rPr>
                <w:spacing w:val="-6"/>
              </w:rPr>
            </w:pPr>
            <w:r>
              <w:rPr>
                <w:spacing w:val="-6"/>
              </w:rPr>
              <w:t>重庆力帆丰顺汽车销售有限公司</w:t>
            </w:r>
          </w:p>
        </w:tc>
        <w:tc>
          <w:tcPr>
            <w:tcW w:w="454" w:type="pct"/>
            <w:vAlign w:val="center"/>
          </w:tcPr>
          <w:p w14:paraId="07DD82B5">
            <w:pPr>
              <w:ind w:left="-53" w:leftChars="-25" w:right="-53" w:rightChars="-25"/>
              <w:jc w:val="center"/>
              <w:rPr>
                <w:spacing w:val="-6"/>
              </w:rPr>
            </w:pPr>
            <w:r>
              <w:rPr>
                <w:spacing w:val="-6"/>
              </w:rPr>
              <w:t>重庆</w:t>
            </w:r>
          </w:p>
        </w:tc>
        <w:tc>
          <w:tcPr>
            <w:tcW w:w="779" w:type="pct"/>
            <w:vAlign w:val="center"/>
          </w:tcPr>
          <w:p w14:paraId="343C83DB">
            <w:pPr>
              <w:ind w:left="-53" w:leftChars="-25" w:right="-53" w:rightChars="-25"/>
              <w:jc w:val="right"/>
              <w:rPr>
                <w:spacing w:val="-6"/>
              </w:rPr>
            </w:pPr>
            <w:r>
              <w:rPr>
                <w:spacing w:val="-6"/>
              </w:rPr>
              <w:t>25,000.00</w:t>
            </w:r>
          </w:p>
        </w:tc>
        <w:tc>
          <w:tcPr>
            <w:tcW w:w="817" w:type="pct"/>
            <w:vAlign w:val="center"/>
          </w:tcPr>
          <w:p w14:paraId="2F4550C9">
            <w:pPr>
              <w:ind w:left="-53" w:leftChars="-25" w:right="-53" w:rightChars="-25"/>
              <w:jc w:val="center"/>
              <w:rPr>
                <w:spacing w:val="-6"/>
              </w:rPr>
            </w:pPr>
            <w:r>
              <w:rPr>
                <w:spacing w:val="-6"/>
              </w:rPr>
              <w:t>重庆市北碚区</w:t>
            </w:r>
          </w:p>
        </w:tc>
        <w:tc>
          <w:tcPr>
            <w:tcW w:w="359" w:type="pct"/>
            <w:vAlign w:val="center"/>
          </w:tcPr>
          <w:p w14:paraId="2AC633CA">
            <w:pPr>
              <w:ind w:left="-53" w:leftChars="-25" w:right="-53" w:rightChars="-25"/>
              <w:jc w:val="center"/>
              <w:rPr>
                <w:spacing w:val="-6"/>
              </w:rPr>
            </w:pPr>
            <w:r>
              <w:rPr>
                <w:spacing w:val="-6"/>
              </w:rPr>
              <w:t>销售</w:t>
            </w:r>
          </w:p>
        </w:tc>
        <w:tc>
          <w:tcPr>
            <w:tcW w:w="205" w:type="pct"/>
            <w:vAlign w:val="center"/>
          </w:tcPr>
          <w:p w14:paraId="7C7C7A49">
            <w:pPr>
              <w:ind w:left="-53" w:leftChars="-25" w:right="-53" w:rightChars="-25"/>
              <w:jc w:val="center"/>
              <w:rPr>
                <w:spacing w:val="-6"/>
              </w:rPr>
            </w:pPr>
          </w:p>
        </w:tc>
        <w:tc>
          <w:tcPr>
            <w:tcW w:w="256" w:type="pct"/>
            <w:vAlign w:val="center"/>
          </w:tcPr>
          <w:p w14:paraId="04395BCC">
            <w:pPr>
              <w:ind w:left="-53" w:leftChars="-25" w:right="-53" w:rightChars="-25"/>
              <w:jc w:val="center"/>
              <w:rPr>
                <w:spacing w:val="-6"/>
              </w:rPr>
            </w:pPr>
            <w:r>
              <w:rPr>
                <w:spacing w:val="-6"/>
              </w:rPr>
              <w:t>100</w:t>
            </w:r>
          </w:p>
        </w:tc>
        <w:tc>
          <w:tcPr>
            <w:tcW w:w="808" w:type="pct"/>
            <w:vAlign w:val="center"/>
          </w:tcPr>
          <w:p w14:paraId="3499C726">
            <w:pPr>
              <w:ind w:left="-53" w:leftChars="-25" w:right="-53" w:rightChars="-25"/>
              <w:jc w:val="center"/>
              <w:rPr>
                <w:spacing w:val="-6"/>
              </w:rPr>
            </w:pPr>
            <w:r>
              <w:rPr>
                <w:spacing w:val="-6"/>
              </w:rPr>
              <w:t>设立</w:t>
            </w:r>
          </w:p>
        </w:tc>
      </w:tr>
      <w:tr w14:paraId="6EBF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5107591C">
            <w:pPr>
              <w:ind w:left="-53" w:leftChars="-25" w:right="-53" w:rightChars="-25"/>
              <w:rPr>
                <w:spacing w:val="-6"/>
              </w:rPr>
            </w:pPr>
            <w:r>
              <w:rPr>
                <w:spacing w:val="-6"/>
              </w:rPr>
              <w:t>重庆力帆汽车发动机有限公司</w:t>
            </w:r>
          </w:p>
        </w:tc>
        <w:tc>
          <w:tcPr>
            <w:tcW w:w="454" w:type="pct"/>
            <w:vAlign w:val="center"/>
          </w:tcPr>
          <w:p w14:paraId="49FC59CC">
            <w:pPr>
              <w:ind w:left="-53" w:leftChars="-25" w:right="-53" w:rightChars="-25"/>
              <w:jc w:val="center"/>
              <w:rPr>
                <w:spacing w:val="-6"/>
              </w:rPr>
            </w:pPr>
            <w:r>
              <w:rPr>
                <w:spacing w:val="-6"/>
              </w:rPr>
              <w:t>重庆</w:t>
            </w:r>
          </w:p>
        </w:tc>
        <w:tc>
          <w:tcPr>
            <w:tcW w:w="779" w:type="pct"/>
            <w:vAlign w:val="center"/>
          </w:tcPr>
          <w:p w14:paraId="0D0D0114">
            <w:pPr>
              <w:ind w:left="-53" w:leftChars="-25" w:right="-53" w:rightChars="-25"/>
              <w:jc w:val="right"/>
              <w:rPr>
                <w:spacing w:val="-6"/>
              </w:rPr>
            </w:pPr>
            <w:r>
              <w:rPr>
                <w:spacing w:val="-6"/>
              </w:rPr>
              <w:t>32,000.00</w:t>
            </w:r>
          </w:p>
        </w:tc>
        <w:tc>
          <w:tcPr>
            <w:tcW w:w="817" w:type="pct"/>
            <w:vAlign w:val="center"/>
          </w:tcPr>
          <w:p w14:paraId="01CF5583">
            <w:pPr>
              <w:ind w:left="-53" w:leftChars="-25" w:right="-53" w:rightChars="-25"/>
              <w:jc w:val="center"/>
              <w:rPr>
                <w:spacing w:val="-6"/>
              </w:rPr>
            </w:pPr>
            <w:r>
              <w:rPr>
                <w:spacing w:val="-6"/>
              </w:rPr>
              <w:t>重庆市北部新区</w:t>
            </w:r>
          </w:p>
        </w:tc>
        <w:tc>
          <w:tcPr>
            <w:tcW w:w="359" w:type="pct"/>
            <w:vAlign w:val="center"/>
          </w:tcPr>
          <w:p w14:paraId="4E7D57AF">
            <w:pPr>
              <w:ind w:left="-53" w:leftChars="-25" w:right="-53" w:rightChars="-25"/>
              <w:jc w:val="center"/>
              <w:rPr>
                <w:spacing w:val="-6"/>
              </w:rPr>
            </w:pPr>
            <w:r>
              <w:rPr>
                <w:spacing w:val="-6"/>
              </w:rPr>
              <w:t>制造</w:t>
            </w:r>
          </w:p>
        </w:tc>
        <w:tc>
          <w:tcPr>
            <w:tcW w:w="205" w:type="pct"/>
            <w:vAlign w:val="center"/>
          </w:tcPr>
          <w:p w14:paraId="7A9D289C">
            <w:pPr>
              <w:ind w:left="-53" w:leftChars="-25" w:right="-53" w:rightChars="-25"/>
              <w:jc w:val="center"/>
              <w:rPr>
                <w:spacing w:val="-6"/>
              </w:rPr>
            </w:pPr>
          </w:p>
        </w:tc>
        <w:tc>
          <w:tcPr>
            <w:tcW w:w="256" w:type="pct"/>
            <w:vAlign w:val="center"/>
          </w:tcPr>
          <w:p w14:paraId="5858F4F3">
            <w:pPr>
              <w:ind w:left="-53" w:leftChars="-25" w:right="-53" w:rightChars="-25"/>
              <w:jc w:val="center"/>
              <w:rPr>
                <w:spacing w:val="-6"/>
              </w:rPr>
            </w:pPr>
            <w:r>
              <w:rPr>
                <w:spacing w:val="-6"/>
              </w:rPr>
              <w:t>100</w:t>
            </w:r>
          </w:p>
        </w:tc>
        <w:tc>
          <w:tcPr>
            <w:tcW w:w="808" w:type="pct"/>
            <w:vAlign w:val="center"/>
          </w:tcPr>
          <w:p w14:paraId="08904319">
            <w:pPr>
              <w:ind w:left="-53" w:leftChars="-25" w:right="-53" w:rightChars="-25"/>
              <w:jc w:val="center"/>
              <w:rPr>
                <w:spacing w:val="-6"/>
              </w:rPr>
            </w:pPr>
            <w:r>
              <w:rPr>
                <w:spacing w:val="-6"/>
              </w:rPr>
              <w:t>设立</w:t>
            </w:r>
          </w:p>
        </w:tc>
      </w:tr>
      <w:tr w14:paraId="70C1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0EBF7E88">
            <w:pPr>
              <w:ind w:left="-53" w:leftChars="-25" w:right="-53" w:rightChars="-25"/>
              <w:rPr>
                <w:spacing w:val="-6"/>
              </w:rPr>
            </w:pPr>
            <w:r>
              <w:rPr>
                <w:spacing w:val="-6"/>
              </w:rPr>
              <w:t>重庆力帆车辆研究院有限公司</w:t>
            </w:r>
          </w:p>
        </w:tc>
        <w:tc>
          <w:tcPr>
            <w:tcW w:w="454" w:type="pct"/>
            <w:vAlign w:val="center"/>
          </w:tcPr>
          <w:p w14:paraId="3CF2529D">
            <w:pPr>
              <w:ind w:left="-53" w:leftChars="-25" w:right="-53" w:rightChars="-25"/>
              <w:jc w:val="center"/>
              <w:rPr>
                <w:spacing w:val="-6"/>
              </w:rPr>
            </w:pPr>
            <w:r>
              <w:rPr>
                <w:spacing w:val="-6"/>
              </w:rPr>
              <w:t>重庆</w:t>
            </w:r>
          </w:p>
        </w:tc>
        <w:tc>
          <w:tcPr>
            <w:tcW w:w="779" w:type="pct"/>
            <w:vAlign w:val="center"/>
          </w:tcPr>
          <w:p w14:paraId="70973941">
            <w:pPr>
              <w:ind w:left="-53" w:leftChars="-25" w:right="-53" w:rightChars="-25"/>
              <w:jc w:val="right"/>
              <w:rPr>
                <w:spacing w:val="-6"/>
              </w:rPr>
            </w:pPr>
            <w:r>
              <w:rPr>
                <w:spacing w:val="-6"/>
              </w:rPr>
              <w:t>10,000.00</w:t>
            </w:r>
          </w:p>
        </w:tc>
        <w:tc>
          <w:tcPr>
            <w:tcW w:w="817" w:type="pct"/>
            <w:vAlign w:val="center"/>
          </w:tcPr>
          <w:p w14:paraId="7A9A9E79">
            <w:pPr>
              <w:ind w:left="-53" w:leftChars="-25" w:right="-53" w:rightChars="-25"/>
              <w:jc w:val="center"/>
              <w:rPr>
                <w:spacing w:val="-6"/>
              </w:rPr>
            </w:pPr>
            <w:r>
              <w:rPr>
                <w:spacing w:val="-6"/>
              </w:rPr>
              <w:t>重庆市北碚区</w:t>
            </w:r>
          </w:p>
        </w:tc>
        <w:tc>
          <w:tcPr>
            <w:tcW w:w="359" w:type="pct"/>
            <w:vAlign w:val="center"/>
          </w:tcPr>
          <w:p w14:paraId="4C9BBD5B">
            <w:pPr>
              <w:ind w:left="-53" w:leftChars="-25" w:right="-53" w:rightChars="-25"/>
              <w:jc w:val="center"/>
              <w:rPr>
                <w:spacing w:val="-6"/>
              </w:rPr>
            </w:pPr>
            <w:r>
              <w:rPr>
                <w:spacing w:val="-6"/>
              </w:rPr>
              <w:t>研发</w:t>
            </w:r>
          </w:p>
        </w:tc>
        <w:tc>
          <w:tcPr>
            <w:tcW w:w="205" w:type="pct"/>
            <w:vAlign w:val="center"/>
          </w:tcPr>
          <w:p w14:paraId="59660239">
            <w:pPr>
              <w:ind w:left="-53" w:leftChars="-25" w:right="-53" w:rightChars="-25"/>
              <w:jc w:val="center"/>
              <w:rPr>
                <w:spacing w:val="-6"/>
              </w:rPr>
            </w:pPr>
            <w:r>
              <w:rPr>
                <w:spacing w:val="-6"/>
              </w:rPr>
              <w:t>100</w:t>
            </w:r>
          </w:p>
        </w:tc>
        <w:tc>
          <w:tcPr>
            <w:tcW w:w="256" w:type="pct"/>
            <w:vAlign w:val="center"/>
          </w:tcPr>
          <w:p w14:paraId="77DBFEBF">
            <w:pPr>
              <w:ind w:left="-53" w:leftChars="-25" w:right="-53" w:rightChars="-25"/>
              <w:jc w:val="center"/>
              <w:rPr>
                <w:spacing w:val="-6"/>
              </w:rPr>
            </w:pPr>
          </w:p>
        </w:tc>
        <w:tc>
          <w:tcPr>
            <w:tcW w:w="808" w:type="pct"/>
            <w:vAlign w:val="center"/>
          </w:tcPr>
          <w:p w14:paraId="223BB034">
            <w:pPr>
              <w:ind w:left="-53" w:leftChars="-25" w:right="-53" w:rightChars="-25"/>
              <w:jc w:val="center"/>
              <w:rPr>
                <w:spacing w:val="-6"/>
              </w:rPr>
            </w:pPr>
            <w:r>
              <w:rPr>
                <w:spacing w:val="-6"/>
              </w:rPr>
              <w:t>设立</w:t>
            </w:r>
          </w:p>
        </w:tc>
      </w:tr>
      <w:tr w14:paraId="1924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666CFDE0">
            <w:pPr>
              <w:ind w:left="-53" w:leftChars="-25" w:right="-53" w:rightChars="-25"/>
              <w:rPr>
                <w:spacing w:val="-6"/>
              </w:rPr>
            </w:pPr>
            <w:r>
              <w:rPr>
                <w:spacing w:val="-6"/>
              </w:rPr>
              <w:t>力帆集团重庆万光新能源科技有限公司</w:t>
            </w:r>
          </w:p>
        </w:tc>
        <w:tc>
          <w:tcPr>
            <w:tcW w:w="454" w:type="pct"/>
            <w:vAlign w:val="center"/>
          </w:tcPr>
          <w:p w14:paraId="261F870F">
            <w:pPr>
              <w:ind w:left="-53" w:leftChars="-25" w:right="-53" w:rightChars="-25"/>
              <w:jc w:val="center"/>
              <w:rPr>
                <w:spacing w:val="-6"/>
              </w:rPr>
            </w:pPr>
            <w:r>
              <w:rPr>
                <w:spacing w:val="-6"/>
              </w:rPr>
              <w:t>重庆</w:t>
            </w:r>
          </w:p>
        </w:tc>
        <w:tc>
          <w:tcPr>
            <w:tcW w:w="779" w:type="pct"/>
            <w:vAlign w:val="center"/>
          </w:tcPr>
          <w:p w14:paraId="69294F76">
            <w:pPr>
              <w:ind w:left="-53" w:leftChars="-25" w:right="-53" w:rightChars="-25"/>
              <w:jc w:val="right"/>
              <w:rPr>
                <w:spacing w:val="-6"/>
              </w:rPr>
            </w:pPr>
            <w:r>
              <w:rPr>
                <w:spacing w:val="-6"/>
              </w:rPr>
              <w:t>110,800.00</w:t>
            </w:r>
          </w:p>
        </w:tc>
        <w:tc>
          <w:tcPr>
            <w:tcW w:w="817" w:type="pct"/>
            <w:vAlign w:val="center"/>
          </w:tcPr>
          <w:p w14:paraId="6787B5B6">
            <w:pPr>
              <w:ind w:left="-53" w:leftChars="-25" w:right="-53" w:rightChars="-25"/>
              <w:jc w:val="center"/>
              <w:rPr>
                <w:spacing w:val="-6"/>
              </w:rPr>
            </w:pPr>
            <w:r>
              <w:rPr>
                <w:spacing w:val="-6"/>
              </w:rPr>
              <w:t>重庆两江新区</w:t>
            </w:r>
          </w:p>
        </w:tc>
        <w:tc>
          <w:tcPr>
            <w:tcW w:w="359" w:type="pct"/>
            <w:vAlign w:val="center"/>
          </w:tcPr>
          <w:p w14:paraId="63C128CD">
            <w:pPr>
              <w:ind w:left="-53" w:leftChars="-25" w:right="-53" w:rightChars="-25"/>
              <w:jc w:val="center"/>
              <w:rPr>
                <w:spacing w:val="-6"/>
              </w:rPr>
            </w:pPr>
            <w:r>
              <w:rPr>
                <w:spacing w:val="-6"/>
              </w:rPr>
              <w:t>制造</w:t>
            </w:r>
          </w:p>
        </w:tc>
        <w:tc>
          <w:tcPr>
            <w:tcW w:w="205" w:type="pct"/>
            <w:vAlign w:val="center"/>
          </w:tcPr>
          <w:p w14:paraId="51E99503">
            <w:pPr>
              <w:ind w:left="-53" w:leftChars="-25" w:right="-53" w:rightChars="-25"/>
              <w:jc w:val="center"/>
              <w:rPr>
                <w:spacing w:val="-6"/>
              </w:rPr>
            </w:pPr>
            <w:r>
              <w:rPr>
                <w:spacing w:val="-6"/>
              </w:rPr>
              <w:t>100</w:t>
            </w:r>
          </w:p>
        </w:tc>
        <w:tc>
          <w:tcPr>
            <w:tcW w:w="256" w:type="pct"/>
            <w:vAlign w:val="center"/>
          </w:tcPr>
          <w:p w14:paraId="6B8178F1">
            <w:pPr>
              <w:ind w:left="-53" w:leftChars="-25" w:right="-53" w:rightChars="-25"/>
              <w:jc w:val="center"/>
              <w:rPr>
                <w:spacing w:val="-6"/>
              </w:rPr>
            </w:pPr>
          </w:p>
        </w:tc>
        <w:tc>
          <w:tcPr>
            <w:tcW w:w="808" w:type="pct"/>
            <w:vAlign w:val="center"/>
          </w:tcPr>
          <w:p w14:paraId="6987E5B0">
            <w:pPr>
              <w:ind w:left="-53" w:leftChars="-25" w:right="-53" w:rightChars="-25"/>
              <w:jc w:val="center"/>
              <w:rPr>
                <w:spacing w:val="-6"/>
              </w:rPr>
            </w:pPr>
            <w:r>
              <w:rPr>
                <w:spacing w:val="-6"/>
              </w:rPr>
              <w:t>设立</w:t>
            </w:r>
          </w:p>
        </w:tc>
      </w:tr>
      <w:tr w14:paraId="7B2F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48AF00AE">
            <w:pPr>
              <w:ind w:left="-53" w:leftChars="-25" w:right="-53" w:rightChars="-25"/>
              <w:rPr>
                <w:spacing w:val="-10"/>
              </w:rPr>
            </w:pPr>
            <w:r>
              <w:rPr>
                <w:spacing w:val="-10"/>
              </w:rPr>
              <w:t>重庆力帆智能新能源汽车研究院有限公司</w:t>
            </w:r>
          </w:p>
        </w:tc>
        <w:tc>
          <w:tcPr>
            <w:tcW w:w="454" w:type="pct"/>
            <w:vAlign w:val="center"/>
          </w:tcPr>
          <w:p w14:paraId="5B9CCC57">
            <w:pPr>
              <w:ind w:left="-53" w:leftChars="-25" w:right="-53" w:rightChars="-25"/>
              <w:jc w:val="center"/>
              <w:rPr>
                <w:spacing w:val="-6"/>
              </w:rPr>
            </w:pPr>
            <w:r>
              <w:rPr>
                <w:spacing w:val="-6"/>
              </w:rPr>
              <w:t>重庆</w:t>
            </w:r>
          </w:p>
        </w:tc>
        <w:tc>
          <w:tcPr>
            <w:tcW w:w="779" w:type="pct"/>
            <w:vAlign w:val="center"/>
          </w:tcPr>
          <w:p w14:paraId="55D22023">
            <w:pPr>
              <w:ind w:left="-53" w:leftChars="-25" w:right="-53" w:rightChars="-25"/>
              <w:jc w:val="right"/>
              <w:rPr>
                <w:spacing w:val="-6"/>
              </w:rPr>
            </w:pPr>
            <w:r>
              <w:rPr>
                <w:spacing w:val="-6"/>
              </w:rPr>
              <w:t>300</w:t>
            </w:r>
          </w:p>
        </w:tc>
        <w:tc>
          <w:tcPr>
            <w:tcW w:w="817" w:type="pct"/>
            <w:vAlign w:val="center"/>
          </w:tcPr>
          <w:p w14:paraId="0A876D50">
            <w:pPr>
              <w:ind w:left="-53" w:leftChars="-25" w:right="-53" w:rightChars="-25"/>
              <w:jc w:val="center"/>
              <w:rPr>
                <w:spacing w:val="-6"/>
              </w:rPr>
            </w:pPr>
            <w:r>
              <w:rPr>
                <w:spacing w:val="-6"/>
              </w:rPr>
              <w:t>重庆市北碚区</w:t>
            </w:r>
          </w:p>
        </w:tc>
        <w:tc>
          <w:tcPr>
            <w:tcW w:w="359" w:type="pct"/>
            <w:vAlign w:val="center"/>
          </w:tcPr>
          <w:p w14:paraId="5D1F5FFE">
            <w:pPr>
              <w:ind w:left="-53" w:leftChars="-25" w:right="-53" w:rightChars="-25"/>
              <w:jc w:val="center"/>
              <w:rPr>
                <w:spacing w:val="-6"/>
              </w:rPr>
            </w:pPr>
            <w:r>
              <w:rPr>
                <w:spacing w:val="-6"/>
              </w:rPr>
              <w:t>研发</w:t>
            </w:r>
          </w:p>
        </w:tc>
        <w:tc>
          <w:tcPr>
            <w:tcW w:w="205" w:type="pct"/>
            <w:vAlign w:val="center"/>
          </w:tcPr>
          <w:p w14:paraId="4F9BCC8F">
            <w:pPr>
              <w:ind w:left="-53" w:leftChars="-25" w:right="-53" w:rightChars="-25"/>
              <w:jc w:val="center"/>
              <w:rPr>
                <w:spacing w:val="-6"/>
              </w:rPr>
            </w:pPr>
          </w:p>
        </w:tc>
        <w:tc>
          <w:tcPr>
            <w:tcW w:w="256" w:type="pct"/>
            <w:vAlign w:val="center"/>
          </w:tcPr>
          <w:p w14:paraId="3E23BCE0">
            <w:pPr>
              <w:ind w:left="-53" w:leftChars="-25" w:right="-53" w:rightChars="-25"/>
              <w:jc w:val="center"/>
              <w:rPr>
                <w:spacing w:val="-6"/>
              </w:rPr>
            </w:pPr>
            <w:r>
              <w:rPr>
                <w:spacing w:val="-6"/>
              </w:rPr>
              <w:t>100</w:t>
            </w:r>
          </w:p>
        </w:tc>
        <w:tc>
          <w:tcPr>
            <w:tcW w:w="808" w:type="pct"/>
            <w:vAlign w:val="center"/>
          </w:tcPr>
          <w:p w14:paraId="61FA1CAA">
            <w:pPr>
              <w:ind w:left="-53" w:leftChars="-25" w:right="-53" w:rightChars="-25"/>
              <w:jc w:val="center"/>
              <w:rPr>
                <w:spacing w:val="-6"/>
              </w:rPr>
            </w:pPr>
            <w:r>
              <w:rPr>
                <w:spacing w:val="-6"/>
              </w:rPr>
              <w:t>设立</w:t>
            </w:r>
          </w:p>
        </w:tc>
      </w:tr>
      <w:tr w14:paraId="5D93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7E86314E">
            <w:pPr>
              <w:ind w:left="-53" w:leftChars="-25" w:right="-53" w:rightChars="-25"/>
              <w:rPr>
                <w:spacing w:val="-6"/>
              </w:rPr>
            </w:pPr>
            <w:r>
              <w:rPr>
                <w:spacing w:val="-6"/>
              </w:rPr>
              <w:t>重庆力帆汽车销售有限公司</w:t>
            </w:r>
          </w:p>
        </w:tc>
        <w:tc>
          <w:tcPr>
            <w:tcW w:w="454" w:type="pct"/>
            <w:vAlign w:val="center"/>
          </w:tcPr>
          <w:p w14:paraId="45DC58BC">
            <w:pPr>
              <w:ind w:left="-53" w:leftChars="-25" w:right="-53" w:rightChars="-25"/>
              <w:jc w:val="center"/>
              <w:rPr>
                <w:spacing w:val="-6"/>
              </w:rPr>
            </w:pPr>
            <w:r>
              <w:rPr>
                <w:spacing w:val="-6"/>
              </w:rPr>
              <w:t>重庆</w:t>
            </w:r>
          </w:p>
        </w:tc>
        <w:tc>
          <w:tcPr>
            <w:tcW w:w="779" w:type="pct"/>
            <w:vAlign w:val="center"/>
          </w:tcPr>
          <w:p w14:paraId="7857F4EC">
            <w:pPr>
              <w:ind w:left="-53" w:leftChars="-25" w:right="-53" w:rightChars="-25"/>
              <w:jc w:val="right"/>
              <w:rPr>
                <w:spacing w:val="-6"/>
              </w:rPr>
            </w:pPr>
            <w:r>
              <w:rPr>
                <w:spacing w:val="-6"/>
              </w:rPr>
              <w:t>30,000.00</w:t>
            </w:r>
          </w:p>
        </w:tc>
        <w:tc>
          <w:tcPr>
            <w:tcW w:w="817" w:type="pct"/>
            <w:vAlign w:val="center"/>
          </w:tcPr>
          <w:p w14:paraId="4388BADC">
            <w:pPr>
              <w:ind w:left="-53" w:leftChars="-25" w:right="-53" w:rightChars="-25"/>
              <w:jc w:val="center"/>
              <w:rPr>
                <w:spacing w:val="-6"/>
              </w:rPr>
            </w:pPr>
            <w:r>
              <w:rPr>
                <w:spacing w:val="-6"/>
              </w:rPr>
              <w:t>重庆市经济技术开发区</w:t>
            </w:r>
          </w:p>
        </w:tc>
        <w:tc>
          <w:tcPr>
            <w:tcW w:w="359" w:type="pct"/>
            <w:vAlign w:val="center"/>
          </w:tcPr>
          <w:p w14:paraId="006CA8BE">
            <w:pPr>
              <w:ind w:left="-53" w:leftChars="-25" w:right="-53" w:rightChars="-25"/>
              <w:jc w:val="center"/>
              <w:rPr>
                <w:spacing w:val="-6"/>
              </w:rPr>
            </w:pPr>
            <w:r>
              <w:rPr>
                <w:spacing w:val="-6"/>
              </w:rPr>
              <w:t>销售</w:t>
            </w:r>
          </w:p>
        </w:tc>
        <w:tc>
          <w:tcPr>
            <w:tcW w:w="205" w:type="pct"/>
            <w:vAlign w:val="center"/>
          </w:tcPr>
          <w:p w14:paraId="135A6128">
            <w:pPr>
              <w:ind w:left="-53" w:leftChars="-25" w:right="-53" w:rightChars="-25"/>
              <w:jc w:val="center"/>
              <w:rPr>
                <w:spacing w:val="-6"/>
              </w:rPr>
            </w:pPr>
          </w:p>
        </w:tc>
        <w:tc>
          <w:tcPr>
            <w:tcW w:w="256" w:type="pct"/>
            <w:vAlign w:val="center"/>
          </w:tcPr>
          <w:p w14:paraId="122079FB">
            <w:pPr>
              <w:ind w:left="-53" w:leftChars="-25" w:right="-53" w:rightChars="-25"/>
              <w:jc w:val="center"/>
              <w:rPr>
                <w:spacing w:val="-6"/>
              </w:rPr>
            </w:pPr>
            <w:r>
              <w:rPr>
                <w:spacing w:val="-6"/>
              </w:rPr>
              <w:t>100</w:t>
            </w:r>
          </w:p>
        </w:tc>
        <w:tc>
          <w:tcPr>
            <w:tcW w:w="808" w:type="pct"/>
            <w:vAlign w:val="center"/>
          </w:tcPr>
          <w:p w14:paraId="643A3B53">
            <w:pPr>
              <w:ind w:left="-53" w:leftChars="-25" w:right="-53" w:rightChars="-25"/>
              <w:jc w:val="center"/>
              <w:rPr>
                <w:spacing w:val="-6"/>
              </w:rPr>
            </w:pPr>
            <w:r>
              <w:rPr>
                <w:spacing w:val="-6"/>
              </w:rPr>
              <w:t>设立</w:t>
            </w:r>
          </w:p>
        </w:tc>
      </w:tr>
      <w:tr w14:paraId="6847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4DD704AD">
            <w:pPr>
              <w:ind w:left="-53" w:leftChars="-25" w:right="-53" w:rightChars="-25"/>
              <w:rPr>
                <w:spacing w:val="-6"/>
              </w:rPr>
            </w:pPr>
            <w:r>
              <w:rPr>
                <w:spacing w:val="-6"/>
              </w:rPr>
              <w:t>重庆睿蓝汽车制造有限公司</w:t>
            </w:r>
          </w:p>
        </w:tc>
        <w:tc>
          <w:tcPr>
            <w:tcW w:w="454" w:type="pct"/>
            <w:vAlign w:val="center"/>
          </w:tcPr>
          <w:p w14:paraId="458723AF">
            <w:pPr>
              <w:ind w:left="-53" w:leftChars="-25" w:right="-53" w:rightChars="-25"/>
              <w:jc w:val="center"/>
              <w:rPr>
                <w:spacing w:val="-6"/>
              </w:rPr>
            </w:pPr>
            <w:r>
              <w:rPr>
                <w:spacing w:val="-6"/>
              </w:rPr>
              <w:t>重庆</w:t>
            </w:r>
          </w:p>
        </w:tc>
        <w:tc>
          <w:tcPr>
            <w:tcW w:w="779" w:type="pct"/>
            <w:vAlign w:val="center"/>
          </w:tcPr>
          <w:p w14:paraId="3D937945">
            <w:pPr>
              <w:ind w:left="-53" w:leftChars="-25" w:right="-53" w:rightChars="-25"/>
              <w:jc w:val="right"/>
              <w:rPr>
                <w:spacing w:val="-6"/>
              </w:rPr>
            </w:pPr>
            <w:r>
              <w:rPr>
                <w:spacing w:val="-6"/>
              </w:rPr>
              <w:t>518,000.00</w:t>
            </w:r>
          </w:p>
        </w:tc>
        <w:tc>
          <w:tcPr>
            <w:tcW w:w="817" w:type="pct"/>
            <w:vAlign w:val="center"/>
          </w:tcPr>
          <w:p w14:paraId="5F8D4FA5">
            <w:pPr>
              <w:ind w:left="-53" w:leftChars="-25" w:right="-53" w:rightChars="-25"/>
              <w:jc w:val="center"/>
              <w:rPr>
                <w:spacing w:val="-6"/>
              </w:rPr>
            </w:pPr>
            <w:r>
              <w:rPr>
                <w:spacing w:val="-6"/>
              </w:rPr>
              <w:t>重庆市北部新区</w:t>
            </w:r>
          </w:p>
        </w:tc>
        <w:tc>
          <w:tcPr>
            <w:tcW w:w="359" w:type="pct"/>
            <w:vAlign w:val="center"/>
          </w:tcPr>
          <w:p w14:paraId="33AF36C9">
            <w:pPr>
              <w:ind w:left="-53" w:leftChars="-25" w:right="-53" w:rightChars="-25"/>
              <w:jc w:val="center"/>
              <w:rPr>
                <w:spacing w:val="-6"/>
              </w:rPr>
            </w:pPr>
            <w:r>
              <w:rPr>
                <w:spacing w:val="-6"/>
              </w:rPr>
              <w:t>制造</w:t>
            </w:r>
          </w:p>
        </w:tc>
        <w:tc>
          <w:tcPr>
            <w:tcW w:w="205" w:type="pct"/>
            <w:vAlign w:val="center"/>
          </w:tcPr>
          <w:p w14:paraId="248718CA">
            <w:pPr>
              <w:ind w:left="-53" w:leftChars="-25" w:right="-53" w:rightChars="-25"/>
              <w:jc w:val="center"/>
              <w:rPr>
                <w:spacing w:val="-6"/>
              </w:rPr>
            </w:pPr>
            <w:r>
              <w:rPr>
                <w:spacing w:val="-6"/>
              </w:rPr>
              <w:t>28</w:t>
            </w:r>
          </w:p>
        </w:tc>
        <w:tc>
          <w:tcPr>
            <w:tcW w:w="256" w:type="pct"/>
            <w:vAlign w:val="center"/>
          </w:tcPr>
          <w:p w14:paraId="2F1C7C51">
            <w:pPr>
              <w:ind w:left="-53" w:leftChars="-25" w:right="-53" w:rightChars="-25"/>
              <w:jc w:val="center"/>
              <w:rPr>
                <w:spacing w:val="-6"/>
              </w:rPr>
            </w:pPr>
            <w:r>
              <w:rPr>
                <w:spacing w:val="-6"/>
              </w:rPr>
              <w:t>72</w:t>
            </w:r>
          </w:p>
        </w:tc>
        <w:tc>
          <w:tcPr>
            <w:tcW w:w="808" w:type="pct"/>
            <w:vAlign w:val="center"/>
          </w:tcPr>
          <w:p w14:paraId="0604D045">
            <w:pPr>
              <w:ind w:left="-53" w:leftChars="-25" w:right="-53" w:rightChars="-25"/>
              <w:jc w:val="center"/>
              <w:rPr>
                <w:spacing w:val="-6"/>
              </w:rPr>
            </w:pPr>
            <w:r>
              <w:rPr>
                <w:spacing w:val="-6"/>
              </w:rPr>
              <w:t>设立</w:t>
            </w:r>
          </w:p>
        </w:tc>
      </w:tr>
      <w:tr w14:paraId="0A3D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2D39ADEB">
            <w:pPr>
              <w:ind w:left="-53" w:leftChars="-25" w:right="-53" w:rightChars="-25"/>
              <w:rPr>
                <w:spacing w:val="-6"/>
              </w:rPr>
            </w:pPr>
            <w:r>
              <w:rPr>
                <w:spacing w:val="-6"/>
              </w:rPr>
              <w:t>上海中科力帆电动汽车有限公司</w:t>
            </w:r>
          </w:p>
        </w:tc>
        <w:tc>
          <w:tcPr>
            <w:tcW w:w="454" w:type="pct"/>
            <w:vAlign w:val="center"/>
          </w:tcPr>
          <w:p w14:paraId="5DD38A5D">
            <w:pPr>
              <w:ind w:left="-53" w:leftChars="-25" w:right="-53" w:rightChars="-25"/>
              <w:jc w:val="center"/>
              <w:rPr>
                <w:spacing w:val="-6"/>
              </w:rPr>
            </w:pPr>
            <w:r>
              <w:rPr>
                <w:spacing w:val="-6"/>
              </w:rPr>
              <w:t>上海</w:t>
            </w:r>
          </w:p>
        </w:tc>
        <w:tc>
          <w:tcPr>
            <w:tcW w:w="779" w:type="pct"/>
            <w:vAlign w:val="center"/>
          </w:tcPr>
          <w:p w14:paraId="533F36FA">
            <w:pPr>
              <w:ind w:left="-53" w:leftChars="-25" w:right="-53" w:rightChars="-25"/>
              <w:jc w:val="right"/>
              <w:rPr>
                <w:spacing w:val="-6"/>
              </w:rPr>
            </w:pPr>
            <w:r>
              <w:rPr>
                <w:spacing w:val="-6"/>
              </w:rPr>
              <w:t>7,000.00</w:t>
            </w:r>
          </w:p>
        </w:tc>
        <w:tc>
          <w:tcPr>
            <w:tcW w:w="817" w:type="pct"/>
            <w:vAlign w:val="center"/>
          </w:tcPr>
          <w:p w14:paraId="3A0844B6">
            <w:pPr>
              <w:ind w:left="-53" w:leftChars="-25" w:right="-53" w:rightChars="-25"/>
              <w:jc w:val="center"/>
              <w:rPr>
                <w:spacing w:val="-6"/>
              </w:rPr>
            </w:pPr>
            <w:r>
              <w:rPr>
                <w:spacing w:val="-6"/>
              </w:rPr>
              <w:t>上海市嘉定区</w:t>
            </w:r>
          </w:p>
        </w:tc>
        <w:tc>
          <w:tcPr>
            <w:tcW w:w="359" w:type="pct"/>
            <w:vAlign w:val="center"/>
          </w:tcPr>
          <w:p w14:paraId="0CC77E4E">
            <w:pPr>
              <w:ind w:left="-53" w:leftChars="-25" w:right="-53" w:rightChars="-25"/>
              <w:jc w:val="center"/>
              <w:rPr>
                <w:spacing w:val="-6"/>
              </w:rPr>
            </w:pPr>
            <w:r>
              <w:rPr>
                <w:spacing w:val="-6"/>
              </w:rPr>
              <w:t>制造</w:t>
            </w:r>
          </w:p>
        </w:tc>
        <w:tc>
          <w:tcPr>
            <w:tcW w:w="205" w:type="pct"/>
            <w:vAlign w:val="center"/>
          </w:tcPr>
          <w:p w14:paraId="2E26A024">
            <w:pPr>
              <w:ind w:left="-53" w:leftChars="-25" w:right="-53" w:rightChars="-25"/>
              <w:jc w:val="center"/>
              <w:rPr>
                <w:spacing w:val="-6"/>
              </w:rPr>
            </w:pPr>
          </w:p>
        </w:tc>
        <w:tc>
          <w:tcPr>
            <w:tcW w:w="256" w:type="pct"/>
            <w:vAlign w:val="center"/>
          </w:tcPr>
          <w:p w14:paraId="1DD1BE75">
            <w:pPr>
              <w:ind w:left="-53" w:leftChars="-25" w:right="-53" w:rightChars="-25"/>
              <w:jc w:val="center"/>
              <w:rPr>
                <w:spacing w:val="-6"/>
              </w:rPr>
            </w:pPr>
            <w:r>
              <w:rPr>
                <w:spacing w:val="-6"/>
              </w:rPr>
              <w:t>66.93</w:t>
            </w:r>
          </w:p>
        </w:tc>
        <w:tc>
          <w:tcPr>
            <w:tcW w:w="808" w:type="pct"/>
            <w:vAlign w:val="center"/>
          </w:tcPr>
          <w:p w14:paraId="65598DB1">
            <w:pPr>
              <w:ind w:left="-53" w:leftChars="-25" w:right="-53" w:rightChars="-25"/>
              <w:jc w:val="center"/>
              <w:rPr>
                <w:spacing w:val="-6"/>
              </w:rPr>
            </w:pPr>
            <w:r>
              <w:rPr>
                <w:spacing w:val="-6"/>
              </w:rPr>
              <w:t>非同一控制下企业合并</w:t>
            </w:r>
          </w:p>
        </w:tc>
      </w:tr>
      <w:tr w14:paraId="7A78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281C16B9">
            <w:pPr>
              <w:ind w:left="-53" w:leftChars="-25" w:right="-53" w:rightChars="-25"/>
              <w:rPr>
                <w:spacing w:val="-6"/>
              </w:rPr>
            </w:pPr>
            <w:r>
              <w:rPr>
                <w:spacing w:val="-6"/>
              </w:rPr>
              <w:t>广州市力帆电动汽车销售有限公司</w:t>
            </w:r>
          </w:p>
        </w:tc>
        <w:tc>
          <w:tcPr>
            <w:tcW w:w="454" w:type="pct"/>
            <w:vAlign w:val="center"/>
          </w:tcPr>
          <w:p w14:paraId="2DBCFF82">
            <w:pPr>
              <w:ind w:left="-53" w:leftChars="-25" w:right="-53" w:rightChars="-25"/>
              <w:jc w:val="center"/>
              <w:rPr>
                <w:spacing w:val="-6"/>
              </w:rPr>
            </w:pPr>
            <w:r>
              <w:rPr>
                <w:spacing w:val="-6"/>
              </w:rPr>
              <w:t>广州</w:t>
            </w:r>
          </w:p>
        </w:tc>
        <w:tc>
          <w:tcPr>
            <w:tcW w:w="779" w:type="pct"/>
            <w:vAlign w:val="center"/>
          </w:tcPr>
          <w:p w14:paraId="6EE86BA8">
            <w:pPr>
              <w:ind w:left="-53" w:leftChars="-25" w:right="-53" w:rightChars="-25"/>
              <w:jc w:val="right"/>
              <w:rPr>
                <w:spacing w:val="-6"/>
              </w:rPr>
            </w:pPr>
            <w:r>
              <w:rPr>
                <w:spacing w:val="-6"/>
              </w:rPr>
              <w:t>500</w:t>
            </w:r>
          </w:p>
        </w:tc>
        <w:tc>
          <w:tcPr>
            <w:tcW w:w="817" w:type="pct"/>
            <w:vAlign w:val="center"/>
          </w:tcPr>
          <w:p w14:paraId="7C9C70CB">
            <w:pPr>
              <w:ind w:left="-53" w:leftChars="-25" w:right="-53" w:rightChars="-25"/>
              <w:jc w:val="center"/>
              <w:rPr>
                <w:spacing w:val="-6"/>
              </w:rPr>
            </w:pPr>
            <w:r>
              <w:rPr>
                <w:spacing w:val="-6"/>
              </w:rPr>
              <w:t>广州市花都区</w:t>
            </w:r>
          </w:p>
        </w:tc>
        <w:tc>
          <w:tcPr>
            <w:tcW w:w="359" w:type="pct"/>
            <w:vAlign w:val="center"/>
          </w:tcPr>
          <w:p w14:paraId="1638C622">
            <w:pPr>
              <w:ind w:left="-53" w:leftChars="-25" w:right="-53" w:rightChars="-25"/>
              <w:jc w:val="center"/>
              <w:rPr>
                <w:spacing w:val="-6"/>
              </w:rPr>
            </w:pPr>
            <w:r>
              <w:rPr>
                <w:spacing w:val="-6"/>
              </w:rPr>
              <w:t>销售</w:t>
            </w:r>
          </w:p>
        </w:tc>
        <w:tc>
          <w:tcPr>
            <w:tcW w:w="205" w:type="pct"/>
            <w:vAlign w:val="center"/>
          </w:tcPr>
          <w:p w14:paraId="1070F982">
            <w:pPr>
              <w:ind w:left="-53" w:leftChars="-25" w:right="-53" w:rightChars="-25"/>
              <w:jc w:val="center"/>
              <w:rPr>
                <w:spacing w:val="-6"/>
              </w:rPr>
            </w:pPr>
          </w:p>
        </w:tc>
        <w:tc>
          <w:tcPr>
            <w:tcW w:w="256" w:type="pct"/>
            <w:vAlign w:val="center"/>
          </w:tcPr>
          <w:p w14:paraId="6619101E">
            <w:pPr>
              <w:ind w:left="-53" w:leftChars="-25" w:right="-53" w:rightChars="-25"/>
              <w:jc w:val="center"/>
              <w:rPr>
                <w:spacing w:val="-6"/>
              </w:rPr>
            </w:pPr>
            <w:r>
              <w:rPr>
                <w:spacing w:val="-6"/>
              </w:rPr>
              <w:t>100</w:t>
            </w:r>
          </w:p>
        </w:tc>
        <w:tc>
          <w:tcPr>
            <w:tcW w:w="808" w:type="pct"/>
            <w:vAlign w:val="center"/>
          </w:tcPr>
          <w:p w14:paraId="4A0E4D86">
            <w:pPr>
              <w:ind w:left="-53" w:leftChars="-25" w:right="-53" w:rightChars="-25"/>
              <w:jc w:val="center"/>
              <w:rPr>
                <w:spacing w:val="-6"/>
              </w:rPr>
            </w:pPr>
            <w:r>
              <w:rPr>
                <w:spacing w:val="-6"/>
              </w:rPr>
              <w:t>设立</w:t>
            </w:r>
          </w:p>
        </w:tc>
      </w:tr>
      <w:tr w14:paraId="3388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2BF06D3B">
            <w:pPr>
              <w:ind w:left="-53" w:leftChars="-25" w:right="-53" w:rightChars="-25"/>
              <w:rPr>
                <w:spacing w:val="-6"/>
              </w:rPr>
            </w:pPr>
            <w:r>
              <w:rPr>
                <w:spacing w:val="-6"/>
              </w:rPr>
              <w:t>重庆力帆资产管理有限公司</w:t>
            </w:r>
          </w:p>
        </w:tc>
        <w:tc>
          <w:tcPr>
            <w:tcW w:w="454" w:type="pct"/>
            <w:vAlign w:val="center"/>
          </w:tcPr>
          <w:p w14:paraId="2961E8AF">
            <w:pPr>
              <w:ind w:left="-53" w:leftChars="-25" w:right="-53" w:rightChars="-25"/>
              <w:jc w:val="center"/>
              <w:rPr>
                <w:spacing w:val="-6"/>
              </w:rPr>
            </w:pPr>
            <w:r>
              <w:rPr>
                <w:spacing w:val="-6"/>
              </w:rPr>
              <w:t>重庆</w:t>
            </w:r>
          </w:p>
        </w:tc>
        <w:tc>
          <w:tcPr>
            <w:tcW w:w="779" w:type="pct"/>
            <w:vAlign w:val="center"/>
          </w:tcPr>
          <w:p w14:paraId="74490B0B">
            <w:pPr>
              <w:ind w:left="-53" w:leftChars="-25" w:right="-53" w:rightChars="-25"/>
              <w:jc w:val="right"/>
              <w:rPr>
                <w:spacing w:val="-6"/>
              </w:rPr>
            </w:pPr>
            <w:r>
              <w:rPr>
                <w:spacing w:val="-6"/>
              </w:rPr>
              <w:t>27,330.00</w:t>
            </w:r>
          </w:p>
        </w:tc>
        <w:tc>
          <w:tcPr>
            <w:tcW w:w="817" w:type="pct"/>
            <w:vAlign w:val="center"/>
          </w:tcPr>
          <w:p w14:paraId="67866408">
            <w:pPr>
              <w:ind w:left="-53" w:leftChars="-25" w:right="-53" w:rightChars="-25"/>
              <w:jc w:val="center"/>
              <w:rPr>
                <w:spacing w:val="-6"/>
              </w:rPr>
            </w:pPr>
            <w:r>
              <w:rPr>
                <w:spacing w:val="-6"/>
              </w:rPr>
              <w:t>重庆市北部新区</w:t>
            </w:r>
          </w:p>
        </w:tc>
        <w:tc>
          <w:tcPr>
            <w:tcW w:w="359" w:type="pct"/>
            <w:vAlign w:val="center"/>
          </w:tcPr>
          <w:p w14:paraId="71DE308C">
            <w:pPr>
              <w:ind w:left="-53" w:leftChars="-25" w:right="-53" w:rightChars="-25"/>
              <w:jc w:val="center"/>
              <w:rPr>
                <w:spacing w:val="-6"/>
              </w:rPr>
            </w:pPr>
            <w:r>
              <w:rPr>
                <w:spacing w:val="-6"/>
              </w:rPr>
              <w:t>服务</w:t>
            </w:r>
          </w:p>
        </w:tc>
        <w:tc>
          <w:tcPr>
            <w:tcW w:w="205" w:type="pct"/>
            <w:vAlign w:val="center"/>
          </w:tcPr>
          <w:p w14:paraId="50753D45">
            <w:pPr>
              <w:ind w:left="-53" w:leftChars="-25" w:right="-53" w:rightChars="-25"/>
              <w:jc w:val="center"/>
              <w:rPr>
                <w:spacing w:val="-6"/>
              </w:rPr>
            </w:pPr>
            <w:r>
              <w:rPr>
                <w:spacing w:val="-6"/>
              </w:rPr>
              <w:t>100</w:t>
            </w:r>
          </w:p>
        </w:tc>
        <w:tc>
          <w:tcPr>
            <w:tcW w:w="256" w:type="pct"/>
            <w:vAlign w:val="center"/>
          </w:tcPr>
          <w:p w14:paraId="5B7AC7A5">
            <w:pPr>
              <w:ind w:left="-53" w:leftChars="-25" w:right="-53" w:rightChars="-25"/>
              <w:jc w:val="center"/>
              <w:rPr>
                <w:spacing w:val="-6"/>
              </w:rPr>
            </w:pPr>
          </w:p>
        </w:tc>
        <w:tc>
          <w:tcPr>
            <w:tcW w:w="808" w:type="pct"/>
            <w:vAlign w:val="center"/>
          </w:tcPr>
          <w:p w14:paraId="2E461D90">
            <w:pPr>
              <w:ind w:left="-53" w:leftChars="-25" w:right="-53" w:rightChars="-25"/>
              <w:jc w:val="center"/>
              <w:rPr>
                <w:spacing w:val="-6"/>
              </w:rPr>
            </w:pPr>
            <w:r>
              <w:rPr>
                <w:spacing w:val="-6"/>
              </w:rPr>
              <w:t>设立</w:t>
            </w:r>
          </w:p>
        </w:tc>
      </w:tr>
      <w:tr w14:paraId="127A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32BA9ADD">
            <w:pPr>
              <w:ind w:left="-53" w:leftChars="-25" w:right="-53" w:rightChars="-25"/>
              <w:rPr>
                <w:spacing w:val="-6"/>
              </w:rPr>
            </w:pPr>
            <w:r>
              <w:rPr>
                <w:spacing w:val="-6"/>
              </w:rPr>
              <w:t>重庆力帆实业集团销售有限公司</w:t>
            </w:r>
          </w:p>
        </w:tc>
        <w:tc>
          <w:tcPr>
            <w:tcW w:w="454" w:type="pct"/>
            <w:vAlign w:val="center"/>
          </w:tcPr>
          <w:p w14:paraId="64C6A13A">
            <w:pPr>
              <w:ind w:left="-53" w:leftChars="-25" w:right="-53" w:rightChars="-25"/>
              <w:jc w:val="center"/>
              <w:rPr>
                <w:spacing w:val="-6"/>
              </w:rPr>
            </w:pPr>
            <w:r>
              <w:rPr>
                <w:spacing w:val="-6"/>
              </w:rPr>
              <w:t>重庆</w:t>
            </w:r>
          </w:p>
        </w:tc>
        <w:tc>
          <w:tcPr>
            <w:tcW w:w="779" w:type="pct"/>
            <w:vAlign w:val="center"/>
          </w:tcPr>
          <w:p w14:paraId="6A71872F">
            <w:pPr>
              <w:ind w:left="-53" w:leftChars="-25" w:right="-53" w:rightChars="-25"/>
              <w:jc w:val="right"/>
              <w:rPr>
                <w:spacing w:val="-6"/>
              </w:rPr>
            </w:pPr>
            <w:r>
              <w:rPr>
                <w:spacing w:val="-6"/>
              </w:rPr>
              <w:t>400</w:t>
            </w:r>
          </w:p>
        </w:tc>
        <w:tc>
          <w:tcPr>
            <w:tcW w:w="817" w:type="pct"/>
            <w:vAlign w:val="center"/>
          </w:tcPr>
          <w:p w14:paraId="2CCC6343">
            <w:pPr>
              <w:ind w:left="-53" w:leftChars="-25" w:right="-53" w:rightChars="-25"/>
              <w:jc w:val="center"/>
              <w:rPr>
                <w:spacing w:val="-6"/>
              </w:rPr>
            </w:pPr>
            <w:r>
              <w:rPr>
                <w:spacing w:val="-6"/>
              </w:rPr>
              <w:t>重庆市沙坪坝区</w:t>
            </w:r>
          </w:p>
        </w:tc>
        <w:tc>
          <w:tcPr>
            <w:tcW w:w="359" w:type="pct"/>
            <w:vAlign w:val="center"/>
          </w:tcPr>
          <w:p w14:paraId="5712E5A9">
            <w:pPr>
              <w:ind w:left="-53" w:leftChars="-25" w:right="-53" w:rightChars="-25"/>
              <w:jc w:val="center"/>
              <w:rPr>
                <w:spacing w:val="-6"/>
              </w:rPr>
            </w:pPr>
            <w:r>
              <w:rPr>
                <w:spacing w:val="-6"/>
              </w:rPr>
              <w:t>销售</w:t>
            </w:r>
          </w:p>
        </w:tc>
        <w:tc>
          <w:tcPr>
            <w:tcW w:w="205" w:type="pct"/>
            <w:vAlign w:val="center"/>
          </w:tcPr>
          <w:p w14:paraId="77E0FF21">
            <w:pPr>
              <w:ind w:left="-53" w:leftChars="-25" w:right="-53" w:rightChars="-25"/>
              <w:jc w:val="center"/>
              <w:rPr>
                <w:spacing w:val="-6"/>
              </w:rPr>
            </w:pPr>
          </w:p>
        </w:tc>
        <w:tc>
          <w:tcPr>
            <w:tcW w:w="256" w:type="pct"/>
            <w:vAlign w:val="center"/>
          </w:tcPr>
          <w:p w14:paraId="36AF1D52">
            <w:pPr>
              <w:ind w:left="-53" w:leftChars="-25" w:right="-53" w:rightChars="-25"/>
              <w:jc w:val="center"/>
              <w:rPr>
                <w:spacing w:val="-6"/>
              </w:rPr>
            </w:pPr>
            <w:r>
              <w:rPr>
                <w:spacing w:val="-6"/>
              </w:rPr>
              <w:t>100</w:t>
            </w:r>
          </w:p>
        </w:tc>
        <w:tc>
          <w:tcPr>
            <w:tcW w:w="808" w:type="pct"/>
            <w:vAlign w:val="center"/>
          </w:tcPr>
          <w:p w14:paraId="2F61E501">
            <w:pPr>
              <w:ind w:left="-53" w:leftChars="-25" w:right="-53" w:rightChars="-25"/>
              <w:jc w:val="center"/>
              <w:rPr>
                <w:spacing w:val="-6"/>
              </w:rPr>
            </w:pPr>
            <w:r>
              <w:rPr>
                <w:spacing w:val="-6"/>
              </w:rPr>
              <w:t>设立</w:t>
            </w:r>
          </w:p>
        </w:tc>
      </w:tr>
      <w:tr w14:paraId="5EE0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5C3DC5DE">
            <w:pPr>
              <w:ind w:left="-53" w:leftChars="-25" w:right="-53" w:rightChars="-25"/>
              <w:rPr>
                <w:spacing w:val="-6"/>
              </w:rPr>
            </w:pPr>
            <w:r>
              <w:rPr>
                <w:spacing w:val="-6"/>
              </w:rPr>
              <w:t>重庆润田房地产开发有限公司</w:t>
            </w:r>
          </w:p>
        </w:tc>
        <w:tc>
          <w:tcPr>
            <w:tcW w:w="454" w:type="pct"/>
            <w:vAlign w:val="center"/>
          </w:tcPr>
          <w:p w14:paraId="72C26F93">
            <w:pPr>
              <w:ind w:left="-53" w:leftChars="-25" w:right="-53" w:rightChars="-25"/>
              <w:jc w:val="center"/>
              <w:rPr>
                <w:spacing w:val="-6"/>
              </w:rPr>
            </w:pPr>
            <w:r>
              <w:rPr>
                <w:spacing w:val="-6"/>
              </w:rPr>
              <w:t>重庆</w:t>
            </w:r>
          </w:p>
        </w:tc>
        <w:tc>
          <w:tcPr>
            <w:tcW w:w="779" w:type="pct"/>
            <w:vAlign w:val="center"/>
          </w:tcPr>
          <w:p w14:paraId="4ED78EBD">
            <w:pPr>
              <w:ind w:left="-53" w:leftChars="-25" w:right="-53" w:rightChars="-25"/>
              <w:jc w:val="right"/>
              <w:rPr>
                <w:spacing w:val="-6"/>
              </w:rPr>
            </w:pPr>
            <w:r>
              <w:rPr>
                <w:spacing w:val="-6"/>
              </w:rPr>
              <w:t>30,000.00</w:t>
            </w:r>
          </w:p>
        </w:tc>
        <w:tc>
          <w:tcPr>
            <w:tcW w:w="817" w:type="pct"/>
            <w:vAlign w:val="center"/>
          </w:tcPr>
          <w:p w14:paraId="4E971131">
            <w:pPr>
              <w:ind w:left="-53" w:leftChars="-25" w:right="-53" w:rightChars="-25"/>
              <w:jc w:val="center"/>
              <w:rPr>
                <w:spacing w:val="-6"/>
              </w:rPr>
            </w:pPr>
            <w:r>
              <w:rPr>
                <w:spacing w:val="-6"/>
              </w:rPr>
              <w:t>重庆市江北区</w:t>
            </w:r>
          </w:p>
        </w:tc>
        <w:tc>
          <w:tcPr>
            <w:tcW w:w="359" w:type="pct"/>
            <w:vAlign w:val="center"/>
          </w:tcPr>
          <w:p w14:paraId="47F87876">
            <w:pPr>
              <w:ind w:left="-53" w:leftChars="-25" w:right="-53" w:rightChars="-25"/>
              <w:jc w:val="center"/>
              <w:rPr>
                <w:spacing w:val="-6"/>
              </w:rPr>
            </w:pPr>
            <w:r>
              <w:rPr>
                <w:spacing w:val="-6"/>
              </w:rPr>
              <w:t>房地产</w:t>
            </w:r>
          </w:p>
        </w:tc>
        <w:tc>
          <w:tcPr>
            <w:tcW w:w="205" w:type="pct"/>
            <w:vAlign w:val="center"/>
          </w:tcPr>
          <w:p w14:paraId="02B8518C">
            <w:pPr>
              <w:ind w:left="-53" w:leftChars="-25" w:right="-53" w:rightChars="-25"/>
              <w:jc w:val="center"/>
              <w:rPr>
                <w:spacing w:val="-6"/>
              </w:rPr>
            </w:pPr>
          </w:p>
        </w:tc>
        <w:tc>
          <w:tcPr>
            <w:tcW w:w="256" w:type="pct"/>
            <w:vAlign w:val="center"/>
          </w:tcPr>
          <w:p w14:paraId="49CC0EA6">
            <w:pPr>
              <w:ind w:left="-53" w:leftChars="-25" w:right="-53" w:rightChars="-25"/>
              <w:jc w:val="center"/>
              <w:rPr>
                <w:spacing w:val="-6"/>
              </w:rPr>
            </w:pPr>
            <w:r>
              <w:rPr>
                <w:spacing w:val="-6"/>
              </w:rPr>
              <w:t>50</w:t>
            </w:r>
          </w:p>
        </w:tc>
        <w:tc>
          <w:tcPr>
            <w:tcW w:w="808" w:type="pct"/>
            <w:vAlign w:val="center"/>
          </w:tcPr>
          <w:p w14:paraId="3F390CD3">
            <w:pPr>
              <w:ind w:left="-53" w:leftChars="-25" w:right="-53" w:rightChars="-25"/>
              <w:jc w:val="center"/>
              <w:rPr>
                <w:spacing w:val="-6"/>
              </w:rPr>
            </w:pPr>
            <w:r>
              <w:rPr>
                <w:spacing w:val="-6"/>
              </w:rPr>
              <w:t>非同一控制下企业合并</w:t>
            </w:r>
          </w:p>
        </w:tc>
      </w:tr>
      <w:tr w14:paraId="5FB5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05153B4A">
            <w:pPr>
              <w:ind w:left="-53" w:leftChars="-25" w:right="-53" w:rightChars="-25"/>
              <w:rPr>
                <w:spacing w:val="-6"/>
              </w:rPr>
            </w:pPr>
            <w:r>
              <w:rPr>
                <w:spacing w:val="-6"/>
              </w:rPr>
              <w:t>重庆新润壹物业管理有限公司</w:t>
            </w:r>
          </w:p>
        </w:tc>
        <w:tc>
          <w:tcPr>
            <w:tcW w:w="454" w:type="pct"/>
            <w:vAlign w:val="center"/>
          </w:tcPr>
          <w:p w14:paraId="72CF5A1A">
            <w:pPr>
              <w:ind w:left="-53" w:leftChars="-25" w:right="-53" w:rightChars="-25"/>
              <w:jc w:val="center"/>
              <w:rPr>
                <w:spacing w:val="-6"/>
              </w:rPr>
            </w:pPr>
            <w:r>
              <w:rPr>
                <w:spacing w:val="-6"/>
              </w:rPr>
              <w:t>重庆</w:t>
            </w:r>
          </w:p>
        </w:tc>
        <w:tc>
          <w:tcPr>
            <w:tcW w:w="779" w:type="pct"/>
            <w:vAlign w:val="center"/>
          </w:tcPr>
          <w:p w14:paraId="73597FAB">
            <w:pPr>
              <w:ind w:left="-53" w:leftChars="-25" w:right="-53" w:rightChars="-25"/>
              <w:jc w:val="right"/>
              <w:rPr>
                <w:spacing w:val="-6"/>
              </w:rPr>
            </w:pPr>
            <w:r>
              <w:rPr>
                <w:spacing w:val="-6"/>
              </w:rPr>
              <w:t>1,000.00</w:t>
            </w:r>
          </w:p>
        </w:tc>
        <w:tc>
          <w:tcPr>
            <w:tcW w:w="817" w:type="pct"/>
            <w:vAlign w:val="center"/>
          </w:tcPr>
          <w:p w14:paraId="5DB421B4">
            <w:pPr>
              <w:ind w:left="-53" w:leftChars="-25" w:right="-53" w:rightChars="-25"/>
              <w:jc w:val="center"/>
              <w:rPr>
                <w:spacing w:val="-6"/>
              </w:rPr>
            </w:pPr>
            <w:r>
              <w:rPr>
                <w:spacing w:val="-6"/>
              </w:rPr>
              <w:t>重庆市渝北区</w:t>
            </w:r>
          </w:p>
        </w:tc>
        <w:tc>
          <w:tcPr>
            <w:tcW w:w="359" w:type="pct"/>
            <w:vAlign w:val="center"/>
          </w:tcPr>
          <w:p w14:paraId="5B97BCAB">
            <w:pPr>
              <w:ind w:left="-53" w:leftChars="-25" w:right="-53" w:rightChars="-25"/>
              <w:jc w:val="center"/>
              <w:rPr>
                <w:spacing w:val="-6"/>
              </w:rPr>
            </w:pPr>
            <w:r>
              <w:rPr>
                <w:spacing w:val="-6"/>
              </w:rPr>
              <w:t>物业服务</w:t>
            </w:r>
          </w:p>
        </w:tc>
        <w:tc>
          <w:tcPr>
            <w:tcW w:w="205" w:type="pct"/>
            <w:vAlign w:val="center"/>
          </w:tcPr>
          <w:p w14:paraId="33A5644E">
            <w:pPr>
              <w:ind w:left="-53" w:leftChars="-25" w:right="-53" w:rightChars="-25"/>
              <w:jc w:val="center"/>
              <w:rPr>
                <w:spacing w:val="-6"/>
              </w:rPr>
            </w:pPr>
          </w:p>
        </w:tc>
        <w:tc>
          <w:tcPr>
            <w:tcW w:w="256" w:type="pct"/>
            <w:vAlign w:val="center"/>
          </w:tcPr>
          <w:p w14:paraId="7E632AEC">
            <w:pPr>
              <w:ind w:left="-53" w:leftChars="-25" w:right="-53" w:rightChars="-25"/>
              <w:jc w:val="center"/>
              <w:rPr>
                <w:spacing w:val="-6"/>
              </w:rPr>
            </w:pPr>
            <w:r>
              <w:rPr>
                <w:spacing w:val="-6"/>
              </w:rPr>
              <w:t>50</w:t>
            </w:r>
          </w:p>
        </w:tc>
        <w:tc>
          <w:tcPr>
            <w:tcW w:w="808" w:type="pct"/>
            <w:vAlign w:val="center"/>
          </w:tcPr>
          <w:p w14:paraId="0EC5E454">
            <w:pPr>
              <w:ind w:left="-53" w:leftChars="-25" w:right="-53" w:rightChars="-25"/>
              <w:jc w:val="center"/>
              <w:rPr>
                <w:spacing w:val="-6"/>
              </w:rPr>
            </w:pPr>
            <w:r>
              <w:rPr>
                <w:spacing w:val="-6"/>
              </w:rPr>
              <w:t>设立</w:t>
            </w:r>
          </w:p>
        </w:tc>
      </w:tr>
      <w:tr w14:paraId="4374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5457D9AA">
            <w:pPr>
              <w:ind w:left="-53" w:leftChars="-25" w:right="-53" w:rightChars="-25"/>
              <w:rPr>
                <w:spacing w:val="-6"/>
              </w:rPr>
            </w:pPr>
            <w:r>
              <w:rPr>
                <w:spacing w:val="-6"/>
              </w:rPr>
              <w:t>重庆千同企业管理有限公司</w:t>
            </w:r>
          </w:p>
        </w:tc>
        <w:tc>
          <w:tcPr>
            <w:tcW w:w="454" w:type="pct"/>
            <w:vAlign w:val="center"/>
          </w:tcPr>
          <w:p w14:paraId="3CD60B57">
            <w:pPr>
              <w:ind w:left="-53" w:leftChars="-25" w:right="-53" w:rightChars="-25"/>
              <w:jc w:val="center"/>
              <w:rPr>
                <w:spacing w:val="-6"/>
              </w:rPr>
            </w:pPr>
            <w:r>
              <w:rPr>
                <w:spacing w:val="-6"/>
              </w:rPr>
              <w:t>重庆</w:t>
            </w:r>
          </w:p>
        </w:tc>
        <w:tc>
          <w:tcPr>
            <w:tcW w:w="779" w:type="pct"/>
            <w:vAlign w:val="center"/>
          </w:tcPr>
          <w:p w14:paraId="14291AEB">
            <w:pPr>
              <w:ind w:left="-53" w:leftChars="-25" w:right="-53" w:rightChars="-25"/>
              <w:jc w:val="right"/>
              <w:rPr>
                <w:spacing w:val="-6"/>
              </w:rPr>
            </w:pPr>
            <w:r>
              <w:rPr>
                <w:spacing w:val="-6"/>
              </w:rPr>
              <w:t>50</w:t>
            </w:r>
          </w:p>
        </w:tc>
        <w:tc>
          <w:tcPr>
            <w:tcW w:w="817" w:type="pct"/>
            <w:vAlign w:val="center"/>
          </w:tcPr>
          <w:p w14:paraId="5DD5E51D">
            <w:pPr>
              <w:ind w:left="-53" w:leftChars="-25" w:right="-53" w:rightChars="-25"/>
              <w:jc w:val="center"/>
              <w:rPr>
                <w:spacing w:val="-6"/>
              </w:rPr>
            </w:pPr>
            <w:r>
              <w:rPr>
                <w:spacing w:val="-6"/>
              </w:rPr>
              <w:t>重庆市渝北区</w:t>
            </w:r>
          </w:p>
        </w:tc>
        <w:tc>
          <w:tcPr>
            <w:tcW w:w="359" w:type="pct"/>
            <w:vAlign w:val="center"/>
          </w:tcPr>
          <w:p w14:paraId="7203E4FA">
            <w:pPr>
              <w:ind w:left="-53" w:leftChars="-25" w:right="-53" w:rightChars="-25"/>
              <w:jc w:val="center"/>
              <w:rPr>
                <w:spacing w:val="-6"/>
              </w:rPr>
            </w:pPr>
            <w:r>
              <w:rPr>
                <w:spacing w:val="-6"/>
              </w:rPr>
              <w:t>服务</w:t>
            </w:r>
          </w:p>
        </w:tc>
        <w:tc>
          <w:tcPr>
            <w:tcW w:w="205" w:type="pct"/>
            <w:vAlign w:val="center"/>
          </w:tcPr>
          <w:p w14:paraId="1711C1BA">
            <w:pPr>
              <w:ind w:left="-53" w:leftChars="-25" w:right="-53" w:rightChars="-25"/>
              <w:jc w:val="center"/>
              <w:rPr>
                <w:spacing w:val="-6"/>
              </w:rPr>
            </w:pPr>
          </w:p>
        </w:tc>
        <w:tc>
          <w:tcPr>
            <w:tcW w:w="256" w:type="pct"/>
            <w:vAlign w:val="center"/>
          </w:tcPr>
          <w:p w14:paraId="21293847">
            <w:pPr>
              <w:ind w:left="-53" w:leftChars="-25" w:right="-53" w:rightChars="-25"/>
              <w:jc w:val="center"/>
              <w:rPr>
                <w:spacing w:val="-6"/>
              </w:rPr>
            </w:pPr>
            <w:r>
              <w:rPr>
                <w:spacing w:val="-6"/>
              </w:rPr>
              <w:t>100</w:t>
            </w:r>
          </w:p>
        </w:tc>
        <w:tc>
          <w:tcPr>
            <w:tcW w:w="808" w:type="pct"/>
            <w:vAlign w:val="center"/>
          </w:tcPr>
          <w:p w14:paraId="3F08FA37">
            <w:pPr>
              <w:ind w:left="-53" w:leftChars="-25" w:right="-53" w:rightChars="-25"/>
              <w:jc w:val="center"/>
              <w:rPr>
                <w:spacing w:val="-6"/>
              </w:rPr>
            </w:pPr>
            <w:r>
              <w:rPr>
                <w:spacing w:val="-6"/>
              </w:rPr>
              <w:t>设立</w:t>
            </w:r>
          </w:p>
        </w:tc>
      </w:tr>
      <w:tr w14:paraId="7A8E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53A08959">
            <w:pPr>
              <w:ind w:left="-53" w:leftChars="-25" w:right="-53" w:rightChars="-25"/>
              <w:rPr>
                <w:spacing w:val="-6"/>
              </w:rPr>
            </w:pPr>
            <w:r>
              <w:rPr>
                <w:spacing w:val="-6"/>
              </w:rPr>
              <w:t>重庆睿蓝汽车贸易有限公司</w:t>
            </w:r>
          </w:p>
        </w:tc>
        <w:tc>
          <w:tcPr>
            <w:tcW w:w="454" w:type="pct"/>
            <w:vAlign w:val="center"/>
          </w:tcPr>
          <w:p w14:paraId="519F3973">
            <w:pPr>
              <w:ind w:left="-53" w:leftChars="-25" w:right="-53" w:rightChars="-25"/>
              <w:jc w:val="center"/>
              <w:rPr>
                <w:spacing w:val="-6"/>
              </w:rPr>
            </w:pPr>
            <w:r>
              <w:rPr>
                <w:spacing w:val="-6"/>
              </w:rPr>
              <w:t>重庆</w:t>
            </w:r>
          </w:p>
        </w:tc>
        <w:tc>
          <w:tcPr>
            <w:tcW w:w="779" w:type="pct"/>
            <w:vAlign w:val="center"/>
          </w:tcPr>
          <w:p w14:paraId="2D06DA58">
            <w:pPr>
              <w:ind w:left="-53" w:leftChars="-25" w:right="-53" w:rightChars="-25"/>
              <w:jc w:val="right"/>
              <w:rPr>
                <w:spacing w:val="-6"/>
              </w:rPr>
            </w:pPr>
            <w:r>
              <w:rPr>
                <w:spacing w:val="-6"/>
              </w:rPr>
              <w:t>300</w:t>
            </w:r>
          </w:p>
        </w:tc>
        <w:tc>
          <w:tcPr>
            <w:tcW w:w="817" w:type="pct"/>
            <w:vAlign w:val="center"/>
          </w:tcPr>
          <w:p w14:paraId="2FE640FD">
            <w:pPr>
              <w:ind w:left="-53" w:leftChars="-25" w:right="-53" w:rightChars="-25"/>
              <w:jc w:val="center"/>
              <w:rPr>
                <w:spacing w:val="-6"/>
              </w:rPr>
            </w:pPr>
            <w:r>
              <w:rPr>
                <w:spacing w:val="-6"/>
              </w:rPr>
              <w:t>重庆市两江新区</w:t>
            </w:r>
          </w:p>
        </w:tc>
        <w:tc>
          <w:tcPr>
            <w:tcW w:w="359" w:type="pct"/>
            <w:vAlign w:val="center"/>
          </w:tcPr>
          <w:p w14:paraId="1A78BD2C">
            <w:pPr>
              <w:ind w:left="-53" w:leftChars="-25" w:right="-53" w:rightChars="-25"/>
              <w:jc w:val="center"/>
              <w:rPr>
                <w:spacing w:val="-6"/>
              </w:rPr>
            </w:pPr>
            <w:r>
              <w:rPr>
                <w:spacing w:val="-6"/>
              </w:rPr>
              <w:t>销售</w:t>
            </w:r>
          </w:p>
        </w:tc>
        <w:tc>
          <w:tcPr>
            <w:tcW w:w="205" w:type="pct"/>
            <w:vAlign w:val="center"/>
          </w:tcPr>
          <w:p w14:paraId="2911C244">
            <w:pPr>
              <w:ind w:left="-53" w:leftChars="-25" w:right="-53" w:rightChars="-25"/>
              <w:jc w:val="center"/>
              <w:rPr>
                <w:spacing w:val="-6"/>
              </w:rPr>
            </w:pPr>
          </w:p>
        </w:tc>
        <w:tc>
          <w:tcPr>
            <w:tcW w:w="256" w:type="pct"/>
            <w:vAlign w:val="center"/>
          </w:tcPr>
          <w:p w14:paraId="33F0E7D2">
            <w:pPr>
              <w:ind w:left="-53" w:leftChars="-25" w:right="-53" w:rightChars="-25"/>
              <w:jc w:val="center"/>
              <w:rPr>
                <w:spacing w:val="-6"/>
              </w:rPr>
            </w:pPr>
            <w:r>
              <w:rPr>
                <w:spacing w:val="-6"/>
              </w:rPr>
              <w:t>55</w:t>
            </w:r>
          </w:p>
        </w:tc>
        <w:tc>
          <w:tcPr>
            <w:tcW w:w="808" w:type="pct"/>
            <w:vAlign w:val="center"/>
          </w:tcPr>
          <w:p w14:paraId="3D73BFAC">
            <w:pPr>
              <w:ind w:left="-53" w:leftChars="-25" w:right="-53" w:rightChars="-25"/>
              <w:jc w:val="center"/>
              <w:rPr>
                <w:spacing w:val="-6"/>
              </w:rPr>
            </w:pPr>
            <w:r>
              <w:rPr>
                <w:spacing w:val="-6"/>
              </w:rPr>
              <w:t>设立</w:t>
            </w:r>
          </w:p>
        </w:tc>
      </w:tr>
      <w:tr w14:paraId="60C7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2" w:type="pct"/>
          </w:tcPr>
          <w:p w14:paraId="0F1BC322">
            <w:pPr>
              <w:ind w:left="-53" w:leftChars="-25" w:right="-53" w:rightChars="-25"/>
              <w:rPr>
                <w:spacing w:val="-6"/>
              </w:rPr>
            </w:pPr>
            <w:r>
              <w:rPr>
                <w:spacing w:val="-6"/>
              </w:rPr>
              <w:t>重庆智骐鑫旺企业管理有限公司</w:t>
            </w:r>
          </w:p>
        </w:tc>
        <w:tc>
          <w:tcPr>
            <w:tcW w:w="454" w:type="pct"/>
            <w:vAlign w:val="center"/>
          </w:tcPr>
          <w:p w14:paraId="38808547">
            <w:pPr>
              <w:ind w:left="-53" w:leftChars="-25" w:right="-53" w:rightChars="-25"/>
              <w:jc w:val="center"/>
              <w:rPr>
                <w:spacing w:val="-6"/>
              </w:rPr>
            </w:pPr>
            <w:r>
              <w:rPr>
                <w:spacing w:val="-6"/>
              </w:rPr>
              <w:t>重庆</w:t>
            </w:r>
          </w:p>
        </w:tc>
        <w:tc>
          <w:tcPr>
            <w:tcW w:w="779" w:type="pct"/>
            <w:vAlign w:val="center"/>
          </w:tcPr>
          <w:p w14:paraId="6005B226">
            <w:pPr>
              <w:ind w:left="-53" w:leftChars="-25" w:right="-53" w:rightChars="-25"/>
              <w:jc w:val="right"/>
              <w:rPr>
                <w:spacing w:val="-6"/>
              </w:rPr>
            </w:pPr>
            <w:r>
              <w:rPr>
                <w:spacing w:val="-6"/>
              </w:rPr>
              <w:t>20,000</w:t>
            </w:r>
          </w:p>
        </w:tc>
        <w:tc>
          <w:tcPr>
            <w:tcW w:w="817" w:type="pct"/>
            <w:vAlign w:val="center"/>
          </w:tcPr>
          <w:p w14:paraId="2AB30614">
            <w:pPr>
              <w:ind w:left="-53" w:leftChars="-25" w:right="-53" w:rightChars="-25"/>
              <w:jc w:val="center"/>
              <w:rPr>
                <w:spacing w:val="-6"/>
              </w:rPr>
            </w:pPr>
            <w:r>
              <w:rPr>
                <w:spacing w:val="-6"/>
              </w:rPr>
              <w:t>重庆市渝北区</w:t>
            </w:r>
          </w:p>
        </w:tc>
        <w:tc>
          <w:tcPr>
            <w:tcW w:w="359" w:type="pct"/>
            <w:vAlign w:val="center"/>
          </w:tcPr>
          <w:p w14:paraId="2CD0903A">
            <w:pPr>
              <w:ind w:left="-53" w:leftChars="-25" w:right="-53" w:rightChars="-25"/>
              <w:jc w:val="center"/>
              <w:rPr>
                <w:spacing w:val="-6"/>
              </w:rPr>
            </w:pPr>
            <w:r>
              <w:rPr>
                <w:spacing w:val="-6"/>
              </w:rPr>
              <w:t>管理</w:t>
            </w:r>
          </w:p>
        </w:tc>
        <w:tc>
          <w:tcPr>
            <w:tcW w:w="205" w:type="pct"/>
            <w:vAlign w:val="center"/>
          </w:tcPr>
          <w:p w14:paraId="5AF523CA">
            <w:pPr>
              <w:ind w:left="-53" w:leftChars="-25" w:right="-53" w:rightChars="-25"/>
              <w:jc w:val="center"/>
              <w:rPr>
                <w:spacing w:val="-6"/>
              </w:rPr>
            </w:pPr>
            <w:r>
              <w:rPr>
                <w:spacing w:val="-6"/>
              </w:rPr>
              <w:t>100</w:t>
            </w:r>
          </w:p>
        </w:tc>
        <w:tc>
          <w:tcPr>
            <w:tcW w:w="256" w:type="pct"/>
            <w:vAlign w:val="center"/>
          </w:tcPr>
          <w:p w14:paraId="0B56679D">
            <w:pPr>
              <w:ind w:left="-53" w:leftChars="-25" w:right="-53" w:rightChars="-25"/>
              <w:jc w:val="center"/>
              <w:rPr>
                <w:spacing w:val="-6"/>
              </w:rPr>
            </w:pPr>
          </w:p>
        </w:tc>
        <w:tc>
          <w:tcPr>
            <w:tcW w:w="808" w:type="pct"/>
            <w:vAlign w:val="center"/>
          </w:tcPr>
          <w:p w14:paraId="740CCB6F">
            <w:pPr>
              <w:ind w:left="-53" w:leftChars="-25" w:right="-53" w:rightChars="-25"/>
              <w:jc w:val="center"/>
              <w:rPr>
                <w:spacing w:val="-6"/>
              </w:rPr>
            </w:pPr>
            <w:r>
              <w:rPr>
                <w:spacing w:val="-6"/>
              </w:rPr>
              <w:t>设立</w:t>
            </w:r>
          </w:p>
        </w:tc>
      </w:tr>
    </w:tbl>
    <w:p w14:paraId="45C367D3"/>
    <w:p w14:paraId="43F64D43">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在子公司的持股比例不同于表决权比例的说明：</w:t>
      </w:r>
    </w:p>
    <w:p w14:paraId="5CB65FA8">
      <w:pPr>
        <w:rPr>
          <w:rFonts w:cs="Arial"/>
          <w:color w:val="000000" w:themeColor="text1"/>
          <w14:textFill>
            <w14:solidFill>
              <w14:schemeClr w14:val="tx1"/>
            </w14:solidFill>
          </w14:textFill>
        </w:rPr>
      </w:pPr>
      <w:sdt>
        <w:sdtPr>
          <w:rPr>
            <w:rFonts w:cs="Arial"/>
            <w:color w:val="000000" w:themeColor="text1"/>
            <w14:textFill>
              <w14:solidFill>
                <w14:schemeClr w14:val="tx1"/>
              </w14:solidFill>
            </w14:textFill>
          </w:rPr>
          <w:alias w:val="在子公司的持股比例不同于表决权比例的说明"/>
          <w:tag w:val="_GBC_f369e5dd5f6e430ebbede4953d1e5b82"/>
          <w:id w:val="-1706085518"/>
          <w:placeholder>
            <w:docPart w:val="GBC22222222222222222222222222222"/>
          </w:placeholder>
        </w:sdtPr>
        <w:sdtEndPr>
          <w:rPr>
            <w:rFonts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本公司无持股比例不同于表决权比例的子公司。</w:t>
          </w:r>
        </w:sdtContent>
      </w:sdt>
    </w:p>
    <w:p w14:paraId="5FCF4541">
      <w:pPr>
        <w:rPr>
          <w:rFonts w:cs="Arial"/>
          <w:color w:val="000000" w:themeColor="text1"/>
          <w14:textFill>
            <w14:solidFill>
              <w14:schemeClr w14:val="tx1"/>
            </w14:solidFill>
          </w14:textFill>
        </w:rPr>
      </w:pPr>
    </w:p>
    <w:p w14:paraId="1DE42A49">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持有半数或以下表决权但仍控制被投资单位、以及持有半数以上表决权但不控制被投资单位的依据：</w:t>
      </w:r>
    </w:p>
    <w:sdt>
      <w:sdtPr>
        <w:rPr>
          <w:rFonts w:cs="Arial"/>
          <w:color w:val="000000" w:themeColor="text1"/>
          <w14:textFill>
            <w14:solidFill>
              <w14:schemeClr w14:val="tx1"/>
            </w14:solidFill>
          </w14:textFill>
        </w:rPr>
        <w:alias w:val="持有半数或以下表决权但仍控制被投资单位、以及持有半数以上表决权但不控制被投资单位的依据"/>
        <w:tag w:val="_GBC_140bd5da597c40feaa9310db1d6dc624"/>
        <w:id w:val="-84152631"/>
        <w:placeholder>
          <w:docPart w:val="GBC22222222222222222222222222222"/>
        </w:placeholder>
      </w:sdtPr>
      <w:sdtEndPr>
        <w:rPr>
          <w:rFonts w:cs="Arial"/>
          <w:color w:val="000000" w:themeColor="text1"/>
          <w14:textFill>
            <w14:solidFill>
              <w14:schemeClr w14:val="tx1"/>
            </w14:solidFill>
          </w14:textFill>
        </w:rPr>
      </w:sdtEndPr>
      <w:sdtContent>
        <w:p w14:paraId="19B59970">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本公司持有重庆润田房地产开发有限公司50%股权，为其第一大股东，由本公司委派董事长和半数席位董事，董事长具有特别投票权（平票时，董事长可再投一票）。</w:t>
          </w:r>
        </w:p>
        <w:p w14:paraId="4FA38F72">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本公司无持有半数以上表决权但不控制被投资单位的情况。</w:t>
          </w:r>
        </w:p>
      </w:sdtContent>
    </w:sdt>
    <w:p w14:paraId="28C83264">
      <w:pPr>
        <w:rPr>
          <w:rFonts w:cs="Arial"/>
          <w:color w:val="000000" w:themeColor="text1"/>
          <w14:textFill>
            <w14:solidFill>
              <w14:schemeClr w14:val="tx1"/>
            </w14:solidFill>
          </w14:textFill>
        </w:rPr>
      </w:pPr>
    </w:p>
    <w:p w14:paraId="59B11EB4">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对于纳入合并范围的重要的结构化主体，控制的依据：</w:t>
      </w:r>
    </w:p>
    <w:sdt>
      <w:sdtPr>
        <w:rPr>
          <w:rFonts w:hint="eastAsia" w:cs="Arial"/>
          <w:color w:val="000000" w:themeColor="text1"/>
          <w14:textFill>
            <w14:solidFill>
              <w14:schemeClr w14:val="tx1"/>
            </w14:solidFill>
          </w14:textFill>
        </w:rPr>
        <w:alias w:val="对于纳入合并范围的重要的结构化主体，控制的依据"/>
        <w:tag w:val="_GBC_2d237439b4094e01b636ce2eb1be2008"/>
        <w:id w:val="-29110956"/>
        <w:placeholder>
          <w:docPart w:val="GBC22222222222222222222222222222"/>
        </w:placeholder>
      </w:sdtPr>
      <w:sdtEndPr>
        <w:rPr>
          <w:rFonts w:hint="eastAsia" w:cs="Arial"/>
          <w:color w:val="000000" w:themeColor="text1"/>
          <w14:textFill>
            <w14:solidFill>
              <w14:schemeClr w14:val="tx1"/>
            </w14:solidFill>
          </w14:textFill>
        </w:rPr>
      </w:sdtEndPr>
      <w:sdtContent>
        <w:p w14:paraId="3DBF8477">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p w14:paraId="513B2CC9">
      <w:pPr>
        <w:rPr>
          <w:rFonts w:cs="Arial"/>
          <w:color w:val="000000" w:themeColor="text1"/>
          <w14:textFill>
            <w14:solidFill>
              <w14:schemeClr w14:val="tx1"/>
            </w14:solidFill>
          </w14:textFill>
        </w:rPr>
      </w:pPr>
    </w:p>
    <w:p w14:paraId="71F22149">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确定公司是代理人还是委托人的依据：</w:t>
      </w:r>
    </w:p>
    <w:sdt>
      <w:sdtPr>
        <w:rPr>
          <w:rFonts w:hint="eastAsia" w:cs="Arial"/>
          <w:color w:val="000000" w:themeColor="text1"/>
          <w14:textFill>
            <w14:solidFill>
              <w14:schemeClr w14:val="tx1"/>
            </w14:solidFill>
          </w14:textFill>
        </w:rPr>
        <w:alias w:val="确定公司是代理人还是委托人的依据"/>
        <w:tag w:val="_GBC_6e0bd1ebb4c2474da455b4f5a3a59699"/>
        <w:id w:val="2008636804"/>
        <w:placeholder>
          <w:docPart w:val="GBC22222222222222222222222222222"/>
        </w:placeholder>
      </w:sdtPr>
      <w:sdtEndPr>
        <w:rPr>
          <w:rFonts w:hint="eastAsia" w:cs="Arial"/>
          <w:color w:val="000000" w:themeColor="text1"/>
          <w14:textFill>
            <w14:solidFill>
              <w14:schemeClr w14:val="tx1"/>
            </w14:solidFill>
          </w14:textFill>
        </w:rPr>
      </w:sdtEndPr>
      <w:sdtContent>
        <w:p w14:paraId="47536407">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p w14:paraId="1568E5D3">
      <w:pPr>
        <w:rPr>
          <w:rFonts w:cs="Arial"/>
          <w:color w:val="000000" w:themeColor="text1"/>
          <w14:textFill>
            <w14:solidFill>
              <w14:schemeClr w14:val="tx1"/>
            </w14:solidFill>
          </w14:textFill>
        </w:rPr>
      </w:pPr>
    </w:p>
    <w:p w14:paraId="3780AE5E">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企业集团的构成的其他需要说明的事项"/>
        <w:tag w:val="_GBC_6b7d2d3a14224f7e90a4df3c02b8e3b3"/>
        <w:id w:val="-582215551"/>
        <w:placeholder>
          <w:docPart w:val="GBC22222222222222222222222222222"/>
        </w:placeholder>
      </w:sdtPr>
      <w:sdtEndPr>
        <w:rPr>
          <w:rFonts w:cs="Arial"/>
          <w:color w:val="000000" w:themeColor="text1"/>
          <w14:textFill>
            <w14:solidFill>
              <w14:schemeClr w14:val="tx1"/>
            </w14:solidFill>
          </w14:textFill>
        </w:rPr>
      </w:sdtEndPr>
      <w:sdtContent>
        <w:p w14:paraId="22958E5F">
          <w:pPr>
            <w:rPr>
              <w:rFonts w:cstheme="minorBidi"/>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bookmarkEnd w:id="359"/>
    <w:p w14:paraId="5645F020">
      <w:pPr>
        <w:rPr>
          <w:rFonts w:cs="Arial"/>
          <w:color w:val="000000" w:themeColor="text1"/>
          <w14:textFill>
            <w14:solidFill>
              <w14:schemeClr w14:val="tx1"/>
            </w14:solidFill>
          </w14:textFill>
        </w:rPr>
      </w:pPr>
    </w:p>
    <w:p w14:paraId="266BE66E">
      <w:pPr>
        <w:pStyle w:val="5"/>
        <w:numPr>
          <w:ilvl w:val="3"/>
          <w:numId w:val="84"/>
        </w:numPr>
        <w:ind w:left="426" w:hanging="42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重要的非全资子公司</w:t>
      </w:r>
    </w:p>
    <w:sdt>
      <w:sdtPr>
        <w:rPr>
          <w:color w:val="000000" w:themeColor="text1"/>
          <w14:textFill>
            <w14:solidFill>
              <w14:schemeClr w14:val="tx1"/>
            </w14:solidFill>
          </w14:textFill>
        </w:rPr>
        <w:alias w:val="是否适用：重要的非全资子公司[双击切换]"/>
        <w:tag w:val="_GBC_b83f349d0d754e2d93b12d2112b4c3ec"/>
        <w:id w:val="1437707962"/>
        <w:placeholder>
          <w:docPart w:val="GBC22222222222222222222222222222"/>
        </w:placeholder>
      </w:sdtPr>
      <w:sdtEndPr>
        <w:rPr>
          <w:color w:val="000000" w:themeColor="text1"/>
          <w14:textFill>
            <w14:solidFill>
              <w14:schemeClr w14:val="tx1"/>
            </w14:solidFill>
          </w14:textFill>
        </w:rPr>
      </w:sdtEndPr>
      <w:sdtContent>
        <w:p w14:paraId="40D08F5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D2D961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的非全资子公司"/>
          <w:tag w:val="_GBC_e5936e9952394755bacf71d437afcd44"/>
          <w:id w:val="19290015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的非全资子公司"/>
          <w:tag w:val="_GBC_5ffac6aa0e464031b94de604fccc76c7"/>
          <w:id w:val="-12760174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2"/>
        <w:gridCol w:w="1587"/>
        <w:gridCol w:w="3016"/>
        <w:gridCol w:w="3320"/>
        <w:gridCol w:w="2714"/>
      </w:tblGrid>
      <w:tr w14:paraId="0CDB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214f5d23d0ff4cd08577f444026e3bf2"/>
            <w:id w:val="1423994162"/>
          </w:sdtPr>
          <w:sdtContent>
            <w:tc>
              <w:tcPr>
                <w:tcW w:w="1225" w:type="pct"/>
                <w:vAlign w:val="center"/>
              </w:tcPr>
              <w:p w14:paraId="6211FE86">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子公司名称</w:t>
                </w:r>
              </w:p>
            </w:tc>
          </w:sdtContent>
        </w:sdt>
        <w:sdt>
          <w:sdtPr>
            <w:tag w:val="_PLD_8f337a5f047e4f5eb2e03caf3b5ce2bb"/>
            <w:id w:val="1629515835"/>
          </w:sdtPr>
          <w:sdtContent>
            <w:tc>
              <w:tcPr>
                <w:tcW w:w="563" w:type="pct"/>
                <w:vAlign w:val="center"/>
              </w:tcPr>
              <w:p w14:paraId="18A68224">
                <w:pPr>
                  <w:jc w:val="center"/>
                  <w:rPr>
                    <w:rFonts w:cs="Arial"/>
                    <w:bCs/>
                    <w:color w:val="000000" w:themeColor="text1"/>
                    <w:lang w:val="en-GB"/>
                    <w14:textFill>
                      <w14:solidFill>
                        <w14:schemeClr w14:val="tx1"/>
                      </w14:solidFill>
                    </w14:textFill>
                  </w:rPr>
                </w:pPr>
                <w:r>
                  <w:rPr>
                    <w:rFonts w:hint="eastAsia" w:cs="Arial"/>
                    <w:color w:val="000000" w:themeColor="text1"/>
                    <w:lang w:val="en-GB"/>
                    <w14:textFill>
                      <w14:solidFill>
                        <w14:schemeClr w14:val="tx1"/>
                      </w14:solidFill>
                    </w14:textFill>
                  </w:rPr>
                  <w:t>少数股东持股</w:t>
                </w:r>
              </w:p>
              <w:p w14:paraId="6AEC5D71">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比例</w:t>
                </w:r>
                <w:r>
                  <w:rPr>
                    <w:rFonts w:hint="eastAsia"/>
                    <w:color w:val="000000" w:themeColor="text1"/>
                    <w14:textFill>
                      <w14:solidFill>
                        <w14:schemeClr w14:val="tx1"/>
                      </w14:solidFill>
                    </w14:textFill>
                  </w:rPr>
                  <w:t>（%）</w:t>
                </w:r>
              </w:p>
            </w:tc>
          </w:sdtContent>
        </w:sdt>
        <w:sdt>
          <w:sdtPr>
            <w:tag w:val="_PLD_70aca7c8f09a4a579e632e06c25a6ab5"/>
            <w:id w:val="-446931852"/>
          </w:sdtPr>
          <w:sdtContent>
            <w:tc>
              <w:tcPr>
                <w:tcW w:w="1070" w:type="pct"/>
                <w:vAlign w:val="center"/>
              </w:tcPr>
              <w:p w14:paraId="02F697B5">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本期归属于少数股东的损益</w:t>
                </w:r>
              </w:p>
            </w:tc>
          </w:sdtContent>
        </w:sdt>
        <w:sdt>
          <w:sdtPr>
            <w:tag w:val="_PLD_4154a89239e54416bb4c7ab182b0ae5a"/>
            <w:id w:val="860856288"/>
          </w:sdtPr>
          <w:sdtContent>
            <w:tc>
              <w:tcPr>
                <w:tcW w:w="1178" w:type="pct"/>
                <w:vAlign w:val="center"/>
              </w:tcPr>
              <w:p w14:paraId="7BC13AB2">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本期向少数股东宣告分派的股利</w:t>
                </w:r>
              </w:p>
            </w:tc>
          </w:sdtContent>
        </w:sdt>
        <w:sdt>
          <w:sdtPr>
            <w:tag w:val="_PLD_cea34ef7af164cc8816d90890b528f36"/>
            <w:id w:val="-1222056482"/>
          </w:sdtPr>
          <w:sdtContent>
            <w:tc>
              <w:tcPr>
                <w:tcW w:w="963" w:type="pct"/>
                <w:vAlign w:val="center"/>
              </w:tcPr>
              <w:p w14:paraId="76EFC2F2">
                <w:pPr>
                  <w:ind w:right="-16"/>
                  <w:jc w:val="center"/>
                  <w:rPr>
                    <w:rFonts w:cs="Arial"/>
                    <w:bCs/>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期末少数股东权益余额</w:t>
                </w:r>
              </w:p>
            </w:tc>
          </w:sdtContent>
        </w:sdt>
      </w:tr>
      <w:tr w14:paraId="61AE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pct"/>
          </w:tcPr>
          <w:p w14:paraId="4789E7C0">
            <w:pPr>
              <w:jc w:val="center"/>
            </w:pPr>
            <w:r>
              <w:t>河南力帆树民车业有限公司</w:t>
            </w:r>
          </w:p>
        </w:tc>
        <w:tc>
          <w:tcPr>
            <w:tcW w:w="563" w:type="pct"/>
          </w:tcPr>
          <w:p w14:paraId="6B0EF65A">
            <w:pPr>
              <w:jc w:val="right"/>
            </w:pPr>
            <w:r>
              <w:t>20</w:t>
            </w:r>
          </w:p>
        </w:tc>
        <w:tc>
          <w:tcPr>
            <w:tcW w:w="1070" w:type="pct"/>
          </w:tcPr>
          <w:p w14:paraId="5D29E59B">
            <w:pPr>
              <w:jc w:val="right"/>
            </w:pPr>
            <w:r>
              <w:t>-189.98</w:t>
            </w:r>
          </w:p>
        </w:tc>
        <w:tc>
          <w:tcPr>
            <w:tcW w:w="1178" w:type="pct"/>
          </w:tcPr>
          <w:p w14:paraId="142B31A2">
            <w:pPr>
              <w:jc w:val="right"/>
            </w:pPr>
            <w:r>
              <w:t>0.00</w:t>
            </w:r>
          </w:p>
        </w:tc>
        <w:tc>
          <w:tcPr>
            <w:tcW w:w="963" w:type="pct"/>
          </w:tcPr>
          <w:p w14:paraId="0C469977">
            <w:pPr>
              <w:jc w:val="right"/>
            </w:pPr>
            <w:r>
              <w:t>1,995.07</w:t>
            </w:r>
          </w:p>
        </w:tc>
      </w:tr>
      <w:tr w14:paraId="5CD1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pct"/>
          </w:tcPr>
          <w:p w14:paraId="011AE1C9">
            <w:pPr>
              <w:jc w:val="center"/>
            </w:pPr>
            <w:r>
              <w:t>重庆润田房地产开发有限公司</w:t>
            </w:r>
          </w:p>
        </w:tc>
        <w:tc>
          <w:tcPr>
            <w:tcW w:w="563" w:type="pct"/>
          </w:tcPr>
          <w:p w14:paraId="4AEE6DB1">
            <w:pPr>
              <w:jc w:val="right"/>
            </w:pPr>
            <w:r>
              <w:t>50</w:t>
            </w:r>
          </w:p>
        </w:tc>
        <w:tc>
          <w:tcPr>
            <w:tcW w:w="1070" w:type="pct"/>
            <w:vAlign w:val="center"/>
          </w:tcPr>
          <w:p w14:paraId="3A04C66E">
            <w:pPr>
              <w:jc w:val="right"/>
            </w:pPr>
            <w:r>
              <w:t>-1,248.30</w:t>
            </w:r>
          </w:p>
        </w:tc>
        <w:tc>
          <w:tcPr>
            <w:tcW w:w="1178" w:type="pct"/>
            <w:vAlign w:val="center"/>
          </w:tcPr>
          <w:p w14:paraId="543C3F76">
            <w:pPr>
              <w:jc w:val="right"/>
            </w:pPr>
            <w:r>
              <w:t>0</w:t>
            </w:r>
            <w:r>
              <w:rPr>
                <w:rFonts w:hint="eastAsia"/>
              </w:rPr>
              <w:t>.0</w:t>
            </w:r>
            <w:r>
              <w:t>0</w:t>
            </w:r>
          </w:p>
        </w:tc>
        <w:tc>
          <w:tcPr>
            <w:tcW w:w="963" w:type="pct"/>
            <w:vAlign w:val="center"/>
          </w:tcPr>
          <w:p w14:paraId="1EDC8137">
            <w:pPr>
              <w:jc w:val="right"/>
            </w:pPr>
            <w:r>
              <w:t>103,466.26</w:t>
            </w:r>
          </w:p>
        </w:tc>
      </w:tr>
      <w:tr w14:paraId="03C5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pct"/>
          </w:tcPr>
          <w:p w14:paraId="74A1213C">
            <w:pPr>
              <w:jc w:val="center"/>
            </w:pPr>
            <w:r>
              <w:t>重庆睿蓝汽车科技有限公司</w:t>
            </w:r>
          </w:p>
        </w:tc>
        <w:tc>
          <w:tcPr>
            <w:tcW w:w="563" w:type="pct"/>
          </w:tcPr>
          <w:p w14:paraId="07EEC72E">
            <w:pPr>
              <w:jc w:val="right"/>
            </w:pPr>
            <w:r>
              <w:t>45</w:t>
            </w:r>
          </w:p>
        </w:tc>
        <w:tc>
          <w:tcPr>
            <w:tcW w:w="1070" w:type="pct"/>
            <w:vAlign w:val="center"/>
          </w:tcPr>
          <w:p w14:paraId="474D4F7C">
            <w:pPr>
              <w:jc w:val="right"/>
            </w:pPr>
            <w:r>
              <w:t>-13,381.75</w:t>
            </w:r>
          </w:p>
        </w:tc>
        <w:tc>
          <w:tcPr>
            <w:tcW w:w="1178" w:type="pct"/>
          </w:tcPr>
          <w:p w14:paraId="265A370E">
            <w:pPr>
              <w:jc w:val="right"/>
            </w:pPr>
            <w:r>
              <w:t>0.00</w:t>
            </w:r>
          </w:p>
        </w:tc>
        <w:tc>
          <w:tcPr>
            <w:tcW w:w="963" w:type="pct"/>
            <w:vAlign w:val="center"/>
          </w:tcPr>
          <w:p w14:paraId="456A57D7">
            <w:pPr>
              <w:jc w:val="right"/>
            </w:pPr>
            <w:r>
              <w:t>-4,648.87</w:t>
            </w:r>
          </w:p>
        </w:tc>
      </w:tr>
    </w:tbl>
    <w:p w14:paraId="4050DC3D"/>
    <w:p w14:paraId="6685A56C">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子公司少数股东的持股比例不同于表决权比例的说明：</w:t>
      </w:r>
    </w:p>
    <w:sdt>
      <w:sdtPr>
        <w:rPr>
          <w:rFonts w:cs="Arial"/>
          <w:color w:val="000000" w:themeColor="text1"/>
          <w14:textFill>
            <w14:solidFill>
              <w14:schemeClr w14:val="tx1"/>
            </w14:solidFill>
          </w14:textFill>
        </w:rPr>
        <w:alias w:val="是否适用：子公司少数股东的持股比例不同于表决权比例的说明[双击切换]"/>
        <w:tag w:val="_GBC_8bf91d6e05c644d1b37f5d88e434cb9e"/>
        <w:id w:val="-543913384"/>
        <w:placeholder>
          <w:docPart w:val="GBC22222222222222222222222222222"/>
        </w:placeholder>
      </w:sdtPr>
      <w:sdtEndPr>
        <w:rPr>
          <w:rFonts w:cs="Arial"/>
          <w:color w:val="000000" w:themeColor="text1"/>
          <w14:textFill>
            <w14:solidFill>
              <w14:schemeClr w14:val="tx1"/>
            </w14:solidFill>
          </w14:textFill>
        </w:rPr>
      </w:sdtEndPr>
      <w:sdtContent>
        <w:p w14:paraId="7EF6FDA8">
          <w:pPr>
            <w:rPr>
              <w:rFonts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03AD5445">
      <w:pPr>
        <w:rPr>
          <w:rFonts w:cs="Arial"/>
          <w:color w:val="000000" w:themeColor="text1"/>
          <w14:textFill>
            <w14:solidFill>
              <w14:schemeClr w14:val="tx1"/>
            </w14:solidFill>
          </w14:textFill>
        </w:rPr>
      </w:pPr>
    </w:p>
    <w:p w14:paraId="56AEA429">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是否适用：重要的非全资子公司其他说明[双击切换]"/>
        <w:tag w:val="_GBC_c511ac7f8f1f42bfa9130e28b68d1f19"/>
        <w:id w:val="-1288513070"/>
        <w:placeholder>
          <w:docPart w:val="GBC22222222222222222222222222222"/>
        </w:placeholder>
      </w:sdtPr>
      <w:sdtEndPr>
        <w:rPr>
          <w:rFonts w:cs="Arial"/>
          <w:color w:val="000000" w:themeColor="text1"/>
          <w14:textFill>
            <w14:solidFill>
              <w14:schemeClr w14:val="tx1"/>
            </w14:solidFill>
          </w14:textFill>
        </w:rPr>
      </w:sdtEndPr>
      <w:sdtContent>
        <w:p w14:paraId="6BB1E487">
          <w:pPr>
            <w:rPr>
              <w:rFonts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02E07341">
      <w:pPr>
        <w:rPr>
          <w:rFonts w:cs="Arial"/>
          <w:color w:val="000000" w:themeColor="text1"/>
          <w14:textFill>
            <w14:solidFill>
              <w14:schemeClr w14:val="tx1"/>
            </w14:solidFill>
          </w14:textFill>
        </w:rPr>
      </w:pPr>
    </w:p>
    <w:p w14:paraId="16BC384A">
      <w:pPr>
        <w:pStyle w:val="5"/>
        <w:numPr>
          <w:ilvl w:val="3"/>
          <w:numId w:val="84"/>
        </w:numPr>
        <w:ind w:left="426" w:hanging="42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重要非全资子公司的主要财务信息</w:t>
      </w:r>
    </w:p>
    <w:sdt>
      <w:sdtPr>
        <w:rPr>
          <w:color w:val="000000" w:themeColor="text1"/>
          <w14:textFill>
            <w14:solidFill>
              <w14:schemeClr w14:val="tx1"/>
            </w14:solidFill>
          </w14:textFill>
        </w:rPr>
        <w:alias w:val="是否适用：重要非全资子公司的主要财务信息[双击切换]"/>
        <w:tag w:val="_GBC_c10a7c42e39b4ac9a711e2e9d367799e"/>
        <w:id w:val="-1535416117"/>
        <w:placeholder>
          <w:docPart w:val="GBC22222222222222222222222222222"/>
        </w:placeholder>
      </w:sdtPr>
      <w:sdtEndPr>
        <w:rPr>
          <w:color w:val="000000" w:themeColor="text1"/>
          <w14:textFill>
            <w14:solidFill>
              <w14:schemeClr w14:val="tx1"/>
            </w14:solidFill>
          </w14:textFill>
        </w:rPr>
      </w:sdtEndPr>
      <w:sdtContent>
        <w:p w14:paraId="2AD3F21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F73AE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非全资子公司的主要财务信息"/>
          <w:tag w:val="_GBC_ba918360b15748859fb63cacad1f617d"/>
          <w:id w:val="-20943824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非全资子公司的主要财务信息"/>
          <w:tag w:val="_GBC_af5cc4f1e7a74e3d8f9c9fea25fdf05f"/>
          <w:id w:val="-10923862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008"/>
        <w:gridCol w:w="1148"/>
        <w:gridCol w:w="1149"/>
        <w:gridCol w:w="1149"/>
        <w:gridCol w:w="1043"/>
        <w:gridCol w:w="1151"/>
        <w:gridCol w:w="9"/>
        <w:gridCol w:w="1140"/>
        <w:gridCol w:w="1149"/>
        <w:gridCol w:w="1149"/>
        <w:gridCol w:w="1149"/>
        <w:gridCol w:w="1149"/>
        <w:gridCol w:w="1143"/>
      </w:tblGrid>
      <w:tr w14:paraId="228B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rPr>
              <w:sz w:val="18"/>
              <w:szCs w:val="18"/>
            </w:rPr>
            <w:tag w:val="_PLD_e65ae60c1beb4e5aa4e9c5250ffb188a"/>
            <w:id w:val="208848579"/>
          </w:sdtPr>
          <w:sdtEndPr>
            <w:rPr>
              <w:sz w:val="18"/>
              <w:szCs w:val="18"/>
            </w:rPr>
          </w:sdtEndPr>
          <w:sdtContent>
            <w:tc>
              <w:tcPr>
                <w:tcW w:w="251" w:type="pct"/>
                <w:vMerge w:val="restart"/>
                <w:vAlign w:val="center"/>
              </w:tcPr>
              <w:p w14:paraId="4A86E588">
                <w:pPr>
                  <w:ind w:left="-53" w:leftChars="-25" w:right="-53" w:rightChars="-25"/>
                  <w:jc w:val="center"/>
                  <w:rPr>
                    <w:rFonts w:cs="Arial"/>
                    <w:bCs/>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子公司名称</w:t>
                </w:r>
              </w:p>
            </w:tc>
          </w:sdtContent>
        </w:sdt>
        <w:sdt>
          <w:sdtPr>
            <w:rPr>
              <w:sz w:val="18"/>
              <w:szCs w:val="18"/>
            </w:rPr>
            <w:tag w:val="_PLD_878e21e6ce5e466eb427e7200cc9e5bb"/>
            <w:id w:val="-1734455929"/>
          </w:sdtPr>
          <w:sdtEndPr>
            <w:rPr>
              <w:sz w:val="18"/>
              <w:szCs w:val="18"/>
            </w:rPr>
          </w:sdtEndPr>
          <w:sdtContent>
            <w:tc>
              <w:tcPr>
                <w:tcW w:w="2336" w:type="pct"/>
                <w:gridSpan w:val="7"/>
                <w:vAlign w:val="center"/>
              </w:tcPr>
              <w:p w14:paraId="332F3E86">
                <w:pPr>
                  <w:ind w:left="-53" w:leftChars="-25" w:right="-53" w:rightChars="-25"/>
                  <w:jc w:val="center"/>
                  <w:rPr>
                    <w:rFonts w:cs="Arial"/>
                    <w:bCs/>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期末余额</w:t>
                </w:r>
              </w:p>
            </w:tc>
          </w:sdtContent>
        </w:sdt>
        <w:sdt>
          <w:sdtPr>
            <w:rPr>
              <w:sz w:val="18"/>
              <w:szCs w:val="18"/>
            </w:rPr>
            <w:tag w:val="_PLD_86b93e4e78424106874bd84d54fb24df"/>
            <w:id w:val="-1745482040"/>
          </w:sdtPr>
          <w:sdtEndPr>
            <w:rPr>
              <w:sz w:val="18"/>
              <w:szCs w:val="18"/>
            </w:rPr>
          </w:sdtEndPr>
          <w:sdtContent>
            <w:tc>
              <w:tcPr>
                <w:tcW w:w="2414" w:type="pct"/>
                <w:gridSpan w:val="6"/>
                <w:vAlign w:val="center"/>
              </w:tcPr>
              <w:p w14:paraId="0A4D44B4">
                <w:pPr>
                  <w:ind w:left="-53" w:leftChars="-25" w:right="-53" w:rightChars="-25"/>
                  <w:jc w:val="center"/>
                  <w:rPr>
                    <w:rFonts w:cs="Arial"/>
                    <w:bCs/>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期初余额</w:t>
                </w:r>
              </w:p>
            </w:tc>
          </w:sdtContent>
        </w:sdt>
      </w:tr>
      <w:tr w14:paraId="34B9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251" w:type="pct"/>
            <w:vMerge w:val="continue"/>
            <w:vAlign w:val="center"/>
          </w:tcPr>
          <w:p w14:paraId="4E61FF4B">
            <w:pPr>
              <w:ind w:left="-53" w:leftChars="-25" w:right="-53" w:rightChars="-25"/>
              <w:rPr>
                <w:rFonts w:cs="Arial"/>
                <w:bCs/>
                <w:color w:val="000000" w:themeColor="text1"/>
                <w:sz w:val="18"/>
                <w:szCs w:val="18"/>
                <w14:textFill>
                  <w14:solidFill>
                    <w14:schemeClr w14:val="tx1"/>
                  </w14:solidFill>
                </w14:textFill>
              </w:rPr>
            </w:pPr>
          </w:p>
        </w:tc>
        <w:sdt>
          <w:sdtPr>
            <w:rPr>
              <w:sz w:val="18"/>
              <w:szCs w:val="18"/>
            </w:rPr>
            <w:tag w:val="_PLD_0154d63f3f2c482ebe0cf00460d87fbd"/>
            <w:id w:val="1361328016"/>
          </w:sdtPr>
          <w:sdtEndPr>
            <w:rPr>
              <w:sz w:val="18"/>
              <w:szCs w:val="18"/>
            </w:rPr>
          </w:sdtEndPr>
          <w:sdtContent>
            <w:tc>
              <w:tcPr>
                <w:tcW w:w="354" w:type="pct"/>
                <w:vAlign w:val="center"/>
              </w:tcPr>
              <w:p w14:paraId="3D148709">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流动资产</w:t>
                </w:r>
              </w:p>
            </w:tc>
          </w:sdtContent>
        </w:sdt>
        <w:sdt>
          <w:sdtPr>
            <w:rPr>
              <w:sz w:val="18"/>
              <w:szCs w:val="18"/>
            </w:rPr>
            <w:tag w:val="_PLD_0f817c02730447aca042c6a931d447e8"/>
            <w:id w:val="-378853286"/>
          </w:sdtPr>
          <w:sdtEndPr>
            <w:rPr>
              <w:sz w:val="18"/>
              <w:szCs w:val="18"/>
            </w:rPr>
          </w:sdtEndPr>
          <w:sdtContent>
            <w:tc>
              <w:tcPr>
                <w:tcW w:w="403" w:type="pct"/>
                <w:vAlign w:val="center"/>
              </w:tcPr>
              <w:p w14:paraId="1449B2DB">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非流动资产</w:t>
                </w:r>
              </w:p>
            </w:tc>
          </w:sdtContent>
        </w:sdt>
        <w:sdt>
          <w:sdtPr>
            <w:rPr>
              <w:sz w:val="18"/>
              <w:szCs w:val="18"/>
            </w:rPr>
            <w:tag w:val="_PLD_553e0814e94f491784b88cc5aa7d6adb"/>
            <w:id w:val="1244150912"/>
          </w:sdtPr>
          <w:sdtEndPr>
            <w:rPr>
              <w:sz w:val="18"/>
              <w:szCs w:val="18"/>
            </w:rPr>
          </w:sdtEndPr>
          <w:sdtContent>
            <w:tc>
              <w:tcPr>
                <w:tcW w:w="403" w:type="pct"/>
                <w:vAlign w:val="center"/>
              </w:tcPr>
              <w:p w14:paraId="1372650A">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资产合计</w:t>
                </w:r>
              </w:p>
            </w:tc>
          </w:sdtContent>
        </w:sdt>
        <w:sdt>
          <w:sdtPr>
            <w:rPr>
              <w:sz w:val="18"/>
              <w:szCs w:val="18"/>
            </w:rPr>
            <w:tag w:val="_PLD_3db84901ffa544afb174531f0384a82f"/>
            <w:id w:val="1400020242"/>
          </w:sdtPr>
          <w:sdtEndPr>
            <w:rPr>
              <w:sz w:val="18"/>
              <w:szCs w:val="18"/>
            </w:rPr>
          </w:sdtEndPr>
          <w:sdtContent>
            <w:tc>
              <w:tcPr>
                <w:tcW w:w="403" w:type="pct"/>
                <w:vAlign w:val="center"/>
              </w:tcPr>
              <w:p w14:paraId="5361A03B">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流动负债</w:t>
                </w:r>
              </w:p>
            </w:tc>
          </w:sdtContent>
        </w:sdt>
        <w:sdt>
          <w:sdtPr>
            <w:rPr>
              <w:sz w:val="18"/>
              <w:szCs w:val="18"/>
            </w:rPr>
            <w:tag w:val="_PLD_50c217cc437b4c3496e1aab622fba053"/>
            <w:id w:val="359480063"/>
          </w:sdtPr>
          <w:sdtEndPr>
            <w:rPr>
              <w:sz w:val="18"/>
              <w:szCs w:val="18"/>
            </w:rPr>
          </w:sdtEndPr>
          <w:sdtContent>
            <w:tc>
              <w:tcPr>
                <w:tcW w:w="366" w:type="pct"/>
                <w:vAlign w:val="center"/>
              </w:tcPr>
              <w:p w14:paraId="56C4A8ED">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非流动负债</w:t>
                </w:r>
              </w:p>
            </w:tc>
          </w:sdtContent>
        </w:sdt>
        <w:sdt>
          <w:sdtPr>
            <w:rPr>
              <w:sz w:val="18"/>
              <w:szCs w:val="18"/>
            </w:rPr>
            <w:tag w:val="_PLD_ccd9a8d3652e4485a763cfb37eb6fa37"/>
            <w:id w:val="-1692832583"/>
          </w:sdtPr>
          <w:sdtEndPr>
            <w:rPr>
              <w:sz w:val="18"/>
              <w:szCs w:val="18"/>
            </w:rPr>
          </w:sdtEndPr>
          <w:sdtContent>
            <w:tc>
              <w:tcPr>
                <w:tcW w:w="404" w:type="pct"/>
                <w:vAlign w:val="center"/>
              </w:tcPr>
              <w:p w14:paraId="0BE6EFC3">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负债合计</w:t>
                </w:r>
              </w:p>
            </w:tc>
          </w:sdtContent>
        </w:sdt>
        <w:sdt>
          <w:sdtPr>
            <w:rPr>
              <w:sz w:val="18"/>
              <w:szCs w:val="18"/>
            </w:rPr>
            <w:tag w:val="_PLD_ec07cd6513b74d49b586125d4b66dd0a"/>
            <w:id w:val="1483276288"/>
          </w:sdtPr>
          <w:sdtEndPr>
            <w:rPr>
              <w:sz w:val="18"/>
              <w:szCs w:val="18"/>
            </w:rPr>
          </w:sdtEndPr>
          <w:sdtContent>
            <w:tc>
              <w:tcPr>
                <w:tcW w:w="403" w:type="pct"/>
                <w:gridSpan w:val="2"/>
                <w:vAlign w:val="center"/>
              </w:tcPr>
              <w:p w14:paraId="04ABC3AD">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流动资产</w:t>
                </w:r>
              </w:p>
            </w:tc>
          </w:sdtContent>
        </w:sdt>
        <w:sdt>
          <w:sdtPr>
            <w:rPr>
              <w:sz w:val="18"/>
              <w:szCs w:val="18"/>
            </w:rPr>
            <w:tag w:val="_PLD_fb97ce65ab144768b4fb9978546fce37"/>
            <w:id w:val="1490133113"/>
          </w:sdtPr>
          <w:sdtEndPr>
            <w:rPr>
              <w:sz w:val="18"/>
              <w:szCs w:val="18"/>
            </w:rPr>
          </w:sdtEndPr>
          <w:sdtContent>
            <w:tc>
              <w:tcPr>
                <w:tcW w:w="403" w:type="pct"/>
                <w:vAlign w:val="center"/>
              </w:tcPr>
              <w:p w14:paraId="25985B25">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非流动资产</w:t>
                </w:r>
              </w:p>
            </w:tc>
          </w:sdtContent>
        </w:sdt>
        <w:sdt>
          <w:sdtPr>
            <w:rPr>
              <w:sz w:val="18"/>
              <w:szCs w:val="18"/>
            </w:rPr>
            <w:tag w:val="_PLD_412845ecfd2e45e8ae03b43cf8ca32f4"/>
            <w:id w:val="-1414843316"/>
          </w:sdtPr>
          <w:sdtEndPr>
            <w:rPr>
              <w:sz w:val="18"/>
              <w:szCs w:val="18"/>
            </w:rPr>
          </w:sdtEndPr>
          <w:sdtContent>
            <w:tc>
              <w:tcPr>
                <w:tcW w:w="403" w:type="pct"/>
                <w:vAlign w:val="center"/>
              </w:tcPr>
              <w:p w14:paraId="1DB14DED">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资产合计</w:t>
                </w:r>
              </w:p>
            </w:tc>
          </w:sdtContent>
        </w:sdt>
        <w:sdt>
          <w:sdtPr>
            <w:rPr>
              <w:sz w:val="18"/>
              <w:szCs w:val="18"/>
            </w:rPr>
            <w:tag w:val="_PLD_2a24724c66b442e994f401266a55d5df"/>
            <w:id w:val="-1839764410"/>
          </w:sdtPr>
          <w:sdtEndPr>
            <w:rPr>
              <w:sz w:val="18"/>
              <w:szCs w:val="18"/>
            </w:rPr>
          </w:sdtEndPr>
          <w:sdtContent>
            <w:tc>
              <w:tcPr>
                <w:tcW w:w="403" w:type="pct"/>
                <w:vAlign w:val="center"/>
              </w:tcPr>
              <w:p w14:paraId="6FA55F19">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流动负债</w:t>
                </w:r>
              </w:p>
            </w:tc>
          </w:sdtContent>
        </w:sdt>
        <w:sdt>
          <w:sdtPr>
            <w:rPr>
              <w:sz w:val="18"/>
              <w:szCs w:val="18"/>
            </w:rPr>
            <w:tag w:val="_PLD_937f557a5cdb4ea99a0a914e755f781f"/>
            <w:id w:val="489064337"/>
          </w:sdtPr>
          <w:sdtEndPr>
            <w:rPr>
              <w:sz w:val="18"/>
              <w:szCs w:val="18"/>
            </w:rPr>
          </w:sdtEndPr>
          <w:sdtContent>
            <w:tc>
              <w:tcPr>
                <w:tcW w:w="403" w:type="pct"/>
                <w:vAlign w:val="center"/>
              </w:tcPr>
              <w:p w14:paraId="58CE9AE1">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非流动负债</w:t>
                </w:r>
              </w:p>
            </w:tc>
          </w:sdtContent>
        </w:sdt>
        <w:sdt>
          <w:sdtPr>
            <w:rPr>
              <w:sz w:val="18"/>
              <w:szCs w:val="18"/>
            </w:rPr>
            <w:tag w:val="_PLD_c4b998a44f394e1eb0924a4f19409ff8"/>
            <w:id w:val="593903004"/>
          </w:sdtPr>
          <w:sdtEndPr>
            <w:rPr>
              <w:sz w:val="18"/>
              <w:szCs w:val="18"/>
            </w:rPr>
          </w:sdtEndPr>
          <w:sdtContent>
            <w:tc>
              <w:tcPr>
                <w:tcW w:w="400" w:type="pct"/>
                <w:vAlign w:val="center"/>
              </w:tcPr>
              <w:p w14:paraId="6E00C4C1">
                <w:pPr>
                  <w:ind w:left="-53" w:leftChars="-25" w:right="-53" w:rightChars="-25"/>
                  <w:jc w:val="center"/>
                  <w:rPr>
                    <w:rFonts w:cs="Arial"/>
                    <w:color w:val="000000" w:themeColor="text1"/>
                    <w:sz w:val="18"/>
                    <w:szCs w:val="18"/>
                    <w14:textFill>
                      <w14:solidFill>
                        <w14:schemeClr w14:val="tx1"/>
                      </w14:solidFill>
                    </w14:textFill>
                  </w:rPr>
                </w:pPr>
                <w:r>
                  <w:rPr>
                    <w:rFonts w:hint="eastAsia" w:cs="Arial"/>
                    <w:color w:val="000000" w:themeColor="text1"/>
                    <w:sz w:val="18"/>
                    <w:szCs w:val="18"/>
                    <w:lang w:val="en-GB"/>
                    <w14:textFill>
                      <w14:solidFill>
                        <w14:schemeClr w14:val="tx1"/>
                      </w14:solidFill>
                    </w14:textFill>
                  </w:rPr>
                  <w:t>负债合计</w:t>
                </w:r>
              </w:p>
            </w:tc>
          </w:sdtContent>
        </w:sdt>
      </w:tr>
      <w:tr w14:paraId="4BBB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tcPr>
          <w:p w14:paraId="0345E34E">
            <w:pPr>
              <w:ind w:left="-53" w:leftChars="-25" w:right="-53" w:rightChars="-25"/>
              <w:rPr>
                <w:sz w:val="18"/>
                <w:szCs w:val="18"/>
              </w:rPr>
            </w:pPr>
            <w:r>
              <w:rPr>
                <w:sz w:val="18"/>
                <w:szCs w:val="18"/>
              </w:rPr>
              <w:t>河南力帆树民车业有限公司</w:t>
            </w:r>
          </w:p>
        </w:tc>
        <w:tc>
          <w:tcPr>
            <w:tcW w:w="354" w:type="pct"/>
            <w:vAlign w:val="center"/>
          </w:tcPr>
          <w:p w14:paraId="32530A99">
            <w:pPr>
              <w:ind w:left="-53" w:leftChars="-25" w:right="-53" w:rightChars="-25"/>
              <w:jc w:val="right"/>
              <w:rPr>
                <w:sz w:val="18"/>
                <w:szCs w:val="18"/>
              </w:rPr>
            </w:pPr>
            <w:r>
              <w:rPr>
                <w:sz w:val="18"/>
                <w:szCs w:val="18"/>
              </w:rPr>
              <w:t>3,804.72</w:t>
            </w:r>
          </w:p>
        </w:tc>
        <w:tc>
          <w:tcPr>
            <w:tcW w:w="403" w:type="pct"/>
            <w:vAlign w:val="center"/>
          </w:tcPr>
          <w:p w14:paraId="3C4CC27B">
            <w:pPr>
              <w:ind w:left="-53" w:leftChars="-25" w:right="-53" w:rightChars="-25"/>
              <w:jc w:val="right"/>
              <w:rPr>
                <w:sz w:val="18"/>
                <w:szCs w:val="18"/>
              </w:rPr>
            </w:pPr>
            <w:r>
              <w:rPr>
                <w:sz w:val="18"/>
                <w:szCs w:val="18"/>
              </w:rPr>
              <w:t>23,373.77</w:t>
            </w:r>
          </w:p>
        </w:tc>
        <w:tc>
          <w:tcPr>
            <w:tcW w:w="403" w:type="pct"/>
            <w:vAlign w:val="center"/>
          </w:tcPr>
          <w:p w14:paraId="20AA83D8">
            <w:pPr>
              <w:ind w:left="-53" w:leftChars="-25" w:right="-53" w:rightChars="-25"/>
              <w:jc w:val="right"/>
              <w:rPr>
                <w:sz w:val="18"/>
                <w:szCs w:val="18"/>
              </w:rPr>
            </w:pPr>
            <w:r>
              <w:rPr>
                <w:sz w:val="18"/>
                <w:szCs w:val="18"/>
              </w:rPr>
              <w:t>27,178.49</w:t>
            </w:r>
          </w:p>
        </w:tc>
        <w:tc>
          <w:tcPr>
            <w:tcW w:w="403" w:type="pct"/>
            <w:vAlign w:val="center"/>
          </w:tcPr>
          <w:p w14:paraId="26012591">
            <w:pPr>
              <w:ind w:left="-53" w:leftChars="-25" w:right="-53" w:rightChars="-25"/>
              <w:jc w:val="right"/>
              <w:rPr>
                <w:sz w:val="18"/>
                <w:szCs w:val="18"/>
              </w:rPr>
            </w:pPr>
            <w:r>
              <w:rPr>
                <w:sz w:val="18"/>
                <w:szCs w:val="18"/>
              </w:rPr>
              <w:t>17,175.64</w:t>
            </w:r>
          </w:p>
        </w:tc>
        <w:tc>
          <w:tcPr>
            <w:tcW w:w="366" w:type="pct"/>
            <w:vAlign w:val="center"/>
          </w:tcPr>
          <w:p w14:paraId="16C4835F">
            <w:pPr>
              <w:ind w:left="-53" w:leftChars="-25" w:right="-53" w:rightChars="-25"/>
              <w:jc w:val="right"/>
              <w:rPr>
                <w:sz w:val="18"/>
                <w:szCs w:val="18"/>
              </w:rPr>
            </w:pPr>
            <w:r>
              <w:rPr>
                <w:sz w:val="18"/>
                <w:szCs w:val="18"/>
              </w:rPr>
              <w:t>27.50</w:t>
            </w:r>
          </w:p>
        </w:tc>
        <w:tc>
          <w:tcPr>
            <w:tcW w:w="404" w:type="pct"/>
            <w:vAlign w:val="center"/>
          </w:tcPr>
          <w:p w14:paraId="59B1F903">
            <w:pPr>
              <w:ind w:left="-53" w:leftChars="-25" w:right="-53" w:rightChars="-25"/>
              <w:jc w:val="right"/>
              <w:rPr>
                <w:sz w:val="18"/>
                <w:szCs w:val="18"/>
              </w:rPr>
            </w:pPr>
            <w:r>
              <w:rPr>
                <w:sz w:val="18"/>
                <w:szCs w:val="18"/>
              </w:rPr>
              <w:t>17,203.14</w:t>
            </w:r>
          </w:p>
        </w:tc>
        <w:tc>
          <w:tcPr>
            <w:tcW w:w="403" w:type="pct"/>
            <w:gridSpan w:val="2"/>
            <w:vAlign w:val="center"/>
          </w:tcPr>
          <w:p w14:paraId="0CC51497">
            <w:pPr>
              <w:ind w:left="-53" w:leftChars="-25" w:right="-53" w:rightChars="-25"/>
              <w:jc w:val="right"/>
              <w:rPr>
                <w:sz w:val="18"/>
                <w:szCs w:val="18"/>
              </w:rPr>
            </w:pPr>
            <w:r>
              <w:rPr>
                <w:sz w:val="18"/>
                <w:szCs w:val="18"/>
              </w:rPr>
              <w:t>3,677.44</w:t>
            </w:r>
          </w:p>
        </w:tc>
        <w:tc>
          <w:tcPr>
            <w:tcW w:w="403" w:type="pct"/>
            <w:vAlign w:val="center"/>
          </w:tcPr>
          <w:p w14:paraId="290CFD23">
            <w:pPr>
              <w:ind w:left="-53" w:leftChars="-25" w:right="-53" w:rightChars="-25"/>
              <w:jc w:val="right"/>
              <w:rPr>
                <w:sz w:val="18"/>
                <w:szCs w:val="18"/>
              </w:rPr>
            </w:pPr>
            <w:r>
              <w:rPr>
                <w:sz w:val="18"/>
                <w:szCs w:val="18"/>
              </w:rPr>
              <w:t>24,033.07</w:t>
            </w:r>
          </w:p>
        </w:tc>
        <w:tc>
          <w:tcPr>
            <w:tcW w:w="403" w:type="pct"/>
            <w:vAlign w:val="center"/>
          </w:tcPr>
          <w:p w14:paraId="671E7B96">
            <w:pPr>
              <w:ind w:left="-53" w:leftChars="-25" w:right="-53" w:rightChars="-25"/>
              <w:jc w:val="right"/>
              <w:rPr>
                <w:sz w:val="18"/>
                <w:szCs w:val="18"/>
              </w:rPr>
            </w:pPr>
            <w:r>
              <w:rPr>
                <w:sz w:val="18"/>
                <w:szCs w:val="18"/>
              </w:rPr>
              <w:t>27,710.51</w:t>
            </w:r>
          </w:p>
        </w:tc>
        <w:tc>
          <w:tcPr>
            <w:tcW w:w="403" w:type="pct"/>
            <w:vAlign w:val="center"/>
          </w:tcPr>
          <w:p w14:paraId="60773B96">
            <w:pPr>
              <w:ind w:left="-53" w:leftChars="-25" w:right="-53" w:rightChars="-25"/>
              <w:jc w:val="right"/>
              <w:rPr>
                <w:sz w:val="18"/>
                <w:szCs w:val="18"/>
              </w:rPr>
            </w:pPr>
            <w:r>
              <w:rPr>
                <w:sz w:val="18"/>
                <w:szCs w:val="18"/>
              </w:rPr>
              <w:t>16,752.26</w:t>
            </w:r>
          </w:p>
        </w:tc>
        <w:tc>
          <w:tcPr>
            <w:tcW w:w="403" w:type="pct"/>
            <w:vAlign w:val="center"/>
          </w:tcPr>
          <w:p w14:paraId="04D8EBF3">
            <w:pPr>
              <w:ind w:left="-53" w:leftChars="-25" w:right="-53" w:rightChars="-25"/>
              <w:jc w:val="right"/>
              <w:rPr>
                <w:sz w:val="18"/>
                <w:szCs w:val="18"/>
              </w:rPr>
            </w:pPr>
            <w:r>
              <w:rPr>
                <w:sz w:val="18"/>
                <w:szCs w:val="18"/>
              </w:rPr>
              <w:t>33.00</w:t>
            </w:r>
          </w:p>
        </w:tc>
        <w:tc>
          <w:tcPr>
            <w:tcW w:w="400" w:type="pct"/>
            <w:vAlign w:val="center"/>
          </w:tcPr>
          <w:p w14:paraId="4AD9B003">
            <w:pPr>
              <w:ind w:left="-53" w:leftChars="-25" w:right="-53" w:rightChars="-25"/>
              <w:jc w:val="right"/>
              <w:rPr>
                <w:sz w:val="18"/>
                <w:szCs w:val="18"/>
              </w:rPr>
            </w:pPr>
            <w:r>
              <w:rPr>
                <w:sz w:val="18"/>
                <w:szCs w:val="18"/>
              </w:rPr>
              <w:t>16,785.26</w:t>
            </w:r>
          </w:p>
        </w:tc>
      </w:tr>
      <w:tr w14:paraId="4384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tcPr>
          <w:p w14:paraId="7F326BBD">
            <w:pPr>
              <w:ind w:left="-53" w:leftChars="-25" w:right="-53" w:rightChars="-25"/>
              <w:rPr>
                <w:sz w:val="18"/>
                <w:szCs w:val="18"/>
              </w:rPr>
            </w:pPr>
            <w:r>
              <w:rPr>
                <w:sz w:val="18"/>
                <w:szCs w:val="18"/>
              </w:rPr>
              <w:t>重庆润田房地产开发有限公司</w:t>
            </w:r>
          </w:p>
        </w:tc>
        <w:tc>
          <w:tcPr>
            <w:tcW w:w="354" w:type="pct"/>
            <w:vAlign w:val="center"/>
          </w:tcPr>
          <w:p w14:paraId="5F36C10E">
            <w:pPr>
              <w:ind w:left="-53" w:leftChars="-25" w:right="-53" w:rightChars="-25"/>
              <w:jc w:val="right"/>
              <w:rPr>
                <w:sz w:val="18"/>
                <w:szCs w:val="18"/>
              </w:rPr>
            </w:pPr>
            <w:r>
              <w:rPr>
                <w:sz w:val="18"/>
                <w:szCs w:val="18"/>
              </w:rPr>
              <w:t>141,646.99</w:t>
            </w:r>
          </w:p>
        </w:tc>
        <w:tc>
          <w:tcPr>
            <w:tcW w:w="403" w:type="pct"/>
            <w:vAlign w:val="center"/>
          </w:tcPr>
          <w:p w14:paraId="42AEB0A3">
            <w:pPr>
              <w:ind w:left="-53" w:leftChars="-25" w:right="-53" w:rightChars="-25"/>
              <w:jc w:val="right"/>
              <w:rPr>
                <w:sz w:val="18"/>
                <w:szCs w:val="18"/>
              </w:rPr>
            </w:pPr>
            <w:r>
              <w:rPr>
                <w:sz w:val="18"/>
                <w:szCs w:val="18"/>
              </w:rPr>
              <w:t>293,091.22</w:t>
            </w:r>
          </w:p>
        </w:tc>
        <w:tc>
          <w:tcPr>
            <w:tcW w:w="403" w:type="pct"/>
            <w:vAlign w:val="center"/>
          </w:tcPr>
          <w:p w14:paraId="3C936E95">
            <w:pPr>
              <w:ind w:left="-53" w:leftChars="-25" w:right="-53" w:rightChars="-25"/>
              <w:jc w:val="right"/>
              <w:rPr>
                <w:sz w:val="18"/>
                <w:szCs w:val="18"/>
              </w:rPr>
            </w:pPr>
            <w:r>
              <w:rPr>
                <w:sz w:val="18"/>
                <w:szCs w:val="18"/>
              </w:rPr>
              <w:t>434,738.21</w:t>
            </w:r>
          </w:p>
        </w:tc>
        <w:tc>
          <w:tcPr>
            <w:tcW w:w="403" w:type="pct"/>
            <w:vAlign w:val="center"/>
          </w:tcPr>
          <w:p w14:paraId="6A7C6C2C">
            <w:pPr>
              <w:ind w:left="-53" w:leftChars="-25" w:right="-53" w:rightChars="-25"/>
              <w:jc w:val="right"/>
              <w:rPr>
                <w:sz w:val="18"/>
                <w:szCs w:val="18"/>
              </w:rPr>
            </w:pPr>
            <w:r>
              <w:rPr>
                <w:sz w:val="18"/>
                <w:szCs w:val="18"/>
              </w:rPr>
              <w:t>112,369.62</w:t>
            </w:r>
          </w:p>
        </w:tc>
        <w:tc>
          <w:tcPr>
            <w:tcW w:w="366" w:type="pct"/>
            <w:vAlign w:val="center"/>
          </w:tcPr>
          <w:p w14:paraId="58685A99">
            <w:pPr>
              <w:ind w:left="-53" w:leftChars="-25" w:right="-53" w:rightChars="-25"/>
              <w:jc w:val="right"/>
              <w:rPr>
                <w:sz w:val="18"/>
                <w:szCs w:val="18"/>
              </w:rPr>
            </w:pPr>
            <w:r>
              <w:rPr>
                <w:sz w:val="18"/>
                <w:szCs w:val="18"/>
              </w:rPr>
              <w:t>115,436.07</w:t>
            </w:r>
          </w:p>
        </w:tc>
        <w:tc>
          <w:tcPr>
            <w:tcW w:w="404" w:type="pct"/>
            <w:vAlign w:val="center"/>
          </w:tcPr>
          <w:p w14:paraId="5139EE9D">
            <w:pPr>
              <w:ind w:left="-53" w:leftChars="-25" w:right="-53" w:rightChars="-25"/>
              <w:jc w:val="right"/>
              <w:rPr>
                <w:sz w:val="18"/>
                <w:szCs w:val="18"/>
              </w:rPr>
            </w:pPr>
            <w:r>
              <w:rPr>
                <w:sz w:val="18"/>
                <w:szCs w:val="18"/>
              </w:rPr>
              <w:t>227,805.69</w:t>
            </w:r>
          </w:p>
        </w:tc>
        <w:tc>
          <w:tcPr>
            <w:tcW w:w="403" w:type="pct"/>
            <w:gridSpan w:val="2"/>
            <w:vAlign w:val="center"/>
          </w:tcPr>
          <w:p w14:paraId="4C1393D5">
            <w:pPr>
              <w:ind w:left="-53" w:leftChars="-25" w:right="-53" w:rightChars="-25"/>
              <w:jc w:val="right"/>
              <w:rPr>
                <w:sz w:val="18"/>
                <w:szCs w:val="18"/>
              </w:rPr>
            </w:pPr>
            <w:r>
              <w:rPr>
                <w:sz w:val="18"/>
                <w:szCs w:val="18"/>
              </w:rPr>
              <w:t>135,664.52</w:t>
            </w:r>
          </w:p>
        </w:tc>
        <w:tc>
          <w:tcPr>
            <w:tcW w:w="403" w:type="pct"/>
            <w:vAlign w:val="center"/>
          </w:tcPr>
          <w:p w14:paraId="4599E484">
            <w:pPr>
              <w:ind w:left="-53" w:leftChars="-25" w:right="-53" w:rightChars="-25"/>
              <w:jc w:val="right"/>
              <w:rPr>
                <w:sz w:val="18"/>
                <w:szCs w:val="18"/>
              </w:rPr>
            </w:pPr>
            <w:r>
              <w:rPr>
                <w:sz w:val="18"/>
                <w:szCs w:val="18"/>
              </w:rPr>
              <w:t>295,225.17</w:t>
            </w:r>
          </w:p>
        </w:tc>
        <w:tc>
          <w:tcPr>
            <w:tcW w:w="403" w:type="pct"/>
            <w:vAlign w:val="center"/>
          </w:tcPr>
          <w:p w14:paraId="36BFF213">
            <w:pPr>
              <w:ind w:left="-53" w:leftChars="-25" w:right="-53" w:rightChars="-25"/>
              <w:jc w:val="right"/>
              <w:rPr>
                <w:sz w:val="18"/>
                <w:szCs w:val="18"/>
              </w:rPr>
            </w:pPr>
            <w:r>
              <w:rPr>
                <w:sz w:val="18"/>
                <w:szCs w:val="18"/>
              </w:rPr>
              <w:t>430,889.69</w:t>
            </w:r>
          </w:p>
        </w:tc>
        <w:tc>
          <w:tcPr>
            <w:tcW w:w="403" w:type="pct"/>
            <w:vAlign w:val="center"/>
          </w:tcPr>
          <w:p w14:paraId="7B428B37">
            <w:pPr>
              <w:ind w:left="-53" w:leftChars="-25" w:right="-53" w:rightChars="-25"/>
              <w:jc w:val="right"/>
              <w:rPr>
                <w:sz w:val="18"/>
                <w:szCs w:val="18"/>
              </w:rPr>
            </w:pPr>
            <w:r>
              <w:rPr>
                <w:sz w:val="18"/>
                <w:szCs w:val="18"/>
              </w:rPr>
              <w:t>103,830.87</w:t>
            </w:r>
          </w:p>
        </w:tc>
        <w:tc>
          <w:tcPr>
            <w:tcW w:w="403" w:type="pct"/>
            <w:vAlign w:val="center"/>
          </w:tcPr>
          <w:p w14:paraId="2BA1108B">
            <w:pPr>
              <w:ind w:left="-53" w:leftChars="-25" w:right="-53" w:rightChars="-25"/>
              <w:jc w:val="right"/>
              <w:rPr>
                <w:sz w:val="18"/>
                <w:szCs w:val="18"/>
              </w:rPr>
            </w:pPr>
            <w:r>
              <w:rPr>
                <w:sz w:val="18"/>
                <w:szCs w:val="18"/>
              </w:rPr>
              <w:t>117,629.69</w:t>
            </w:r>
          </w:p>
        </w:tc>
        <w:tc>
          <w:tcPr>
            <w:tcW w:w="400" w:type="pct"/>
            <w:vAlign w:val="center"/>
          </w:tcPr>
          <w:p w14:paraId="56B341DB">
            <w:pPr>
              <w:ind w:left="-53" w:leftChars="-25" w:right="-53" w:rightChars="-25"/>
              <w:jc w:val="right"/>
              <w:rPr>
                <w:sz w:val="18"/>
                <w:szCs w:val="18"/>
              </w:rPr>
            </w:pPr>
            <w:r>
              <w:rPr>
                <w:sz w:val="18"/>
                <w:szCs w:val="18"/>
              </w:rPr>
              <w:t>221,460.56</w:t>
            </w:r>
          </w:p>
        </w:tc>
      </w:tr>
      <w:tr w14:paraId="6FE5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 w:type="pct"/>
          </w:tcPr>
          <w:p w14:paraId="3FD4F565">
            <w:pPr>
              <w:ind w:left="-53" w:leftChars="-25" w:right="-53" w:rightChars="-25"/>
              <w:rPr>
                <w:sz w:val="18"/>
                <w:szCs w:val="18"/>
              </w:rPr>
            </w:pPr>
            <w:r>
              <w:rPr>
                <w:sz w:val="18"/>
                <w:szCs w:val="18"/>
              </w:rPr>
              <w:t>重庆睿蓝汽车科技有限公司</w:t>
            </w:r>
          </w:p>
        </w:tc>
        <w:tc>
          <w:tcPr>
            <w:tcW w:w="354" w:type="pct"/>
            <w:vAlign w:val="center"/>
          </w:tcPr>
          <w:p w14:paraId="40DE39CE">
            <w:pPr>
              <w:ind w:left="-53" w:leftChars="-25" w:right="-53" w:rightChars="-25"/>
              <w:jc w:val="right"/>
              <w:rPr>
                <w:sz w:val="18"/>
                <w:szCs w:val="18"/>
              </w:rPr>
            </w:pPr>
            <w:r>
              <w:rPr>
                <w:sz w:val="18"/>
                <w:szCs w:val="18"/>
              </w:rPr>
              <w:t>357,353.45</w:t>
            </w:r>
          </w:p>
        </w:tc>
        <w:tc>
          <w:tcPr>
            <w:tcW w:w="403" w:type="pct"/>
            <w:vAlign w:val="center"/>
          </w:tcPr>
          <w:p w14:paraId="57C7BAE4">
            <w:pPr>
              <w:ind w:left="-53" w:leftChars="-25" w:right="-53" w:rightChars="-25"/>
              <w:jc w:val="right"/>
              <w:rPr>
                <w:sz w:val="18"/>
                <w:szCs w:val="18"/>
              </w:rPr>
            </w:pPr>
            <w:r>
              <w:rPr>
                <w:sz w:val="18"/>
                <w:szCs w:val="18"/>
              </w:rPr>
              <w:t>178,996.89</w:t>
            </w:r>
          </w:p>
        </w:tc>
        <w:tc>
          <w:tcPr>
            <w:tcW w:w="403" w:type="pct"/>
            <w:vAlign w:val="center"/>
          </w:tcPr>
          <w:p w14:paraId="16F3935C">
            <w:pPr>
              <w:ind w:left="-53" w:leftChars="-25" w:right="-53" w:rightChars="-25"/>
              <w:jc w:val="right"/>
              <w:rPr>
                <w:sz w:val="18"/>
                <w:szCs w:val="18"/>
              </w:rPr>
            </w:pPr>
            <w:r>
              <w:rPr>
                <w:sz w:val="18"/>
                <w:szCs w:val="18"/>
              </w:rPr>
              <w:t>536,350.34</w:t>
            </w:r>
          </w:p>
        </w:tc>
        <w:tc>
          <w:tcPr>
            <w:tcW w:w="403" w:type="pct"/>
            <w:vAlign w:val="center"/>
          </w:tcPr>
          <w:p w14:paraId="2D9225A0">
            <w:pPr>
              <w:ind w:left="-53" w:leftChars="-25" w:right="-53" w:rightChars="-25"/>
              <w:jc w:val="right"/>
              <w:rPr>
                <w:sz w:val="18"/>
                <w:szCs w:val="18"/>
              </w:rPr>
            </w:pPr>
            <w:r>
              <w:rPr>
                <w:sz w:val="18"/>
                <w:szCs w:val="18"/>
              </w:rPr>
              <w:t>509,233.02</w:t>
            </w:r>
          </w:p>
        </w:tc>
        <w:tc>
          <w:tcPr>
            <w:tcW w:w="366" w:type="pct"/>
            <w:vAlign w:val="center"/>
          </w:tcPr>
          <w:p w14:paraId="587FDA37">
            <w:pPr>
              <w:ind w:left="-53" w:leftChars="-25" w:right="-53" w:rightChars="-25"/>
              <w:jc w:val="right"/>
              <w:rPr>
                <w:sz w:val="18"/>
                <w:szCs w:val="18"/>
              </w:rPr>
            </w:pPr>
            <w:r>
              <w:rPr>
                <w:sz w:val="18"/>
                <w:szCs w:val="18"/>
              </w:rPr>
              <w:t>35,613.62</w:t>
            </w:r>
          </w:p>
        </w:tc>
        <w:tc>
          <w:tcPr>
            <w:tcW w:w="404" w:type="pct"/>
            <w:vAlign w:val="center"/>
          </w:tcPr>
          <w:p w14:paraId="168DAD17">
            <w:pPr>
              <w:ind w:left="-53" w:leftChars="-25" w:right="-53" w:rightChars="-25"/>
              <w:jc w:val="right"/>
              <w:rPr>
                <w:sz w:val="18"/>
                <w:szCs w:val="18"/>
              </w:rPr>
            </w:pPr>
            <w:r>
              <w:rPr>
                <w:sz w:val="18"/>
                <w:szCs w:val="18"/>
              </w:rPr>
              <w:t>544,846.64</w:t>
            </w:r>
          </w:p>
        </w:tc>
        <w:tc>
          <w:tcPr>
            <w:tcW w:w="403" w:type="pct"/>
            <w:gridSpan w:val="2"/>
            <w:vAlign w:val="center"/>
          </w:tcPr>
          <w:p w14:paraId="276AC6BC">
            <w:pPr>
              <w:ind w:left="-53" w:leftChars="-25" w:right="-53" w:rightChars="-25"/>
              <w:jc w:val="right"/>
              <w:rPr>
                <w:sz w:val="18"/>
                <w:szCs w:val="18"/>
              </w:rPr>
            </w:pPr>
            <w:r>
              <w:rPr>
                <w:sz w:val="18"/>
                <w:szCs w:val="18"/>
              </w:rPr>
              <w:t>320,727.80</w:t>
            </w:r>
          </w:p>
        </w:tc>
        <w:tc>
          <w:tcPr>
            <w:tcW w:w="403" w:type="pct"/>
            <w:vAlign w:val="center"/>
          </w:tcPr>
          <w:p w14:paraId="2D1B8E0C">
            <w:pPr>
              <w:ind w:left="-53" w:leftChars="-25" w:right="-53" w:rightChars="-25"/>
              <w:jc w:val="right"/>
              <w:rPr>
                <w:sz w:val="18"/>
                <w:szCs w:val="18"/>
              </w:rPr>
            </w:pPr>
            <w:r>
              <w:rPr>
                <w:sz w:val="18"/>
                <w:szCs w:val="18"/>
              </w:rPr>
              <w:t>195,533.94</w:t>
            </w:r>
          </w:p>
        </w:tc>
        <w:tc>
          <w:tcPr>
            <w:tcW w:w="403" w:type="pct"/>
            <w:vAlign w:val="center"/>
          </w:tcPr>
          <w:p w14:paraId="6D0BE5E1">
            <w:pPr>
              <w:ind w:left="-53" w:leftChars="-25" w:right="-53" w:rightChars="-25"/>
              <w:jc w:val="right"/>
              <w:rPr>
                <w:sz w:val="18"/>
                <w:szCs w:val="18"/>
              </w:rPr>
            </w:pPr>
            <w:r>
              <w:rPr>
                <w:sz w:val="18"/>
                <w:szCs w:val="18"/>
              </w:rPr>
              <w:t>516,261.74</w:t>
            </w:r>
          </w:p>
        </w:tc>
        <w:tc>
          <w:tcPr>
            <w:tcW w:w="403" w:type="pct"/>
            <w:vAlign w:val="center"/>
          </w:tcPr>
          <w:p w14:paraId="6433E637">
            <w:pPr>
              <w:ind w:left="-53" w:leftChars="-25" w:right="-53" w:rightChars="-25"/>
              <w:jc w:val="right"/>
              <w:rPr>
                <w:sz w:val="18"/>
                <w:szCs w:val="18"/>
              </w:rPr>
            </w:pPr>
            <w:r>
              <w:rPr>
                <w:sz w:val="18"/>
                <w:szCs w:val="18"/>
              </w:rPr>
              <w:t>486,228.02</w:t>
            </w:r>
          </w:p>
        </w:tc>
        <w:tc>
          <w:tcPr>
            <w:tcW w:w="403" w:type="pct"/>
            <w:vAlign w:val="center"/>
          </w:tcPr>
          <w:p w14:paraId="511C5C65">
            <w:pPr>
              <w:ind w:left="-53" w:leftChars="-25" w:right="-53" w:rightChars="-25"/>
              <w:jc w:val="right"/>
              <w:rPr>
                <w:sz w:val="18"/>
                <w:szCs w:val="18"/>
              </w:rPr>
            </w:pPr>
            <w:r>
              <w:rPr>
                <w:sz w:val="18"/>
                <w:szCs w:val="18"/>
              </w:rPr>
              <w:t>10,789.33</w:t>
            </w:r>
          </w:p>
        </w:tc>
        <w:tc>
          <w:tcPr>
            <w:tcW w:w="400" w:type="pct"/>
            <w:vAlign w:val="center"/>
          </w:tcPr>
          <w:p w14:paraId="74F897C5">
            <w:pPr>
              <w:ind w:left="-53" w:leftChars="-25" w:right="-53" w:rightChars="-25"/>
              <w:jc w:val="right"/>
              <w:rPr>
                <w:sz w:val="18"/>
                <w:szCs w:val="18"/>
              </w:rPr>
            </w:pPr>
            <w:r>
              <w:rPr>
                <w:sz w:val="18"/>
                <w:szCs w:val="18"/>
              </w:rPr>
              <w:t>497,017.35</w:t>
            </w:r>
          </w:p>
        </w:tc>
      </w:tr>
    </w:tbl>
    <w:p w14:paraId="2D615625">
      <w:pPr>
        <w:rPr>
          <w:rFonts w:cs="Arial"/>
          <w:color w:val="000000" w:themeColor="text1"/>
          <w14:textFill>
            <w14:solidFill>
              <w14:schemeClr w14:val="tx1"/>
            </w14:solidFill>
          </w14:textFill>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9"/>
        <w:gridCol w:w="1367"/>
        <w:gridCol w:w="1367"/>
        <w:gridCol w:w="1367"/>
        <w:gridCol w:w="1369"/>
        <w:gridCol w:w="1367"/>
        <w:gridCol w:w="1367"/>
        <w:gridCol w:w="1367"/>
        <w:gridCol w:w="1369"/>
      </w:tblGrid>
      <w:tr w14:paraId="4745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87ab97227e5642b988e110c5a28abb39"/>
            <w:id w:val="-678654608"/>
          </w:sdtPr>
          <w:sdtContent>
            <w:tc>
              <w:tcPr>
                <w:tcW w:w="1118" w:type="pct"/>
                <w:vMerge w:val="restart"/>
                <w:vAlign w:val="center"/>
              </w:tcPr>
              <w:p w14:paraId="25E9B0C0">
                <w:pPr>
                  <w:spacing w:line="276" w:lineRule="auto"/>
                  <w:ind w:left="-53" w:leftChars="-25" w:right="-53" w:rightChars="-25"/>
                  <w:jc w:val="center"/>
                  <w:rPr>
                    <w:rFonts w:cs="Arial"/>
                    <w:bCs/>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子公司名称</w:t>
                </w:r>
              </w:p>
            </w:tc>
          </w:sdtContent>
        </w:sdt>
        <w:sdt>
          <w:sdtPr>
            <w:tag w:val="_PLD_85f8737cebf641b2aa266052f4118ba8"/>
            <w:id w:val="1497383550"/>
          </w:sdtPr>
          <w:sdtContent>
            <w:tc>
              <w:tcPr>
                <w:tcW w:w="1941" w:type="pct"/>
                <w:gridSpan w:val="4"/>
                <w:vAlign w:val="center"/>
              </w:tcPr>
              <w:p w14:paraId="3F6311FB">
                <w:pPr>
                  <w:spacing w:line="276" w:lineRule="auto"/>
                  <w:ind w:left="-53" w:leftChars="-25" w:right="-53" w:rightChars="-25"/>
                  <w:jc w:val="center"/>
                  <w:rPr>
                    <w:rFonts w:cs="Arial"/>
                    <w:bCs/>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本期发生额</w:t>
                </w:r>
              </w:p>
            </w:tc>
          </w:sdtContent>
        </w:sdt>
        <w:sdt>
          <w:sdtPr>
            <w:tag w:val="_PLD_32dac50c80854f268b3afdebef20332e"/>
            <w:id w:val="881590004"/>
          </w:sdtPr>
          <w:sdtContent>
            <w:tc>
              <w:tcPr>
                <w:tcW w:w="1941" w:type="pct"/>
                <w:gridSpan w:val="4"/>
                <w:vAlign w:val="center"/>
              </w:tcPr>
              <w:p w14:paraId="652E5C94">
                <w:pPr>
                  <w:spacing w:line="276" w:lineRule="auto"/>
                  <w:ind w:left="-53" w:leftChars="-25" w:right="-53" w:rightChars="-25"/>
                  <w:jc w:val="center"/>
                  <w:rPr>
                    <w:rFonts w:cs="Arial"/>
                    <w:bCs/>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上期发生额</w:t>
                </w:r>
              </w:p>
            </w:tc>
          </w:sdtContent>
        </w:sdt>
      </w:tr>
      <w:tr w14:paraId="4BB8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118" w:type="pct"/>
            <w:vMerge w:val="continue"/>
            <w:vAlign w:val="center"/>
          </w:tcPr>
          <w:p w14:paraId="3443E3FF">
            <w:pPr>
              <w:ind w:left="-53" w:leftChars="-25" w:right="-53" w:rightChars="-25"/>
              <w:jc w:val="center"/>
              <w:rPr>
                <w:rFonts w:cs="Arial"/>
                <w:bCs/>
                <w:color w:val="000000" w:themeColor="text1"/>
                <w14:textFill>
                  <w14:solidFill>
                    <w14:schemeClr w14:val="tx1"/>
                  </w14:solidFill>
                </w14:textFill>
              </w:rPr>
            </w:pPr>
          </w:p>
        </w:tc>
        <w:sdt>
          <w:sdtPr>
            <w:tag w:val="_PLD_29407a86c6924579a6442f5b24e6decd"/>
            <w:id w:val="1360167450"/>
          </w:sdtPr>
          <w:sdtContent>
            <w:tc>
              <w:tcPr>
                <w:tcW w:w="485" w:type="pct"/>
                <w:vAlign w:val="center"/>
              </w:tcPr>
              <w:p w14:paraId="7E9B6484">
                <w:pPr>
                  <w:spacing w:line="276" w:lineRule="auto"/>
                  <w:ind w:left="-53" w:leftChars="-25" w:right="-53" w:rightChars="-25"/>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营业收入</w:t>
                </w:r>
              </w:p>
            </w:tc>
          </w:sdtContent>
        </w:sdt>
        <w:sdt>
          <w:sdtPr>
            <w:tag w:val="_PLD_bc59f1076f2243f8984efa8df921ad2c"/>
            <w:id w:val="-2141637732"/>
          </w:sdtPr>
          <w:sdtContent>
            <w:tc>
              <w:tcPr>
                <w:tcW w:w="485" w:type="pct"/>
                <w:vAlign w:val="center"/>
              </w:tcPr>
              <w:p w14:paraId="63DBFB12">
                <w:pPr>
                  <w:spacing w:line="276" w:lineRule="auto"/>
                  <w:ind w:left="-53" w:leftChars="-25" w:right="-53" w:rightChars="-25"/>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净利润</w:t>
                </w:r>
              </w:p>
            </w:tc>
          </w:sdtContent>
        </w:sdt>
        <w:sdt>
          <w:sdtPr>
            <w:tag w:val="_PLD_90f87c27e3fb4843892cceb85599a3b1"/>
            <w:id w:val="1131756763"/>
          </w:sdtPr>
          <w:sdtContent>
            <w:tc>
              <w:tcPr>
                <w:tcW w:w="485" w:type="pct"/>
                <w:vAlign w:val="center"/>
              </w:tcPr>
              <w:p w14:paraId="3D209C82">
                <w:pPr>
                  <w:spacing w:line="276" w:lineRule="auto"/>
                  <w:ind w:left="-53" w:leftChars="-25" w:right="-53" w:rightChars="-25"/>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综合收益总额</w:t>
                </w:r>
              </w:p>
            </w:tc>
          </w:sdtContent>
        </w:sdt>
        <w:sdt>
          <w:sdtPr>
            <w:tag w:val="_PLD_3126fb1798f346de95a39458603c4301"/>
            <w:id w:val="-400908985"/>
          </w:sdtPr>
          <w:sdtContent>
            <w:tc>
              <w:tcPr>
                <w:tcW w:w="485" w:type="pct"/>
                <w:vAlign w:val="center"/>
              </w:tcPr>
              <w:p w14:paraId="3956A134">
                <w:pPr>
                  <w:spacing w:line="276" w:lineRule="auto"/>
                  <w:ind w:left="-53" w:leftChars="-25" w:right="-53" w:rightChars="-25"/>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经营活动现金流量</w:t>
                </w:r>
              </w:p>
            </w:tc>
          </w:sdtContent>
        </w:sdt>
        <w:sdt>
          <w:sdtPr>
            <w:tag w:val="_PLD_44ccfb27fc6943ac84654ba7c7bef20e"/>
            <w:id w:val="-8989951"/>
          </w:sdtPr>
          <w:sdtContent>
            <w:tc>
              <w:tcPr>
                <w:tcW w:w="485" w:type="pct"/>
                <w:vAlign w:val="center"/>
              </w:tcPr>
              <w:p w14:paraId="64612325">
                <w:pPr>
                  <w:spacing w:line="276" w:lineRule="auto"/>
                  <w:ind w:left="-53" w:leftChars="-25" w:right="-53" w:rightChars="-25"/>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营业收入</w:t>
                </w:r>
              </w:p>
            </w:tc>
          </w:sdtContent>
        </w:sdt>
        <w:sdt>
          <w:sdtPr>
            <w:tag w:val="_PLD_c08aebbf24fa4b1aa2c4f79232c7c630"/>
            <w:id w:val="795716677"/>
          </w:sdtPr>
          <w:sdtContent>
            <w:tc>
              <w:tcPr>
                <w:tcW w:w="485" w:type="pct"/>
                <w:vAlign w:val="center"/>
              </w:tcPr>
              <w:p w14:paraId="6DD30B17">
                <w:pPr>
                  <w:spacing w:line="276" w:lineRule="auto"/>
                  <w:ind w:left="-53" w:leftChars="-25" w:right="-53" w:rightChars="-25"/>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净利润</w:t>
                </w:r>
              </w:p>
            </w:tc>
          </w:sdtContent>
        </w:sdt>
        <w:sdt>
          <w:sdtPr>
            <w:tag w:val="_PLD_0a377a03553f4d909179190a153a31b7"/>
            <w:id w:val="-1483231281"/>
          </w:sdtPr>
          <w:sdtContent>
            <w:tc>
              <w:tcPr>
                <w:tcW w:w="485" w:type="pct"/>
                <w:vAlign w:val="center"/>
              </w:tcPr>
              <w:p w14:paraId="4B015C4B">
                <w:pPr>
                  <w:spacing w:line="276" w:lineRule="auto"/>
                  <w:ind w:left="-53" w:leftChars="-25" w:right="-53" w:rightChars="-25"/>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综合收益总额</w:t>
                </w:r>
              </w:p>
            </w:tc>
          </w:sdtContent>
        </w:sdt>
        <w:sdt>
          <w:sdtPr>
            <w:tag w:val="_PLD_400ec1e5e2cf42e5a9eea23ddbdbd572"/>
            <w:id w:val="-123233475"/>
          </w:sdtPr>
          <w:sdtContent>
            <w:tc>
              <w:tcPr>
                <w:tcW w:w="485" w:type="pct"/>
                <w:vAlign w:val="center"/>
              </w:tcPr>
              <w:p w14:paraId="6AA795EC">
                <w:pPr>
                  <w:spacing w:line="276" w:lineRule="auto"/>
                  <w:ind w:left="-53" w:leftChars="-25" w:right="-53" w:rightChars="-25"/>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经营活动现金流量</w:t>
                </w:r>
              </w:p>
            </w:tc>
          </w:sdtContent>
        </w:sdt>
      </w:tr>
      <w:tr w14:paraId="6D2E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Pr>
          <w:p w14:paraId="13A1A427">
            <w:pPr>
              <w:spacing w:line="276" w:lineRule="auto"/>
              <w:ind w:left="-53" w:leftChars="-25" w:right="-53" w:rightChars="-25"/>
            </w:pPr>
            <w:r>
              <w:t>河南力帆树民车业有限公司</w:t>
            </w:r>
          </w:p>
        </w:tc>
        <w:tc>
          <w:tcPr>
            <w:tcW w:w="485" w:type="pct"/>
            <w:vAlign w:val="center"/>
          </w:tcPr>
          <w:p w14:paraId="7D2EF0E1">
            <w:pPr>
              <w:ind w:left="-53" w:leftChars="-25" w:right="-53" w:rightChars="-25"/>
              <w:jc w:val="right"/>
            </w:pPr>
            <w:r>
              <w:t>7,142.67</w:t>
            </w:r>
          </w:p>
        </w:tc>
        <w:tc>
          <w:tcPr>
            <w:tcW w:w="485" w:type="pct"/>
            <w:vAlign w:val="center"/>
          </w:tcPr>
          <w:p w14:paraId="0D23D693">
            <w:pPr>
              <w:ind w:left="-53" w:leftChars="-25" w:right="-53" w:rightChars="-25"/>
              <w:jc w:val="right"/>
            </w:pPr>
            <w:r>
              <w:t>-949.91</w:t>
            </w:r>
          </w:p>
        </w:tc>
        <w:tc>
          <w:tcPr>
            <w:tcW w:w="485" w:type="pct"/>
            <w:vAlign w:val="center"/>
          </w:tcPr>
          <w:p w14:paraId="5DEE3F0A">
            <w:pPr>
              <w:ind w:left="-53" w:leftChars="-25" w:right="-53" w:rightChars="-25"/>
              <w:jc w:val="right"/>
            </w:pPr>
            <w:r>
              <w:t>-949.91</w:t>
            </w:r>
          </w:p>
        </w:tc>
        <w:tc>
          <w:tcPr>
            <w:tcW w:w="485" w:type="pct"/>
            <w:vAlign w:val="center"/>
          </w:tcPr>
          <w:p w14:paraId="08D25AF8">
            <w:pPr>
              <w:ind w:left="-53" w:leftChars="-25" w:right="-53" w:rightChars="-25"/>
              <w:jc w:val="right"/>
            </w:pPr>
            <w:r>
              <w:t>353.60</w:t>
            </w:r>
          </w:p>
        </w:tc>
        <w:tc>
          <w:tcPr>
            <w:tcW w:w="485" w:type="pct"/>
            <w:vAlign w:val="center"/>
          </w:tcPr>
          <w:p w14:paraId="113942F6">
            <w:pPr>
              <w:ind w:left="-53" w:leftChars="-25" w:right="-53" w:rightChars="-25"/>
              <w:jc w:val="right"/>
            </w:pPr>
            <w:r>
              <w:t>9,681.02</w:t>
            </w:r>
          </w:p>
        </w:tc>
        <w:tc>
          <w:tcPr>
            <w:tcW w:w="485" w:type="pct"/>
            <w:vAlign w:val="center"/>
          </w:tcPr>
          <w:p w14:paraId="69582A3B">
            <w:pPr>
              <w:ind w:left="-53" w:leftChars="-25" w:right="-53" w:rightChars="-25"/>
              <w:jc w:val="right"/>
            </w:pPr>
            <w:r>
              <w:t>-283.95</w:t>
            </w:r>
          </w:p>
        </w:tc>
        <w:tc>
          <w:tcPr>
            <w:tcW w:w="485" w:type="pct"/>
            <w:vAlign w:val="center"/>
          </w:tcPr>
          <w:p w14:paraId="2C4BA44B">
            <w:pPr>
              <w:ind w:left="-53" w:leftChars="-25" w:right="-53" w:rightChars="-25"/>
              <w:jc w:val="right"/>
            </w:pPr>
            <w:r>
              <w:t>-283.95</w:t>
            </w:r>
          </w:p>
        </w:tc>
        <w:tc>
          <w:tcPr>
            <w:tcW w:w="485" w:type="pct"/>
            <w:vAlign w:val="center"/>
          </w:tcPr>
          <w:p w14:paraId="1E2043B8">
            <w:pPr>
              <w:ind w:left="-53" w:leftChars="-25" w:right="-53" w:rightChars="-25"/>
              <w:jc w:val="right"/>
            </w:pPr>
            <w:r>
              <w:t>-484.08</w:t>
            </w:r>
          </w:p>
        </w:tc>
      </w:tr>
      <w:tr w14:paraId="0052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Pr>
          <w:p w14:paraId="29B64E94">
            <w:pPr>
              <w:spacing w:line="276" w:lineRule="auto"/>
              <w:ind w:left="-53" w:leftChars="-25" w:right="-53" w:rightChars="-25"/>
            </w:pPr>
            <w:r>
              <w:t>重庆润田房地产开发有限公司</w:t>
            </w:r>
          </w:p>
        </w:tc>
        <w:tc>
          <w:tcPr>
            <w:tcW w:w="485" w:type="pct"/>
            <w:vAlign w:val="center"/>
          </w:tcPr>
          <w:p w14:paraId="69082F60">
            <w:pPr>
              <w:ind w:left="-53" w:leftChars="-25" w:right="-53" w:rightChars="-25"/>
              <w:jc w:val="right"/>
            </w:pPr>
            <w:r>
              <w:t>4,173.01</w:t>
            </w:r>
          </w:p>
        </w:tc>
        <w:tc>
          <w:tcPr>
            <w:tcW w:w="485" w:type="pct"/>
            <w:vAlign w:val="center"/>
          </w:tcPr>
          <w:p w14:paraId="670548FD">
            <w:pPr>
              <w:ind w:left="-53" w:leftChars="-25" w:right="-53" w:rightChars="-25"/>
              <w:jc w:val="right"/>
            </w:pPr>
            <w:r>
              <w:t>-2,496.61</w:t>
            </w:r>
          </w:p>
        </w:tc>
        <w:tc>
          <w:tcPr>
            <w:tcW w:w="485" w:type="pct"/>
            <w:vAlign w:val="center"/>
          </w:tcPr>
          <w:p w14:paraId="26173FB4">
            <w:pPr>
              <w:ind w:left="-53" w:leftChars="-25" w:right="-53" w:rightChars="-25"/>
              <w:jc w:val="right"/>
            </w:pPr>
            <w:r>
              <w:t>-2,496.61</w:t>
            </w:r>
          </w:p>
        </w:tc>
        <w:tc>
          <w:tcPr>
            <w:tcW w:w="485" w:type="pct"/>
            <w:vAlign w:val="center"/>
          </w:tcPr>
          <w:p w14:paraId="622C4FF3">
            <w:pPr>
              <w:ind w:left="-53" w:leftChars="-25" w:right="-53" w:rightChars="-25"/>
              <w:jc w:val="right"/>
            </w:pPr>
            <w:r>
              <w:t>9,145.78</w:t>
            </w:r>
          </w:p>
        </w:tc>
        <w:tc>
          <w:tcPr>
            <w:tcW w:w="485" w:type="pct"/>
            <w:vAlign w:val="center"/>
          </w:tcPr>
          <w:p w14:paraId="0F35985B">
            <w:pPr>
              <w:ind w:left="-53" w:leftChars="-25" w:right="-53" w:rightChars="-25"/>
              <w:jc w:val="right"/>
            </w:pPr>
            <w:r>
              <w:t>4,602.30</w:t>
            </w:r>
          </w:p>
        </w:tc>
        <w:tc>
          <w:tcPr>
            <w:tcW w:w="485" w:type="pct"/>
            <w:vAlign w:val="center"/>
          </w:tcPr>
          <w:p w14:paraId="31E72BC3">
            <w:pPr>
              <w:ind w:left="-53" w:leftChars="-25" w:right="-53" w:rightChars="-25"/>
              <w:jc w:val="right"/>
            </w:pPr>
            <w:r>
              <w:t>11.42</w:t>
            </w:r>
          </w:p>
        </w:tc>
        <w:tc>
          <w:tcPr>
            <w:tcW w:w="485" w:type="pct"/>
            <w:vAlign w:val="center"/>
          </w:tcPr>
          <w:p w14:paraId="7BE2B67E">
            <w:pPr>
              <w:ind w:left="-53" w:leftChars="-25" w:right="-53" w:rightChars="-25"/>
              <w:jc w:val="right"/>
            </w:pPr>
            <w:r>
              <w:t>11.42</w:t>
            </w:r>
          </w:p>
        </w:tc>
        <w:tc>
          <w:tcPr>
            <w:tcW w:w="485" w:type="pct"/>
            <w:vAlign w:val="center"/>
          </w:tcPr>
          <w:p w14:paraId="17563C2C">
            <w:pPr>
              <w:ind w:left="-53" w:leftChars="-25" w:right="-53" w:rightChars="-25"/>
              <w:jc w:val="right"/>
            </w:pPr>
            <w:r>
              <w:t>821.66</w:t>
            </w:r>
          </w:p>
        </w:tc>
      </w:tr>
      <w:tr w14:paraId="4188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Pr>
          <w:p w14:paraId="552EC657">
            <w:pPr>
              <w:spacing w:line="276" w:lineRule="auto"/>
              <w:ind w:left="-53" w:leftChars="-25" w:right="-53" w:rightChars="-25"/>
            </w:pPr>
            <w:r>
              <w:t>重庆睿蓝汽车科技有限公司</w:t>
            </w:r>
          </w:p>
        </w:tc>
        <w:tc>
          <w:tcPr>
            <w:tcW w:w="485" w:type="pct"/>
            <w:vAlign w:val="center"/>
          </w:tcPr>
          <w:p w14:paraId="7ECA98DA">
            <w:pPr>
              <w:ind w:left="-53" w:leftChars="-25" w:right="-53" w:rightChars="-25"/>
              <w:jc w:val="right"/>
            </w:pPr>
            <w:r>
              <w:t>228,080.28</w:t>
            </w:r>
          </w:p>
        </w:tc>
        <w:tc>
          <w:tcPr>
            <w:tcW w:w="485" w:type="pct"/>
            <w:vAlign w:val="center"/>
          </w:tcPr>
          <w:p w14:paraId="734E6F97">
            <w:pPr>
              <w:ind w:left="-53" w:leftChars="-25" w:right="-53" w:rightChars="-25"/>
              <w:jc w:val="right"/>
            </w:pPr>
            <w:r>
              <w:t>-27,740.67</w:t>
            </w:r>
          </w:p>
        </w:tc>
        <w:tc>
          <w:tcPr>
            <w:tcW w:w="485" w:type="pct"/>
            <w:vAlign w:val="center"/>
          </w:tcPr>
          <w:p w14:paraId="22341BDF">
            <w:pPr>
              <w:ind w:left="-53" w:leftChars="-25" w:right="-53" w:rightChars="-25"/>
              <w:jc w:val="right"/>
            </w:pPr>
            <w:r>
              <w:t>-27,740.67</w:t>
            </w:r>
          </w:p>
        </w:tc>
        <w:tc>
          <w:tcPr>
            <w:tcW w:w="485" w:type="pct"/>
            <w:vAlign w:val="center"/>
          </w:tcPr>
          <w:p w14:paraId="17454C72">
            <w:pPr>
              <w:ind w:left="-53" w:leftChars="-25" w:right="-53" w:rightChars="-25"/>
              <w:jc w:val="right"/>
            </w:pPr>
            <w:r>
              <w:t>142,186.65</w:t>
            </w:r>
          </w:p>
        </w:tc>
        <w:tc>
          <w:tcPr>
            <w:tcW w:w="485" w:type="pct"/>
            <w:vAlign w:val="center"/>
          </w:tcPr>
          <w:p w14:paraId="20659151">
            <w:pPr>
              <w:ind w:left="-53" w:leftChars="-25" w:right="-53" w:rightChars="-25"/>
              <w:jc w:val="right"/>
            </w:pPr>
            <w:r>
              <w:t>116,338.73</w:t>
            </w:r>
          </w:p>
        </w:tc>
        <w:tc>
          <w:tcPr>
            <w:tcW w:w="485" w:type="pct"/>
            <w:vAlign w:val="center"/>
          </w:tcPr>
          <w:p w14:paraId="0170D142">
            <w:pPr>
              <w:ind w:left="-53" w:leftChars="-25" w:right="-53" w:rightChars="-25"/>
              <w:jc w:val="right"/>
            </w:pPr>
            <w:r>
              <w:t>-29,808.97</w:t>
            </w:r>
          </w:p>
        </w:tc>
        <w:tc>
          <w:tcPr>
            <w:tcW w:w="485" w:type="pct"/>
            <w:vAlign w:val="center"/>
          </w:tcPr>
          <w:p w14:paraId="281B6ACF">
            <w:pPr>
              <w:ind w:left="-53" w:leftChars="-25" w:right="-53" w:rightChars="-25"/>
              <w:jc w:val="right"/>
            </w:pPr>
            <w:r>
              <w:t>-29,808.97</w:t>
            </w:r>
          </w:p>
        </w:tc>
        <w:tc>
          <w:tcPr>
            <w:tcW w:w="485" w:type="pct"/>
            <w:vAlign w:val="center"/>
          </w:tcPr>
          <w:p w14:paraId="5F39EFEB">
            <w:pPr>
              <w:ind w:left="-53" w:leftChars="-25" w:right="-53" w:rightChars="-25"/>
              <w:jc w:val="right"/>
            </w:pPr>
            <w:r>
              <w:t>18,147.01</w:t>
            </w:r>
          </w:p>
        </w:tc>
      </w:tr>
    </w:tbl>
    <w:p w14:paraId="572457B8"/>
    <w:p w14:paraId="6C5655E3">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cs="Arial"/>
          <w:color w:val="000000" w:themeColor="text1"/>
          <w14:textFill>
            <w14:solidFill>
              <w14:schemeClr w14:val="tx1"/>
            </w14:solidFill>
          </w14:textFill>
        </w:rPr>
        <w:alias w:val="重要非全资子公司的主要财务信息的其他说明"/>
        <w:tag w:val="_GBC_c6413d961dad488aae6fcf0fda2bf33a"/>
        <w:id w:val="-609657926"/>
        <w:placeholder>
          <w:docPart w:val="GBC22222222222222222222222222222"/>
        </w:placeholder>
      </w:sdtPr>
      <w:sdtEndPr>
        <w:rPr>
          <w:rFonts w:cs="Arial"/>
          <w:color w:val="000000" w:themeColor="text1"/>
          <w14:textFill>
            <w14:solidFill>
              <w14:schemeClr w14:val="tx1"/>
            </w14:solidFill>
          </w14:textFill>
        </w:rPr>
      </w:sdtEndPr>
      <w:sdtContent>
        <w:p w14:paraId="1CE13346">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p w14:paraId="485632AE">
      <w:pPr>
        <w:rPr>
          <w:rFonts w:cs="Arial"/>
          <w:color w:val="000000" w:themeColor="text1"/>
          <w14:textFill>
            <w14:solidFill>
              <w14:schemeClr w14:val="tx1"/>
            </w14:solidFill>
          </w14:textFill>
        </w:rPr>
      </w:pPr>
    </w:p>
    <w:p w14:paraId="77A83BE4">
      <w:pPr>
        <w:rPr>
          <w:rFonts w:cs="Arial"/>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3852F17A">
      <w:pPr>
        <w:rPr>
          <w:rFonts w:cs="Arial"/>
          <w:color w:val="000000" w:themeColor="text1"/>
          <w14:textFill>
            <w14:solidFill>
              <w14:schemeClr w14:val="tx1"/>
            </w14:solidFill>
          </w14:textFill>
        </w:rPr>
      </w:pPr>
    </w:p>
    <w:p w14:paraId="644BB987">
      <w:pPr>
        <w:pStyle w:val="5"/>
        <w:numPr>
          <w:ilvl w:val="3"/>
          <w:numId w:val="84"/>
        </w:numPr>
        <w:ind w:left="426" w:hanging="42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使用企业集团资产和清偿企业集团债务的重大限制：</w:t>
      </w:r>
    </w:p>
    <w:sdt>
      <w:sdtPr>
        <w:rPr>
          <w:color w:val="000000" w:themeColor="text1"/>
          <w14:textFill>
            <w14:solidFill>
              <w14:schemeClr w14:val="tx1"/>
            </w14:solidFill>
          </w14:textFill>
        </w:rPr>
        <w:alias w:val="是否适用：使用企业集团资产和清偿企业集团债务的重大限制[双击切换]"/>
        <w:tag w:val="_GBC_d4aaeca51c634ffea892b86812441771"/>
        <w:id w:val="878745211"/>
        <w:placeholder>
          <w:docPart w:val="GBC22222222222222222222222222222"/>
        </w:placeholder>
      </w:sdtPr>
      <w:sdtEndPr>
        <w:rPr>
          <w:color w:val="000000" w:themeColor="text1"/>
          <w14:textFill>
            <w14:solidFill>
              <w14:schemeClr w14:val="tx1"/>
            </w14:solidFill>
          </w14:textFill>
        </w:rPr>
      </w:sdtEndPr>
      <w:sdtContent>
        <w:p w14:paraId="6DEE12E1">
          <w:pPr>
            <w:rPr>
              <w:rFonts w:cs="Arial"/>
              <w:b/>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71D88B">
      <w:pPr>
        <w:rPr>
          <w:rFonts w:cs="Arial"/>
          <w:color w:val="000000" w:themeColor="text1"/>
          <w14:textFill>
            <w14:solidFill>
              <w14:schemeClr w14:val="tx1"/>
            </w14:solidFill>
          </w14:textFill>
        </w:rPr>
      </w:pPr>
    </w:p>
    <w:p w14:paraId="64B48902">
      <w:pPr>
        <w:pStyle w:val="5"/>
        <w:numPr>
          <w:ilvl w:val="3"/>
          <w:numId w:val="84"/>
        </w:numPr>
        <w:ind w:left="426" w:hanging="42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向纳入合并财务报表范围的结构化主体提供的财务支持或其他支持：</w:t>
      </w:r>
    </w:p>
    <w:sdt>
      <w:sdtPr>
        <w:rPr>
          <w:color w:val="000000" w:themeColor="text1"/>
          <w14:textFill>
            <w14:solidFill>
              <w14:schemeClr w14:val="tx1"/>
            </w14:solidFill>
          </w14:textFill>
        </w:rPr>
        <w:alias w:val="是否适用：向纳入合并财务报表范围的结构化主体提供的财务支持或其他支持[双击切换]"/>
        <w:tag w:val="_GBC_3ee0b326ed544ace8060843f29d4cd3a"/>
        <w:id w:val="1598519532"/>
        <w:placeholder>
          <w:docPart w:val="GBC22222222222222222222222222222"/>
        </w:placeholder>
      </w:sdtPr>
      <w:sdtEndPr>
        <w:rPr>
          <w:color w:val="000000" w:themeColor="text1"/>
          <w14:textFill>
            <w14:solidFill>
              <w14:schemeClr w14:val="tx1"/>
            </w14:solidFill>
          </w14:textFill>
        </w:rPr>
      </w:sdtEndPr>
      <w:sdtContent>
        <w:p w14:paraId="5F1A5FF8">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6A37876">
      <w:pPr>
        <w:rPr>
          <w:rFonts w:cs="Arial"/>
          <w:b/>
          <w:color w:val="000000" w:themeColor="text1"/>
          <w14:textFill>
            <w14:solidFill>
              <w14:schemeClr w14:val="tx1"/>
            </w14:solidFill>
          </w14:textFill>
        </w:rPr>
      </w:pPr>
    </w:p>
    <w:p w14:paraId="057DE854">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在子公司中的权益其他说明[双击切换]"/>
        <w:tag w:val="_GBC_e4c33fb40d7a42bc88681a9facbf5ba5"/>
        <w:id w:val="1186786593"/>
        <w:placeholder>
          <w:docPart w:val="GBC22222222222222222222222222222"/>
        </w:placeholder>
      </w:sdtPr>
      <w:sdtEndPr>
        <w:rPr>
          <w:color w:val="000000" w:themeColor="text1"/>
          <w14:textFill>
            <w14:solidFill>
              <w14:schemeClr w14:val="tx1"/>
            </w14:solidFill>
          </w14:textFill>
        </w:rPr>
      </w:sdtEndPr>
      <w:sdtContent>
        <w:p w14:paraId="13D8155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DDE652">
      <w:pPr>
        <w:rPr>
          <w:color w:val="000000" w:themeColor="text1"/>
          <w14:textFill>
            <w14:solidFill>
              <w14:schemeClr w14:val="tx1"/>
            </w14:solidFill>
          </w14:textFill>
        </w:rPr>
      </w:pPr>
    </w:p>
    <w:p w14:paraId="4AEC753F">
      <w:pPr>
        <w:pStyle w:val="4"/>
        <w:numPr>
          <w:ilvl w:val="2"/>
          <w:numId w:val="8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在子公司的所有者权益份额发生变化且仍控制子公司的交易</w:t>
      </w:r>
    </w:p>
    <w:sdt>
      <w:sdtPr>
        <w:rPr>
          <w:color w:val="000000" w:themeColor="text1"/>
          <w14:textFill>
            <w14:solidFill>
              <w14:schemeClr w14:val="tx1"/>
            </w14:solidFill>
          </w14:textFill>
        </w:rPr>
        <w:alias w:val="是否适用：在子公司的所有者权益份额发生变化且仍控制子公司的交易[双击切换]"/>
        <w:tag w:val="_GBC_51b903d8f50944dc91e91048eba723cd"/>
        <w:id w:val="-2090067235"/>
        <w:placeholder>
          <w:docPart w:val="GBC22222222222222222222222222222"/>
        </w:placeholder>
      </w:sdtPr>
      <w:sdtEndPr>
        <w:rPr>
          <w:color w:val="000000" w:themeColor="text1"/>
          <w14:textFill>
            <w14:solidFill>
              <w14:schemeClr w14:val="tx1"/>
            </w14:solidFill>
          </w14:textFill>
        </w:rPr>
      </w:sdtEndPr>
      <w:sdtContent>
        <w:p w14:paraId="33B8D6AF">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538D7BB">
      <w:pPr>
        <w:rPr>
          <w:color w:val="000000" w:themeColor="text1"/>
          <w14:textFill>
            <w14:solidFill>
              <w14:schemeClr w14:val="tx1"/>
            </w14:solidFill>
          </w14:textFill>
        </w:rPr>
      </w:pPr>
    </w:p>
    <w:p w14:paraId="2258913D">
      <w:pPr>
        <w:pStyle w:val="4"/>
        <w:numPr>
          <w:ilvl w:val="2"/>
          <w:numId w:val="8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在合营企业或联营企业中的权益</w:t>
      </w:r>
    </w:p>
    <w:sdt>
      <w:sdtPr>
        <w:rPr>
          <w:color w:val="000000" w:themeColor="text1"/>
          <w14:textFill>
            <w14:solidFill>
              <w14:schemeClr w14:val="tx1"/>
            </w14:solidFill>
          </w14:textFill>
        </w:rPr>
        <w:alias w:val="是否适用：在合营企业或联营企业中的权益[双击切换]"/>
        <w:tag w:val="_GBC_31c0fe2068fd4a898e4269df4925aa76"/>
        <w:id w:val="-820955703"/>
        <w:lock w:val="contentLocked"/>
        <w:placeholder>
          <w:docPart w:val="GBC22222222222222222222222222222"/>
        </w:placeholder>
      </w:sdtPr>
      <w:sdtEndPr>
        <w:rPr>
          <w:color w:val="000000" w:themeColor="text1"/>
          <w14:textFill>
            <w14:solidFill>
              <w14:schemeClr w14:val="tx1"/>
            </w14:solidFill>
          </w14:textFill>
        </w:rPr>
      </w:sdtEndPr>
      <w:sdtContent>
        <w:p w14:paraId="205B966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491D65">
      <w:pPr>
        <w:pStyle w:val="5"/>
        <w:numPr>
          <w:ilvl w:val="3"/>
          <w:numId w:val="85"/>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重要的合营企业或联营企业</w:t>
      </w:r>
    </w:p>
    <w:sdt>
      <w:sdtPr>
        <w:rPr>
          <w:color w:val="000000" w:themeColor="text1"/>
          <w14:textFill>
            <w14:solidFill>
              <w14:schemeClr w14:val="tx1"/>
            </w14:solidFill>
          </w14:textFill>
        </w:rPr>
        <w:alias w:val="是否适用：重要的合营企业或联营企业[双击切换]"/>
        <w:tag w:val="_GBC_9973f58b324442d5879a5d16db0cd410"/>
        <w:id w:val="-1189593121"/>
        <w:placeholder>
          <w:docPart w:val="GBC22222222222222222222222222222"/>
        </w:placeholder>
      </w:sdtPr>
      <w:sdtEndPr>
        <w:rPr>
          <w:color w:val="000000" w:themeColor="text1"/>
          <w14:textFill>
            <w14:solidFill>
              <w14:schemeClr w14:val="tx1"/>
            </w14:solidFill>
          </w14:textFill>
        </w:rPr>
      </w:sdtEndPr>
      <w:sdtContent>
        <w:p w14:paraId="1C99204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0E560B">
      <w:pPr>
        <w:jc w:val="right"/>
        <w:rPr>
          <w:color w:val="000000" w:themeColor="text1"/>
          <w14:textFill>
            <w14:solidFill>
              <w14:schemeClr w14:val="tx1"/>
            </w14:solidFill>
          </w14:textFill>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343"/>
        <w:gridCol w:w="1267"/>
        <w:gridCol w:w="1308"/>
        <w:gridCol w:w="1113"/>
        <w:gridCol w:w="1106"/>
        <w:gridCol w:w="1687"/>
      </w:tblGrid>
      <w:tr w14:paraId="2379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sdt>
          <w:sdtPr>
            <w:tag w:val="_PLD_bb6c91c88e754a5da79068d0b040e152"/>
            <w:id w:val="-105591774"/>
          </w:sdtPr>
          <w:sdtContent>
            <w:tc>
              <w:tcPr>
                <w:tcW w:w="677" w:type="pct"/>
                <w:vMerge w:val="restart"/>
                <w:vAlign w:val="center"/>
              </w:tcPr>
              <w:p w14:paraId="78878C8B">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合营企业或联营企业名称</w:t>
                </w:r>
              </w:p>
            </w:tc>
          </w:sdtContent>
        </w:sdt>
        <w:sdt>
          <w:sdtPr>
            <w:tag w:val="_PLD_4c91d89257574ee1a96260d900b3fdde"/>
            <w:id w:val="-1594076737"/>
          </w:sdtPr>
          <w:sdtContent>
            <w:tc>
              <w:tcPr>
                <w:tcW w:w="742" w:type="pct"/>
                <w:vMerge w:val="restart"/>
                <w:vAlign w:val="center"/>
              </w:tcPr>
              <w:p w14:paraId="134B083C">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主要经营地</w:t>
                </w:r>
              </w:p>
            </w:tc>
          </w:sdtContent>
        </w:sdt>
        <w:sdt>
          <w:sdtPr>
            <w:tag w:val="_PLD_4a3c73442b1947fdae2c0b554e7271a4"/>
            <w:id w:val="1956746619"/>
          </w:sdtPr>
          <w:sdtContent>
            <w:tc>
              <w:tcPr>
                <w:tcW w:w="700" w:type="pct"/>
                <w:vMerge w:val="restart"/>
                <w:vAlign w:val="center"/>
              </w:tcPr>
              <w:p w14:paraId="60C43E7B">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注册地</w:t>
                </w:r>
              </w:p>
            </w:tc>
          </w:sdtContent>
        </w:sdt>
        <w:sdt>
          <w:sdtPr>
            <w:tag w:val="_PLD_07a3d19678c44b0db85c15fb74bf76d2"/>
            <w:id w:val="-243105353"/>
          </w:sdtPr>
          <w:sdtContent>
            <w:tc>
              <w:tcPr>
                <w:tcW w:w="723" w:type="pct"/>
                <w:vMerge w:val="restart"/>
                <w:vAlign w:val="center"/>
              </w:tcPr>
              <w:p w14:paraId="59E026C9">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业务性质</w:t>
                </w:r>
              </w:p>
            </w:tc>
          </w:sdtContent>
        </w:sdt>
        <w:sdt>
          <w:sdtPr>
            <w:tag w:val="_PLD_cb67afe7283245a29754ca96c69b89fc"/>
            <w:id w:val="-1750112436"/>
          </w:sdtPr>
          <w:sdtContent>
            <w:tc>
              <w:tcPr>
                <w:tcW w:w="1226" w:type="pct"/>
                <w:gridSpan w:val="2"/>
                <w:vAlign w:val="center"/>
              </w:tcPr>
              <w:p w14:paraId="0D429DFE">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持股比例</w:t>
                </w:r>
                <w:r>
                  <w:rPr>
                    <w:rFonts w:cs="Arial"/>
                    <w:color w:val="000000" w:themeColor="text1"/>
                    <w14:textFill>
                      <w14:solidFill>
                        <w14:schemeClr w14:val="tx1"/>
                      </w14:solidFill>
                    </w14:textFill>
                  </w:rPr>
                  <w:t>(%)</w:t>
                </w:r>
              </w:p>
            </w:tc>
          </w:sdtContent>
        </w:sdt>
        <w:sdt>
          <w:sdtPr>
            <w:tag w:val="_PLD_0fddec4e9b2a4b3aa0f9a08859cf498e"/>
            <w:id w:val="431085490"/>
          </w:sdtPr>
          <w:sdtContent>
            <w:tc>
              <w:tcPr>
                <w:tcW w:w="933" w:type="pct"/>
                <w:vMerge w:val="restart"/>
                <w:vAlign w:val="center"/>
              </w:tcPr>
              <w:p w14:paraId="2D1CFFB8">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对合营企业或联营企业投资的会计处理方法</w:t>
                </w:r>
              </w:p>
            </w:tc>
          </w:sdtContent>
        </w:sdt>
      </w:tr>
      <w:tr w14:paraId="3041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7" w:type="pct"/>
            <w:vMerge w:val="continue"/>
            <w:vAlign w:val="center"/>
          </w:tcPr>
          <w:p w14:paraId="26A7703F">
            <w:pPr>
              <w:rPr>
                <w:rFonts w:cs="Arial"/>
                <w:color w:val="000000" w:themeColor="text1"/>
                <w14:textFill>
                  <w14:solidFill>
                    <w14:schemeClr w14:val="tx1"/>
                  </w14:solidFill>
                </w14:textFill>
              </w:rPr>
            </w:pPr>
          </w:p>
        </w:tc>
        <w:tc>
          <w:tcPr>
            <w:tcW w:w="742" w:type="pct"/>
            <w:vMerge w:val="continue"/>
            <w:vAlign w:val="center"/>
          </w:tcPr>
          <w:p w14:paraId="207C4EB6">
            <w:pPr>
              <w:rPr>
                <w:rFonts w:cs="Arial"/>
                <w:color w:val="000000" w:themeColor="text1"/>
                <w14:textFill>
                  <w14:solidFill>
                    <w14:schemeClr w14:val="tx1"/>
                  </w14:solidFill>
                </w14:textFill>
              </w:rPr>
            </w:pPr>
          </w:p>
        </w:tc>
        <w:tc>
          <w:tcPr>
            <w:tcW w:w="700" w:type="pct"/>
            <w:vMerge w:val="continue"/>
            <w:vAlign w:val="center"/>
          </w:tcPr>
          <w:p w14:paraId="0197B735">
            <w:pPr>
              <w:rPr>
                <w:rFonts w:cs="Arial"/>
                <w:color w:val="000000" w:themeColor="text1"/>
                <w14:textFill>
                  <w14:solidFill>
                    <w14:schemeClr w14:val="tx1"/>
                  </w14:solidFill>
                </w14:textFill>
              </w:rPr>
            </w:pPr>
          </w:p>
        </w:tc>
        <w:tc>
          <w:tcPr>
            <w:tcW w:w="723" w:type="pct"/>
            <w:vMerge w:val="continue"/>
            <w:vAlign w:val="center"/>
          </w:tcPr>
          <w:p w14:paraId="07F532AE">
            <w:pPr>
              <w:rPr>
                <w:rFonts w:cs="Arial"/>
                <w:color w:val="000000" w:themeColor="text1"/>
                <w14:textFill>
                  <w14:solidFill>
                    <w14:schemeClr w14:val="tx1"/>
                  </w14:solidFill>
                </w14:textFill>
              </w:rPr>
            </w:pPr>
          </w:p>
        </w:tc>
        <w:sdt>
          <w:sdtPr>
            <w:tag w:val="_PLD_42f14f52720a4c87819c9bd5211ded18"/>
            <w:id w:val="684407692"/>
          </w:sdtPr>
          <w:sdtContent>
            <w:tc>
              <w:tcPr>
                <w:tcW w:w="615" w:type="pct"/>
                <w:vAlign w:val="center"/>
              </w:tcPr>
              <w:p w14:paraId="7937CA2B">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直接</w:t>
                </w:r>
              </w:p>
            </w:tc>
          </w:sdtContent>
        </w:sdt>
        <w:sdt>
          <w:sdtPr>
            <w:tag w:val="_PLD_e87318e11f6c4411aa17083e3a10cd90"/>
            <w:id w:val="-1230539165"/>
          </w:sdtPr>
          <w:sdtContent>
            <w:tc>
              <w:tcPr>
                <w:tcW w:w="611" w:type="pct"/>
                <w:vAlign w:val="center"/>
              </w:tcPr>
              <w:p w14:paraId="46D29812">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间接</w:t>
                </w:r>
              </w:p>
            </w:tc>
          </w:sdtContent>
        </w:sdt>
        <w:tc>
          <w:tcPr>
            <w:tcW w:w="933" w:type="pct"/>
            <w:vMerge w:val="continue"/>
            <w:vAlign w:val="center"/>
          </w:tcPr>
          <w:p w14:paraId="59FA4EA5">
            <w:pPr>
              <w:rPr>
                <w:rFonts w:cs="Arial"/>
                <w:color w:val="000000" w:themeColor="text1"/>
                <w14:textFill>
                  <w14:solidFill>
                    <w14:schemeClr w14:val="tx1"/>
                  </w14:solidFill>
                </w14:textFill>
              </w:rPr>
            </w:pPr>
          </w:p>
        </w:tc>
      </w:tr>
      <w:tr w14:paraId="59A6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tcPr>
          <w:p w14:paraId="5D70606C">
            <w:r>
              <w:t>重庆银行股份有限公司</w:t>
            </w:r>
          </w:p>
        </w:tc>
        <w:tc>
          <w:tcPr>
            <w:tcW w:w="742" w:type="pct"/>
            <w:vAlign w:val="center"/>
          </w:tcPr>
          <w:p w14:paraId="5F8886E3">
            <w:pPr>
              <w:jc w:val="center"/>
            </w:pPr>
            <w:r>
              <w:t>重庆</w:t>
            </w:r>
          </w:p>
        </w:tc>
        <w:tc>
          <w:tcPr>
            <w:tcW w:w="700" w:type="pct"/>
            <w:vAlign w:val="center"/>
          </w:tcPr>
          <w:p w14:paraId="01B8C817">
            <w:pPr>
              <w:jc w:val="center"/>
            </w:pPr>
            <w:r>
              <w:t>重庆</w:t>
            </w:r>
          </w:p>
        </w:tc>
        <w:tc>
          <w:tcPr>
            <w:tcW w:w="723" w:type="pct"/>
            <w:vAlign w:val="center"/>
          </w:tcPr>
          <w:p w14:paraId="59898D9E">
            <w:pPr>
              <w:jc w:val="center"/>
            </w:pPr>
            <w:r>
              <w:t>金融行业</w:t>
            </w:r>
          </w:p>
        </w:tc>
        <w:tc>
          <w:tcPr>
            <w:tcW w:w="615" w:type="pct"/>
            <w:vAlign w:val="center"/>
          </w:tcPr>
          <w:p w14:paraId="5E676DF3">
            <w:pPr>
              <w:jc w:val="center"/>
            </w:pPr>
            <w:r>
              <w:t>3.73</w:t>
            </w:r>
          </w:p>
        </w:tc>
        <w:tc>
          <w:tcPr>
            <w:tcW w:w="611" w:type="pct"/>
            <w:vAlign w:val="center"/>
          </w:tcPr>
          <w:p w14:paraId="4EC8F4A6">
            <w:pPr>
              <w:jc w:val="center"/>
            </w:pPr>
            <w:r>
              <w:t>4.76</w:t>
            </w:r>
          </w:p>
        </w:tc>
        <w:tc>
          <w:tcPr>
            <w:tcW w:w="933" w:type="pct"/>
            <w:vAlign w:val="center"/>
          </w:tcPr>
          <w:p w14:paraId="19BA291F">
            <w:pPr>
              <w:jc w:val="center"/>
            </w:pPr>
            <w:r>
              <w:t>权益法</w:t>
            </w:r>
          </w:p>
        </w:tc>
      </w:tr>
      <w:tr w14:paraId="375A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pct"/>
          </w:tcPr>
          <w:p w14:paraId="04971F90">
            <w:r>
              <w:t>力帆融资租赁（上海）有限公司</w:t>
            </w:r>
          </w:p>
        </w:tc>
        <w:tc>
          <w:tcPr>
            <w:tcW w:w="742" w:type="pct"/>
            <w:vAlign w:val="center"/>
          </w:tcPr>
          <w:p w14:paraId="6D33B53E">
            <w:pPr>
              <w:jc w:val="center"/>
            </w:pPr>
            <w:r>
              <w:t>上海</w:t>
            </w:r>
          </w:p>
        </w:tc>
        <w:tc>
          <w:tcPr>
            <w:tcW w:w="700" w:type="pct"/>
            <w:vAlign w:val="center"/>
          </w:tcPr>
          <w:p w14:paraId="1696653F">
            <w:pPr>
              <w:jc w:val="center"/>
            </w:pPr>
            <w:r>
              <w:t>上海</w:t>
            </w:r>
          </w:p>
        </w:tc>
        <w:tc>
          <w:tcPr>
            <w:tcW w:w="723" w:type="pct"/>
            <w:vAlign w:val="center"/>
          </w:tcPr>
          <w:p w14:paraId="0080B409">
            <w:pPr>
              <w:jc w:val="center"/>
            </w:pPr>
            <w:r>
              <w:t>金融行业</w:t>
            </w:r>
          </w:p>
        </w:tc>
        <w:tc>
          <w:tcPr>
            <w:tcW w:w="615" w:type="pct"/>
            <w:vAlign w:val="center"/>
          </w:tcPr>
          <w:p w14:paraId="5B7A8B85">
            <w:pPr>
              <w:jc w:val="center"/>
            </w:pPr>
            <w:r>
              <w:t>21.80</w:t>
            </w:r>
          </w:p>
        </w:tc>
        <w:tc>
          <w:tcPr>
            <w:tcW w:w="611" w:type="pct"/>
            <w:vAlign w:val="center"/>
          </w:tcPr>
          <w:p w14:paraId="5A9A0FB8">
            <w:pPr>
              <w:jc w:val="center"/>
            </w:pPr>
            <w:r>
              <w:t>27.20</w:t>
            </w:r>
          </w:p>
        </w:tc>
        <w:tc>
          <w:tcPr>
            <w:tcW w:w="933" w:type="pct"/>
            <w:vAlign w:val="center"/>
          </w:tcPr>
          <w:p w14:paraId="5D73EF56">
            <w:pPr>
              <w:jc w:val="center"/>
            </w:pPr>
            <w:r>
              <w:t>权益法</w:t>
            </w:r>
          </w:p>
        </w:tc>
      </w:tr>
    </w:tbl>
    <w:p w14:paraId="72099236"/>
    <w:p w14:paraId="3E631DAB">
      <w:pPr>
        <w:spacing w:line="360" w:lineRule="auto"/>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在合营企业或联营企业的持股比例不同于表决权比例的说明：</w:t>
      </w:r>
    </w:p>
    <w:p w14:paraId="6DD45825">
      <w:pPr>
        <w:spacing w:line="360" w:lineRule="auto"/>
        <w:rPr>
          <w:rFonts w:cs="Arial"/>
          <w:color w:val="000000" w:themeColor="text1"/>
          <w14:textFill>
            <w14:solidFill>
              <w14:schemeClr w14:val="tx1"/>
            </w14:solidFill>
          </w14:textFill>
        </w:rPr>
      </w:pPr>
      <w:sdt>
        <w:sdtPr>
          <w:rPr>
            <w:rFonts w:cs="Arial"/>
            <w:color w:val="000000" w:themeColor="text1"/>
            <w14:textFill>
              <w14:solidFill>
                <w14:schemeClr w14:val="tx1"/>
              </w14:solidFill>
            </w14:textFill>
          </w:rPr>
          <w:alias w:val="在合营企业或联营企业的持股比例不同于表决权比例的说明"/>
          <w:tag w:val="_GBC_b18385c11aff4424b360bd0cb4f81376"/>
          <w:id w:val="228200471"/>
          <w:placeholder>
            <w:docPart w:val="GBC22222222222222222222222222222"/>
          </w:placeholder>
        </w:sdtPr>
        <w:sdtEndPr>
          <w:rPr>
            <w:rFonts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无</w:t>
          </w:r>
        </w:sdtContent>
      </w:sdt>
    </w:p>
    <w:p w14:paraId="26C03690">
      <w:pPr>
        <w:spacing w:line="360" w:lineRule="auto"/>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持有</w:t>
      </w:r>
      <w:r>
        <w:rPr>
          <w:rFonts w:cs="Arial"/>
          <w:color w:val="000000" w:themeColor="text1"/>
          <w14:textFill>
            <w14:solidFill>
              <w14:schemeClr w14:val="tx1"/>
            </w14:solidFill>
          </w14:textFill>
        </w:rPr>
        <w:t>20%以下表决权但具有重大影响，或者持有20%或以上表决权但不具有重大影响的依据：</w:t>
      </w:r>
    </w:p>
    <w:p w14:paraId="0A940C32">
      <w:pPr>
        <w:spacing w:line="360" w:lineRule="auto"/>
        <w:rPr>
          <w:rFonts w:cs="Arial"/>
          <w:color w:val="000000" w:themeColor="text1"/>
          <w14:textFill>
            <w14:solidFill>
              <w14:schemeClr w14:val="tx1"/>
            </w14:solidFill>
          </w14:textFill>
        </w:rPr>
      </w:pPr>
      <w:sdt>
        <w:sdtPr>
          <w:rPr>
            <w:rFonts w:cs="Arial"/>
            <w:color w:val="000000" w:themeColor="text1"/>
            <w14:textFill>
              <w14:solidFill>
                <w14:schemeClr w14:val="tx1"/>
              </w14:solidFill>
            </w14:textFill>
          </w:rPr>
          <w:alias w:val="持有20%以下表决权但具有重大影响，或者持有20%或以上表决权但不具有重大影响的依据"/>
          <w:tag w:val="_GBC_08a71a8c491f4c758da0748f7570fb28"/>
          <w:id w:val="-1624380266"/>
          <w:placeholder>
            <w:docPart w:val="GBC22222222222222222222222222222"/>
          </w:placeholder>
        </w:sdtPr>
        <w:sdtEndPr>
          <w:rPr>
            <w:rFonts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截至202</w:t>
          </w:r>
          <w:r>
            <w:rPr>
              <w:rFonts w:cs="Arial"/>
              <w:color w:val="000000" w:themeColor="text1"/>
              <w14:textFill>
                <w14:solidFill>
                  <w14:schemeClr w14:val="tx1"/>
                </w14:solidFill>
              </w14:textFill>
            </w:rPr>
            <w:t>5</w:t>
          </w:r>
          <w:r>
            <w:rPr>
              <w:rFonts w:hint="eastAsia" w:cs="Arial"/>
              <w:color w:val="000000" w:themeColor="text1"/>
              <w14:textFill>
                <w14:solidFill>
                  <w14:schemeClr w14:val="tx1"/>
                </w14:solidFill>
              </w14:textFill>
            </w:rPr>
            <w:t>年</w:t>
          </w:r>
          <w:r>
            <w:rPr>
              <w:rFonts w:cs="Arial"/>
              <w:color w:val="000000" w:themeColor="text1"/>
              <w14:textFill>
                <w14:solidFill>
                  <w14:schemeClr w14:val="tx1"/>
                </w14:solidFill>
              </w14:textFill>
            </w:rPr>
            <w:t>6</w:t>
          </w:r>
          <w:r>
            <w:rPr>
              <w:rFonts w:hint="eastAsia" w:cs="Arial"/>
              <w:color w:val="000000" w:themeColor="text1"/>
              <w14:textFill>
                <w14:solidFill>
                  <w14:schemeClr w14:val="tx1"/>
                </w14:solidFill>
              </w14:textFill>
            </w:rPr>
            <w:t>月3</w:t>
          </w:r>
          <w:r>
            <w:rPr>
              <w:rFonts w:cs="Arial"/>
              <w:color w:val="000000" w:themeColor="text1"/>
              <w14:textFill>
                <w14:solidFill>
                  <w14:schemeClr w14:val="tx1"/>
                </w14:solidFill>
              </w14:textFill>
            </w:rPr>
            <w:t>0</w:t>
          </w:r>
          <w:r>
            <w:rPr>
              <w:rFonts w:hint="eastAsia" w:cs="Arial"/>
              <w:color w:val="000000" w:themeColor="text1"/>
              <w14:textFill>
                <w14:solidFill>
                  <w14:schemeClr w14:val="tx1"/>
                </w14:solidFill>
              </w14:textFill>
            </w:rPr>
            <w:t>日，本公司与全资子公司力帆国际（控股）有限公司合计持有重庆银行股份有限公司8.49%的股份，同时公司在其董事会中派有代表，本公司对重庆银行股份有限公司构成重大影响。</w:t>
          </w:r>
        </w:sdtContent>
      </w:sdt>
    </w:p>
    <w:p w14:paraId="04F009BE">
      <w:pPr>
        <w:rPr>
          <w:rFonts w:cstheme="minorBidi"/>
          <w:color w:val="000000" w:themeColor="text1"/>
          <w14:textFill>
            <w14:solidFill>
              <w14:schemeClr w14:val="tx1"/>
            </w14:solidFill>
          </w14:textFill>
        </w:rPr>
      </w:pPr>
    </w:p>
    <w:p w14:paraId="68CB5966">
      <w:pPr>
        <w:pStyle w:val="5"/>
        <w:numPr>
          <w:ilvl w:val="3"/>
          <w:numId w:val="85"/>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重要合营企业的主要财务信息</w:t>
      </w:r>
    </w:p>
    <w:p w14:paraId="47C4AC14">
      <w:pPr>
        <w:rPr>
          <w:rFonts w:cs="Arial"/>
          <w:color w:val="000000" w:themeColor="text1"/>
          <w14:textFill>
            <w14:solidFill>
              <w14:schemeClr w14:val="tx1"/>
            </w14:solidFill>
          </w14:textFill>
        </w:rPr>
      </w:pPr>
      <w:sdt>
        <w:sdtPr>
          <w:rPr>
            <w:rFonts w:hint="eastAsia"/>
            <w:b/>
            <w:color w:val="000000" w:themeColor="text1"/>
            <w14:textFill>
              <w14:solidFill>
                <w14:schemeClr w14:val="tx1"/>
              </w14:solidFill>
            </w14:textFill>
          </w:rPr>
          <w:alias w:val="是否适用：重要合营企业的主要财务信息[双击切换]"/>
          <w:tag w:val="_GBC_6241cde567c342139ae6186afeea9fb4"/>
          <w:id w:val="-1817019956"/>
          <w:placeholder>
            <w:docPart w:val="GBC22222222222222222222222222222"/>
          </w:placeholder>
        </w:sdtPr>
        <w:sdtEndPr>
          <w:rPr>
            <w:rFonts w:hint="eastAsia"/>
            <w:b w:val="0"/>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489D8DBD">
      <w:pPr>
        <w:rPr>
          <w:rFonts w:cstheme="minorBidi"/>
          <w:color w:val="000000" w:themeColor="text1"/>
          <w14:textFill>
            <w14:solidFill>
              <w14:schemeClr w14:val="tx1"/>
            </w14:solidFill>
          </w14:textFill>
        </w:rPr>
      </w:pPr>
    </w:p>
    <w:p w14:paraId="45F52FE8">
      <w:pPr>
        <w:pStyle w:val="5"/>
        <w:numPr>
          <w:ilvl w:val="3"/>
          <w:numId w:val="85"/>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重要联营企业的主要财务信息</w:t>
      </w:r>
    </w:p>
    <w:p w14:paraId="1587D01E">
      <w:pPr>
        <w:rPr>
          <w:color w:val="000000" w:themeColor="text1"/>
          <w14:textFill>
            <w14:solidFill>
              <w14:schemeClr w14:val="tx1"/>
            </w14:solidFill>
          </w14:textFill>
        </w:rPr>
      </w:pPr>
      <w:sdt>
        <w:sdtPr>
          <w:rPr>
            <w:rFonts w:hint="eastAsia"/>
            <w:b/>
            <w:color w:val="000000" w:themeColor="text1"/>
            <w14:textFill>
              <w14:solidFill>
                <w14:schemeClr w14:val="tx1"/>
              </w14:solidFill>
            </w14:textFill>
          </w:rPr>
          <w:alias w:val="是否适用：重要联营企业的主要财务信息[双击切换]"/>
          <w:tag w:val="_GBC_e304b69adb6f449495c3916754024763"/>
          <w:id w:val="-733389217"/>
          <w:lock w:val="contentLocked"/>
          <w:placeholder>
            <w:docPart w:val="GBC22222222222222222222222222222"/>
          </w:placeholder>
        </w:sdtPr>
        <w:sdtEndPr>
          <w:rPr>
            <w:rFonts w:hint="eastAsia"/>
            <w:b w:val="0"/>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202339D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重要联营企业的主要财务信息"/>
          <w:tag w:val="_GBC_0306b30be35040cd86d2b964142011d4"/>
          <w:id w:val="-12885057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重要联营企业的主要财务信息"/>
          <w:tag w:val="_GBC_a2e655bae21746219bfd958c6f5b8be9"/>
          <w:id w:val="6346057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6"/>
        <w:gridCol w:w="1531"/>
        <w:gridCol w:w="1531"/>
        <w:gridCol w:w="1529"/>
        <w:gridCol w:w="1532"/>
      </w:tblGrid>
      <w:tr w14:paraId="7E6C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617" w:type="pct"/>
            <w:vMerge w:val="restart"/>
          </w:tcPr>
          <w:p w14:paraId="7DD42518">
            <w:pPr>
              <w:jc w:val="center"/>
              <w:rPr>
                <w:rFonts w:cs="Arial"/>
                <w:color w:val="000000" w:themeColor="text1"/>
                <w14:textFill>
                  <w14:solidFill>
                    <w14:schemeClr w14:val="tx1"/>
                  </w14:solidFill>
                </w14:textFill>
              </w:rPr>
            </w:pPr>
          </w:p>
        </w:tc>
        <w:sdt>
          <w:sdtPr>
            <w:rPr>
              <w:rFonts w:hint="eastAsia" w:cs="Arial"/>
              <w:color w:val="000000" w:themeColor="text1"/>
              <w:lang w:val="en-GB"/>
              <w14:textFill>
                <w14:solidFill>
                  <w14:schemeClr w14:val="tx1"/>
                </w14:solidFill>
              </w14:textFill>
            </w:rPr>
            <w:alias w:val="重要联营企业的主要财务信息-发生期间"/>
            <w:tag w:val="_GBC_3985273c74d84e5d9e0004348ff54fc3"/>
            <w:id w:val="-1857723654"/>
          </w:sdtPr>
          <w:sdtEndPr>
            <w:rPr>
              <w:rFonts w:hint="eastAsia" w:cs="Arial"/>
              <w:color w:val="000000" w:themeColor="text1"/>
              <w:lang w:val="en-GB"/>
              <w14:textFill>
                <w14:solidFill>
                  <w14:schemeClr w14:val="tx1"/>
                </w14:solidFill>
              </w14:textFill>
            </w:rPr>
          </w:sdtEndPr>
          <w:sdtContent>
            <w:tc>
              <w:tcPr>
                <w:tcW w:w="1692" w:type="pct"/>
                <w:gridSpan w:val="2"/>
                <w:vAlign w:val="center"/>
              </w:tcPr>
              <w:p w14:paraId="08CD8C41">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期末余额</w:t>
                </w:r>
                <w:r>
                  <w:rPr>
                    <w:rFonts w:cs="Arial"/>
                    <w:color w:val="000000" w:themeColor="text1"/>
                    <w14:textFill>
                      <w14:solidFill>
                        <w14:schemeClr w14:val="tx1"/>
                      </w14:solidFill>
                    </w14:textFill>
                  </w:rPr>
                  <w:t xml:space="preserve">/ </w:t>
                </w:r>
                <w:r>
                  <w:rPr>
                    <w:rFonts w:hint="eastAsia" w:cs="Arial"/>
                    <w:color w:val="000000" w:themeColor="text1"/>
                    <w:lang w:val="en-GB"/>
                    <w14:textFill>
                      <w14:solidFill>
                        <w14:schemeClr w14:val="tx1"/>
                      </w14:solidFill>
                    </w14:textFill>
                  </w:rPr>
                  <w:t>本期发生额</w:t>
                </w:r>
              </w:p>
            </w:tc>
          </w:sdtContent>
        </w:sdt>
        <w:sdt>
          <w:sdtPr>
            <w:rPr>
              <w:rFonts w:hint="eastAsia" w:cs="Arial"/>
              <w:color w:val="000000" w:themeColor="text1"/>
              <w:lang w:val="en-GB"/>
              <w14:textFill>
                <w14:solidFill>
                  <w14:schemeClr w14:val="tx1"/>
                </w14:solidFill>
              </w14:textFill>
            </w:rPr>
            <w:alias w:val="重要联营企业的主要财务信息-发生期间"/>
            <w:tag w:val="_GBC_c59f213bf9cc43468db35ae8e45286d0"/>
            <w:id w:val="1896930547"/>
          </w:sdtPr>
          <w:sdtEndPr>
            <w:rPr>
              <w:rFonts w:hint="eastAsia" w:cs="Arial"/>
              <w:color w:val="000000" w:themeColor="text1"/>
              <w:lang w:val="en-GB"/>
              <w14:textFill>
                <w14:solidFill>
                  <w14:schemeClr w14:val="tx1"/>
                </w14:solidFill>
              </w14:textFill>
            </w:rPr>
          </w:sdtEndPr>
          <w:sdtContent>
            <w:tc>
              <w:tcPr>
                <w:tcW w:w="1691" w:type="pct"/>
                <w:gridSpan w:val="2"/>
                <w:vAlign w:val="center"/>
              </w:tcPr>
              <w:p w14:paraId="57F8660E">
                <w:pPr>
                  <w:jc w:val="center"/>
                  <w:rPr>
                    <w:rFonts w:cs="Arial"/>
                    <w:color w:val="000000" w:themeColor="text1"/>
                    <w:lang w:val="en-GB"/>
                    <w14:textFill>
                      <w14:solidFill>
                        <w14:schemeClr w14:val="tx1"/>
                      </w14:solidFill>
                    </w14:textFill>
                  </w:rPr>
                </w:pPr>
                <w:r>
                  <w:rPr>
                    <w:rFonts w:hint="eastAsia" w:cs="Arial"/>
                    <w:color w:val="000000" w:themeColor="text1"/>
                    <w:lang w:val="en-GB"/>
                    <w14:textFill>
                      <w14:solidFill>
                        <w14:schemeClr w14:val="tx1"/>
                      </w14:solidFill>
                    </w14:textFill>
                  </w:rPr>
                  <w:t>期初余额</w:t>
                </w:r>
                <w:r>
                  <w:rPr>
                    <w:rFonts w:cs="Arial"/>
                    <w:color w:val="000000" w:themeColor="text1"/>
                    <w14:textFill>
                      <w14:solidFill>
                        <w14:schemeClr w14:val="tx1"/>
                      </w14:solidFill>
                    </w14:textFill>
                  </w:rPr>
                  <w:t xml:space="preserve">/ </w:t>
                </w:r>
                <w:r>
                  <w:rPr>
                    <w:rFonts w:hint="eastAsia" w:cs="Arial"/>
                    <w:color w:val="000000" w:themeColor="text1"/>
                    <w:lang w:val="en-GB"/>
                    <w14:textFill>
                      <w14:solidFill>
                        <w14:schemeClr w14:val="tx1"/>
                      </w14:solidFill>
                    </w14:textFill>
                  </w:rPr>
                  <w:t>上期发生额</w:t>
                </w:r>
              </w:p>
            </w:tc>
          </w:sdtContent>
        </w:sdt>
      </w:tr>
      <w:tr w14:paraId="4071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617" w:type="pct"/>
            <w:vMerge w:val="continue"/>
            <w:vAlign w:val="center"/>
          </w:tcPr>
          <w:p w14:paraId="32F2A0A4">
            <w:pPr>
              <w:rPr>
                <w:rFonts w:cs="Arial"/>
                <w:color w:val="000000" w:themeColor="text1"/>
                <w14:textFill>
                  <w14:solidFill>
                    <w14:schemeClr w14:val="tx1"/>
                  </w14:solidFill>
                </w14:textFill>
              </w:rPr>
            </w:pPr>
          </w:p>
        </w:tc>
        <w:sdt>
          <w:sdtPr>
            <w:rPr>
              <w:rFonts w:hint="eastAsia"/>
              <w:color w:val="000000" w:themeColor="text1"/>
              <w14:textFill>
                <w14:solidFill>
                  <w14:schemeClr w14:val="tx1"/>
                </w14:solidFill>
              </w14:textFill>
            </w:rPr>
            <w:alias w:val="重要联营企业的主要财务信息明细-企业名称"/>
            <w:tag w:val="_GBC_0cae03adb6fc417da51f1e06cc077a6b"/>
            <w:id w:val="-912006832"/>
          </w:sdtPr>
          <w:sdtEndPr>
            <w:rPr>
              <w:rFonts w:hint="eastAsia"/>
              <w:color w:val="000000" w:themeColor="text1"/>
              <w14:textFill>
                <w14:solidFill>
                  <w14:schemeClr w14:val="tx1"/>
                </w14:solidFill>
              </w14:textFill>
            </w:rPr>
          </w:sdtEndPr>
          <w:sdtContent>
            <w:tc>
              <w:tcPr>
                <w:tcW w:w="846" w:type="pct"/>
              </w:tcPr>
              <w:p w14:paraId="7626D0F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重庆银行股份有限公司</w:t>
                </w:r>
              </w:p>
            </w:tc>
          </w:sdtContent>
        </w:sdt>
        <w:sdt>
          <w:sdtPr>
            <w:rPr>
              <w:rFonts w:hint="eastAsia"/>
            </w:rPr>
            <w:alias w:val="重要联营企业的主要财务信息明细-企业名称"/>
            <w:tag w:val="_GBC_0cae03adb6fc417da51f1e06cc077a6b"/>
            <w:id w:val="927464536"/>
          </w:sdtPr>
          <w:sdtEndPr>
            <w:rPr>
              <w:rFonts w:hint="eastAsia"/>
            </w:rPr>
          </w:sdtEndPr>
          <w:sdtContent>
            <w:tc>
              <w:tcPr>
                <w:tcW w:w="846" w:type="pct"/>
              </w:tcPr>
              <w:p w14:paraId="695E9AF7">
                <w:pPr>
                  <w:jc w:val="center"/>
                </w:pPr>
                <w:r>
                  <w:rPr>
                    <w:rFonts w:hint="eastAsia"/>
                  </w:rPr>
                  <w:t>力帆融资租赁（上海）有限公司</w:t>
                </w:r>
              </w:p>
            </w:tc>
          </w:sdtContent>
        </w:sdt>
        <w:sdt>
          <w:sdtPr>
            <w:rPr>
              <w:rFonts w:hint="eastAsia"/>
              <w:color w:val="000000" w:themeColor="text1"/>
              <w14:textFill>
                <w14:solidFill>
                  <w14:schemeClr w14:val="tx1"/>
                </w14:solidFill>
              </w14:textFill>
            </w:rPr>
            <w:alias w:val="重要联营企业的主要财务信息明细-企业名称"/>
            <w:tag w:val="_GBC_dabfa87f0eff42149952cca99a0db3a2"/>
            <w:id w:val="1025839544"/>
          </w:sdtPr>
          <w:sdtEndPr>
            <w:rPr>
              <w:rFonts w:hint="eastAsia"/>
              <w:color w:val="000000" w:themeColor="text1"/>
              <w14:textFill>
                <w14:solidFill>
                  <w14:schemeClr w14:val="tx1"/>
                </w14:solidFill>
              </w14:textFill>
            </w:rPr>
          </w:sdtEndPr>
          <w:sdtContent>
            <w:tc>
              <w:tcPr>
                <w:tcW w:w="845" w:type="pct"/>
              </w:tcPr>
              <w:p w14:paraId="31DC341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重庆银行股份有限公司</w:t>
                </w:r>
              </w:p>
            </w:tc>
          </w:sdtContent>
        </w:sdt>
        <w:sdt>
          <w:sdtPr>
            <w:rPr>
              <w:rFonts w:hint="eastAsia"/>
            </w:rPr>
            <w:alias w:val="重要联营企业的主要财务信息明细-企业名称"/>
            <w:tag w:val="_GBC_dabfa87f0eff42149952cca99a0db3a2"/>
            <w:id w:val="352781084"/>
          </w:sdtPr>
          <w:sdtEndPr>
            <w:rPr>
              <w:rFonts w:hint="eastAsia"/>
            </w:rPr>
          </w:sdtEndPr>
          <w:sdtContent>
            <w:tc>
              <w:tcPr>
                <w:tcW w:w="846" w:type="pct"/>
              </w:tcPr>
              <w:p w14:paraId="5137A5DC">
                <w:pPr>
                  <w:jc w:val="center"/>
                </w:pPr>
                <w:r>
                  <w:rPr>
                    <w:rFonts w:hint="eastAsia"/>
                  </w:rPr>
                  <w:t>力帆融资租赁（上海）有限公司</w:t>
                </w:r>
              </w:p>
            </w:tc>
          </w:sdtContent>
        </w:sdt>
      </w:tr>
      <w:tr w14:paraId="471C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0A4E8167">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资产合计</w:t>
            </w:r>
          </w:p>
        </w:tc>
        <w:tc>
          <w:tcPr>
            <w:tcW w:w="846" w:type="pct"/>
            <w:vAlign w:val="center"/>
          </w:tcPr>
          <w:p w14:paraId="0D88164E">
            <w:pPr>
              <w:jc w:val="right"/>
            </w:pPr>
            <w:r>
              <w:t>98,336,533.80</w:t>
            </w:r>
          </w:p>
        </w:tc>
        <w:tc>
          <w:tcPr>
            <w:tcW w:w="846" w:type="pct"/>
            <w:vAlign w:val="center"/>
          </w:tcPr>
          <w:p w14:paraId="4A099D77">
            <w:pPr>
              <w:jc w:val="right"/>
              <w:rPr>
                <w:rFonts w:ascii="宋体" w:hAnsi="宋体"/>
                <w:sz w:val="24"/>
                <w:szCs w:val="24"/>
              </w:rPr>
            </w:pPr>
            <w:r>
              <w:t>27,927.81</w:t>
            </w:r>
          </w:p>
        </w:tc>
        <w:tc>
          <w:tcPr>
            <w:tcW w:w="845" w:type="pct"/>
            <w:vAlign w:val="center"/>
          </w:tcPr>
          <w:p w14:paraId="42F61020">
            <w:pPr>
              <w:jc w:val="right"/>
            </w:pPr>
            <w:r>
              <w:t>85,664,184.00</w:t>
            </w:r>
          </w:p>
        </w:tc>
        <w:tc>
          <w:tcPr>
            <w:tcW w:w="846" w:type="pct"/>
            <w:vAlign w:val="center"/>
          </w:tcPr>
          <w:p w14:paraId="53277679">
            <w:pPr>
              <w:jc w:val="right"/>
            </w:pPr>
            <w:r>
              <w:t>29,770.57</w:t>
            </w:r>
          </w:p>
        </w:tc>
      </w:tr>
      <w:tr w14:paraId="37FA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48F80F9C">
            <w:pPr>
              <w:jc w:val="right"/>
              <w:rPr>
                <w:color w:val="000000" w:themeColor="text1"/>
                <w14:textFill>
                  <w14:solidFill>
                    <w14:schemeClr w14:val="tx1"/>
                  </w14:solidFill>
                </w14:textFill>
              </w:rPr>
            </w:pPr>
          </w:p>
        </w:tc>
      </w:tr>
      <w:tr w14:paraId="0086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2B15BF6B">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负债合计</w:t>
            </w:r>
          </w:p>
        </w:tc>
        <w:tc>
          <w:tcPr>
            <w:tcW w:w="846" w:type="pct"/>
            <w:vAlign w:val="center"/>
          </w:tcPr>
          <w:p w14:paraId="67F35C89">
            <w:pPr>
              <w:jc w:val="right"/>
            </w:pPr>
            <w:r>
              <w:t>91,787,310.70</w:t>
            </w:r>
          </w:p>
        </w:tc>
        <w:tc>
          <w:tcPr>
            <w:tcW w:w="846" w:type="pct"/>
            <w:vAlign w:val="center"/>
          </w:tcPr>
          <w:p w14:paraId="0CEB91B5">
            <w:pPr>
              <w:jc w:val="right"/>
              <w:rPr>
                <w:rFonts w:ascii="宋体" w:hAnsi="宋体"/>
                <w:sz w:val="24"/>
                <w:szCs w:val="24"/>
              </w:rPr>
            </w:pPr>
            <w:r>
              <w:t>7,686.19</w:t>
            </w:r>
          </w:p>
        </w:tc>
        <w:tc>
          <w:tcPr>
            <w:tcW w:w="845" w:type="pct"/>
            <w:vAlign w:val="center"/>
          </w:tcPr>
          <w:p w14:paraId="34457B45">
            <w:pPr>
              <w:jc w:val="right"/>
            </w:pPr>
            <w:r>
              <w:t>79,287,792.20</w:t>
            </w:r>
          </w:p>
        </w:tc>
        <w:tc>
          <w:tcPr>
            <w:tcW w:w="846" w:type="pct"/>
            <w:vAlign w:val="center"/>
          </w:tcPr>
          <w:p w14:paraId="509E8C38">
            <w:pPr>
              <w:jc w:val="right"/>
            </w:pPr>
            <w:r>
              <w:t>7,681.88</w:t>
            </w:r>
          </w:p>
        </w:tc>
      </w:tr>
      <w:tr w14:paraId="1475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37245340">
            <w:pPr>
              <w:jc w:val="right"/>
              <w:rPr>
                <w:color w:val="000000" w:themeColor="text1"/>
                <w14:textFill>
                  <w14:solidFill>
                    <w14:schemeClr w14:val="tx1"/>
                  </w14:solidFill>
                </w14:textFill>
              </w:rPr>
            </w:pPr>
          </w:p>
        </w:tc>
      </w:tr>
      <w:tr w14:paraId="32DE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537DC431">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少数股东权益</w:t>
            </w:r>
          </w:p>
        </w:tc>
        <w:tc>
          <w:tcPr>
            <w:tcW w:w="846" w:type="pct"/>
            <w:vAlign w:val="center"/>
          </w:tcPr>
          <w:p w14:paraId="406445A8">
            <w:pPr>
              <w:jc w:val="right"/>
            </w:pPr>
            <w:r>
              <w:t>277,635.00</w:t>
            </w:r>
          </w:p>
        </w:tc>
        <w:tc>
          <w:tcPr>
            <w:tcW w:w="846" w:type="pct"/>
            <w:vAlign w:val="center"/>
          </w:tcPr>
          <w:p w14:paraId="0A2208A1">
            <w:pPr>
              <w:jc w:val="right"/>
              <w:rPr>
                <w:rFonts w:eastAsia="Times New Roman" w:cs="Times New Roman"/>
                <w:sz w:val="20"/>
                <w:szCs w:val="20"/>
              </w:rPr>
            </w:pPr>
          </w:p>
        </w:tc>
        <w:tc>
          <w:tcPr>
            <w:tcW w:w="845" w:type="pct"/>
            <w:vAlign w:val="center"/>
          </w:tcPr>
          <w:p w14:paraId="5F3A0074">
            <w:pPr>
              <w:jc w:val="right"/>
              <w:rPr>
                <w:rFonts w:ascii="宋体" w:hAnsi="宋体"/>
                <w:sz w:val="24"/>
                <w:szCs w:val="24"/>
              </w:rPr>
            </w:pPr>
            <w:r>
              <w:t>269,294.50</w:t>
            </w:r>
          </w:p>
        </w:tc>
        <w:tc>
          <w:tcPr>
            <w:tcW w:w="846" w:type="pct"/>
            <w:vAlign w:val="center"/>
          </w:tcPr>
          <w:p w14:paraId="055DE53D">
            <w:pPr>
              <w:jc w:val="right"/>
            </w:pPr>
          </w:p>
        </w:tc>
      </w:tr>
      <w:tr w14:paraId="5A7B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33BC75DD">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归属于母公司股东权益</w:t>
            </w:r>
          </w:p>
        </w:tc>
        <w:tc>
          <w:tcPr>
            <w:tcW w:w="846" w:type="pct"/>
            <w:vAlign w:val="center"/>
          </w:tcPr>
          <w:p w14:paraId="2BB6A182">
            <w:pPr>
              <w:jc w:val="right"/>
              <w:rPr>
                <w:rFonts w:eastAsia="Times New Roman" w:cs="Times New Roman"/>
                <w:sz w:val="20"/>
                <w:szCs w:val="20"/>
              </w:rPr>
            </w:pPr>
            <w:r>
              <w:t>6,271,588.10</w:t>
            </w:r>
          </w:p>
        </w:tc>
        <w:tc>
          <w:tcPr>
            <w:tcW w:w="846" w:type="pct"/>
            <w:vAlign w:val="center"/>
          </w:tcPr>
          <w:p w14:paraId="54CC152F">
            <w:pPr>
              <w:jc w:val="right"/>
              <w:rPr>
                <w:rFonts w:ascii="宋体" w:hAnsi="宋体"/>
                <w:sz w:val="24"/>
                <w:szCs w:val="24"/>
              </w:rPr>
            </w:pPr>
            <w:r>
              <w:t>20,241.62</w:t>
            </w:r>
          </w:p>
        </w:tc>
        <w:tc>
          <w:tcPr>
            <w:tcW w:w="845" w:type="pct"/>
            <w:vAlign w:val="center"/>
          </w:tcPr>
          <w:p w14:paraId="02341367">
            <w:pPr>
              <w:jc w:val="right"/>
            </w:pPr>
            <w:r>
              <w:t>6,107,097.30</w:t>
            </w:r>
          </w:p>
        </w:tc>
        <w:tc>
          <w:tcPr>
            <w:tcW w:w="846" w:type="pct"/>
            <w:vAlign w:val="center"/>
          </w:tcPr>
          <w:p w14:paraId="2C3FA0E0">
            <w:pPr>
              <w:jc w:val="right"/>
            </w:pPr>
            <w:r>
              <w:t>22,088.69</w:t>
            </w:r>
          </w:p>
        </w:tc>
      </w:tr>
      <w:tr w14:paraId="1F81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3D3613F7">
            <w:pPr>
              <w:jc w:val="right"/>
              <w:rPr>
                <w:color w:val="000000" w:themeColor="text1"/>
                <w14:textFill>
                  <w14:solidFill>
                    <w14:schemeClr w14:val="tx1"/>
                  </w14:solidFill>
                </w14:textFill>
              </w:rPr>
            </w:pPr>
          </w:p>
        </w:tc>
      </w:tr>
      <w:tr w14:paraId="6395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1FC07640">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按持股比例计算的净资产份额</w:t>
            </w:r>
          </w:p>
        </w:tc>
        <w:tc>
          <w:tcPr>
            <w:tcW w:w="846" w:type="pct"/>
            <w:vAlign w:val="center"/>
          </w:tcPr>
          <w:p w14:paraId="06BF260C">
            <w:pPr>
              <w:jc w:val="right"/>
            </w:pPr>
            <w:r>
              <w:t>463,660.59</w:t>
            </w:r>
          </w:p>
        </w:tc>
        <w:tc>
          <w:tcPr>
            <w:tcW w:w="846" w:type="pct"/>
            <w:vAlign w:val="center"/>
          </w:tcPr>
          <w:p w14:paraId="4528F541">
            <w:pPr>
              <w:jc w:val="right"/>
              <w:rPr>
                <w:rFonts w:ascii="宋体" w:hAnsi="宋体"/>
                <w:sz w:val="24"/>
                <w:szCs w:val="24"/>
              </w:rPr>
            </w:pPr>
            <w:r>
              <w:t>9,918.39</w:t>
            </w:r>
          </w:p>
        </w:tc>
        <w:tc>
          <w:tcPr>
            <w:tcW w:w="845" w:type="pct"/>
            <w:vAlign w:val="center"/>
          </w:tcPr>
          <w:p w14:paraId="147703DB">
            <w:pPr>
              <w:jc w:val="right"/>
            </w:pPr>
            <w:r>
              <w:t>458,798.38</w:t>
            </w:r>
          </w:p>
        </w:tc>
        <w:tc>
          <w:tcPr>
            <w:tcW w:w="846" w:type="pct"/>
            <w:vAlign w:val="center"/>
          </w:tcPr>
          <w:p w14:paraId="204DD327">
            <w:pPr>
              <w:jc w:val="right"/>
            </w:pPr>
            <w:r>
              <w:t>10,823.46</w:t>
            </w:r>
          </w:p>
        </w:tc>
      </w:tr>
      <w:tr w14:paraId="64BD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03AE731A">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调整事项</w:t>
            </w:r>
          </w:p>
        </w:tc>
        <w:tc>
          <w:tcPr>
            <w:tcW w:w="846" w:type="pct"/>
          </w:tcPr>
          <w:p w14:paraId="070168AD">
            <w:pPr>
              <w:jc w:val="right"/>
            </w:pPr>
          </w:p>
        </w:tc>
        <w:tc>
          <w:tcPr>
            <w:tcW w:w="846" w:type="pct"/>
          </w:tcPr>
          <w:p w14:paraId="2A4E1A91">
            <w:pPr>
              <w:jc w:val="right"/>
            </w:pPr>
          </w:p>
        </w:tc>
        <w:tc>
          <w:tcPr>
            <w:tcW w:w="845" w:type="pct"/>
          </w:tcPr>
          <w:p w14:paraId="28F24EF7">
            <w:pPr>
              <w:jc w:val="right"/>
            </w:pPr>
          </w:p>
        </w:tc>
        <w:tc>
          <w:tcPr>
            <w:tcW w:w="846" w:type="pct"/>
          </w:tcPr>
          <w:p w14:paraId="3A4ADCC3">
            <w:pPr>
              <w:jc w:val="right"/>
            </w:pPr>
          </w:p>
        </w:tc>
      </w:tr>
      <w:tr w14:paraId="6365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6DC28476">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w:t>
            </w:r>
            <w:r>
              <w:rPr>
                <w:rFonts w:hint="eastAsia" w:cs="Arial"/>
                <w:color w:val="000000" w:themeColor="text1"/>
                <w:lang w:val="en-GB"/>
                <w14:textFill>
                  <w14:solidFill>
                    <w14:schemeClr w14:val="tx1"/>
                  </w14:solidFill>
                </w14:textFill>
              </w:rPr>
              <w:t>商誉</w:t>
            </w:r>
          </w:p>
        </w:tc>
        <w:tc>
          <w:tcPr>
            <w:tcW w:w="846" w:type="pct"/>
          </w:tcPr>
          <w:p w14:paraId="649570C7">
            <w:pPr>
              <w:jc w:val="right"/>
            </w:pPr>
          </w:p>
        </w:tc>
        <w:tc>
          <w:tcPr>
            <w:tcW w:w="846" w:type="pct"/>
          </w:tcPr>
          <w:p w14:paraId="084E384F">
            <w:pPr>
              <w:jc w:val="right"/>
            </w:pPr>
          </w:p>
        </w:tc>
        <w:tc>
          <w:tcPr>
            <w:tcW w:w="845" w:type="pct"/>
          </w:tcPr>
          <w:p w14:paraId="22A19447">
            <w:pPr>
              <w:jc w:val="right"/>
            </w:pPr>
          </w:p>
        </w:tc>
        <w:tc>
          <w:tcPr>
            <w:tcW w:w="846" w:type="pct"/>
          </w:tcPr>
          <w:p w14:paraId="07CEAFDB">
            <w:pPr>
              <w:jc w:val="right"/>
            </w:pPr>
          </w:p>
        </w:tc>
      </w:tr>
      <w:tr w14:paraId="0297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74CBE44C">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w:t>
            </w:r>
            <w:r>
              <w:rPr>
                <w:rFonts w:hint="eastAsia" w:cs="Arial"/>
                <w:color w:val="000000" w:themeColor="text1"/>
                <w:lang w:val="en-GB"/>
                <w14:textFill>
                  <w14:solidFill>
                    <w14:schemeClr w14:val="tx1"/>
                  </w14:solidFill>
                </w14:textFill>
              </w:rPr>
              <w:t>内部交易未实现利润</w:t>
            </w:r>
          </w:p>
        </w:tc>
        <w:tc>
          <w:tcPr>
            <w:tcW w:w="846" w:type="pct"/>
          </w:tcPr>
          <w:p w14:paraId="5EEC7AC5">
            <w:pPr>
              <w:jc w:val="right"/>
            </w:pPr>
          </w:p>
        </w:tc>
        <w:tc>
          <w:tcPr>
            <w:tcW w:w="846" w:type="pct"/>
          </w:tcPr>
          <w:p w14:paraId="0D1331C2">
            <w:pPr>
              <w:jc w:val="right"/>
            </w:pPr>
          </w:p>
        </w:tc>
        <w:tc>
          <w:tcPr>
            <w:tcW w:w="845" w:type="pct"/>
          </w:tcPr>
          <w:p w14:paraId="23F2B646">
            <w:pPr>
              <w:jc w:val="right"/>
            </w:pPr>
          </w:p>
        </w:tc>
        <w:tc>
          <w:tcPr>
            <w:tcW w:w="846" w:type="pct"/>
          </w:tcPr>
          <w:p w14:paraId="7728AD32">
            <w:pPr>
              <w:jc w:val="right"/>
            </w:pPr>
          </w:p>
        </w:tc>
      </w:tr>
      <w:tr w14:paraId="2E9B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6087A9E3">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w:t>
            </w:r>
            <w:r>
              <w:rPr>
                <w:rFonts w:hint="eastAsia" w:cs="Arial"/>
                <w:color w:val="000000" w:themeColor="text1"/>
                <w:lang w:val="en-GB"/>
                <w14:textFill>
                  <w14:solidFill>
                    <w14:schemeClr w14:val="tx1"/>
                  </w14:solidFill>
                </w14:textFill>
              </w:rPr>
              <w:t>其他</w:t>
            </w:r>
          </w:p>
        </w:tc>
        <w:tc>
          <w:tcPr>
            <w:tcW w:w="846" w:type="pct"/>
          </w:tcPr>
          <w:p w14:paraId="34D6A5ED">
            <w:pPr>
              <w:jc w:val="right"/>
            </w:pPr>
          </w:p>
        </w:tc>
        <w:tc>
          <w:tcPr>
            <w:tcW w:w="846" w:type="pct"/>
          </w:tcPr>
          <w:p w14:paraId="1F509791">
            <w:pPr>
              <w:jc w:val="right"/>
            </w:pPr>
          </w:p>
        </w:tc>
        <w:tc>
          <w:tcPr>
            <w:tcW w:w="845" w:type="pct"/>
          </w:tcPr>
          <w:p w14:paraId="205EEE72">
            <w:pPr>
              <w:jc w:val="right"/>
            </w:pPr>
          </w:p>
        </w:tc>
        <w:tc>
          <w:tcPr>
            <w:tcW w:w="846" w:type="pct"/>
          </w:tcPr>
          <w:p w14:paraId="62A0AB41">
            <w:pPr>
              <w:jc w:val="right"/>
            </w:pPr>
          </w:p>
        </w:tc>
      </w:tr>
      <w:tr w14:paraId="70FE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2030892A">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对联营企业权益投资的账面价值</w:t>
            </w:r>
          </w:p>
        </w:tc>
        <w:tc>
          <w:tcPr>
            <w:tcW w:w="846" w:type="pct"/>
            <w:vAlign w:val="center"/>
          </w:tcPr>
          <w:p w14:paraId="53357592">
            <w:pPr>
              <w:jc w:val="right"/>
            </w:pPr>
            <w:r>
              <w:t>493,241.04</w:t>
            </w:r>
          </w:p>
        </w:tc>
        <w:tc>
          <w:tcPr>
            <w:tcW w:w="846" w:type="pct"/>
            <w:vAlign w:val="center"/>
          </w:tcPr>
          <w:p w14:paraId="45E5F069">
            <w:pPr>
              <w:jc w:val="right"/>
            </w:pPr>
            <w:r>
              <w:t>9,918.39</w:t>
            </w:r>
          </w:p>
        </w:tc>
        <w:tc>
          <w:tcPr>
            <w:tcW w:w="845" w:type="pct"/>
            <w:vAlign w:val="center"/>
          </w:tcPr>
          <w:p w14:paraId="44999223">
            <w:pPr>
              <w:jc w:val="right"/>
            </w:pPr>
            <w:r>
              <w:t>485,552.56</w:t>
            </w:r>
          </w:p>
        </w:tc>
        <w:tc>
          <w:tcPr>
            <w:tcW w:w="846" w:type="pct"/>
            <w:vAlign w:val="center"/>
          </w:tcPr>
          <w:p w14:paraId="6077FC2D">
            <w:pPr>
              <w:jc w:val="right"/>
            </w:pPr>
            <w:r>
              <w:t>10,823.46</w:t>
            </w:r>
          </w:p>
        </w:tc>
      </w:tr>
      <w:tr w14:paraId="3A83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6656A05A">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存在公开报价的联营企业权益投资的公允价值</w:t>
            </w:r>
          </w:p>
        </w:tc>
        <w:tc>
          <w:tcPr>
            <w:tcW w:w="846" w:type="pct"/>
          </w:tcPr>
          <w:p w14:paraId="2AF1F960">
            <w:pPr>
              <w:jc w:val="right"/>
            </w:pPr>
          </w:p>
        </w:tc>
        <w:tc>
          <w:tcPr>
            <w:tcW w:w="846" w:type="pct"/>
          </w:tcPr>
          <w:p w14:paraId="5A587DCF">
            <w:pPr>
              <w:jc w:val="right"/>
            </w:pPr>
          </w:p>
        </w:tc>
        <w:tc>
          <w:tcPr>
            <w:tcW w:w="845" w:type="pct"/>
          </w:tcPr>
          <w:p w14:paraId="7D2F7481">
            <w:pPr>
              <w:jc w:val="right"/>
            </w:pPr>
          </w:p>
        </w:tc>
        <w:tc>
          <w:tcPr>
            <w:tcW w:w="846" w:type="pct"/>
          </w:tcPr>
          <w:p w14:paraId="5CB66A91">
            <w:pPr>
              <w:jc w:val="right"/>
            </w:pPr>
          </w:p>
        </w:tc>
      </w:tr>
      <w:tr w14:paraId="14D5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11530832">
            <w:pPr>
              <w:jc w:val="right"/>
              <w:rPr>
                <w:color w:val="000000" w:themeColor="text1"/>
                <w14:textFill>
                  <w14:solidFill>
                    <w14:schemeClr w14:val="tx1"/>
                  </w14:solidFill>
                </w14:textFill>
              </w:rPr>
            </w:pPr>
          </w:p>
        </w:tc>
      </w:tr>
      <w:tr w14:paraId="55A8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6A2C66BE">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营业收入</w:t>
            </w:r>
          </w:p>
        </w:tc>
        <w:tc>
          <w:tcPr>
            <w:tcW w:w="846" w:type="pct"/>
            <w:vAlign w:val="center"/>
          </w:tcPr>
          <w:p w14:paraId="54394181">
            <w:pPr>
              <w:jc w:val="right"/>
            </w:pPr>
            <w:r>
              <w:t>765,940.70</w:t>
            </w:r>
          </w:p>
        </w:tc>
        <w:tc>
          <w:tcPr>
            <w:tcW w:w="846" w:type="pct"/>
            <w:vAlign w:val="center"/>
          </w:tcPr>
          <w:p w14:paraId="6853FD28">
            <w:pPr>
              <w:jc w:val="right"/>
              <w:rPr>
                <w:rFonts w:ascii="宋体" w:hAnsi="宋体"/>
                <w:sz w:val="24"/>
                <w:szCs w:val="24"/>
              </w:rPr>
            </w:pPr>
            <w:r>
              <w:t>10.04</w:t>
            </w:r>
          </w:p>
        </w:tc>
        <w:tc>
          <w:tcPr>
            <w:tcW w:w="845" w:type="pct"/>
            <w:vAlign w:val="center"/>
          </w:tcPr>
          <w:p w14:paraId="6C3B43AC">
            <w:pPr>
              <w:jc w:val="right"/>
            </w:pPr>
            <w:r>
              <w:t>715,804.10</w:t>
            </w:r>
          </w:p>
        </w:tc>
        <w:tc>
          <w:tcPr>
            <w:tcW w:w="846" w:type="pct"/>
            <w:vAlign w:val="center"/>
          </w:tcPr>
          <w:p w14:paraId="2736D4D2">
            <w:pPr>
              <w:jc w:val="right"/>
            </w:pPr>
            <w:r>
              <w:t>23.69</w:t>
            </w:r>
          </w:p>
        </w:tc>
      </w:tr>
      <w:tr w14:paraId="4E69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188C82ED">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净利润</w:t>
            </w:r>
          </w:p>
        </w:tc>
        <w:tc>
          <w:tcPr>
            <w:tcW w:w="846" w:type="pct"/>
            <w:vAlign w:val="center"/>
          </w:tcPr>
          <w:p w14:paraId="25880DD8">
            <w:pPr>
              <w:jc w:val="right"/>
            </w:pPr>
            <w:r>
              <w:t>318,950.30</w:t>
            </w:r>
          </w:p>
        </w:tc>
        <w:tc>
          <w:tcPr>
            <w:tcW w:w="846" w:type="pct"/>
            <w:vAlign w:val="center"/>
          </w:tcPr>
          <w:p w14:paraId="2D9D75CA">
            <w:pPr>
              <w:jc w:val="right"/>
              <w:rPr>
                <w:rFonts w:ascii="宋体" w:hAnsi="宋体"/>
                <w:sz w:val="24"/>
                <w:szCs w:val="24"/>
              </w:rPr>
            </w:pPr>
            <w:r>
              <w:t>-1,847.07</w:t>
            </w:r>
          </w:p>
        </w:tc>
        <w:tc>
          <w:tcPr>
            <w:tcW w:w="845" w:type="pct"/>
            <w:vAlign w:val="center"/>
          </w:tcPr>
          <w:p w14:paraId="5330D6C7">
            <w:pPr>
              <w:jc w:val="right"/>
            </w:pPr>
            <w:r>
              <w:t>302,628.00</w:t>
            </w:r>
          </w:p>
        </w:tc>
        <w:tc>
          <w:tcPr>
            <w:tcW w:w="846" w:type="pct"/>
            <w:vAlign w:val="center"/>
          </w:tcPr>
          <w:p w14:paraId="2F5DCEEF">
            <w:pPr>
              <w:jc w:val="right"/>
            </w:pPr>
            <w:r>
              <w:t>-3,015.79</w:t>
            </w:r>
          </w:p>
        </w:tc>
      </w:tr>
      <w:tr w14:paraId="01EF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1FEA6C71">
            <w:pPr>
              <w:rPr>
                <w:rFonts w:cs="Arial"/>
                <w:color w:val="000000" w:themeColor="text1"/>
                <w:lang w:val="en-GB"/>
                <w14:textFill>
                  <w14:solidFill>
                    <w14:schemeClr w14:val="tx1"/>
                  </w14:solidFill>
                </w14:textFill>
              </w:rPr>
            </w:pPr>
            <w:r>
              <w:rPr>
                <w:rFonts w:hint="eastAsia" w:cs="Arial"/>
                <w:color w:val="000000" w:themeColor="text1"/>
                <w:lang w:val="en-GB"/>
                <w14:textFill>
                  <w14:solidFill>
                    <w14:schemeClr w14:val="tx1"/>
                  </w14:solidFill>
                </w14:textFill>
              </w:rPr>
              <w:t>终止经营的净利润</w:t>
            </w:r>
          </w:p>
        </w:tc>
        <w:tc>
          <w:tcPr>
            <w:tcW w:w="846" w:type="pct"/>
          </w:tcPr>
          <w:p w14:paraId="4FB72A0E">
            <w:pPr>
              <w:jc w:val="right"/>
            </w:pPr>
          </w:p>
        </w:tc>
        <w:tc>
          <w:tcPr>
            <w:tcW w:w="846" w:type="pct"/>
          </w:tcPr>
          <w:p w14:paraId="399C751C">
            <w:pPr>
              <w:jc w:val="right"/>
            </w:pPr>
          </w:p>
        </w:tc>
        <w:tc>
          <w:tcPr>
            <w:tcW w:w="845" w:type="pct"/>
          </w:tcPr>
          <w:p w14:paraId="7B8D39DB">
            <w:pPr>
              <w:jc w:val="right"/>
            </w:pPr>
          </w:p>
        </w:tc>
        <w:tc>
          <w:tcPr>
            <w:tcW w:w="846" w:type="pct"/>
          </w:tcPr>
          <w:p w14:paraId="23AE1FD8">
            <w:pPr>
              <w:jc w:val="right"/>
            </w:pPr>
          </w:p>
        </w:tc>
      </w:tr>
      <w:tr w14:paraId="6A57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51671AB2">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其他综合收益</w:t>
            </w:r>
          </w:p>
        </w:tc>
        <w:tc>
          <w:tcPr>
            <w:tcW w:w="846" w:type="pct"/>
          </w:tcPr>
          <w:p w14:paraId="43AC4C30">
            <w:pPr>
              <w:jc w:val="right"/>
            </w:pPr>
          </w:p>
        </w:tc>
        <w:tc>
          <w:tcPr>
            <w:tcW w:w="846" w:type="pct"/>
          </w:tcPr>
          <w:p w14:paraId="52EBDB81">
            <w:pPr>
              <w:jc w:val="right"/>
            </w:pPr>
          </w:p>
        </w:tc>
        <w:tc>
          <w:tcPr>
            <w:tcW w:w="845" w:type="pct"/>
          </w:tcPr>
          <w:p w14:paraId="4FC12532">
            <w:pPr>
              <w:jc w:val="right"/>
            </w:pPr>
          </w:p>
        </w:tc>
        <w:tc>
          <w:tcPr>
            <w:tcW w:w="846" w:type="pct"/>
          </w:tcPr>
          <w:p w14:paraId="2354D968">
            <w:pPr>
              <w:jc w:val="right"/>
            </w:pPr>
          </w:p>
        </w:tc>
      </w:tr>
      <w:tr w14:paraId="746D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6CDCE5D4">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综合收益总额</w:t>
            </w:r>
          </w:p>
        </w:tc>
        <w:tc>
          <w:tcPr>
            <w:tcW w:w="846" w:type="pct"/>
            <w:vAlign w:val="center"/>
          </w:tcPr>
          <w:p w14:paraId="06B1BCA2">
            <w:pPr>
              <w:jc w:val="right"/>
            </w:pPr>
            <w:r>
              <w:t>271,102.20</w:t>
            </w:r>
          </w:p>
        </w:tc>
        <w:tc>
          <w:tcPr>
            <w:tcW w:w="846" w:type="pct"/>
            <w:vAlign w:val="center"/>
          </w:tcPr>
          <w:p w14:paraId="50E63167">
            <w:pPr>
              <w:jc w:val="right"/>
              <w:rPr>
                <w:rFonts w:ascii="宋体" w:hAnsi="宋体"/>
                <w:sz w:val="24"/>
                <w:szCs w:val="24"/>
              </w:rPr>
            </w:pPr>
            <w:r>
              <w:t>-1,847.07</w:t>
            </w:r>
          </w:p>
        </w:tc>
        <w:tc>
          <w:tcPr>
            <w:tcW w:w="845" w:type="pct"/>
            <w:vAlign w:val="center"/>
          </w:tcPr>
          <w:p w14:paraId="61354965">
            <w:pPr>
              <w:jc w:val="right"/>
            </w:pPr>
            <w:r>
              <w:t>403,590.90</w:t>
            </w:r>
          </w:p>
        </w:tc>
        <w:tc>
          <w:tcPr>
            <w:tcW w:w="846" w:type="pct"/>
            <w:vAlign w:val="center"/>
          </w:tcPr>
          <w:p w14:paraId="34DBD595">
            <w:pPr>
              <w:jc w:val="right"/>
            </w:pPr>
            <w:r>
              <w:t>-3,015.79</w:t>
            </w:r>
          </w:p>
        </w:tc>
      </w:tr>
      <w:tr w14:paraId="31BD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bottom"/>
          </w:tcPr>
          <w:p w14:paraId="11D2BD45">
            <w:pPr>
              <w:jc w:val="right"/>
              <w:rPr>
                <w:color w:val="000000" w:themeColor="text1"/>
                <w14:textFill>
                  <w14:solidFill>
                    <w14:schemeClr w14:val="tx1"/>
                  </w14:solidFill>
                </w14:textFill>
              </w:rPr>
            </w:pPr>
          </w:p>
        </w:tc>
      </w:tr>
      <w:tr w14:paraId="3D27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7" w:type="pct"/>
            <w:vAlign w:val="bottom"/>
          </w:tcPr>
          <w:p w14:paraId="6D9680D4">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本年度收到的来自联营企业的股利</w:t>
            </w:r>
          </w:p>
        </w:tc>
        <w:tc>
          <w:tcPr>
            <w:tcW w:w="846" w:type="pct"/>
            <w:vAlign w:val="center"/>
          </w:tcPr>
          <w:p w14:paraId="07D880C9">
            <w:pPr>
              <w:jc w:val="right"/>
            </w:pPr>
            <w:r>
              <w:t>12,205.50</w:t>
            </w:r>
          </w:p>
        </w:tc>
        <w:tc>
          <w:tcPr>
            <w:tcW w:w="846" w:type="pct"/>
            <w:vAlign w:val="center"/>
          </w:tcPr>
          <w:p w14:paraId="0267AC34">
            <w:pPr>
              <w:jc w:val="right"/>
            </w:pPr>
          </w:p>
        </w:tc>
        <w:tc>
          <w:tcPr>
            <w:tcW w:w="845" w:type="pct"/>
            <w:vAlign w:val="center"/>
          </w:tcPr>
          <w:p w14:paraId="1FE08888">
            <w:pPr>
              <w:jc w:val="right"/>
              <w:rPr>
                <w:rFonts w:ascii="宋体" w:hAnsi="宋体"/>
                <w:sz w:val="24"/>
                <w:szCs w:val="24"/>
              </w:rPr>
            </w:pPr>
            <w:r>
              <w:t>4,722.81</w:t>
            </w:r>
          </w:p>
        </w:tc>
        <w:tc>
          <w:tcPr>
            <w:tcW w:w="846" w:type="pct"/>
            <w:vAlign w:val="center"/>
          </w:tcPr>
          <w:p w14:paraId="5DF87D3D">
            <w:pPr>
              <w:jc w:val="right"/>
            </w:pPr>
          </w:p>
        </w:tc>
      </w:tr>
    </w:tbl>
    <w:p w14:paraId="3C2FF26E">
      <w:pPr>
        <w:rPr>
          <w:rFonts w:cs="Arial"/>
          <w:color w:val="000000" w:themeColor="text1"/>
          <w14:textFill>
            <w14:solidFill>
              <w14:schemeClr w14:val="tx1"/>
            </w14:solidFill>
          </w14:textFill>
        </w:rPr>
      </w:pPr>
    </w:p>
    <w:p w14:paraId="2D74E63B">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sdt>
      <w:sdtPr>
        <w:rPr>
          <w:rFonts w:hint="eastAsia" w:cs="Arial"/>
          <w:color w:val="000000" w:themeColor="text1"/>
          <w14:textFill>
            <w14:solidFill>
              <w14:schemeClr w14:val="tx1"/>
            </w14:solidFill>
          </w14:textFill>
        </w:rPr>
        <w:alias w:val="重要联营企业的主要财务信息其他说明的方法"/>
        <w:tag w:val="_GBC_49602fee37fb4c848eee594868d16caa"/>
        <w:id w:val="-1956709196"/>
        <w:placeholder>
          <w:docPart w:val="GBC22222222222222222222222222222"/>
        </w:placeholder>
      </w:sdtPr>
      <w:sdtEndPr>
        <w:rPr>
          <w:rFonts w:hint="eastAsia" w:cs="Arial"/>
          <w:color w:val="000000" w:themeColor="text1"/>
          <w14:textFill>
            <w14:solidFill>
              <w14:schemeClr w14:val="tx1"/>
            </w14:solidFill>
          </w14:textFill>
        </w:rPr>
      </w:sdtEndPr>
      <w:sdtContent>
        <w:p w14:paraId="7B1DEFE7">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无</w:t>
          </w:r>
        </w:p>
      </w:sdtContent>
    </w:sdt>
    <w:p w14:paraId="0AC58466">
      <w:pPr>
        <w:rPr>
          <w:rFonts w:cs="Arial"/>
          <w:color w:val="000000" w:themeColor="text1"/>
          <w14:textFill>
            <w14:solidFill>
              <w14:schemeClr w14:val="tx1"/>
            </w14:solidFill>
          </w14:textFill>
        </w:rPr>
      </w:pPr>
    </w:p>
    <w:p w14:paraId="598E53F4">
      <w:pPr>
        <w:pStyle w:val="5"/>
        <w:numPr>
          <w:ilvl w:val="3"/>
          <w:numId w:val="85"/>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不重要的合营企业和联营企业的汇总财务信息</w:t>
      </w:r>
    </w:p>
    <w:sdt>
      <w:sdtPr>
        <w:rPr>
          <w:color w:val="000000" w:themeColor="text1"/>
          <w14:textFill>
            <w14:solidFill>
              <w14:schemeClr w14:val="tx1"/>
            </w14:solidFill>
          </w14:textFill>
        </w:rPr>
        <w:alias w:val="是否适用：不重要的合营企业和联营企业的汇总财务信息[双击切换]"/>
        <w:tag w:val="_GBC_eb809f81680b42f794ba04df499e52dc"/>
        <w:id w:val="-461270146"/>
        <w:placeholder>
          <w:docPart w:val="GBC22222222222222222222222222222"/>
        </w:placeholder>
      </w:sdtPr>
      <w:sdtEndPr>
        <w:rPr>
          <w:color w:val="000000" w:themeColor="text1"/>
          <w14:textFill>
            <w14:solidFill>
              <w14:schemeClr w14:val="tx1"/>
            </w14:solidFill>
          </w14:textFill>
        </w:rPr>
      </w:sdtEndPr>
      <w:sdtContent>
        <w:p w14:paraId="502263F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F692AF5">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不重要的合营企业和联营企业的汇总财务信息"/>
          <w:tag w:val="_GBC_d02efd9c85904b029b5a51b02d9519e8"/>
          <w:id w:val="-17555912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不重要的合营企业和联营企业的汇总财务信息"/>
          <w:tag w:val="_GBC_a6fa35df627e4d9584fb9c311eb6a4b5"/>
          <w:id w:val="-1298300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3"/>
        <w:gridCol w:w="3071"/>
        <w:gridCol w:w="3075"/>
      </w:tblGrid>
      <w:tr w14:paraId="2034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604" w:type="pct"/>
          </w:tcPr>
          <w:p w14:paraId="2FB4E06C">
            <w:pPr>
              <w:jc w:val="center"/>
              <w:rPr>
                <w:rFonts w:cs="Arial"/>
                <w:color w:val="000000" w:themeColor="text1"/>
                <w14:textFill>
                  <w14:solidFill>
                    <w14:schemeClr w14:val="tx1"/>
                  </w14:solidFill>
                </w14:textFill>
              </w:rPr>
            </w:pPr>
          </w:p>
        </w:tc>
        <w:sdt>
          <w:sdtPr>
            <w:tag w:val="_PLD_7dc69fc7f68243e6b4f46db3a94dd47f"/>
            <w:id w:val="1916361482"/>
          </w:sdtPr>
          <w:sdtContent>
            <w:tc>
              <w:tcPr>
                <w:tcW w:w="1697" w:type="pct"/>
              </w:tcPr>
              <w:p w14:paraId="489DABF0">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期末余额</w:t>
                </w:r>
                <w:r>
                  <w:rPr>
                    <w:rFonts w:cs="Arial"/>
                    <w:color w:val="000000" w:themeColor="text1"/>
                    <w14:textFill>
                      <w14:solidFill>
                        <w14:schemeClr w14:val="tx1"/>
                      </w14:solidFill>
                    </w14:textFill>
                  </w:rPr>
                  <w:t xml:space="preserve">/ </w:t>
                </w:r>
                <w:r>
                  <w:rPr>
                    <w:rFonts w:hint="eastAsia" w:cs="Arial"/>
                    <w:color w:val="000000" w:themeColor="text1"/>
                    <w:lang w:val="en-GB"/>
                    <w14:textFill>
                      <w14:solidFill>
                        <w14:schemeClr w14:val="tx1"/>
                      </w14:solidFill>
                    </w14:textFill>
                  </w:rPr>
                  <w:t>本期发生额</w:t>
                </w:r>
              </w:p>
            </w:tc>
          </w:sdtContent>
        </w:sdt>
        <w:sdt>
          <w:sdtPr>
            <w:tag w:val="_PLD_ffe9f9922ada461388adfb92ed1e3072"/>
            <w:id w:val="-304389063"/>
          </w:sdtPr>
          <w:sdtContent>
            <w:tc>
              <w:tcPr>
                <w:tcW w:w="1699" w:type="pct"/>
              </w:tcPr>
              <w:p w14:paraId="0520620F">
                <w:pPr>
                  <w:jc w:val="cente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期初余额</w:t>
                </w:r>
                <w:r>
                  <w:rPr>
                    <w:rFonts w:cs="Arial"/>
                    <w:color w:val="000000" w:themeColor="text1"/>
                    <w14:textFill>
                      <w14:solidFill>
                        <w14:schemeClr w14:val="tx1"/>
                      </w14:solidFill>
                    </w14:textFill>
                  </w:rPr>
                  <w:t xml:space="preserve">/ </w:t>
                </w:r>
                <w:r>
                  <w:rPr>
                    <w:rFonts w:hint="eastAsia" w:cs="Arial"/>
                    <w:color w:val="000000" w:themeColor="text1"/>
                    <w:lang w:val="en-GB"/>
                    <w14:textFill>
                      <w14:solidFill>
                        <w14:schemeClr w14:val="tx1"/>
                      </w14:solidFill>
                    </w14:textFill>
                  </w:rPr>
                  <w:t>上期发生额</w:t>
                </w:r>
              </w:p>
            </w:tc>
          </w:sdtContent>
        </w:sdt>
      </w:tr>
      <w:tr w14:paraId="786F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01c0860c93244a3f94a1c91bec25150e"/>
            <w:id w:val="1078413341"/>
          </w:sdtPr>
          <w:sdtContent>
            <w:tc>
              <w:tcPr>
                <w:tcW w:w="5000" w:type="pct"/>
                <w:gridSpan w:val="3"/>
              </w:tcPr>
              <w:p w14:paraId="3DD52348">
                <w:pPr>
                  <w:rPr>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合营企业：</w:t>
                </w:r>
              </w:p>
            </w:tc>
          </w:sdtContent>
        </w:sdt>
      </w:tr>
      <w:tr w14:paraId="78AA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646528A9">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投资账面价值合计</w:t>
            </w:r>
          </w:p>
        </w:tc>
        <w:tc>
          <w:tcPr>
            <w:tcW w:w="1697" w:type="pct"/>
          </w:tcPr>
          <w:p w14:paraId="384C27C9">
            <w:pPr>
              <w:jc w:val="right"/>
            </w:pPr>
          </w:p>
        </w:tc>
        <w:tc>
          <w:tcPr>
            <w:tcW w:w="1699" w:type="pct"/>
          </w:tcPr>
          <w:p w14:paraId="088C98BE">
            <w:pPr>
              <w:jc w:val="right"/>
            </w:pPr>
          </w:p>
        </w:tc>
      </w:tr>
      <w:tr w14:paraId="2324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d574603998c340988b76ed4abbb39d0f"/>
            <w:id w:val="-413318396"/>
          </w:sdtPr>
          <w:sdtContent>
            <w:tc>
              <w:tcPr>
                <w:tcW w:w="5000" w:type="pct"/>
                <w:gridSpan w:val="3"/>
                <w:vAlign w:val="center"/>
              </w:tcPr>
              <w:p w14:paraId="31BD858D">
                <w:pPr>
                  <w:rPr>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下列各项按持股比例计算的合计数</w:t>
                </w:r>
              </w:p>
            </w:tc>
          </w:sdtContent>
        </w:sdt>
      </w:tr>
      <w:tr w14:paraId="2B57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4C6EB220">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w:t>
            </w:r>
            <w:r>
              <w:rPr>
                <w:rFonts w:hint="eastAsia" w:cs="Arial"/>
                <w:color w:val="000000" w:themeColor="text1"/>
                <w:lang w:val="en-GB"/>
                <w14:textFill>
                  <w14:solidFill>
                    <w14:schemeClr w14:val="tx1"/>
                  </w14:solidFill>
                </w14:textFill>
              </w:rPr>
              <w:t>净利润</w:t>
            </w:r>
          </w:p>
        </w:tc>
        <w:tc>
          <w:tcPr>
            <w:tcW w:w="1697" w:type="pct"/>
          </w:tcPr>
          <w:p w14:paraId="277ED3DC">
            <w:pPr>
              <w:jc w:val="right"/>
            </w:pPr>
          </w:p>
        </w:tc>
        <w:tc>
          <w:tcPr>
            <w:tcW w:w="1699" w:type="pct"/>
          </w:tcPr>
          <w:p w14:paraId="6AFE0ABD">
            <w:pPr>
              <w:jc w:val="right"/>
            </w:pPr>
          </w:p>
        </w:tc>
      </w:tr>
      <w:tr w14:paraId="5386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76044C59">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w:t>
            </w:r>
            <w:r>
              <w:rPr>
                <w:rFonts w:hint="eastAsia" w:cs="Arial"/>
                <w:color w:val="000000" w:themeColor="text1"/>
                <w:lang w:val="en-GB"/>
                <w14:textFill>
                  <w14:solidFill>
                    <w14:schemeClr w14:val="tx1"/>
                  </w14:solidFill>
                </w14:textFill>
              </w:rPr>
              <w:t>其他综合收益</w:t>
            </w:r>
          </w:p>
        </w:tc>
        <w:tc>
          <w:tcPr>
            <w:tcW w:w="1697" w:type="pct"/>
          </w:tcPr>
          <w:p w14:paraId="76AFD2B5">
            <w:pPr>
              <w:jc w:val="right"/>
            </w:pPr>
          </w:p>
        </w:tc>
        <w:tc>
          <w:tcPr>
            <w:tcW w:w="1699" w:type="pct"/>
          </w:tcPr>
          <w:p w14:paraId="7C4799C2">
            <w:pPr>
              <w:jc w:val="right"/>
            </w:pPr>
          </w:p>
        </w:tc>
      </w:tr>
      <w:tr w14:paraId="4B23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6A5C1152">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w:t>
            </w:r>
            <w:r>
              <w:rPr>
                <w:rFonts w:hint="eastAsia" w:cs="Arial"/>
                <w:color w:val="000000" w:themeColor="text1"/>
                <w:lang w:val="en-GB"/>
                <w14:textFill>
                  <w14:solidFill>
                    <w14:schemeClr w14:val="tx1"/>
                  </w14:solidFill>
                </w14:textFill>
              </w:rPr>
              <w:t>综合收益总额</w:t>
            </w:r>
          </w:p>
        </w:tc>
        <w:tc>
          <w:tcPr>
            <w:tcW w:w="1697" w:type="pct"/>
          </w:tcPr>
          <w:p w14:paraId="1ECE51F1">
            <w:pPr>
              <w:jc w:val="right"/>
            </w:pPr>
          </w:p>
        </w:tc>
        <w:tc>
          <w:tcPr>
            <w:tcW w:w="1699" w:type="pct"/>
          </w:tcPr>
          <w:p w14:paraId="191D3EB6">
            <w:pPr>
              <w:jc w:val="right"/>
            </w:pPr>
          </w:p>
        </w:tc>
      </w:tr>
      <w:tr w14:paraId="7B21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tcPr>
          <w:p w14:paraId="671315A3">
            <w:pPr>
              <w:rPr>
                <w:rFonts w:cs="Arial"/>
                <w:color w:val="000000" w:themeColor="text1"/>
                <w:lang w:val="en-GB"/>
                <w14:textFill>
                  <w14:solidFill>
                    <w14:schemeClr w14:val="tx1"/>
                  </w14:solidFill>
                </w14:textFill>
              </w:rPr>
            </w:pPr>
          </w:p>
        </w:tc>
        <w:tc>
          <w:tcPr>
            <w:tcW w:w="1697" w:type="pct"/>
          </w:tcPr>
          <w:p w14:paraId="36F4E503">
            <w:pPr>
              <w:jc w:val="right"/>
              <w:rPr>
                <w:color w:val="000000" w:themeColor="text1"/>
                <w14:textFill>
                  <w14:solidFill>
                    <w14:schemeClr w14:val="tx1"/>
                  </w14:solidFill>
                </w14:textFill>
              </w:rPr>
            </w:pPr>
          </w:p>
        </w:tc>
        <w:tc>
          <w:tcPr>
            <w:tcW w:w="1699" w:type="pct"/>
          </w:tcPr>
          <w:p w14:paraId="47497027">
            <w:pPr>
              <w:jc w:val="right"/>
              <w:rPr>
                <w:color w:val="000000" w:themeColor="text1"/>
                <w14:textFill>
                  <w14:solidFill>
                    <w14:schemeClr w14:val="tx1"/>
                  </w14:solidFill>
                </w14:textFill>
              </w:rPr>
            </w:pPr>
          </w:p>
        </w:tc>
      </w:tr>
      <w:tr w14:paraId="4A9D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1bd24e2b6e8f4bddad27bea53e1b1b0a"/>
            <w:id w:val="907350003"/>
          </w:sdtPr>
          <w:sdtContent>
            <w:tc>
              <w:tcPr>
                <w:tcW w:w="5000" w:type="pct"/>
                <w:gridSpan w:val="3"/>
              </w:tcPr>
              <w:p w14:paraId="250B7F33">
                <w:pPr>
                  <w:rPr>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联营企业：</w:t>
                </w:r>
              </w:p>
            </w:tc>
          </w:sdtContent>
        </w:sdt>
      </w:tr>
      <w:tr w14:paraId="14EF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12B98656">
            <w:pPr>
              <w:rPr>
                <w:rFonts w:cs="Arial"/>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投资账面价值合计</w:t>
            </w:r>
          </w:p>
        </w:tc>
        <w:tc>
          <w:tcPr>
            <w:tcW w:w="1697" w:type="pct"/>
            <w:vAlign w:val="center"/>
          </w:tcPr>
          <w:p w14:paraId="6AC3BAF8">
            <w:pPr>
              <w:jc w:val="right"/>
            </w:pPr>
            <w:r>
              <w:t>22,811.56</w:t>
            </w:r>
          </w:p>
        </w:tc>
        <w:tc>
          <w:tcPr>
            <w:tcW w:w="1699" w:type="pct"/>
            <w:vAlign w:val="center"/>
          </w:tcPr>
          <w:p w14:paraId="327C297C">
            <w:pPr>
              <w:jc w:val="right"/>
            </w:pPr>
            <w:r>
              <w:t>13,703.59</w:t>
            </w:r>
          </w:p>
        </w:tc>
      </w:tr>
      <w:tr w14:paraId="2627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31587dee61f14709a752f002668255e6"/>
            <w:id w:val="579177266"/>
          </w:sdtPr>
          <w:sdtContent>
            <w:tc>
              <w:tcPr>
                <w:tcW w:w="5000" w:type="pct"/>
                <w:gridSpan w:val="3"/>
                <w:vAlign w:val="center"/>
              </w:tcPr>
              <w:p w14:paraId="6F7409E0">
                <w:pPr>
                  <w:rPr>
                    <w:color w:val="000000" w:themeColor="text1"/>
                    <w14:textFill>
                      <w14:solidFill>
                        <w14:schemeClr w14:val="tx1"/>
                      </w14:solidFill>
                    </w14:textFill>
                  </w:rPr>
                </w:pPr>
                <w:r>
                  <w:rPr>
                    <w:rFonts w:hint="eastAsia" w:cs="Arial"/>
                    <w:color w:val="000000" w:themeColor="text1"/>
                    <w:lang w:val="en-GB"/>
                    <w14:textFill>
                      <w14:solidFill>
                        <w14:schemeClr w14:val="tx1"/>
                      </w14:solidFill>
                    </w14:textFill>
                  </w:rPr>
                  <w:t>下列各项按持股比例计算的合计数</w:t>
                </w:r>
              </w:p>
            </w:tc>
          </w:sdtContent>
        </w:sdt>
      </w:tr>
      <w:tr w14:paraId="06C2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04" w:type="pct"/>
            <w:vAlign w:val="center"/>
          </w:tcPr>
          <w:p w14:paraId="6364736C">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w:t>
            </w:r>
            <w:r>
              <w:rPr>
                <w:rFonts w:hint="eastAsia" w:cs="Arial"/>
                <w:color w:val="000000" w:themeColor="text1"/>
                <w:lang w:val="en-GB"/>
                <w14:textFill>
                  <w14:solidFill>
                    <w14:schemeClr w14:val="tx1"/>
                  </w14:solidFill>
                </w14:textFill>
              </w:rPr>
              <w:t>净利润</w:t>
            </w:r>
          </w:p>
        </w:tc>
        <w:tc>
          <w:tcPr>
            <w:tcW w:w="1697" w:type="pct"/>
            <w:vAlign w:val="center"/>
          </w:tcPr>
          <w:p w14:paraId="29CCEEE5">
            <w:pPr>
              <w:jc w:val="right"/>
            </w:pPr>
            <w:r>
              <w:t>410.37</w:t>
            </w:r>
          </w:p>
        </w:tc>
        <w:tc>
          <w:tcPr>
            <w:tcW w:w="1699" w:type="pct"/>
            <w:vAlign w:val="center"/>
          </w:tcPr>
          <w:p w14:paraId="25EAF885">
            <w:pPr>
              <w:jc w:val="right"/>
            </w:pPr>
            <w:r>
              <w:t>-2,228.80</w:t>
            </w:r>
          </w:p>
        </w:tc>
      </w:tr>
      <w:tr w14:paraId="0240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40C7344D">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w:t>
            </w:r>
            <w:r>
              <w:rPr>
                <w:rFonts w:hint="eastAsia" w:cs="Arial"/>
                <w:color w:val="000000" w:themeColor="text1"/>
                <w:lang w:val="en-GB"/>
                <w14:textFill>
                  <w14:solidFill>
                    <w14:schemeClr w14:val="tx1"/>
                  </w14:solidFill>
                </w14:textFill>
              </w:rPr>
              <w:t>其他综合收益</w:t>
            </w:r>
          </w:p>
        </w:tc>
        <w:tc>
          <w:tcPr>
            <w:tcW w:w="1697" w:type="pct"/>
          </w:tcPr>
          <w:p w14:paraId="7D22837A">
            <w:pPr>
              <w:jc w:val="right"/>
            </w:pPr>
          </w:p>
        </w:tc>
        <w:tc>
          <w:tcPr>
            <w:tcW w:w="1699" w:type="pct"/>
          </w:tcPr>
          <w:p w14:paraId="0F82D681">
            <w:pPr>
              <w:jc w:val="right"/>
            </w:pPr>
          </w:p>
        </w:tc>
      </w:tr>
      <w:tr w14:paraId="3936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4" w:type="pct"/>
            <w:vAlign w:val="center"/>
          </w:tcPr>
          <w:p w14:paraId="7731334D">
            <w:pPr>
              <w:rPr>
                <w:rFonts w:cs="Arial"/>
                <w:color w:val="000000" w:themeColor="text1"/>
                <w14:textFill>
                  <w14:solidFill>
                    <w14:schemeClr w14:val="tx1"/>
                  </w14:solidFill>
                </w14:textFill>
              </w:rPr>
            </w:pPr>
            <w:r>
              <w:rPr>
                <w:rFonts w:cs="Arial"/>
                <w:color w:val="000000" w:themeColor="text1"/>
                <w14:textFill>
                  <w14:solidFill>
                    <w14:schemeClr w14:val="tx1"/>
                  </w14:solidFill>
                </w14:textFill>
              </w:rPr>
              <w:t>--</w:t>
            </w:r>
            <w:r>
              <w:rPr>
                <w:rFonts w:hint="eastAsia" w:cs="Arial"/>
                <w:color w:val="000000" w:themeColor="text1"/>
                <w:lang w:val="en-GB"/>
                <w14:textFill>
                  <w14:solidFill>
                    <w14:schemeClr w14:val="tx1"/>
                  </w14:solidFill>
                </w14:textFill>
              </w:rPr>
              <w:t>综合收益总额</w:t>
            </w:r>
          </w:p>
        </w:tc>
        <w:tc>
          <w:tcPr>
            <w:tcW w:w="1697" w:type="pct"/>
            <w:vAlign w:val="center"/>
          </w:tcPr>
          <w:p w14:paraId="47F27995">
            <w:pPr>
              <w:jc w:val="right"/>
            </w:pPr>
            <w:r>
              <w:t>410.37</w:t>
            </w:r>
          </w:p>
        </w:tc>
        <w:tc>
          <w:tcPr>
            <w:tcW w:w="1699" w:type="pct"/>
            <w:vAlign w:val="center"/>
          </w:tcPr>
          <w:p w14:paraId="3B732739">
            <w:pPr>
              <w:jc w:val="right"/>
            </w:pPr>
            <w:r>
              <w:t>-2,228.80</w:t>
            </w:r>
          </w:p>
        </w:tc>
      </w:tr>
    </w:tbl>
    <w:p w14:paraId="540AFF40">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其他说明</w:t>
      </w:r>
    </w:p>
    <w:p w14:paraId="6DD6DFD5">
      <w:pPr>
        <w:rPr>
          <w:rFonts w:cs="Arial"/>
          <w:color w:val="000000" w:themeColor="text1"/>
          <w14:textFill>
            <w14:solidFill>
              <w14:schemeClr w14:val="tx1"/>
            </w14:solidFill>
          </w14:textFill>
        </w:rPr>
      </w:pPr>
      <w:sdt>
        <w:sdtPr>
          <w:rPr>
            <w:color w:val="000000" w:themeColor="text1"/>
            <w14:textFill>
              <w14:solidFill>
                <w14:schemeClr w14:val="tx1"/>
              </w14:solidFill>
            </w14:textFill>
          </w:rPr>
          <w:alias w:val="不重要的合营企业和联营企业的汇总财务信息其他说明"/>
          <w:tag w:val="_GBC_78096995ca9848409e6780ab5f1386f8"/>
          <w:id w:val="1627817673"/>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525D24C8">
      <w:pPr>
        <w:rPr>
          <w:rFonts w:cs="Arial"/>
          <w:color w:val="000000" w:themeColor="text1"/>
          <w14:textFill>
            <w14:solidFill>
              <w14:schemeClr w14:val="tx1"/>
            </w14:solidFill>
          </w14:textFill>
        </w:rPr>
      </w:pPr>
    </w:p>
    <w:p w14:paraId="775D83E6">
      <w:pPr>
        <w:pStyle w:val="5"/>
        <w:numPr>
          <w:ilvl w:val="3"/>
          <w:numId w:val="85"/>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合营企业或联营企业向本公司转移资金的能力存在重大限制的说明</w:t>
      </w:r>
    </w:p>
    <w:sdt>
      <w:sdtPr>
        <w:rPr>
          <w:color w:val="000000" w:themeColor="text1"/>
          <w14:textFill>
            <w14:solidFill>
              <w14:schemeClr w14:val="tx1"/>
            </w14:solidFill>
          </w14:textFill>
        </w:rPr>
        <w:alias w:val="是否适用：合营企业或联营企业向本公司转移资金的能力存在重大限制的说明[双击切换]"/>
        <w:tag w:val="_GBC_73dfba3df3e24fc2a5b5ede5fa8d6f09"/>
        <w:id w:val="611794987"/>
        <w:placeholder>
          <w:docPart w:val="GBC22222222222222222222222222222"/>
        </w:placeholder>
      </w:sdtPr>
      <w:sdtEndPr>
        <w:rPr>
          <w:color w:val="000000" w:themeColor="text1"/>
          <w14:textFill>
            <w14:solidFill>
              <w14:schemeClr w14:val="tx1"/>
            </w14:solidFill>
          </w14:textFill>
        </w:rPr>
      </w:sdtEndPr>
      <w:sdtContent>
        <w:p w14:paraId="7982716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F84A4B2">
      <w:pPr>
        <w:rPr>
          <w:rFonts w:cs="Arial"/>
          <w:color w:val="000000" w:themeColor="text1"/>
          <w14:textFill>
            <w14:solidFill>
              <w14:schemeClr w14:val="tx1"/>
            </w14:solidFill>
          </w14:textFill>
        </w:rPr>
      </w:pPr>
    </w:p>
    <w:p w14:paraId="256C10E1">
      <w:pPr>
        <w:pStyle w:val="5"/>
        <w:numPr>
          <w:ilvl w:val="3"/>
          <w:numId w:val="85"/>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合营企业或联营企业发生的超额亏损</w:t>
      </w:r>
    </w:p>
    <w:sdt>
      <w:sdtPr>
        <w:rPr>
          <w:color w:val="000000" w:themeColor="text1"/>
          <w14:textFill>
            <w14:solidFill>
              <w14:schemeClr w14:val="tx1"/>
            </w14:solidFill>
          </w14:textFill>
        </w:rPr>
        <w:alias w:val="是否适用：合营企业或联营企业发生的超额亏损[双击切换]"/>
        <w:tag w:val="_GBC_c30af0beca864d788c2fe12f47f13428"/>
        <w:id w:val="334343057"/>
        <w:placeholder>
          <w:docPart w:val="GBC22222222222222222222222222222"/>
        </w:placeholder>
      </w:sdtPr>
      <w:sdtEndPr>
        <w:rPr>
          <w:color w:val="000000" w:themeColor="text1"/>
          <w14:textFill>
            <w14:solidFill>
              <w14:schemeClr w14:val="tx1"/>
            </w14:solidFill>
          </w14:textFill>
        </w:rPr>
      </w:sdtEndPr>
      <w:sdtContent>
        <w:p w14:paraId="217CBC14">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E04077">
      <w:pPr>
        <w:rPr>
          <w:rFonts w:cs="Arial"/>
          <w:color w:val="000000" w:themeColor="text1"/>
          <w14:textFill>
            <w14:solidFill>
              <w14:schemeClr w14:val="tx1"/>
            </w14:solidFill>
          </w14:textFill>
        </w:rPr>
      </w:pPr>
    </w:p>
    <w:p w14:paraId="04837A19">
      <w:pPr>
        <w:pStyle w:val="5"/>
        <w:numPr>
          <w:ilvl w:val="3"/>
          <w:numId w:val="85"/>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与合营企业投资相关的未确认承诺</w:t>
      </w:r>
    </w:p>
    <w:sdt>
      <w:sdtPr>
        <w:rPr>
          <w:color w:val="000000" w:themeColor="text1"/>
          <w14:textFill>
            <w14:solidFill>
              <w14:schemeClr w14:val="tx1"/>
            </w14:solidFill>
          </w14:textFill>
        </w:rPr>
        <w:alias w:val="是否适用：与合营企业投资相关的未确认承诺[双击切换]"/>
        <w:tag w:val="_GBC_9d014d8b476148b59476808a5cda81d8"/>
        <w:id w:val="2006234747"/>
        <w:placeholder>
          <w:docPart w:val="GBC22222222222222222222222222222"/>
        </w:placeholder>
      </w:sdtPr>
      <w:sdtEndPr>
        <w:rPr>
          <w:color w:val="000000" w:themeColor="text1"/>
          <w14:textFill>
            <w14:solidFill>
              <w14:schemeClr w14:val="tx1"/>
            </w14:solidFill>
          </w14:textFill>
        </w:rPr>
      </w:sdtEndPr>
      <w:sdtContent>
        <w:p w14:paraId="44A0AED7">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7E2BC1">
      <w:pPr>
        <w:rPr>
          <w:rFonts w:cs="Arial"/>
          <w:color w:val="000000" w:themeColor="text1"/>
          <w14:textFill>
            <w14:solidFill>
              <w14:schemeClr w14:val="tx1"/>
            </w14:solidFill>
          </w14:textFill>
        </w:rPr>
      </w:pPr>
    </w:p>
    <w:p w14:paraId="6B1BF5E2">
      <w:pPr>
        <w:pStyle w:val="5"/>
        <w:numPr>
          <w:ilvl w:val="3"/>
          <w:numId w:val="85"/>
        </w:numPr>
        <w:tabs>
          <w:tab w:val="left" w:pos="630"/>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与合营企业或联营企业投资相关的或有负债</w:t>
      </w:r>
    </w:p>
    <w:sdt>
      <w:sdtPr>
        <w:rPr>
          <w:color w:val="000000" w:themeColor="text1"/>
          <w14:textFill>
            <w14:solidFill>
              <w14:schemeClr w14:val="tx1"/>
            </w14:solidFill>
          </w14:textFill>
        </w:rPr>
        <w:alias w:val="是否适用：与合营企业或联营企业投资相关的或有负债[双击切换]"/>
        <w:tag w:val="_GBC_caba618be81b4cb1acf89073549a456a"/>
        <w:id w:val="-145367867"/>
        <w:placeholder>
          <w:docPart w:val="GBC22222222222222222222222222222"/>
        </w:placeholder>
      </w:sdtPr>
      <w:sdtEndPr>
        <w:rPr>
          <w:color w:val="000000" w:themeColor="text1"/>
          <w14:textFill>
            <w14:solidFill>
              <w14:schemeClr w14:val="tx1"/>
            </w14:solidFill>
          </w14:textFill>
        </w:rPr>
      </w:sdtEndPr>
      <w:sdtContent>
        <w:p w14:paraId="695B9E6F">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45AFD9D">
      <w:pPr>
        <w:rPr>
          <w:rFonts w:cs="Arial"/>
          <w:color w:val="000000" w:themeColor="text1"/>
          <w14:textFill>
            <w14:solidFill>
              <w14:schemeClr w14:val="tx1"/>
            </w14:solidFill>
          </w14:textFill>
        </w:rPr>
      </w:pPr>
    </w:p>
    <w:p w14:paraId="68BAC8EC">
      <w:pPr>
        <w:pStyle w:val="4"/>
        <w:numPr>
          <w:ilvl w:val="2"/>
          <w:numId w:val="8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重要的共同经营</w:t>
      </w:r>
    </w:p>
    <w:sdt>
      <w:sdtPr>
        <w:rPr>
          <w:color w:val="000000" w:themeColor="text1"/>
          <w14:textFill>
            <w14:solidFill>
              <w14:schemeClr w14:val="tx1"/>
            </w14:solidFill>
          </w14:textFill>
        </w:rPr>
        <w:alias w:val="是否适用：重要的共同经营[双击切换]"/>
        <w:tag w:val="_GBC_7911b1c8195d4c20b2800b1c5ac94a93"/>
        <w:id w:val="-657225746"/>
        <w:placeholder>
          <w:docPart w:val="GBC22222222222222222222222222222"/>
        </w:placeholder>
      </w:sdtPr>
      <w:sdtEndPr>
        <w:rPr>
          <w:color w:val="000000" w:themeColor="text1"/>
          <w14:textFill>
            <w14:solidFill>
              <w14:schemeClr w14:val="tx1"/>
            </w14:solidFill>
          </w14:textFill>
        </w:rPr>
      </w:sdtEndPr>
      <w:sdtContent>
        <w:p w14:paraId="0C1A2FDE">
          <w:pPr>
            <w:rPr>
              <w:rFonts w:cs="Arial"/>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EA0B420">
      <w:pPr>
        <w:rPr>
          <w:rFonts w:cs="Arial"/>
          <w:color w:val="000000" w:themeColor="text1"/>
          <w14:textFill>
            <w14:solidFill>
              <w14:schemeClr w14:val="tx1"/>
            </w14:solidFill>
          </w14:textFill>
        </w:rPr>
      </w:pPr>
    </w:p>
    <w:p w14:paraId="603E3CA7">
      <w:pPr>
        <w:pStyle w:val="4"/>
        <w:numPr>
          <w:ilvl w:val="2"/>
          <w:numId w:val="8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在未纳入合并财务报表范围的结构化主体中的权益</w:t>
      </w:r>
    </w:p>
    <w:p w14:paraId="0D13B528">
      <w:pP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未纳入合并财务报表范围的结构化主体的相关说明：</w:t>
      </w:r>
    </w:p>
    <w:sdt>
      <w:sdtPr>
        <w:rPr>
          <w:rFonts w:cs="Arial"/>
          <w:color w:val="000000" w:themeColor="text1"/>
          <w14:textFill>
            <w14:solidFill>
              <w14:schemeClr w14:val="tx1"/>
            </w14:solidFill>
          </w14:textFill>
        </w:rPr>
        <w:alias w:val="是否适用：未纳入合并财务报表范围的结构化主体的相关说明[双击切换]"/>
        <w:tag w:val="_GBC_48eb6d215e5341c694f98d18f5889902"/>
        <w:id w:val="390011705"/>
        <w:placeholder>
          <w:docPart w:val="GBC22222222222222222222222222222"/>
        </w:placeholder>
      </w:sdtPr>
      <w:sdtEndPr>
        <w:rPr>
          <w:rFonts w:cs="Arial"/>
          <w:color w:val="000000" w:themeColor="text1"/>
          <w14:textFill>
            <w14:solidFill>
              <w14:schemeClr w14:val="tx1"/>
            </w14:solidFill>
          </w14:textFill>
        </w:rPr>
      </w:sdtEndPr>
      <w:sdtContent>
        <w:p w14:paraId="787CB96E">
          <w:pPr>
            <w:rPr>
              <w:rFonts w:cs="Arial"/>
              <w:color w:val="000000" w:themeColor="text1"/>
              <w14:textFill>
                <w14:solidFill>
                  <w14:schemeClr w14:val="tx1"/>
                </w14:solidFill>
              </w14:textFill>
            </w:rPr>
          </w:pP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□适用 </w:instrText>
          </w:r>
          <w:r>
            <w:rPr>
              <w:rFonts w:ascii="宋体" w:hAnsi="宋体" w:cs="Arial"/>
              <w:color w:val="000000" w:themeColor="text1"/>
              <w14:textFill>
                <w14:solidFill>
                  <w14:schemeClr w14:val="tx1"/>
                </w14:solidFill>
              </w14:textFill>
            </w:rPr>
            <w:fldChar w:fldCharType="end"/>
          </w:r>
          <w:r>
            <w:rPr>
              <w:rFonts w:ascii="宋体" w:hAnsi="宋体" w:cs="Arial"/>
              <w:color w:val="000000" w:themeColor="text1"/>
              <w14:textFill>
                <w14:solidFill>
                  <w14:schemeClr w14:val="tx1"/>
                </w14:solidFill>
              </w14:textFill>
            </w:rPr>
            <w:fldChar w:fldCharType="begin"/>
          </w:r>
          <w:r>
            <w:rPr>
              <w:rFonts w:ascii="宋体" w:hAnsi="宋体" w:cs="Arial"/>
              <w:color w:val="000000" w:themeColor="text1"/>
              <w14:textFill>
                <w14:solidFill>
                  <w14:schemeClr w14:val="tx1"/>
                </w14:solidFill>
              </w14:textFill>
            </w:rPr>
            <w:instrText xml:space="preserve"> MACROBUTTON  SnrToggleCheckbox √不适用 </w:instrText>
          </w:r>
          <w:r>
            <w:rPr>
              <w:rFonts w:ascii="宋体" w:hAnsi="宋体" w:cs="Arial"/>
              <w:color w:val="000000" w:themeColor="text1"/>
              <w14:textFill>
                <w14:solidFill>
                  <w14:schemeClr w14:val="tx1"/>
                </w14:solidFill>
              </w14:textFill>
            </w:rPr>
            <w:fldChar w:fldCharType="end"/>
          </w:r>
        </w:p>
      </w:sdtContent>
    </w:sdt>
    <w:p w14:paraId="4D043752">
      <w:pPr>
        <w:rPr>
          <w:rFonts w:cs="Arial"/>
          <w:color w:val="000000" w:themeColor="text1"/>
          <w14:textFill>
            <w14:solidFill>
              <w14:schemeClr w14:val="tx1"/>
            </w14:solidFill>
          </w14:textFill>
        </w:rPr>
      </w:pPr>
    </w:p>
    <w:p w14:paraId="30F082DD">
      <w:pPr>
        <w:pStyle w:val="4"/>
        <w:numPr>
          <w:ilvl w:val="2"/>
          <w:numId w:val="83"/>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在其他主体中的权益其他需要说明的事项[双击切换]"/>
        <w:tag w:val="_GBC_ad8b7a7df0724efaa681a931c91befff"/>
        <w:id w:val="-1377233849"/>
        <w:placeholder>
          <w:docPart w:val="GBC22222222222222222222222222222"/>
        </w:placeholder>
      </w:sdtPr>
      <w:sdtEndPr>
        <w:rPr>
          <w:color w:val="000000" w:themeColor="text1"/>
          <w14:textFill>
            <w14:solidFill>
              <w14:schemeClr w14:val="tx1"/>
            </w14:solidFill>
          </w14:textFill>
        </w:rPr>
      </w:sdtEndPr>
      <w:sdtContent>
        <w:p w14:paraId="7AE2325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5BBE196">
      <w:pPr>
        <w:rPr>
          <w:color w:val="000000" w:themeColor="text1"/>
          <w14:textFill>
            <w14:solidFill>
              <w14:schemeClr w14:val="tx1"/>
            </w14:solidFill>
          </w14:textFill>
        </w:rPr>
      </w:pPr>
    </w:p>
    <w:p w14:paraId="4A1D0481">
      <w:pPr>
        <w:pStyle w:val="3"/>
        <w:numPr>
          <w:ilvl w:val="0"/>
          <w:numId w:val="30"/>
        </w:numPr>
        <w:ind w:left="420" w:hanging="420"/>
        <w:rPr>
          <w:rFonts w:ascii="宋体" w:hAnsi="宋体"/>
          <w:color w:val="000000" w:themeColor="text1"/>
          <w14:textFill>
            <w14:solidFill>
              <w14:schemeClr w14:val="tx1"/>
            </w14:solidFill>
          </w14:textFill>
        </w:rPr>
      </w:pPr>
      <w:bookmarkStart w:id="360" w:name="_Hlk167976217"/>
      <w:r>
        <w:rPr>
          <w:rFonts w:hint="eastAsia" w:ascii="宋体" w:hAnsi="宋体"/>
          <w:color w:val="000000" w:themeColor="text1"/>
          <w14:textFill>
            <w14:solidFill>
              <w14:schemeClr w14:val="tx1"/>
            </w14:solidFill>
          </w14:textFill>
        </w:rPr>
        <w:t>政府补助</w:t>
      </w:r>
    </w:p>
    <w:p w14:paraId="6C936EDF">
      <w:pPr>
        <w:pStyle w:val="4"/>
        <w:numPr>
          <w:ilvl w:val="0"/>
          <w:numId w:val="86"/>
        </w:numPr>
        <w:ind w:left="0" w:firstLine="0"/>
        <w:rPr>
          <w:color w:val="000000" w:themeColor="text1"/>
          <w14:textFill>
            <w14:solidFill>
              <w14:schemeClr w14:val="tx1"/>
            </w14:solidFill>
          </w14:textFill>
        </w:rPr>
      </w:pPr>
      <w:r>
        <w:rPr>
          <w:color w:val="000000" w:themeColor="text1"/>
          <w14:textFill>
            <w14:solidFill>
              <w14:schemeClr w14:val="tx1"/>
            </w14:solidFill>
          </w14:textFill>
        </w:rPr>
        <w:t>报告期末按应收金额确认的政府补助</w:t>
      </w:r>
    </w:p>
    <w:sdt>
      <w:sdtPr>
        <w:rPr>
          <w:color w:val="000000" w:themeColor="text1"/>
          <w14:textFill>
            <w14:solidFill>
              <w14:schemeClr w14:val="tx1"/>
            </w14:solidFill>
          </w14:textFill>
        </w:rPr>
        <w:alias w:val="是否适用：按应收金额确认的政府补助[双击切换]"/>
        <w:tag w:val="_GBC_3d18d31d14384adf9969b37c0463bdb6"/>
        <w:id w:val="831179126"/>
        <w:placeholder>
          <w:docPart w:val="GBC22222222222222222222222222222"/>
        </w:placeholder>
      </w:sdtPr>
      <w:sdtEndPr>
        <w:rPr>
          <w:color w:val="000000" w:themeColor="text1"/>
          <w14:textFill>
            <w14:solidFill>
              <w14:schemeClr w14:val="tx1"/>
            </w14:solidFill>
          </w14:textFill>
        </w:rPr>
      </w:sdtEndPr>
      <w:sdtContent>
        <w:p w14:paraId="7BB041D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698A236">
      <w:pPr>
        <w:rPr>
          <w:color w:val="000000" w:themeColor="text1"/>
          <w14:textFill>
            <w14:solidFill>
              <w14:schemeClr w14:val="tx1"/>
            </w14:solidFill>
          </w14:textFill>
        </w:rPr>
      </w:pPr>
      <w:r>
        <w:rPr>
          <w:color w:val="000000" w:themeColor="text1"/>
          <w14:textFill>
            <w14:solidFill>
              <w14:schemeClr w14:val="tx1"/>
            </w14:solidFill>
          </w14:textFill>
        </w:rPr>
        <w:t>应收款项的期末余额</w:t>
      </w:r>
      <w:sdt>
        <w:sdtPr>
          <w:rPr>
            <w:color w:val="000000" w:themeColor="text1"/>
            <w14:textFill>
              <w14:solidFill>
                <w14:schemeClr w14:val="tx1"/>
              </w14:solidFill>
            </w14:textFill>
          </w:rPr>
          <w:alias w:val="按应收金额确认的政府补助合计"/>
          <w:tag w:val="_GBC_9bcff0fd06344ace95019244ee86bbd0"/>
          <w:id w:val="663440369"/>
          <w:placeholder>
            <w:docPart w:val="GBC22222222222222222222222222222"/>
          </w:placeholder>
        </w:sdtPr>
        <w:sdtEndPr>
          <w:rPr>
            <w:color w:val="000000" w:themeColor="text1"/>
            <w14:textFill>
              <w14:solidFill>
                <w14:schemeClr w14:val="tx1"/>
              </w14:solidFill>
            </w14:textFill>
          </w:rPr>
        </w:sdtEndPr>
        <w:sdtContent>
          <w:r>
            <w:t>383,512,209.25</w:t>
          </w:r>
        </w:sdtContent>
      </w:sdt>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按应收金额确认的政府补助"/>
          <w:tag w:val="_GBC_471b14a2a8de4e0d8f1134f091b5a9f7"/>
          <w:id w:val="-160526174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按应收金额确认的政府补助"/>
          <w:tag w:val="_GBC_8a83c97cd38d48b09afe5b677bb99ecf"/>
          <w:id w:val="-7256735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sdt>
        <w:sdtPr>
          <w:tag w:val="_PLD_591f493f4d3c4b88bbd66b6a5a54de88"/>
          <w:id w:val="2111388743"/>
        </w:sdtPr>
        <w:sdtContent>
          <w:r>
            <w:rPr>
              <w:rFonts w:hint="eastAsia"/>
              <w:color w:val="000000" w:themeColor="text1"/>
              <w14:textFill>
                <w14:solidFill>
                  <w14:schemeClr w14:val="tx1"/>
                </w14:solidFill>
              </w14:textFill>
            </w:rPr>
            <w:t>）</w:t>
          </w:r>
        </w:sdtContent>
      </w:sdt>
    </w:p>
    <w:p w14:paraId="62246B6B">
      <w:pPr>
        <w:autoSpaceDE w:val="0"/>
        <w:autoSpaceDN w:val="0"/>
        <w:adjustRightInd w:val="0"/>
        <w:spacing w:line="360" w:lineRule="auto"/>
        <w:ind w:firstLine="420" w:firstLineChars="200"/>
      </w:pPr>
      <w:bookmarkStart w:id="361" w:name="_Hlk194595766"/>
      <w:bookmarkStart w:id="362" w:name="OLE_LINK2"/>
      <w:bookmarkStart w:id="363" w:name="OLE_LINK1"/>
      <w:r>
        <w:rPr>
          <w:rFonts w:hint="eastAsia"/>
        </w:rPr>
        <w:t>截至202</w:t>
      </w:r>
      <w:r>
        <w:t>5</w:t>
      </w:r>
      <w:r>
        <w:rPr>
          <w:rFonts w:hint="eastAsia"/>
        </w:rPr>
        <w:t>年</w:t>
      </w:r>
      <w:r>
        <w:t>6</w:t>
      </w:r>
      <w:r>
        <w:rPr>
          <w:rFonts w:hint="eastAsia"/>
        </w:rPr>
        <w:t>月3</w:t>
      </w:r>
      <w:r>
        <w:t>0</w:t>
      </w:r>
      <w:r>
        <w:rPr>
          <w:rFonts w:hint="eastAsia"/>
        </w:rPr>
        <w:t>日，本公司按应收金额确认的政府补助余额为</w:t>
      </w:r>
      <w:sdt>
        <w:sdtPr>
          <w:rPr>
            <w:color w:val="000000" w:themeColor="text1"/>
            <w14:textFill>
              <w14:solidFill>
                <w14:schemeClr w14:val="tx1"/>
              </w14:solidFill>
            </w14:textFill>
          </w:rPr>
          <w:alias w:val="按应收金额确认的政府补助合计"/>
          <w:tag w:val="_GBC_9bcff0fd06344ace95019244ee86bbd0"/>
          <w:id w:val="-999887189"/>
          <w:placeholder>
            <w:docPart w:val="65D44078E0DA4C8C97ADFD5B34ABF223"/>
          </w:placeholder>
        </w:sdtPr>
        <w:sdtEndPr>
          <w:rPr>
            <w:color w:val="000000" w:themeColor="text1"/>
            <w14:textFill>
              <w14:solidFill>
                <w14:schemeClr w14:val="tx1"/>
              </w14:solidFill>
            </w14:textFill>
          </w:rPr>
        </w:sdtEndPr>
        <w:sdtContent>
          <w:r>
            <w:t>383,512,209.25</w:t>
          </w:r>
        </w:sdtContent>
      </w:sdt>
      <w:r>
        <w:rPr>
          <w:rFonts w:hint="eastAsia"/>
        </w:rPr>
        <w:t>元，已计提信用减值损失</w:t>
      </w:r>
      <w:r>
        <w:t>291,715,814.40</w:t>
      </w:r>
      <w:r>
        <w:rPr>
          <w:rFonts w:hint="eastAsia"/>
        </w:rPr>
        <w:t>元，账面价值</w:t>
      </w:r>
      <w:r>
        <w:t>91,796,394.85</w:t>
      </w:r>
      <w:r>
        <w:rPr>
          <w:rFonts w:hint="eastAsia"/>
        </w:rPr>
        <w:t>元。该补助系本公司下属单位重庆睿蓝汽车制造有限公司依据以下政策享受的新能源汽车推广应用财政补贴。</w:t>
      </w:r>
    </w:p>
    <w:p w14:paraId="2FF4D5AF">
      <w:pPr>
        <w:autoSpaceDE w:val="0"/>
        <w:autoSpaceDN w:val="0"/>
        <w:adjustRightInd w:val="0"/>
        <w:spacing w:line="360" w:lineRule="auto"/>
        <w:ind w:firstLine="420" w:firstLineChars="200"/>
      </w:pPr>
      <w:r>
        <w:rPr>
          <w:rFonts w:hint="eastAsia"/>
        </w:rPr>
        <w:t>《财政部 科技部 工业和信息化部 发展改革委关于2016-2020年新能源汽车推广应用财政支持政策的通知》（财建〔2015〕134号）</w:t>
      </w:r>
    </w:p>
    <w:p w14:paraId="27764DF5">
      <w:pPr>
        <w:autoSpaceDE w:val="0"/>
        <w:autoSpaceDN w:val="0"/>
        <w:adjustRightInd w:val="0"/>
        <w:spacing w:line="360" w:lineRule="auto"/>
        <w:ind w:firstLine="420" w:firstLineChars="200"/>
      </w:pPr>
      <w:r>
        <w:rPr>
          <w:rFonts w:hint="eastAsia"/>
        </w:rPr>
        <w:t>《财政部 工业和信息化部 科技部 发展改革委关于新能源汽车推广应用审批责任有关事项的通知》（财建〔2016〕877号）</w:t>
      </w:r>
    </w:p>
    <w:p w14:paraId="7A386F3D">
      <w:pPr>
        <w:autoSpaceDE w:val="0"/>
        <w:autoSpaceDN w:val="0"/>
        <w:adjustRightInd w:val="0"/>
        <w:spacing w:line="360" w:lineRule="auto"/>
        <w:ind w:firstLine="420" w:firstLineChars="200"/>
      </w:pPr>
      <w:r>
        <w:rPr>
          <w:rFonts w:hint="eastAsia"/>
        </w:rPr>
        <w:t>《关于调整新能源汽车推广应用财政补贴政策的通知》（财建[2016]958号）</w:t>
      </w:r>
    </w:p>
    <w:p w14:paraId="43CFA585">
      <w:pPr>
        <w:autoSpaceDE w:val="0"/>
        <w:autoSpaceDN w:val="0"/>
        <w:adjustRightInd w:val="0"/>
        <w:spacing w:line="360" w:lineRule="auto"/>
        <w:ind w:firstLine="420" w:firstLineChars="200"/>
      </w:pPr>
      <w:r>
        <w:rPr>
          <w:rFonts w:hint="eastAsia"/>
        </w:rPr>
        <w:t>《关于调整完善新能源汽车推广应用财政补贴政策的通知》（财建〔2018〕18号）</w:t>
      </w:r>
    </w:p>
    <w:p w14:paraId="7D971339">
      <w:pPr>
        <w:autoSpaceDE w:val="0"/>
        <w:autoSpaceDN w:val="0"/>
        <w:adjustRightInd w:val="0"/>
        <w:spacing w:line="360" w:lineRule="auto"/>
        <w:ind w:firstLine="420" w:firstLineChars="200"/>
      </w:pPr>
      <w:r>
        <w:rPr>
          <w:rFonts w:hint="eastAsia"/>
        </w:rPr>
        <w:t>《关于进一步完善新能源汽车推广应用财政补贴政策的通知》（财建〔2019〕138号）</w:t>
      </w:r>
    </w:p>
    <w:p w14:paraId="6BC59C13">
      <w:pPr>
        <w:autoSpaceDE w:val="0"/>
        <w:autoSpaceDN w:val="0"/>
        <w:adjustRightInd w:val="0"/>
        <w:spacing w:line="360" w:lineRule="auto"/>
        <w:ind w:firstLine="420" w:firstLineChars="200"/>
      </w:pPr>
      <w:r>
        <w:rPr>
          <w:rFonts w:hint="eastAsia"/>
        </w:rPr>
        <w:t>《关于完善新能源汽车推广应用财政补贴政策的通知》（财建〔2020〕86号）</w:t>
      </w:r>
    </w:p>
    <w:p w14:paraId="10B1E597">
      <w:pPr>
        <w:autoSpaceDE w:val="0"/>
        <w:autoSpaceDN w:val="0"/>
        <w:adjustRightInd w:val="0"/>
        <w:spacing w:line="360" w:lineRule="auto"/>
        <w:ind w:firstLine="420" w:firstLineChars="200"/>
      </w:pPr>
      <w:r>
        <w:rPr>
          <w:rFonts w:hint="eastAsia"/>
        </w:rPr>
        <w:t>关于《财政部 工业和信息化部 科技部 发展改革委关于完善新能源汽车推广应用财政补贴政策的通知（财建〔2020〕86号）》的解读</w:t>
      </w:r>
    </w:p>
    <w:p w14:paraId="42CD9492">
      <w:pPr>
        <w:autoSpaceDE w:val="0"/>
        <w:autoSpaceDN w:val="0"/>
        <w:adjustRightInd w:val="0"/>
        <w:spacing w:line="360" w:lineRule="auto"/>
        <w:ind w:firstLine="420" w:firstLineChars="200"/>
      </w:pPr>
      <w:r>
        <w:rPr>
          <w:rFonts w:hint="eastAsia"/>
        </w:rPr>
        <w:t>《关于进一步完善新能源汽车推广应用财政补贴政策的通知》（财建〔2020〕593号）</w:t>
      </w:r>
    </w:p>
    <w:p w14:paraId="5103394C">
      <w:pPr>
        <w:autoSpaceDE w:val="0"/>
        <w:autoSpaceDN w:val="0"/>
        <w:adjustRightInd w:val="0"/>
        <w:spacing w:line="360" w:lineRule="auto"/>
        <w:ind w:firstLine="420" w:firstLineChars="200"/>
      </w:pPr>
      <w:r>
        <w:rPr>
          <w:rFonts w:hint="eastAsia"/>
        </w:rPr>
        <w:t>《关于2022年新能源汽车推广应用财政补贴政策的通知》（财建〔2021〕466号 ）</w:t>
      </w:r>
      <w:bookmarkEnd w:id="361"/>
    </w:p>
    <w:bookmarkEnd w:id="362"/>
    <w:bookmarkEnd w:id="363"/>
    <w:p w14:paraId="2B4DDFEB">
      <w:pPr>
        <w:rPr>
          <w:color w:val="000000" w:themeColor="text1"/>
          <w14:textFill>
            <w14:solidFill>
              <w14:schemeClr w14:val="tx1"/>
            </w14:solidFill>
          </w14:textFill>
        </w:rPr>
      </w:pPr>
      <w:r>
        <w:rPr>
          <w:color w:val="000000" w:themeColor="text1"/>
          <w14:textFill>
            <w14:solidFill>
              <w14:schemeClr w14:val="tx1"/>
            </w14:solidFill>
          </w14:textFill>
        </w:rPr>
        <w:t>未能在预计时点收到预计金额的政府补助</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原因</w:t>
      </w:r>
    </w:p>
    <w:sdt>
      <w:sdtPr>
        <w:rPr>
          <w:color w:val="000000" w:themeColor="text1"/>
          <w14:textFill>
            <w14:solidFill>
              <w14:schemeClr w14:val="tx1"/>
            </w14:solidFill>
          </w14:textFill>
        </w:rPr>
        <w:alias w:val="是否适用：未能在预计时点收到预计金额的政府补助的原因[双击切换]"/>
        <w:tag w:val="_GBC_e0b0850317ba480b8188bda150ebfb78"/>
        <w:id w:val="-843780906"/>
        <w:placeholder>
          <w:docPart w:val="GBC22222222222222222222222222222"/>
        </w:placeholder>
      </w:sdtPr>
      <w:sdtEndPr>
        <w:rPr>
          <w:color w:val="000000" w:themeColor="text1"/>
          <w14:textFill>
            <w14:solidFill>
              <w14:schemeClr w14:val="tx1"/>
            </w14:solidFill>
          </w14:textFill>
        </w:rPr>
      </w:sdtEndPr>
      <w:sdtContent>
        <w:p w14:paraId="59771E0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399AE11">
      <w:pPr>
        <w:rPr>
          <w:color w:val="000000" w:themeColor="text1"/>
          <w14:textFill>
            <w14:solidFill>
              <w14:schemeClr w14:val="tx1"/>
            </w14:solidFill>
          </w14:textFill>
        </w:rPr>
      </w:pPr>
    </w:p>
    <w:p w14:paraId="67554402">
      <w:pPr>
        <w:pStyle w:val="4"/>
        <w:numPr>
          <w:ilvl w:val="0"/>
          <w:numId w:val="86"/>
        </w:numPr>
        <w:ind w:left="0" w:firstLine="0"/>
        <w:rPr>
          <w:color w:val="000000" w:themeColor="text1"/>
          <w14:textFill>
            <w14:solidFill>
              <w14:schemeClr w14:val="tx1"/>
            </w14:solidFill>
          </w14:textFill>
        </w:rPr>
      </w:pPr>
      <w:r>
        <w:rPr>
          <w:color w:val="000000" w:themeColor="text1"/>
          <w14:textFill>
            <w14:solidFill>
              <w14:schemeClr w14:val="tx1"/>
            </w14:solidFill>
          </w14:textFill>
        </w:rPr>
        <w:t>涉及政府补助的负债项目</w:t>
      </w:r>
    </w:p>
    <w:sdt>
      <w:sdtPr>
        <w:rPr>
          <w:color w:val="000000" w:themeColor="text1"/>
          <w14:textFill>
            <w14:solidFill>
              <w14:schemeClr w14:val="tx1"/>
            </w14:solidFill>
          </w14:textFill>
        </w:rPr>
        <w:alias w:val="是否适用：涉及政府补助的负债项目[双击切换]"/>
        <w:tag w:val="_GBC_5b8cf655c53545cab80f75be728637c0"/>
        <w:id w:val="-502898428"/>
        <w:placeholder>
          <w:docPart w:val="GBC22222222222222222222222222222"/>
        </w:placeholder>
      </w:sdtPr>
      <w:sdtEndPr>
        <w:rPr>
          <w:color w:val="000000" w:themeColor="text1"/>
          <w14:textFill>
            <w14:solidFill>
              <w14:schemeClr w14:val="tx1"/>
            </w14:solidFill>
          </w14:textFill>
        </w:rPr>
      </w:sdtEndPr>
      <w:sdtContent>
        <w:p w14:paraId="3CF1D7A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90A30D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涉及政府补助的负债项目"/>
          <w:tag w:val="_GBC_3f46f2e72def428785501464e8373dc7"/>
          <w:id w:val="66528857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涉及政府补助的负债项目"/>
          <w:tag w:val="_GBC_2061879c791b40ceb951bedd0f7334b3"/>
          <w:id w:val="9420369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461"/>
        <w:gridCol w:w="1568"/>
        <w:gridCol w:w="775"/>
        <w:gridCol w:w="1354"/>
        <w:gridCol w:w="775"/>
        <w:gridCol w:w="1568"/>
        <w:gridCol w:w="879"/>
      </w:tblGrid>
      <w:tr w14:paraId="6E95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69dbfe6de199442ba67fa4c2623ba343"/>
            <w:id w:val="1231877491"/>
          </w:sdtPr>
          <w:sdtContent>
            <w:tc>
              <w:tcPr>
                <w:tcW w:w="423" w:type="pct"/>
                <w:vAlign w:val="center"/>
              </w:tcPr>
              <w:p w14:paraId="7B4FF5D9">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财务报表项目</w:t>
                </w:r>
              </w:p>
            </w:tc>
          </w:sdtContent>
        </w:sdt>
        <w:sdt>
          <w:sdtPr>
            <w:tag w:val="_PLD_ed889bd262164e639c21bff48ded3a53"/>
            <w:id w:val="-1540361245"/>
          </w:sdtPr>
          <w:sdtContent>
            <w:tc>
              <w:tcPr>
                <w:tcW w:w="798" w:type="pct"/>
                <w:vAlign w:val="center"/>
              </w:tcPr>
              <w:p w14:paraId="402C4067">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sdt>
          <w:sdtPr>
            <w:tag w:val="_PLD_7052fd9610c24b8baab6d4bc81cd150d"/>
            <w:id w:val="-942457334"/>
          </w:sdtPr>
          <w:sdtContent>
            <w:tc>
              <w:tcPr>
                <w:tcW w:w="856" w:type="pct"/>
                <w:vAlign w:val="center"/>
              </w:tcPr>
              <w:p w14:paraId="25744569">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本期新增补助金额</w:t>
                </w:r>
              </w:p>
            </w:tc>
          </w:sdtContent>
        </w:sdt>
        <w:sdt>
          <w:sdtPr>
            <w:tag w:val="_PLD_52c2e402043d4e31a35cf36007217038"/>
            <w:id w:val="1556510753"/>
          </w:sdtPr>
          <w:sdtContent>
            <w:tc>
              <w:tcPr>
                <w:tcW w:w="423" w:type="pct"/>
                <w:vAlign w:val="center"/>
              </w:tcPr>
              <w:p w14:paraId="427BFA8D">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本期计入营业外收入金额</w:t>
                </w:r>
              </w:p>
            </w:tc>
          </w:sdtContent>
        </w:sdt>
        <w:sdt>
          <w:sdtPr>
            <w:tag w:val="_PLD_54cb3f3d4b4b49b9913df5c05007eb61"/>
            <w:id w:val="-355811142"/>
          </w:sdtPr>
          <w:sdtContent>
            <w:tc>
              <w:tcPr>
                <w:tcW w:w="739" w:type="pct"/>
                <w:vAlign w:val="center"/>
              </w:tcPr>
              <w:p w14:paraId="4233CC18">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本期转入其他收益</w:t>
                </w:r>
              </w:p>
            </w:tc>
          </w:sdtContent>
        </w:sdt>
        <w:sdt>
          <w:sdtPr>
            <w:tag w:val="_PLD_f8464a8361c140659dec395b64a565c0"/>
            <w:id w:val="-5067232"/>
          </w:sdtPr>
          <w:sdtContent>
            <w:tc>
              <w:tcPr>
                <w:tcW w:w="423" w:type="pct"/>
                <w:vAlign w:val="center"/>
              </w:tcPr>
              <w:p w14:paraId="3505F19B">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本期其他变动</w:t>
                </w:r>
              </w:p>
            </w:tc>
          </w:sdtContent>
        </w:sdt>
        <w:sdt>
          <w:sdtPr>
            <w:tag w:val="_PLD_abc368d2d0c7418dbd78f4f89cd037d5"/>
            <w:id w:val="1676526734"/>
          </w:sdtPr>
          <w:sdtContent>
            <w:tc>
              <w:tcPr>
                <w:tcW w:w="856" w:type="pct"/>
                <w:vAlign w:val="center"/>
              </w:tcPr>
              <w:p w14:paraId="36B9F8A8">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3ff2a65a79344d48808fa5737db3cb39"/>
            <w:id w:val="-208348912"/>
          </w:sdtPr>
          <w:sdtContent>
            <w:tc>
              <w:tcPr>
                <w:tcW w:w="480" w:type="pct"/>
                <w:vAlign w:val="center"/>
              </w:tcPr>
              <w:p w14:paraId="0936DE41">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与资产</w:t>
                </w:r>
                <w:r>
                  <w:rPr>
                    <w:color w:val="000000" w:themeColor="text1"/>
                    <w14:textFill>
                      <w14:solidFill>
                        <w14:schemeClr w14:val="tx1"/>
                      </w14:solidFill>
                    </w14:textFill>
                  </w:rPr>
                  <w:t>/收益相关</w:t>
                </w:r>
              </w:p>
            </w:tc>
          </w:sdtContent>
        </w:sdt>
      </w:tr>
      <w:tr w14:paraId="43AC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67556F6A">
            <w:pPr>
              <w:ind w:left="-53" w:leftChars="-25" w:right="-53" w:rightChars="-25"/>
              <w:jc w:val="center"/>
              <w:rPr>
                <w:color w:val="000000"/>
              </w:rPr>
            </w:pPr>
            <w:r>
              <w:rPr>
                <w:rFonts w:hint="eastAsia"/>
                <w:color w:val="000000"/>
              </w:rPr>
              <w:t>递延收益</w:t>
            </w:r>
          </w:p>
        </w:tc>
        <w:tc>
          <w:tcPr>
            <w:tcW w:w="798" w:type="pct"/>
            <w:vAlign w:val="center"/>
          </w:tcPr>
          <w:p w14:paraId="0F29A4E6">
            <w:pPr>
              <w:ind w:left="-53" w:leftChars="-25" w:right="-53" w:rightChars="-25"/>
              <w:jc w:val="right"/>
              <w:rPr>
                <w:color w:val="000000"/>
                <w:sz w:val="20"/>
                <w:szCs w:val="20"/>
              </w:rPr>
            </w:pPr>
            <w:r>
              <w:rPr>
                <w:rFonts w:hint="eastAsia"/>
                <w:color w:val="000000"/>
                <w:sz w:val="20"/>
                <w:szCs w:val="20"/>
              </w:rPr>
              <w:t>1,296,666.54</w:t>
            </w:r>
          </w:p>
        </w:tc>
        <w:tc>
          <w:tcPr>
            <w:tcW w:w="856" w:type="pct"/>
            <w:vAlign w:val="center"/>
          </w:tcPr>
          <w:p w14:paraId="38A6E3BD">
            <w:pPr>
              <w:ind w:left="-53" w:leftChars="-25" w:right="-53" w:rightChars="-25"/>
              <w:jc w:val="right"/>
              <w:rPr>
                <w:color w:val="000000"/>
                <w:sz w:val="20"/>
                <w:szCs w:val="20"/>
              </w:rPr>
            </w:pPr>
            <w:r>
              <w:rPr>
                <w:rFonts w:hint="eastAsia"/>
                <w:color w:val="000000"/>
                <w:sz w:val="20"/>
                <w:szCs w:val="20"/>
              </w:rPr>
              <w:t>335,860,000.00</w:t>
            </w:r>
          </w:p>
        </w:tc>
        <w:tc>
          <w:tcPr>
            <w:tcW w:w="423" w:type="pct"/>
            <w:vAlign w:val="center"/>
          </w:tcPr>
          <w:p w14:paraId="4CFFA244">
            <w:pPr>
              <w:ind w:left="-53" w:leftChars="-25" w:right="-53" w:rightChars="-25"/>
              <w:jc w:val="right"/>
              <w:rPr>
                <w:color w:val="000000"/>
                <w:sz w:val="20"/>
                <w:szCs w:val="20"/>
              </w:rPr>
            </w:pPr>
            <w:r>
              <w:rPr>
                <w:rFonts w:hint="eastAsia"/>
                <w:color w:val="000000"/>
                <w:sz w:val="20"/>
                <w:szCs w:val="20"/>
              </w:rPr>
              <w:t>　</w:t>
            </w:r>
          </w:p>
        </w:tc>
        <w:tc>
          <w:tcPr>
            <w:tcW w:w="739" w:type="pct"/>
            <w:vAlign w:val="center"/>
          </w:tcPr>
          <w:p w14:paraId="1B584D3F">
            <w:pPr>
              <w:ind w:left="-53" w:leftChars="-25" w:right="-53" w:rightChars="-25"/>
              <w:jc w:val="right"/>
              <w:rPr>
                <w:color w:val="000000"/>
                <w:sz w:val="20"/>
                <w:szCs w:val="20"/>
              </w:rPr>
            </w:pPr>
            <w:r>
              <w:rPr>
                <w:rFonts w:hint="eastAsia"/>
                <w:color w:val="000000"/>
                <w:sz w:val="20"/>
                <w:szCs w:val="20"/>
              </w:rPr>
              <w:t>6,837,292.26</w:t>
            </w:r>
          </w:p>
        </w:tc>
        <w:tc>
          <w:tcPr>
            <w:tcW w:w="423" w:type="pct"/>
            <w:vAlign w:val="center"/>
          </w:tcPr>
          <w:p w14:paraId="35D07913">
            <w:pPr>
              <w:ind w:left="-53" w:leftChars="-25" w:right="-53" w:rightChars="-25"/>
              <w:jc w:val="right"/>
              <w:rPr>
                <w:color w:val="000000"/>
                <w:sz w:val="20"/>
                <w:szCs w:val="20"/>
              </w:rPr>
            </w:pPr>
            <w:r>
              <w:rPr>
                <w:rFonts w:hint="eastAsia"/>
                <w:color w:val="000000"/>
                <w:sz w:val="20"/>
                <w:szCs w:val="20"/>
              </w:rPr>
              <w:t>　</w:t>
            </w:r>
          </w:p>
        </w:tc>
        <w:tc>
          <w:tcPr>
            <w:tcW w:w="856" w:type="pct"/>
            <w:vAlign w:val="center"/>
          </w:tcPr>
          <w:p w14:paraId="3A581E1E">
            <w:pPr>
              <w:ind w:left="-53" w:leftChars="-25" w:right="-53" w:rightChars="-25"/>
              <w:jc w:val="right"/>
              <w:rPr>
                <w:color w:val="000000"/>
                <w:sz w:val="20"/>
                <w:szCs w:val="20"/>
              </w:rPr>
            </w:pPr>
            <w:r>
              <w:rPr>
                <w:rFonts w:hint="eastAsia"/>
                <w:color w:val="000000"/>
                <w:sz w:val="20"/>
                <w:szCs w:val="20"/>
              </w:rPr>
              <w:t>330,319,374.28</w:t>
            </w:r>
          </w:p>
        </w:tc>
        <w:tc>
          <w:tcPr>
            <w:tcW w:w="480" w:type="pct"/>
            <w:vAlign w:val="center"/>
          </w:tcPr>
          <w:p w14:paraId="5F8E043A">
            <w:pPr>
              <w:ind w:left="-53" w:leftChars="-25" w:right="-53" w:rightChars="-25"/>
              <w:jc w:val="center"/>
              <w:rPr>
                <w:color w:val="000000"/>
                <w:sz w:val="18"/>
                <w:szCs w:val="18"/>
              </w:rPr>
            </w:pPr>
            <w:r>
              <w:rPr>
                <w:rFonts w:hint="eastAsia"/>
                <w:color w:val="000000"/>
                <w:sz w:val="18"/>
                <w:szCs w:val="18"/>
              </w:rPr>
              <w:t>与资产相关</w:t>
            </w:r>
          </w:p>
        </w:tc>
      </w:tr>
      <w:tr w14:paraId="237D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26A7F018">
            <w:pPr>
              <w:ind w:left="-53" w:leftChars="-25" w:right="-53" w:rightChars="-25"/>
              <w:jc w:val="center"/>
              <w:rPr>
                <w:color w:val="000000"/>
              </w:rPr>
            </w:pPr>
            <w:r>
              <w:rPr>
                <w:rFonts w:hint="eastAsia"/>
                <w:color w:val="000000"/>
              </w:rPr>
              <w:t>递延收益</w:t>
            </w:r>
          </w:p>
        </w:tc>
        <w:tc>
          <w:tcPr>
            <w:tcW w:w="798" w:type="pct"/>
            <w:vAlign w:val="center"/>
          </w:tcPr>
          <w:p w14:paraId="2773A2E9">
            <w:pPr>
              <w:ind w:left="-53" w:leftChars="-25" w:right="-53" w:rightChars="-25"/>
              <w:jc w:val="right"/>
              <w:rPr>
                <w:color w:val="000000"/>
                <w:sz w:val="20"/>
                <w:szCs w:val="20"/>
              </w:rPr>
            </w:pPr>
            <w:r>
              <w:rPr>
                <w:rFonts w:hint="eastAsia"/>
                <w:color w:val="000000"/>
                <w:sz w:val="20"/>
                <w:szCs w:val="20"/>
              </w:rPr>
              <w:t>10,064,809.31</w:t>
            </w:r>
          </w:p>
        </w:tc>
        <w:tc>
          <w:tcPr>
            <w:tcW w:w="856" w:type="pct"/>
            <w:vAlign w:val="center"/>
          </w:tcPr>
          <w:p w14:paraId="20BBBB13">
            <w:pPr>
              <w:ind w:left="-53" w:leftChars="-25" w:right="-53" w:rightChars="-25"/>
              <w:jc w:val="right"/>
              <w:rPr>
                <w:color w:val="000000"/>
                <w:sz w:val="20"/>
                <w:szCs w:val="20"/>
              </w:rPr>
            </w:pPr>
            <w:r>
              <w:rPr>
                <w:rFonts w:hint="eastAsia"/>
                <w:color w:val="000000"/>
                <w:sz w:val="20"/>
                <w:szCs w:val="20"/>
              </w:rPr>
              <w:t>　</w:t>
            </w:r>
          </w:p>
        </w:tc>
        <w:tc>
          <w:tcPr>
            <w:tcW w:w="423" w:type="pct"/>
            <w:vAlign w:val="center"/>
          </w:tcPr>
          <w:p w14:paraId="59E6B210">
            <w:pPr>
              <w:ind w:left="-53" w:leftChars="-25" w:right="-53" w:rightChars="-25"/>
              <w:jc w:val="right"/>
              <w:rPr>
                <w:color w:val="000000"/>
                <w:sz w:val="20"/>
                <w:szCs w:val="20"/>
              </w:rPr>
            </w:pPr>
            <w:r>
              <w:rPr>
                <w:rFonts w:hint="eastAsia"/>
                <w:color w:val="000000"/>
                <w:sz w:val="20"/>
                <w:szCs w:val="20"/>
              </w:rPr>
              <w:t>　</w:t>
            </w:r>
          </w:p>
        </w:tc>
        <w:tc>
          <w:tcPr>
            <w:tcW w:w="739" w:type="pct"/>
            <w:vAlign w:val="center"/>
          </w:tcPr>
          <w:p w14:paraId="77A0799D">
            <w:pPr>
              <w:ind w:left="-53" w:leftChars="-25" w:right="-53" w:rightChars="-25"/>
              <w:jc w:val="right"/>
              <w:rPr>
                <w:color w:val="000000"/>
                <w:sz w:val="20"/>
                <w:szCs w:val="20"/>
              </w:rPr>
            </w:pPr>
            <w:r>
              <w:rPr>
                <w:rFonts w:hint="eastAsia"/>
                <w:color w:val="000000"/>
                <w:sz w:val="20"/>
                <w:szCs w:val="20"/>
              </w:rPr>
              <w:t>816,784.27</w:t>
            </w:r>
          </w:p>
        </w:tc>
        <w:tc>
          <w:tcPr>
            <w:tcW w:w="423" w:type="pct"/>
            <w:vAlign w:val="center"/>
          </w:tcPr>
          <w:p w14:paraId="13B84337">
            <w:pPr>
              <w:ind w:left="-53" w:leftChars="-25" w:right="-53" w:rightChars="-25"/>
              <w:jc w:val="right"/>
              <w:rPr>
                <w:color w:val="000000"/>
                <w:sz w:val="20"/>
                <w:szCs w:val="20"/>
              </w:rPr>
            </w:pPr>
            <w:r>
              <w:rPr>
                <w:rFonts w:hint="eastAsia"/>
                <w:color w:val="000000"/>
                <w:sz w:val="20"/>
                <w:szCs w:val="20"/>
              </w:rPr>
              <w:t>　</w:t>
            </w:r>
          </w:p>
        </w:tc>
        <w:tc>
          <w:tcPr>
            <w:tcW w:w="856" w:type="pct"/>
            <w:vAlign w:val="center"/>
          </w:tcPr>
          <w:p w14:paraId="66B32E57">
            <w:pPr>
              <w:ind w:left="-53" w:leftChars="-25" w:right="-53" w:rightChars="-25"/>
              <w:jc w:val="right"/>
              <w:rPr>
                <w:color w:val="000000"/>
                <w:sz w:val="20"/>
                <w:szCs w:val="20"/>
              </w:rPr>
            </w:pPr>
            <w:r>
              <w:rPr>
                <w:rFonts w:hint="eastAsia"/>
                <w:color w:val="000000"/>
                <w:sz w:val="20"/>
                <w:szCs w:val="20"/>
              </w:rPr>
              <w:t>9,248,025.04</w:t>
            </w:r>
          </w:p>
        </w:tc>
        <w:tc>
          <w:tcPr>
            <w:tcW w:w="480" w:type="pct"/>
            <w:vAlign w:val="center"/>
          </w:tcPr>
          <w:p w14:paraId="734BB573">
            <w:pPr>
              <w:ind w:left="-53" w:leftChars="-25" w:right="-53" w:rightChars="-25"/>
              <w:jc w:val="center"/>
              <w:rPr>
                <w:color w:val="000000"/>
                <w:sz w:val="18"/>
                <w:szCs w:val="18"/>
              </w:rPr>
            </w:pPr>
            <w:r>
              <w:rPr>
                <w:rFonts w:hint="eastAsia"/>
                <w:color w:val="000000"/>
                <w:sz w:val="18"/>
                <w:szCs w:val="18"/>
              </w:rPr>
              <w:t>与收益相关</w:t>
            </w:r>
          </w:p>
        </w:tc>
      </w:tr>
      <w:tr w14:paraId="5122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tcBorders>
              <w:top w:val="single" w:color="auto" w:sz="4" w:space="0"/>
              <w:left w:val="single" w:color="auto" w:sz="4" w:space="0"/>
              <w:bottom w:val="single" w:color="auto" w:sz="4" w:space="0"/>
              <w:right w:val="single" w:color="auto" w:sz="4" w:space="0"/>
            </w:tcBorders>
          </w:tcPr>
          <w:p w14:paraId="119F1307">
            <w:pPr>
              <w:ind w:left="-53" w:leftChars="-25" w:right="-53" w:rightChars="-25"/>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798" w:type="pct"/>
            <w:tcBorders>
              <w:top w:val="single" w:color="auto" w:sz="4" w:space="0"/>
              <w:left w:val="single" w:color="auto" w:sz="4" w:space="0"/>
              <w:bottom w:val="single" w:color="auto" w:sz="4" w:space="0"/>
              <w:right w:val="single" w:color="auto" w:sz="4" w:space="0"/>
            </w:tcBorders>
            <w:vAlign w:val="center"/>
          </w:tcPr>
          <w:p w14:paraId="248136BE">
            <w:pPr>
              <w:ind w:left="-53" w:leftChars="-25" w:right="-53" w:rightChars="-25"/>
              <w:jc w:val="right"/>
            </w:pPr>
            <w:r>
              <w:t>11,361,475.85</w:t>
            </w:r>
          </w:p>
        </w:tc>
        <w:tc>
          <w:tcPr>
            <w:tcW w:w="856" w:type="pct"/>
            <w:tcBorders>
              <w:top w:val="single" w:color="auto" w:sz="4" w:space="0"/>
              <w:left w:val="single" w:color="auto" w:sz="4" w:space="0"/>
              <w:bottom w:val="single" w:color="auto" w:sz="4" w:space="0"/>
              <w:right w:val="single" w:color="auto" w:sz="4" w:space="0"/>
            </w:tcBorders>
            <w:vAlign w:val="center"/>
          </w:tcPr>
          <w:p w14:paraId="38842CAA">
            <w:pPr>
              <w:ind w:left="-53" w:leftChars="-25" w:right="-53" w:rightChars="-25"/>
              <w:jc w:val="right"/>
            </w:pPr>
            <w:r>
              <w:t>335,860,000.00</w:t>
            </w:r>
          </w:p>
        </w:tc>
        <w:tc>
          <w:tcPr>
            <w:tcW w:w="423" w:type="pct"/>
            <w:tcBorders>
              <w:top w:val="single" w:color="auto" w:sz="4" w:space="0"/>
              <w:left w:val="single" w:color="auto" w:sz="4" w:space="0"/>
              <w:bottom w:val="single" w:color="auto" w:sz="4" w:space="0"/>
              <w:right w:val="single" w:color="auto" w:sz="4" w:space="0"/>
            </w:tcBorders>
            <w:vAlign w:val="center"/>
          </w:tcPr>
          <w:p w14:paraId="6554FB12">
            <w:pPr>
              <w:ind w:left="-53" w:leftChars="-25" w:right="-53" w:rightChars="-25"/>
              <w:jc w:val="right"/>
            </w:pPr>
            <w:r>
              <w:t>-</w:t>
            </w:r>
          </w:p>
        </w:tc>
        <w:tc>
          <w:tcPr>
            <w:tcW w:w="739" w:type="pct"/>
            <w:tcBorders>
              <w:top w:val="single" w:color="auto" w:sz="4" w:space="0"/>
              <w:left w:val="single" w:color="auto" w:sz="4" w:space="0"/>
              <w:bottom w:val="single" w:color="auto" w:sz="4" w:space="0"/>
              <w:right w:val="single" w:color="auto" w:sz="4" w:space="0"/>
            </w:tcBorders>
            <w:vAlign w:val="center"/>
          </w:tcPr>
          <w:p w14:paraId="04F9C201">
            <w:pPr>
              <w:ind w:left="-53" w:leftChars="-25" w:right="-53" w:rightChars="-25"/>
              <w:jc w:val="right"/>
            </w:pPr>
            <w:r>
              <w:t>7,654,076.53</w:t>
            </w:r>
          </w:p>
        </w:tc>
        <w:tc>
          <w:tcPr>
            <w:tcW w:w="423" w:type="pct"/>
            <w:tcBorders>
              <w:top w:val="single" w:color="auto" w:sz="4" w:space="0"/>
              <w:left w:val="single" w:color="auto" w:sz="4" w:space="0"/>
              <w:bottom w:val="single" w:color="auto" w:sz="4" w:space="0"/>
              <w:right w:val="single" w:color="auto" w:sz="4" w:space="0"/>
            </w:tcBorders>
            <w:vAlign w:val="center"/>
          </w:tcPr>
          <w:p w14:paraId="2AE5BDE1">
            <w:pPr>
              <w:ind w:left="-53" w:leftChars="-25" w:right="-53" w:rightChars="-25"/>
              <w:jc w:val="right"/>
            </w:pPr>
            <w:r>
              <w:t>-</w:t>
            </w:r>
          </w:p>
        </w:tc>
        <w:tc>
          <w:tcPr>
            <w:tcW w:w="856" w:type="pct"/>
            <w:tcBorders>
              <w:top w:val="single" w:color="auto" w:sz="4" w:space="0"/>
              <w:left w:val="single" w:color="auto" w:sz="4" w:space="0"/>
              <w:bottom w:val="single" w:color="auto" w:sz="4" w:space="0"/>
              <w:right w:val="single" w:color="auto" w:sz="4" w:space="0"/>
            </w:tcBorders>
            <w:vAlign w:val="center"/>
          </w:tcPr>
          <w:p w14:paraId="51048FBC">
            <w:pPr>
              <w:ind w:left="-53" w:leftChars="-25" w:right="-53" w:rightChars="-25"/>
              <w:jc w:val="right"/>
            </w:pPr>
            <w:r>
              <w:t>339,567,399.32</w:t>
            </w:r>
          </w:p>
        </w:tc>
        <w:tc>
          <w:tcPr>
            <w:tcW w:w="480" w:type="pct"/>
            <w:tcBorders>
              <w:top w:val="single" w:color="auto" w:sz="4" w:space="0"/>
              <w:left w:val="single" w:color="auto" w:sz="4" w:space="0"/>
              <w:bottom w:val="single" w:color="auto" w:sz="4" w:space="0"/>
              <w:right w:val="single" w:color="auto" w:sz="4" w:space="0"/>
            </w:tcBorders>
          </w:tcPr>
          <w:p w14:paraId="1790DE44">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3A36FB45">
      <w:pPr>
        <w:rPr>
          <w:color w:val="000000" w:themeColor="text1"/>
          <w14:textFill>
            <w14:solidFill>
              <w14:schemeClr w14:val="tx1"/>
            </w14:solidFill>
          </w14:textFill>
        </w:rPr>
      </w:pPr>
    </w:p>
    <w:p w14:paraId="03D98FBF">
      <w:pPr>
        <w:pStyle w:val="4"/>
        <w:numPr>
          <w:ilvl w:val="0"/>
          <w:numId w:val="86"/>
        </w:numPr>
        <w:ind w:left="0" w:firstLine="0"/>
        <w:rPr>
          <w:color w:val="000000" w:themeColor="text1"/>
          <w14:textFill>
            <w14:solidFill>
              <w14:schemeClr w14:val="tx1"/>
            </w14:solidFill>
          </w14:textFill>
        </w:rPr>
      </w:pPr>
      <w:bookmarkStart w:id="364" w:name="_Hlk153267407"/>
      <w:r>
        <w:rPr>
          <w:color w:val="000000" w:themeColor="text1"/>
          <w14:textFill>
            <w14:solidFill>
              <w14:schemeClr w14:val="tx1"/>
            </w14:solidFill>
          </w14:textFill>
        </w:rPr>
        <w:t>计入当期损益的政府补助</w:t>
      </w:r>
    </w:p>
    <w:sdt>
      <w:sdtPr>
        <w:rPr>
          <w:rStyle w:val="48"/>
          <w:rFonts w:ascii="宋体" w:hAnsi="宋体"/>
          <w:b w:val="0"/>
          <w:color w:val="000000" w:themeColor="text1"/>
          <w:szCs w:val="21"/>
          <w14:textFill>
            <w14:solidFill>
              <w14:schemeClr w14:val="tx1"/>
            </w14:solidFill>
          </w14:textFill>
        </w:rPr>
        <w:alias w:val="是否适用：计入当期损益的政府补助[双击切换]"/>
        <w:tag w:val="_GBC_01aefe636f4f4e8b8752cf8841e143f6"/>
        <w:id w:val="-1397806188"/>
        <w:placeholder>
          <w:docPart w:val="GBC22222222222222222222222222222"/>
        </w:placeholder>
      </w:sdtPr>
      <w:sdtEndPr>
        <w:rPr>
          <w:rStyle w:val="48"/>
          <w:rFonts w:ascii="宋体" w:hAnsi="宋体"/>
          <w:b w:val="0"/>
          <w:color w:val="000000" w:themeColor="text1"/>
          <w:szCs w:val="21"/>
          <w14:textFill>
            <w14:solidFill>
              <w14:schemeClr w14:val="tx1"/>
            </w14:solidFill>
          </w14:textFill>
        </w:rPr>
      </w:sdtEndPr>
      <w:sdtContent>
        <w:p w14:paraId="353C054C">
          <w:pPr>
            <w:rPr>
              <w:rStyle w:val="48"/>
              <w:rFonts w:ascii="宋体" w:hAnsi="宋体"/>
              <w:b w:val="0"/>
              <w:color w:val="000000" w:themeColor="text1"/>
              <w:szCs w:val="21"/>
              <w14:textFill>
                <w14:solidFill>
                  <w14:schemeClr w14:val="tx1"/>
                </w14:solidFill>
              </w14:textFill>
            </w:rPr>
          </w:pPr>
          <w:r>
            <w:rPr>
              <w:rStyle w:val="48"/>
              <w:rFonts w:ascii="宋体" w:hAnsi="宋体"/>
              <w:b w:val="0"/>
              <w:color w:val="000000" w:themeColor="text1"/>
              <w:szCs w:val="21"/>
              <w14:textFill>
                <w14:solidFill>
                  <w14:schemeClr w14:val="tx1"/>
                </w14:solidFill>
              </w14:textFill>
            </w:rPr>
            <w:fldChar w:fldCharType="begin"/>
          </w:r>
          <w:r>
            <w:rPr>
              <w:rStyle w:val="48"/>
              <w:rFonts w:hint="eastAsia" w:ascii="宋体" w:hAnsi="宋体"/>
              <w:b w:val="0"/>
              <w:color w:val="000000" w:themeColor="text1"/>
              <w:szCs w:val="21"/>
              <w14:textFill>
                <w14:solidFill>
                  <w14:schemeClr w14:val="tx1"/>
                </w14:solidFill>
              </w14:textFill>
            </w:rPr>
            <w:instrText xml:space="preserve">MACROBUTTON  SnrToggleCheckbox √适用 </w:instrText>
          </w:r>
          <w:r>
            <w:rPr>
              <w:rStyle w:val="48"/>
              <w:rFonts w:ascii="宋体" w:hAnsi="宋体"/>
              <w:b w:val="0"/>
              <w:color w:val="000000" w:themeColor="text1"/>
              <w:szCs w:val="21"/>
              <w14:textFill>
                <w14:solidFill>
                  <w14:schemeClr w14:val="tx1"/>
                </w14:solidFill>
              </w14:textFill>
            </w:rPr>
            <w:fldChar w:fldCharType="end"/>
          </w:r>
          <w:r>
            <w:rPr>
              <w:rStyle w:val="48"/>
              <w:rFonts w:ascii="宋体" w:hAnsi="宋体"/>
              <w:b w:val="0"/>
              <w:color w:val="000000" w:themeColor="text1"/>
              <w:szCs w:val="21"/>
              <w14:textFill>
                <w14:solidFill>
                  <w14:schemeClr w14:val="tx1"/>
                </w14:solidFill>
              </w14:textFill>
            </w:rPr>
            <w:fldChar w:fldCharType="begin"/>
          </w:r>
          <w:r>
            <w:rPr>
              <w:rStyle w:val="48"/>
              <w:rFonts w:ascii="宋体" w:hAnsi="宋体"/>
              <w:b w:val="0"/>
              <w:color w:val="000000" w:themeColor="text1"/>
              <w:szCs w:val="21"/>
              <w14:textFill>
                <w14:solidFill>
                  <w14:schemeClr w14:val="tx1"/>
                </w14:solidFill>
              </w14:textFill>
            </w:rPr>
            <w:instrText xml:space="preserve"> MACROBUTTON  SnrToggleCheckbox □不适用 </w:instrText>
          </w:r>
          <w:r>
            <w:rPr>
              <w:rStyle w:val="48"/>
              <w:rFonts w:ascii="宋体" w:hAnsi="宋体"/>
              <w:b w:val="0"/>
              <w:color w:val="000000" w:themeColor="text1"/>
              <w:szCs w:val="21"/>
              <w14:textFill>
                <w14:solidFill>
                  <w14:schemeClr w14:val="tx1"/>
                </w14:solidFill>
              </w14:textFill>
            </w:rPr>
            <w:fldChar w:fldCharType="end"/>
          </w:r>
        </w:p>
      </w:sdtContent>
    </w:sdt>
    <w:p w14:paraId="11185CD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单位：</w:t>
      </w:r>
      <w:sdt>
        <w:sdtPr>
          <w:rPr>
            <w:rFonts w:hint="eastAsia"/>
            <w:color w:val="000000" w:themeColor="text1"/>
            <w14:textFill>
              <w14:solidFill>
                <w14:schemeClr w14:val="tx1"/>
              </w14:solidFill>
            </w14:textFill>
          </w:rPr>
          <w:alias w:val="单位：财务附注：计入当期损益的政府补助"/>
          <w:tag w:val="_GBC_87984e2b7f344109836efe6282c2894b"/>
          <w:id w:val="6252895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计入当期损益的政府补助"/>
          <w:tag w:val="_GBC_105736a35c964ea1b5378bede4faea2f"/>
          <w:id w:val="-4059917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364"/>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873"/>
        <w:gridCol w:w="3093"/>
        <w:gridCol w:w="3093"/>
      </w:tblGrid>
      <w:tr w14:paraId="2EE4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56" w:hRule="atLeast"/>
          <w:jc w:val="center"/>
        </w:trPr>
        <w:sdt>
          <w:sdtPr>
            <w:tag w:val="_PLD_4e0950c6d44c4f6c93412dd988ce84f3"/>
            <w:id w:val="-178430697"/>
          </w:sdtPr>
          <w:sdtContent>
            <w:tc>
              <w:tcPr>
                <w:tcW w:w="1586" w:type="pct"/>
                <w:tcBorders>
                  <w:top w:val="single" w:color="auto" w:sz="4" w:space="0"/>
                  <w:left w:val="single" w:color="auto" w:sz="4" w:space="0"/>
                  <w:bottom w:val="single" w:color="auto" w:sz="4" w:space="0"/>
                  <w:right w:val="single" w:color="auto" w:sz="4" w:space="0"/>
                </w:tcBorders>
                <w:vAlign w:val="center"/>
              </w:tcPr>
              <w:p w14:paraId="30E075F0">
                <w:pPr>
                  <w:jc w:val="center"/>
                  <w:rPr>
                    <w:color w:val="000000" w:themeColor="text1"/>
                    <w14:textFill>
                      <w14:solidFill>
                        <w14:schemeClr w14:val="tx1"/>
                      </w14:solidFill>
                    </w14:textFill>
                  </w:rPr>
                </w:pPr>
                <w:bookmarkStart w:id="365" w:name="_Hlk153267868"/>
                <w:r>
                  <w:rPr>
                    <w:rFonts w:hint="eastAsia"/>
                    <w:color w:val="000000" w:themeColor="text1"/>
                    <w14:textFill>
                      <w14:solidFill>
                        <w14:schemeClr w14:val="tx1"/>
                      </w14:solidFill>
                    </w14:textFill>
                  </w:rPr>
                  <w:t>类型</w:t>
                </w:r>
              </w:p>
            </w:tc>
          </w:sdtContent>
        </w:sdt>
        <w:sdt>
          <w:sdtPr>
            <w:tag w:val="_PLD_b137547e48b242d2a32ab92cdeb61433"/>
            <w:id w:val="-1838994321"/>
          </w:sdtPr>
          <w:sdtContent>
            <w:tc>
              <w:tcPr>
                <w:tcW w:w="1707" w:type="pct"/>
                <w:tcBorders>
                  <w:top w:val="single" w:color="auto" w:sz="4" w:space="0"/>
                  <w:left w:val="single" w:color="auto" w:sz="4" w:space="0"/>
                  <w:bottom w:val="single" w:color="auto" w:sz="4" w:space="0"/>
                  <w:right w:val="single" w:color="auto" w:sz="4" w:space="0"/>
                </w:tcBorders>
                <w:vAlign w:val="center"/>
              </w:tcPr>
              <w:p w14:paraId="21569400">
                <w:pPr>
                  <w:jc w:val="center"/>
                  <w:rPr>
                    <w:color w:val="000000" w:themeColor="text1"/>
                    <w14:textFill>
                      <w14:solidFill>
                        <w14:schemeClr w14:val="tx1"/>
                      </w14:solidFill>
                    </w14:textFill>
                  </w:rPr>
                </w:pPr>
                <w:r>
                  <w:rPr>
                    <w:color w:val="000000" w:themeColor="text1"/>
                    <w14:textFill>
                      <w14:solidFill>
                        <w14:schemeClr w14:val="tx1"/>
                      </w14:solidFill>
                    </w14:textFill>
                  </w:rPr>
                  <w:t>本期发生额</w:t>
                </w:r>
              </w:p>
            </w:tc>
          </w:sdtContent>
        </w:sdt>
        <w:sdt>
          <w:sdtPr>
            <w:tag w:val="_PLD_b1f0e1514b364efda3d03053bbe4e90c"/>
            <w:id w:val="-36816394"/>
          </w:sdtPr>
          <w:sdtContent>
            <w:tc>
              <w:tcPr>
                <w:tcW w:w="1707" w:type="pct"/>
                <w:tcBorders>
                  <w:top w:val="single" w:color="auto" w:sz="4" w:space="0"/>
                  <w:left w:val="single" w:color="auto" w:sz="4" w:space="0"/>
                  <w:bottom w:val="single" w:color="auto" w:sz="4" w:space="0"/>
                  <w:right w:val="single" w:color="auto" w:sz="4" w:space="0"/>
                </w:tcBorders>
                <w:vAlign w:val="center"/>
              </w:tcPr>
              <w:p w14:paraId="7E7BF205">
                <w:pPr>
                  <w:jc w:val="center"/>
                  <w:rPr>
                    <w:color w:val="000000" w:themeColor="text1"/>
                    <w14:textFill>
                      <w14:solidFill>
                        <w14:schemeClr w14:val="tx1"/>
                      </w14:solidFill>
                    </w14:textFill>
                  </w:rPr>
                </w:pPr>
                <w:r>
                  <w:rPr>
                    <w:color w:val="000000" w:themeColor="text1"/>
                    <w14:textFill>
                      <w14:solidFill>
                        <w14:schemeClr w14:val="tx1"/>
                      </w14:solidFill>
                    </w14:textFill>
                  </w:rPr>
                  <w:t>上期发生额</w:t>
                </w:r>
              </w:p>
            </w:tc>
          </w:sdtContent>
        </w:sdt>
      </w:tr>
      <w:tr w14:paraId="3D23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alias w:val="计入当期损益的政府补助项目名称"/>
            <w:tag w:val="_GBC_a983426201404cbea85ab6577f8d9056"/>
            <w:id w:val="-573353386"/>
            <w:comboBox>
              <w:listItem w:displayText="与资产相关" w:value="与资产相关"/>
              <w:listItem w:displayText="与收益相关" w:value="与收益相关"/>
              <w:listItem w:displayText="其他" w:value="其他"/>
            </w:comboBox>
          </w:sdtPr>
          <w:sdtContent>
            <w:tc>
              <w:tcPr>
                <w:tcW w:w="1586" w:type="pct"/>
                <w:tcBorders>
                  <w:top w:val="single" w:color="auto" w:sz="4" w:space="0"/>
                  <w:left w:val="single" w:color="auto" w:sz="4" w:space="0"/>
                  <w:bottom w:val="single" w:color="auto" w:sz="4" w:space="0"/>
                  <w:right w:val="single" w:color="auto" w:sz="4" w:space="0"/>
                </w:tcBorders>
                <w:vAlign w:val="center"/>
              </w:tcPr>
              <w:p w14:paraId="35B35335">
                <w:pPr>
                  <w:jc w:val="center"/>
                </w:pPr>
                <w:r>
                  <w:t>与资产相关</w:t>
                </w:r>
              </w:p>
            </w:tc>
          </w:sdtContent>
        </w:sdt>
        <w:tc>
          <w:tcPr>
            <w:tcW w:w="1707" w:type="pct"/>
            <w:tcBorders>
              <w:top w:val="single" w:color="auto" w:sz="4" w:space="0"/>
              <w:left w:val="single" w:color="auto" w:sz="4" w:space="0"/>
              <w:bottom w:val="single" w:color="auto" w:sz="4" w:space="0"/>
              <w:right w:val="single" w:color="auto" w:sz="4" w:space="0"/>
            </w:tcBorders>
            <w:vAlign w:val="center"/>
          </w:tcPr>
          <w:p w14:paraId="2560A5B3">
            <w:pPr>
              <w:jc w:val="right"/>
              <w:rPr>
                <w:color w:val="000000"/>
              </w:rPr>
            </w:pPr>
            <w:r>
              <w:rPr>
                <w:rFonts w:hint="eastAsia"/>
                <w:color w:val="000000"/>
              </w:rPr>
              <w:t>6,837,292.26</w:t>
            </w:r>
          </w:p>
        </w:tc>
        <w:tc>
          <w:tcPr>
            <w:tcW w:w="1707" w:type="pct"/>
            <w:tcBorders>
              <w:top w:val="single" w:color="auto" w:sz="4" w:space="0"/>
              <w:left w:val="single" w:color="auto" w:sz="4" w:space="0"/>
              <w:bottom w:val="single" w:color="auto" w:sz="4" w:space="0"/>
              <w:right w:val="single" w:color="auto" w:sz="4" w:space="0"/>
            </w:tcBorders>
            <w:vAlign w:val="center"/>
          </w:tcPr>
          <w:p w14:paraId="47D61AE0">
            <w:pPr>
              <w:jc w:val="right"/>
              <w:rPr>
                <w:color w:val="000000"/>
              </w:rPr>
            </w:pPr>
            <w:r>
              <w:rPr>
                <w:rFonts w:hint="eastAsia"/>
                <w:color w:val="000000"/>
              </w:rPr>
              <w:t>151,666.28</w:t>
            </w:r>
          </w:p>
        </w:tc>
      </w:tr>
      <w:tr w14:paraId="2C02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6" w:type="pct"/>
            <w:tcBorders>
              <w:top w:val="single" w:color="auto" w:sz="4" w:space="0"/>
              <w:left w:val="single" w:color="auto" w:sz="4" w:space="0"/>
              <w:bottom w:val="single" w:color="auto" w:sz="4" w:space="0"/>
              <w:right w:val="single" w:color="auto" w:sz="4" w:space="0"/>
            </w:tcBorders>
            <w:vAlign w:val="center"/>
          </w:tcPr>
          <w:p w14:paraId="4A603CF4">
            <w:pPr>
              <w:jc w:val="center"/>
            </w:pPr>
            <w:r>
              <w:rPr>
                <w:rFonts w:hint="eastAsia"/>
              </w:rPr>
              <w:t>与收益相关</w:t>
            </w:r>
          </w:p>
        </w:tc>
        <w:tc>
          <w:tcPr>
            <w:tcW w:w="1707" w:type="pct"/>
            <w:tcBorders>
              <w:top w:val="single" w:color="auto" w:sz="4" w:space="0"/>
              <w:left w:val="single" w:color="auto" w:sz="4" w:space="0"/>
              <w:bottom w:val="single" w:color="auto" w:sz="4" w:space="0"/>
              <w:right w:val="single" w:color="auto" w:sz="4" w:space="0"/>
            </w:tcBorders>
            <w:vAlign w:val="center"/>
          </w:tcPr>
          <w:p w14:paraId="6F7D34F9">
            <w:pPr>
              <w:jc w:val="right"/>
              <w:rPr>
                <w:color w:val="000000"/>
              </w:rPr>
            </w:pPr>
            <w:r>
              <w:rPr>
                <w:rFonts w:hint="eastAsia"/>
                <w:color w:val="000000"/>
              </w:rPr>
              <w:t>162,923,494.22</w:t>
            </w:r>
          </w:p>
        </w:tc>
        <w:tc>
          <w:tcPr>
            <w:tcW w:w="1707" w:type="pct"/>
            <w:tcBorders>
              <w:top w:val="single" w:color="auto" w:sz="4" w:space="0"/>
              <w:left w:val="single" w:color="auto" w:sz="4" w:space="0"/>
              <w:bottom w:val="single" w:color="auto" w:sz="4" w:space="0"/>
              <w:right w:val="single" w:color="auto" w:sz="4" w:space="0"/>
            </w:tcBorders>
            <w:vAlign w:val="center"/>
          </w:tcPr>
          <w:p w14:paraId="7D9D7C81">
            <w:pPr>
              <w:jc w:val="right"/>
              <w:rPr>
                <w:color w:val="000000"/>
              </w:rPr>
            </w:pPr>
            <w:r>
              <w:rPr>
                <w:rFonts w:hint="eastAsia"/>
                <w:color w:val="000000"/>
              </w:rPr>
              <w:t>6,426,022.72</w:t>
            </w:r>
          </w:p>
        </w:tc>
      </w:tr>
      <w:tr w14:paraId="6D76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586" w:type="pct"/>
            <w:tcBorders>
              <w:top w:val="single" w:color="auto" w:sz="4" w:space="0"/>
              <w:left w:val="single" w:color="auto" w:sz="4" w:space="0"/>
              <w:bottom w:val="single" w:color="auto" w:sz="4" w:space="0"/>
              <w:right w:val="single" w:color="auto" w:sz="4" w:space="0"/>
            </w:tcBorders>
            <w:vAlign w:val="center"/>
          </w:tcPr>
          <w:p w14:paraId="3551F44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707" w:type="pct"/>
            <w:tcBorders>
              <w:top w:val="single" w:color="auto" w:sz="4" w:space="0"/>
              <w:left w:val="single" w:color="auto" w:sz="4" w:space="0"/>
              <w:bottom w:val="single" w:color="auto" w:sz="4" w:space="0"/>
              <w:right w:val="single" w:color="auto" w:sz="4" w:space="0"/>
            </w:tcBorders>
            <w:vAlign w:val="center"/>
          </w:tcPr>
          <w:p w14:paraId="17B00045">
            <w:pPr>
              <w:jc w:val="right"/>
              <w:rPr>
                <w:color w:val="000000"/>
              </w:rPr>
            </w:pPr>
            <w:r>
              <w:rPr>
                <w:rFonts w:hint="eastAsia"/>
                <w:color w:val="000000"/>
              </w:rPr>
              <w:t>169,760,786.48</w:t>
            </w:r>
          </w:p>
        </w:tc>
        <w:tc>
          <w:tcPr>
            <w:tcW w:w="1707" w:type="pct"/>
            <w:tcBorders>
              <w:top w:val="single" w:color="auto" w:sz="4" w:space="0"/>
              <w:left w:val="single" w:color="auto" w:sz="4" w:space="0"/>
              <w:bottom w:val="single" w:color="auto" w:sz="4" w:space="0"/>
              <w:right w:val="single" w:color="auto" w:sz="4" w:space="0"/>
            </w:tcBorders>
            <w:vAlign w:val="center"/>
          </w:tcPr>
          <w:p w14:paraId="3A9B81D8">
            <w:pPr>
              <w:jc w:val="right"/>
              <w:rPr>
                <w:color w:val="000000"/>
              </w:rPr>
            </w:pPr>
            <w:r>
              <w:rPr>
                <w:rFonts w:hint="eastAsia"/>
                <w:color w:val="000000"/>
              </w:rPr>
              <w:t>6,577,689.00</w:t>
            </w:r>
          </w:p>
        </w:tc>
      </w:tr>
    </w:tbl>
    <w:p w14:paraId="54B7EE49"/>
    <w:p w14:paraId="42730A1E">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p w14:paraId="560C1785">
      <w:pPr>
        <w:rPr>
          <w:color w:val="000000" w:themeColor="text1"/>
          <w14:textFill>
            <w14:solidFill>
              <w14:schemeClr w14:val="tx1"/>
            </w14:solidFill>
          </w14:textFill>
        </w:rPr>
      </w:pPr>
      <w:sdt>
        <w:sdtPr>
          <w:rPr>
            <w:color w:val="000000" w:themeColor="text1"/>
            <w14:textFill>
              <w14:solidFill>
                <w14:schemeClr w14:val="tx1"/>
              </w14:solidFill>
            </w14:textFill>
          </w:rPr>
          <w:alias w:val="政府补助说明"/>
          <w:tag w:val="_GBC_2db67f97ef974f8db75ebfb04517ea6f"/>
          <w:id w:val="58534844"/>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注：与收益相关政府补助上期发生额包含直接冲减财务费用的财政贷款贴息金额5,820,000.00元。</w:t>
          </w:r>
        </w:sdtContent>
      </w:sdt>
    </w:p>
    <w:p w14:paraId="1B249343">
      <w:pPr>
        <w:rPr>
          <w:color w:val="000000" w:themeColor="text1"/>
          <w14:textFill>
            <w14:solidFill>
              <w14:schemeClr w14:val="tx1"/>
            </w14:solidFill>
          </w14:textFill>
        </w:rPr>
      </w:pPr>
    </w:p>
    <w:bookmarkEnd w:id="360"/>
    <w:bookmarkEnd w:id="365"/>
    <w:p w14:paraId="06667ADD">
      <w:pPr>
        <w:pStyle w:val="3"/>
        <w:numPr>
          <w:ilvl w:val="0"/>
          <w:numId w:val="30"/>
        </w:numPr>
        <w:ind w:left="420" w:hanging="420"/>
        <w:rPr>
          <w:rFonts w:ascii="宋体" w:hAnsi="宋体"/>
          <w:color w:val="000000" w:themeColor="text1"/>
          <w14:textFill>
            <w14:solidFill>
              <w14:schemeClr w14:val="tx1"/>
            </w14:solidFill>
          </w14:textFill>
        </w:rPr>
      </w:pPr>
      <w:bookmarkStart w:id="366" w:name="_Hlk167976349"/>
      <w:r>
        <w:rPr>
          <w:rFonts w:hint="eastAsia" w:ascii="宋体" w:hAnsi="宋体"/>
          <w:color w:val="000000" w:themeColor="text1"/>
          <w14:textFill>
            <w14:solidFill>
              <w14:schemeClr w14:val="tx1"/>
            </w14:solidFill>
          </w14:textFill>
        </w:rPr>
        <w:t>与金融工具相关的风险</w:t>
      </w:r>
    </w:p>
    <w:p w14:paraId="394A8A5E">
      <w:pPr>
        <w:pStyle w:val="4"/>
        <w:numPr>
          <w:ilvl w:val="0"/>
          <w:numId w:val="87"/>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金融工具的风险</w:t>
      </w:r>
    </w:p>
    <w:sdt>
      <w:sdtPr>
        <w:rPr>
          <w:color w:val="000000" w:themeColor="text1"/>
          <w14:textFill>
            <w14:solidFill>
              <w14:schemeClr w14:val="tx1"/>
            </w14:solidFill>
          </w14:textFill>
        </w:rPr>
        <w:alias w:val="是否适用：与金融工具相关的风险[双击切换]"/>
        <w:tag w:val="_GBC_e1cf17d3b39745d798050adfebdd2723"/>
        <w:id w:val="254792468"/>
        <w:placeholder>
          <w:docPart w:val="GBC22222222222222222222222222222"/>
        </w:placeholder>
      </w:sdtPr>
      <w:sdtEndPr>
        <w:rPr>
          <w:color w:val="000000" w:themeColor="text1"/>
          <w14:textFill>
            <w14:solidFill>
              <w14:schemeClr w14:val="tx1"/>
            </w14:solidFill>
          </w14:textFill>
        </w:rPr>
      </w:sdtEndPr>
      <w:sdtContent>
        <w:p w14:paraId="1730822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与金融工具相关的风险"/>
        <w:tag w:val="_GBC_a654575471934b06b0c3b91a6a980434"/>
        <w:id w:val="514035427"/>
        <w:placeholder>
          <w:docPart w:val="GBC22222222222222222222222222222"/>
        </w:placeholder>
      </w:sdtPr>
      <w:sdtEndPr>
        <w:rPr>
          <w:b/>
          <w:color w:val="000000" w:themeColor="text1"/>
          <w14:textFill>
            <w14:solidFill>
              <w14:schemeClr w14:val="tx1"/>
            </w14:solidFill>
          </w14:textFill>
        </w:rPr>
      </w:sdtEndPr>
      <w:sdtContent>
        <w:p w14:paraId="321594A3">
          <w:pPr>
            <w:autoSpaceDE w:val="0"/>
            <w:autoSpaceDN w:val="0"/>
            <w:adjustRightInd w:val="0"/>
            <w:spacing w:line="360" w:lineRule="auto"/>
            <w:ind w:firstLine="420" w:firstLineChars="200"/>
            <w:rPr>
              <w:rFonts w:ascii="宋体" w:hAnsi="宋体"/>
            </w:rPr>
          </w:pPr>
          <w:r>
            <w:rPr>
              <w:rFonts w:hint="eastAsia" w:ascii="宋体" w:hAnsi="宋体"/>
            </w:rPr>
            <w:t>本公司的主要金融工具包括货币资金、股权投资、借款、应收款项、应付款项等。本公司的金融工具导致的主要风险是信用风险、流动性风险及市场风险。</w:t>
          </w:r>
        </w:p>
        <w:p w14:paraId="68B754B3">
          <w:pPr>
            <w:spacing w:line="360" w:lineRule="auto"/>
            <w:ind w:firstLine="420" w:firstLineChars="200"/>
            <w:outlineLvl w:val="2"/>
            <w:rPr>
              <w:rFonts w:ascii="宋体" w:hAnsi="宋体"/>
            </w:rPr>
          </w:pPr>
          <w:r>
            <w:rPr>
              <w:rFonts w:hint="eastAsia" w:ascii="宋体" w:hAnsi="宋体"/>
            </w:rPr>
            <w:t>（一）金融工具的风险</w:t>
          </w:r>
        </w:p>
        <w:p w14:paraId="423098A2">
          <w:pPr>
            <w:autoSpaceDE w:val="0"/>
            <w:autoSpaceDN w:val="0"/>
            <w:adjustRightInd w:val="0"/>
            <w:spacing w:line="360" w:lineRule="auto"/>
            <w:ind w:firstLine="420" w:firstLineChars="200"/>
            <w:rPr>
              <w:rFonts w:ascii="宋体" w:hAnsi="宋体"/>
            </w:rPr>
          </w:pPr>
          <w:r>
            <w:rPr>
              <w:rFonts w:hint="eastAsia" w:ascii="宋体" w:hAnsi="宋体"/>
            </w:rPr>
            <w:t>金融工具的分类</w:t>
          </w:r>
        </w:p>
        <w:p w14:paraId="18FA314D">
          <w:pPr>
            <w:autoSpaceDE w:val="0"/>
            <w:autoSpaceDN w:val="0"/>
            <w:adjustRightInd w:val="0"/>
            <w:spacing w:line="360" w:lineRule="auto"/>
            <w:ind w:firstLine="420" w:firstLineChars="200"/>
            <w:rPr>
              <w:rFonts w:ascii="宋体" w:hAnsi="宋体"/>
            </w:rPr>
          </w:pPr>
          <w:r>
            <w:rPr>
              <w:rFonts w:hint="eastAsia" w:ascii="宋体" w:hAnsi="宋体"/>
            </w:rPr>
            <w:t>（1）资产负债表日的各类金融资产的账面价值</w:t>
          </w:r>
        </w:p>
        <w:p w14:paraId="1873541C">
          <w:pPr>
            <w:autoSpaceDE w:val="0"/>
            <w:autoSpaceDN w:val="0"/>
            <w:adjustRightInd w:val="0"/>
            <w:spacing w:line="360" w:lineRule="auto"/>
            <w:ind w:firstLine="420" w:firstLineChars="200"/>
            <w:rPr>
              <w:rFonts w:ascii="宋体" w:hAnsi="宋体"/>
            </w:rPr>
          </w:pPr>
          <w:r>
            <w:rPr>
              <w:rFonts w:hint="eastAsia" w:ascii="宋体" w:hAnsi="宋体"/>
            </w:rPr>
            <w:t>1）202</w:t>
          </w:r>
          <w:r>
            <w:rPr>
              <w:rFonts w:ascii="宋体" w:hAnsi="宋体"/>
            </w:rPr>
            <w:t>5</w:t>
          </w:r>
          <w:r>
            <w:rPr>
              <w:rFonts w:hint="eastAsia" w:ascii="宋体" w:hAnsi="宋体"/>
            </w:rPr>
            <w:t>年</w:t>
          </w:r>
          <w:r>
            <w:rPr>
              <w:rFonts w:ascii="宋体" w:hAnsi="宋体"/>
            </w:rPr>
            <w:t>6</w:t>
          </w:r>
          <w:r>
            <w:rPr>
              <w:rFonts w:hint="eastAsia" w:ascii="宋体" w:hAnsi="宋体"/>
            </w:rPr>
            <w:t>月3</w:t>
          </w:r>
          <w:r>
            <w:rPr>
              <w:rFonts w:ascii="宋体" w:hAnsi="宋体"/>
            </w:rPr>
            <w:t>0</w:t>
          </w:r>
          <w:r>
            <w:rPr>
              <w:rFonts w:hint="eastAsia" w:ascii="宋体" w:hAnsi="宋体"/>
            </w:rPr>
            <w:t>日</w:t>
          </w:r>
        </w:p>
        <w:p w14:paraId="0ADE161F">
          <w:pPr>
            <w:autoSpaceDE w:val="0"/>
            <w:autoSpaceDN w:val="0"/>
            <w:adjustRightInd w:val="0"/>
            <w:spacing w:after="120" w:afterLines="50" w:line="360" w:lineRule="exact"/>
            <w:ind w:firstLine="420" w:firstLineChars="200"/>
            <w:jc w:val="right"/>
            <w:rPr>
              <w:rFonts w:ascii="宋体" w:hAnsi="宋体"/>
            </w:rPr>
          </w:pPr>
          <w:r>
            <w:rPr>
              <w:rFonts w:hint="eastAsia"/>
            </w:rPr>
            <w:t xml:space="preserve"> </w:t>
          </w:r>
          <w:r>
            <w:t xml:space="preserve">  </w:t>
          </w:r>
          <w:r>
            <w:rPr>
              <w:rFonts w:hint="eastAsia" w:ascii="宋体" w:hAnsi="宋体"/>
            </w:rPr>
            <w:t>单位：万元</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1468"/>
            <w:gridCol w:w="1996"/>
            <w:gridCol w:w="2136"/>
            <w:gridCol w:w="1318"/>
          </w:tblGrid>
          <w:tr w14:paraId="39E3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78" w:type="pct"/>
                <w:vAlign w:val="center"/>
              </w:tcPr>
              <w:p w14:paraId="48054C3F">
                <w:pPr>
                  <w:jc w:val="center"/>
                  <w:rPr>
                    <w:rFonts w:ascii="Arial Narrow" w:hAnsi="Arial Narrow"/>
                    <w:b/>
                    <w:sz w:val="18"/>
                    <w:szCs w:val="18"/>
                  </w:rPr>
                </w:pPr>
                <w:r>
                  <w:rPr>
                    <w:rFonts w:hint="eastAsia" w:ascii="Arial Narrow" w:hAnsi="Arial Narrow"/>
                    <w:b/>
                    <w:sz w:val="18"/>
                    <w:szCs w:val="18"/>
                  </w:rPr>
                  <w:t>金融资产</w:t>
                </w:r>
                <w:r>
                  <w:rPr>
                    <w:rFonts w:ascii="Arial Narrow" w:hAnsi="Arial Narrow"/>
                    <w:b/>
                    <w:sz w:val="18"/>
                    <w:szCs w:val="18"/>
                  </w:rPr>
                  <w:t>项目</w:t>
                </w:r>
              </w:p>
            </w:tc>
            <w:tc>
              <w:tcPr>
                <w:tcW w:w="811" w:type="pct"/>
                <w:vAlign w:val="center"/>
              </w:tcPr>
              <w:p w14:paraId="0E4AE2D5">
                <w:pPr>
                  <w:jc w:val="center"/>
                  <w:rPr>
                    <w:rFonts w:ascii="Arial Narrow" w:hAnsi="Arial Narrow"/>
                    <w:b/>
                    <w:sz w:val="18"/>
                    <w:szCs w:val="18"/>
                  </w:rPr>
                </w:pPr>
                <w:r>
                  <w:rPr>
                    <w:rFonts w:hint="eastAsia" w:ascii="Arial Narrow" w:hAnsi="Arial Narrow"/>
                    <w:b/>
                    <w:sz w:val="18"/>
                    <w:szCs w:val="18"/>
                  </w:rPr>
                  <w:t>以摊余成本计量的金融资产</w:t>
                </w:r>
              </w:p>
            </w:tc>
            <w:tc>
              <w:tcPr>
                <w:tcW w:w="1103" w:type="pct"/>
                <w:vAlign w:val="center"/>
              </w:tcPr>
              <w:p w14:paraId="69ECC5F7">
                <w:pPr>
                  <w:jc w:val="center"/>
                  <w:rPr>
                    <w:rFonts w:ascii="Arial Narrow" w:hAnsi="Arial Narrow"/>
                    <w:b/>
                    <w:sz w:val="18"/>
                    <w:szCs w:val="18"/>
                  </w:rPr>
                </w:pPr>
                <w:r>
                  <w:rPr>
                    <w:rFonts w:hint="eastAsia" w:ascii="Arial Narrow" w:hAnsi="Arial Narrow"/>
                    <w:b/>
                    <w:sz w:val="18"/>
                    <w:szCs w:val="18"/>
                  </w:rPr>
                  <w:t>以公允价值计量且其变动计入当期损益的金融资产</w:t>
                </w:r>
              </w:p>
            </w:tc>
            <w:tc>
              <w:tcPr>
                <w:tcW w:w="1180" w:type="pct"/>
                <w:vAlign w:val="center"/>
              </w:tcPr>
              <w:p w14:paraId="3B738499">
                <w:pPr>
                  <w:jc w:val="center"/>
                  <w:rPr>
                    <w:rFonts w:ascii="Arial Narrow" w:hAnsi="Arial Narrow"/>
                    <w:b/>
                    <w:sz w:val="18"/>
                    <w:szCs w:val="18"/>
                  </w:rPr>
                </w:pPr>
                <w:r>
                  <w:rPr>
                    <w:rFonts w:hint="eastAsia" w:ascii="Arial Narrow" w:hAnsi="Arial Narrow"/>
                    <w:b/>
                    <w:sz w:val="18"/>
                    <w:szCs w:val="18"/>
                  </w:rPr>
                  <w:t>以公允价值计量</w:t>
                </w:r>
                <w:r>
                  <w:rPr>
                    <w:rFonts w:ascii="Arial Narrow" w:hAnsi="Arial Narrow"/>
                    <w:b/>
                    <w:sz w:val="18"/>
                    <w:szCs w:val="18"/>
                  </w:rPr>
                  <w:t>且其变动计入其他综合</w:t>
                </w:r>
                <w:r>
                  <w:rPr>
                    <w:rFonts w:hint="eastAsia" w:ascii="Arial Narrow" w:hAnsi="Arial Narrow"/>
                    <w:b/>
                    <w:sz w:val="18"/>
                    <w:szCs w:val="18"/>
                  </w:rPr>
                  <w:t>收益</w:t>
                </w:r>
                <w:r>
                  <w:rPr>
                    <w:rFonts w:ascii="Arial Narrow" w:hAnsi="Arial Narrow"/>
                    <w:b/>
                    <w:sz w:val="18"/>
                    <w:szCs w:val="18"/>
                  </w:rPr>
                  <w:t>的金融资产</w:t>
                </w:r>
              </w:p>
            </w:tc>
            <w:tc>
              <w:tcPr>
                <w:tcW w:w="729" w:type="pct"/>
                <w:vAlign w:val="center"/>
              </w:tcPr>
              <w:p w14:paraId="59B2C2B0">
                <w:pPr>
                  <w:jc w:val="center"/>
                  <w:rPr>
                    <w:rFonts w:ascii="Arial Narrow" w:hAnsi="Arial Narrow"/>
                    <w:b/>
                    <w:sz w:val="18"/>
                    <w:szCs w:val="18"/>
                  </w:rPr>
                </w:pPr>
                <w:r>
                  <w:rPr>
                    <w:rFonts w:hint="eastAsia" w:ascii="Arial Narrow" w:hAnsi="Arial Narrow"/>
                    <w:b/>
                    <w:sz w:val="18"/>
                    <w:szCs w:val="18"/>
                  </w:rPr>
                  <w:t>合计</w:t>
                </w:r>
              </w:p>
            </w:tc>
          </w:tr>
          <w:tr w14:paraId="571E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78" w:type="pct"/>
                <w:vAlign w:val="center"/>
              </w:tcPr>
              <w:p w14:paraId="71CA9010">
                <w:pPr>
                  <w:jc w:val="center"/>
                  <w:rPr>
                    <w:rFonts w:ascii="Arial Narrow" w:hAnsi="Arial Narrow"/>
                    <w:sz w:val="18"/>
                    <w:szCs w:val="18"/>
                  </w:rPr>
                </w:pPr>
                <w:r>
                  <w:rPr>
                    <w:rFonts w:hint="eastAsia" w:ascii="Arial Narrow" w:hAnsi="Arial Narrow"/>
                    <w:sz w:val="18"/>
                    <w:szCs w:val="18"/>
                  </w:rPr>
                  <w:t>货币资金</w:t>
                </w:r>
              </w:p>
            </w:tc>
            <w:tc>
              <w:tcPr>
                <w:tcW w:w="811" w:type="pct"/>
                <w:vAlign w:val="center"/>
              </w:tcPr>
              <w:p w14:paraId="0305A862">
                <w:pPr>
                  <w:jc w:val="right"/>
                  <w:rPr>
                    <w:rFonts w:ascii="宋体" w:hAnsi="宋体"/>
                    <w:color w:val="000000"/>
                    <w:sz w:val="18"/>
                    <w:szCs w:val="18"/>
                  </w:rPr>
                </w:pPr>
                <w:r>
                  <w:rPr>
                    <w:rFonts w:ascii="宋体" w:hAnsi="宋体"/>
                    <w:color w:val="000000"/>
                    <w:sz w:val="18"/>
                    <w:szCs w:val="18"/>
                  </w:rPr>
                  <w:t>323,710.80</w:t>
                </w:r>
              </w:p>
            </w:tc>
            <w:tc>
              <w:tcPr>
                <w:tcW w:w="1103" w:type="pct"/>
                <w:vAlign w:val="center"/>
              </w:tcPr>
              <w:p w14:paraId="0B1960BE">
                <w:pPr>
                  <w:jc w:val="right"/>
                  <w:rPr>
                    <w:rFonts w:ascii="宋体" w:hAnsi="宋体"/>
                    <w:color w:val="000000"/>
                    <w:sz w:val="18"/>
                    <w:szCs w:val="18"/>
                  </w:rPr>
                </w:pPr>
              </w:p>
            </w:tc>
            <w:tc>
              <w:tcPr>
                <w:tcW w:w="1180" w:type="pct"/>
                <w:vAlign w:val="center"/>
              </w:tcPr>
              <w:p w14:paraId="67A101C9">
                <w:pPr>
                  <w:jc w:val="right"/>
                  <w:rPr>
                    <w:rFonts w:ascii="宋体" w:hAnsi="宋体"/>
                    <w:color w:val="000000"/>
                    <w:sz w:val="18"/>
                    <w:szCs w:val="18"/>
                  </w:rPr>
                </w:pPr>
              </w:p>
            </w:tc>
            <w:tc>
              <w:tcPr>
                <w:tcW w:w="729" w:type="pct"/>
                <w:vAlign w:val="center"/>
              </w:tcPr>
              <w:p w14:paraId="26CE65A9">
                <w:pPr>
                  <w:jc w:val="right"/>
                  <w:rPr>
                    <w:rFonts w:ascii="宋体" w:hAnsi="宋体"/>
                    <w:color w:val="000000"/>
                    <w:sz w:val="18"/>
                    <w:szCs w:val="18"/>
                  </w:rPr>
                </w:pPr>
                <w:r>
                  <w:rPr>
                    <w:rFonts w:ascii="宋体" w:hAnsi="宋体"/>
                    <w:color w:val="000000"/>
                    <w:sz w:val="18"/>
                    <w:szCs w:val="18"/>
                  </w:rPr>
                  <w:t>323,710.80</w:t>
                </w:r>
              </w:p>
            </w:tc>
          </w:tr>
          <w:tr w14:paraId="55BD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78" w:type="pct"/>
                <w:vAlign w:val="center"/>
              </w:tcPr>
              <w:p w14:paraId="549CC859">
                <w:pPr>
                  <w:jc w:val="center"/>
                  <w:rPr>
                    <w:rFonts w:ascii="Arial Narrow" w:hAnsi="Arial Narrow"/>
                    <w:color w:val="0000FF"/>
                    <w:sz w:val="18"/>
                    <w:szCs w:val="18"/>
                  </w:rPr>
                </w:pPr>
                <w:r>
                  <w:rPr>
                    <w:rFonts w:hint="eastAsia" w:ascii="Arial Narrow" w:hAnsi="Arial Narrow"/>
                    <w:sz w:val="18"/>
                    <w:szCs w:val="18"/>
                  </w:rPr>
                  <w:t>应收票据</w:t>
                </w:r>
              </w:p>
            </w:tc>
            <w:tc>
              <w:tcPr>
                <w:tcW w:w="811" w:type="pct"/>
                <w:vAlign w:val="center"/>
              </w:tcPr>
              <w:p w14:paraId="1DBEF1F3">
                <w:pPr>
                  <w:jc w:val="right"/>
                  <w:rPr>
                    <w:rFonts w:ascii="宋体" w:hAnsi="宋体"/>
                    <w:color w:val="000000"/>
                    <w:sz w:val="18"/>
                    <w:szCs w:val="18"/>
                  </w:rPr>
                </w:pPr>
                <w:r>
                  <w:rPr>
                    <w:rFonts w:hint="eastAsia" w:ascii="宋体" w:hAnsi="宋体"/>
                    <w:color w:val="000000"/>
                    <w:sz w:val="18"/>
                    <w:szCs w:val="18"/>
                  </w:rPr>
                  <w:t>17,283.78</w:t>
                </w:r>
              </w:p>
            </w:tc>
            <w:tc>
              <w:tcPr>
                <w:tcW w:w="1103" w:type="pct"/>
                <w:vAlign w:val="center"/>
              </w:tcPr>
              <w:p w14:paraId="4154B52B">
                <w:pPr>
                  <w:jc w:val="right"/>
                  <w:rPr>
                    <w:rFonts w:ascii="宋体" w:hAnsi="宋体"/>
                    <w:color w:val="000000"/>
                    <w:sz w:val="18"/>
                    <w:szCs w:val="18"/>
                  </w:rPr>
                </w:pPr>
              </w:p>
            </w:tc>
            <w:tc>
              <w:tcPr>
                <w:tcW w:w="1180" w:type="pct"/>
                <w:vAlign w:val="center"/>
              </w:tcPr>
              <w:p w14:paraId="69B70DCE">
                <w:pPr>
                  <w:jc w:val="right"/>
                  <w:rPr>
                    <w:rFonts w:ascii="宋体" w:hAnsi="宋体"/>
                    <w:color w:val="000000"/>
                    <w:sz w:val="18"/>
                    <w:szCs w:val="18"/>
                  </w:rPr>
                </w:pPr>
              </w:p>
            </w:tc>
            <w:tc>
              <w:tcPr>
                <w:tcW w:w="729" w:type="pct"/>
                <w:vAlign w:val="center"/>
              </w:tcPr>
              <w:p w14:paraId="2E999A36">
                <w:pPr>
                  <w:jc w:val="right"/>
                  <w:rPr>
                    <w:rFonts w:ascii="宋体" w:hAnsi="宋体"/>
                    <w:color w:val="000000"/>
                    <w:sz w:val="18"/>
                    <w:szCs w:val="18"/>
                  </w:rPr>
                </w:pPr>
                <w:r>
                  <w:rPr>
                    <w:rFonts w:hint="eastAsia" w:ascii="宋体" w:hAnsi="宋体"/>
                    <w:color w:val="000000"/>
                    <w:sz w:val="18"/>
                    <w:szCs w:val="18"/>
                  </w:rPr>
                  <w:t>17,283.78</w:t>
                </w:r>
              </w:p>
            </w:tc>
          </w:tr>
          <w:tr w14:paraId="3587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78" w:type="pct"/>
                <w:vAlign w:val="center"/>
              </w:tcPr>
              <w:p w14:paraId="711C4D8D">
                <w:pPr>
                  <w:jc w:val="center"/>
                  <w:rPr>
                    <w:rFonts w:ascii="Arial Narrow" w:hAnsi="Arial Narrow"/>
                    <w:color w:val="0000FF"/>
                    <w:sz w:val="18"/>
                    <w:szCs w:val="18"/>
                  </w:rPr>
                </w:pPr>
                <w:r>
                  <w:rPr>
                    <w:rFonts w:hint="eastAsia" w:ascii="Arial Narrow" w:hAnsi="Arial Narrow"/>
                    <w:sz w:val="18"/>
                    <w:szCs w:val="18"/>
                  </w:rPr>
                  <w:t>应收账款</w:t>
                </w:r>
              </w:p>
            </w:tc>
            <w:tc>
              <w:tcPr>
                <w:tcW w:w="811" w:type="pct"/>
                <w:vAlign w:val="center"/>
              </w:tcPr>
              <w:p w14:paraId="65D819AC">
                <w:pPr>
                  <w:jc w:val="right"/>
                  <w:rPr>
                    <w:rFonts w:ascii="宋体" w:hAnsi="宋体"/>
                    <w:color w:val="000000"/>
                    <w:sz w:val="18"/>
                    <w:szCs w:val="18"/>
                  </w:rPr>
                </w:pPr>
                <w:r>
                  <w:rPr>
                    <w:rFonts w:ascii="宋体" w:hAnsi="宋体"/>
                    <w:color w:val="000000"/>
                    <w:sz w:val="18"/>
                    <w:szCs w:val="18"/>
                  </w:rPr>
                  <w:t>126,354.75</w:t>
                </w:r>
              </w:p>
            </w:tc>
            <w:tc>
              <w:tcPr>
                <w:tcW w:w="1103" w:type="pct"/>
                <w:vAlign w:val="center"/>
              </w:tcPr>
              <w:p w14:paraId="2E5DDAA4">
                <w:pPr>
                  <w:jc w:val="right"/>
                  <w:rPr>
                    <w:rFonts w:ascii="宋体" w:hAnsi="宋体"/>
                    <w:color w:val="000000"/>
                    <w:sz w:val="18"/>
                    <w:szCs w:val="18"/>
                  </w:rPr>
                </w:pPr>
              </w:p>
            </w:tc>
            <w:tc>
              <w:tcPr>
                <w:tcW w:w="1180" w:type="pct"/>
                <w:vAlign w:val="center"/>
              </w:tcPr>
              <w:p w14:paraId="6199826B">
                <w:pPr>
                  <w:jc w:val="right"/>
                  <w:rPr>
                    <w:rFonts w:ascii="宋体" w:hAnsi="宋体"/>
                    <w:color w:val="000000"/>
                    <w:sz w:val="18"/>
                    <w:szCs w:val="18"/>
                  </w:rPr>
                </w:pPr>
              </w:p>
            </w:tc>
            <w:tc>
              <w:tcPr>
                <w:tcW w:w="729" w:type="pct"/>
                <w:vAlign w:val="center"/>
              </w:tcPr>
              <w:p w14:paraId="592D2F97">
                <w:pPr>
                  <w:jc w:val="right"/>
                  <w:rPr>
                    <w:rFonts w:ascii="宋体" w:hAnsi="宋体"/>
                    <w:color w:val="000000"/>
                    <w:sz w:val="18"/>
                    <w:szCs w:val="18"/>
                  </w:rPr>
                </w:pPr>
                <w:r>
                  <w:rPr>
                    <w:rFonts w:ascii="宋体" w:hAnsi="宋体"/>
                    <w:color w:val="000000"/>
                    <w:sz w:val="18"/>
                    <w:szCs w:val="18"/>
                  </w:rPr>
                  <w:t>126,354.75</w:t>
                </w:r>
              </w:p>
            </w:tc>
          </w:tr>
          <w:tr w14:paraId="7AED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78" w:type="pct"/>
                <w:vAlign w:val="center"/>
              </w:tcPr>
              <w:p w14:paraId="2F8CB239">
                <w:pPr>
                  <w:jc w:val="center"/>
                  <w:rPr>
                    <w:rFonts w:ascii="Arial Narrow" w:hAnsi="Arial Narrow"/>
                    <w:color w:val="0000FF"/>
                    <w:sz w:val="18"/>
                    <w:szCs w:val="18"/>
                  </w:rPr>
                </w:pPr>
                <w:r>
                  <w:rPr>
                    <w:rFonts w:hint="eastAsia" w:ascii="Arial Narrow" w:hAnsi="Arial Narrow"/>
                    <w:sz w:val="18"/>
                    <w:szCs w:val="18"/>
                  </w:rPr>
                  <w:t>应收</w:t>
                </w:r>
                <w:r>
                  <w:rPr>
                    <w:rFonts w:ascii="Arial Narrow" w:hAnsi="Arial Narrow"/>
                    <w:sz w:val="18"/>
                    <w:szCs w:val="18"/>
                  </w:rPr>
                  <w:t>款项融资</w:t>
                </w:r>
              </w:p>
            </w:tc>
            <w:tc>
              <w:tcPr>
                <w:tcW w:w="811" w:type="pct"/>
                <w:vAlign w:val="center"/>
              </w:tcPr>
              <w:p w14:paraId="439DEE41">
                <w:pPr>
                  <w:jc w:val="right"/>
                  <w:rPr>
                    <w:rFonts w:ascii="宋体" w:hAnsi="宋体"/>
                    <w:color w:val="000000"/>
                    <w:sz w:val="18"/>
                    <w:szCs w:val="18"/>
                  </w:rPr>
                </w:pPr>
                <w:r>
                  <w:rPr>
                    <w:rFonts w:hint="eastAsia" w:ascii="宋体" w:hAnsi="宋体"/>
                    <w:color w:val="000000"/>
                    <w:sz w:val="18"/>
                    <w:szCs w:val="18"/>
                  </w:rPr>
                  <w:t>24,876.13</w:t>
                </w:r>
              </w:p>
            </w:tc>
            <w:tc>
              <w:tcPr>
                <w:tcW w:w="1103" w:type="pct"/>
                <w:vAlign w:val="center"/>
              </w:tcPr>
              <w:p w14:paraId="1CC9FA46">
                <w:pPr>
                  <w:jc w:val="right"/>
                  <w:rPr>
                    <w:rFonts w:ascii="宋体" w:hAnsi="宋体"/>
                    <w:color w:val="000000"/>
                    <w:sz w:val="18"/>
                    <w:szCs w:val="18"/>
                  </w:rPr>
                </w:pPr>
              </w:p>
            </w:tc>
            <w:tc>
              <w:tcPr>
                <w:tcW w:w="1180" w:type="pct"/>
                <w:vAlign w:val="center"/>
              </w:tcPr>
              <w:p w14:paraId="0B930DEC">
                <w:pPr>
                  <w:jc w:val="right"/>
                  <w:rPr>
                    <w:rFonts w:ascii="宋体" w:hAnsi="宋体"/>
                    <w:color w:val="000000"/>
                    <w:sz w:val="18"/>
                    <w:szCs w:val="18"/>
                  </w:rPr>
                </w:pPr>
              </w:p>
            </w:tc>
            <w:tc>
              <w:tcPr>
                <w:tcW w:w="729" w:type="pct"/>
                <w:vAlign w:val="center"/>
              </w:tcPr>
              <w:p w14:paraId="2389DCF2">
                <w:pPr>
                  <w:jc w:val="right"/>
                  <w:rPr>
                    <w:rFonts w:ascii="宋体" w:hAnsi="宋体"/>
                    <w:color w:val="000000"/>
                    <w:sz w:val="18"/>
                    <w:szCs w:val="18"/>
                  </w:rPr>
                </w:pPr>
                <w:r>
                  <w:rPr>
                    <w:rFonts w:hint="eastAsia" w:ascii="宋体" w:hAnsi="宋体"/>
                    <w:color w:val="000000"/>
                    <w:sz w:val="18"/>
                    <w:szCs w:val="18"/>
                  </w:rPr>
                  <w:t>24,876.13</w:t>
                </w:r>
              </w:p>
            </w:tc>
          </w:tr>
          <w:tr w14:paraId="5E97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78" w:type="pct"/>
                <w:vAlign w:val="center"/>
              </w:tcPr>
              <w:p w14:paraId="145B97F1">
                <w:pPr>
                  <w:jc w:val="center"/>
                  <w:rPr>
                    <w:rFonts w:ascii="Arial Narrow" w:hAnsi="Arial Narrow"/>
                    <w:sz w:val="18"/>
                    <w:szCs w:val="18"/>
                  </w:rPr>
                </w:pPr>
                <w:r>
                  <w:rPr>
                    <w:rFonts w:hint="eastAsia" w:ascii="Arial Narrow" w:hAnsi="Arial Narrow"/>
                    <w:sz w:val="18"/>
                    <w:szCs w:val="18"/>
                  </w:rPr>
                  <w:t>其他</w:t>
                </w:r>
                <w:r>
                  <w:rPr>
                    <w:rFonts w:ascii="Arial Narrow" w:hAnsi="Arial Narrow"/>
                    <w:sz w:val="18"/>
                    <w:szCs w:val="18"/>
                  </w:rPr>
                  <w:t>应收款</w:t>
                </w:r>
              </w:p>
            </w:tc>
            <w:tc>
              <w:tcPr>
                <w:tcW w:w="811" w:type="pct"/>
                <w:vAlign w:val="center"/>
              </w:tcPr>
              <w:p w14:paraId="18E0B16D">
                <w:pPr>
                  <w:jc w:val="right"/>
                  <w:rPr>
                    <w:rFonts w:ascii="宋体" w:hAnsi="宋体"/>
                    <w:color w:val="000000"/>
                    <w:sz w:val="18"/>
                    <w:szCs w:val="18"/>
                  </w:rPr>
                </w:pPr>
                <w:r>
                  <w:rPr>
                    <w:rFonts w:hint="eastAsia" w:ascii="宋体" w:hAnsi="宋体"/>
                    <w:color w:val="000000"/>
                    <w:sz w:val="18"/>
                    <w:szCs w:val="18"/>
                  </w:rPr>
                  <w:t>18,465.16</w:t>
                </w:r>
              </w:p>
            </w:tc>
            <w:tc>
              <w:tcPr>
                <w:tcW w:w="1103" w:type="pct"/>
                <w:vAlign w:val="center"/>
              </w:tcPr>
              <w:p w14:paraId="7F0350E6">
                <w:pPr>
                  <w:jc w:val="right"/>
                  <w:rPr>
                    <w:rFonts w:ascii="宋体" w:hAnsi="宋体"/>
                    <w:color w:val="000000"/>
                    <w:sz w:val="18"/>
                    <w:szCs w:val="18"/>
                  </w:rPr>
                </w:pPr>
              </w:p>
            </w:tc>
            <w:tc>
              <w:tcPr>
                <w:tcW w:w="1180" w:type="pct"/>
                <w:vAlign w:val="center"/>
              </w:tcPr>
              <w:p w14:paraId="3D439180">
                <w:pPr>
                  <w:jc w:val="right"/>
                  <w:rPr>
                    <w:rFonts w:ascii="宋体" w:hAnsi="宋体"/>
                    <w:color w:val="000000"/>
                    <w:sz w:val="18"/>
                    <w:szCs w:val="18"/>
                  </w:rPr>
                </w:pPr>
              </w:p>
            </w:tc>
            <w:tc>
              <w:tcPr>
                <w:tcW w:w="729" w:type="pct"/>
                <w:vAlign w:val="center"/>
              </w:tcPr>
              <w:p w14:paraId="64319E69">
                <w:pPr>
                  <w:jc w:val="right"/>
                  <w:rPr>
                    <w:rFonts w:ascii="宋体" w:hAnsi="宋体"/>
                    <w:color w:val="000000"/>
                    <w:sz w:val="18"/>
                    <w:szCs w:val="18"/>
                  </w:rPr>
                </w:pPr>
                <w:r>
                  <w:rPr>
                    <w:rFonts w:hint="eastAsia" w:ascii="宋体" w:hAnsi="宋体"/>
                    <w:color w:val="000000"/>
                    <w:sz w:val="18"/>
                    <w:szCs w:val="18"/>
                  </w:rPr>
                  <w:t>18,465.16</w:t>
                </w:r>
              </w:p>
            </w:tc>
          </w:tr>
          <w:tr w14:paraId="4ABD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178" w:type="pct"/>
                <w:vAlign w:val="center"/>
              </w:tcPr>
              <w:p w14:paraId="627B96A3">
                <w:pPr>
                  <w:jc w:val="center"/>
                  <w:rPr>
                    <w:rFonts w:ascii="Arial Narrow" w:hAnsi="Arial Narrow"/>
                    <w:sz w:val="18"/>
                    <w:szCs w:val="18"/>
                  </w:rPr>
                </w:pPr>
                <w:r>
                  <w:rPr>
                    <w:rFonts w:hint="eastAsia" w:ascii="Arial Narrow" w:hAnsi="Arial Narrow"/>
                    <w:sz w:val="18"/>
                    <w:szCs w:val="18"/>
                  </w:rPr>
                  <w:t>其他</w:t>
                </w:r>
                <w:r>
                  <w:rPr>
                    <w:rFonts w:ascii="Arial Narrow" w:hAnsi="Arial Narrow"/>
                    <w:sz w:val="18"/>
                    <w:szCs w:val="18"/>
                  </w:rPr>
                  <w:t>权益工具投资</w:t>
                </w:r>
              </w:p>
            </w:tc>
            <w:tc>
              <w:tcPr>
                <w:tcW w:w="811" w:type="pct"/>
                <w:vAlign w:val="center"/>
              </w:tcPr>
              <w:p w14:paraId="3A4EE041">
                <w:pPr>
                  <w:jc w:val="right"/>
                  <w:rPr>
                    <w:rFonts w:ascii="宋体" w:hAnsi="宋体"/>
                    <w:color w:val="000000"/>
                    <w:sz w:val="18"/>
                    <w:szCs w:val="18"/>
                  </w:rPr>
                </w:pPr>
              </w:p>
            </w:tc>
            <w:tc>
              <w:tcPr>
                <w:tcW w:w="1103" w:type="pct"/>
                <w:vAlign w:val="center"/>
              </w:tcPr>
              <w:p w14:paraId="7EFDECCF">
                <w:pPr>
                  <w:jc w:val="right"/>
                  <w:rPr>
                    <w:rFonts w:ascii="宋体" w:hAnsi="宋体"/>
                    <w:color w:val="000000"/>
                    <w:sz w:val="18"/>
                    <w:szCs w:val="18"/>
                  </w:rPr>
                </w:pPr>
              </w:p>
            </w:tc>
            <w:tc>
              <w:tcPr>
                <w:tcW w:w="1180" w:type="pct"/>
                <w:vAlign w:val="center"/>
              </w:tcPr>
              <w:p w14:paraId="6E72C12D">
                <w:pPr>
                  <w:jc w:val="right"/>
                  <w:rPr>
                    <w:rFonts w:ascii="宋体" w:hAnsi="宋体"/>
                    <w:color w:val="000000"/>
                    <w:sz w:val="18"/>
                    <w:szCs w:val="18"/>
                  </w:rPr>
                </w:pPr>
                <w:r>
                  <w:rPr>
                    <w:rFonts w:hint="eastAsia" w:ascii="宋体" w:hAnsi="宋体"/>
                    <w:color w:val="000000"/>
                    <w:sz w:val="18"/>
                    <w:szCs w:val="18"/>
                  </w:rPr>
                  <w:t>675.56</w:t>
                </w:r>
              </w:p>
            </w:tc>
            <w:tc>
              <w:tcPr>
                <w:tcW w:w="729" w:type="pct"/>
                <w:vAlign w:val="center"/>
              </w:tcPr>
              <w:p w14:paraId="4369BE7A">
                <w:pPr>
                  <w:jc w:val="right"/>
                  <w:rPr>
                    <w:rFonts w:ascii="宋体" w:hAnsi="宋体"/>
                    <w:color w:val="000000"/>
                    <w:sz w:val="18"/>
                    <w:szCs w:val="18"/>
                  </w:rPr>
                </w:pPr>
                <w:r>
                  <w:rPr>
                    <w:rFonts w:hint="eastAsia" w:ascii="宋体" w:hAnsi="宋体"/>
                    <w:color w:val="000000"/>
                    <w:sz w:val="18"/>
                    <w:szCs w:val="18"/>
                  </w:rPr>
                  <w:t>675.56</w:t>
                </w:r>
              </w:p>
            </w:tc>
          </w:tr>
        </w:tbl>
        <w:p w14:paraId="578669E0"/>
        <w:p w14:paraId="61A05ED3">
          <w:pPr>
            <w:autoSpaceDE w:val="0"/>
            <w:autoSpaceDN w:val="0"/>
            <w:adjustRightInd w:val="0"/>
            <w:spacing w:before="120" w:beforeLines="50" w:after="120" w:afterLines="50" w:line="360" w:lineRule="exact"/>
            <w:ind w:firstLine="420" w:firstLineChars="200"/>
            <w:rPr>
              <w:rFonts w:ascii="宋体" w:hAnsi="宋体"/>
            </w:rPr>
          </w:pPr>
          <w:r>
            <w:rPr>
              <w:rFonts w:ascii="宋体" w:hAnsi="宋体"/>
            </w:rPr>
            <w:t>2</w:t>
          </w:r>
          <w:r>
            <w:rPr>
              <w:rFonts w:hint="eastAsia" w:ascii="宋体" w:hAnsi="宋体"/>
            </w:rPr>
            <w:t>）202</w:t>
          </w:r>
          <w:r>
            <w:rPr>
              <w:rFonts w:ascii="宋体" w:hAnsi="宋体"/>
            </w:rPr>
            <w:t>4</w:t>
          </w:r>
          <w:r>
            <w:rPr>
              <w:rFonts w:hint="eastAsia" w:ascii="宋体" w:hAnsi="宋体"/>
            </w:rPr>
            <w:t>年12月31日</w:t>
          </w:r>
        </w:p>
        <w:p w14:paraId="0308342F">
          <w:pPr>
            <w:autoSpaceDE w:val="0"/>
            <w:autoSpaceDN w:val="0"/>
            <w:adjustRightInd w:val="0"/>
            <w:spacing w:after="120" w:afterLines="50" w:line="360" w:lineRule="exact"/>
            <w:ind w:firstLine="420" w:firstLineChars="200"/>
            <w:jc w:val="right"/>
            <w:rPr>
              <w:rFonts w:ascii="宋体" w:hAnsi="宋体"/>
            </w:rPr>
          </w:pPr>
          <w:r>
            <w:rPr>
              <w:rFonts w:hint="eastAsia" w:ascii="宋体" w:hAnsi="宋体"/>
            </w:rPr>
            <w:t>单位：万元</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1468"/>
            <w:gridCol w:w="1997"/>
            <w:gridCol w:w="2136"/>
            <w:gridCol w:w="1320"/>
          </w:tblGrid>
          <w:tr w14:paraId="36FE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176" w:type="pct"/>
                <w:vAlign w:val="center"/>
              </w:tcPr>
              <w:p w14:paraId="5340FCF8">
                <w:pPr>
                  <w:jc w:val="center"/>
                  <w:rPr>
                    <w:rFonts w:ascii="Arial Narrow" w:hAnsi="Arial Narrow"/>
                    <w:b/>
                    <w:sz w:val="18"/>
                    <w:szCs w:val="18"/>
                  </w:rPr>
                </w:pPr>
                <w:r>
                  <w:rPr>
                    <w:rFonts w:hint="eastAsia" w:ascii="Arial Narrow" w:hAnsi="Arial Narrow"/>
                    <w:b/>
                    <w:sz w:val="18"/>
                    <w:szCs w:val="18"/>
                  </w:rPr>
                  <w:t>金融资产</w:t>
                </w:r>
                <w:r>
                  <w:rPr>
                    <w:rFonts w:ascii="Arial Narrow" w:hAnsi="Arial Narrow"/>
                    <w:b/>
                    <w:sz w:val="18"/>
                    <w:szCs w:val="18"/>
                  </w:rPr>
                  <w:t>项目</w:t>
                </w:r>
              </w:p>
            </w:tc>
            <w:tc>
              <w:tcPr>
                <w:tcW w:w="811" w:type="pct"/>
                <w:vAlign w:val="center"/>
              </w:tcPr>
              <w:p w14:paraId="5DD37754">
                <w:pPr>
                  <w:jc w:val="center"/>
                  <w:rPr>
                    <w:rFonts w:ascii="Arial Narrow" w:hAnsi="Arial Narrow"/>
                    <w:b/>
                    <w:sz w:val="18"/>
                    <w:szCs w:val="18"/>
                  </w:rPr>
                </w:pPr>
                <w:r>
                  <w:rPr>
                    <w:rFonts w:hint="eastAsia" w:ascii="Arial Narrow" w:hAnsi="Arial Narrow"/>
                    <w:b/>
                    <w:sz w:val="18"/>
                    <w:szCs w:val="18"/>
                  </w:rPr>
                  <w:t>以摊余成本计量的金融资产</w:t>
                </w:r>
              </w:p>
            </w:tc>
            <w:tc>
              <w:tcPr>
                <w:tcW w:w="1103" w:type="pct"/>
                <w:vAlign w:val="center"/>
              </w:tcPr>
              <w:p w14:paraId="1DC99499">
                <w:pPr>
                  <w:jc w:val="center"/>
                  <w:rPr>
                    <w:rFonts w:ascii="Arial Narrow" w:hAnsi="Arial Narrow"/>
                    <w:b/>
                    <w:sz w:val="18"/>
                    <w:szCs w:val="18"/>
                  </w:rPr>
                </w:pPr>
                <w:r>
                  <w:rPr>
                    <w:rFonts w:hint="eastAsia" w:ascii="Arial Narrow" w:hAnsi="Arial Narrow"/>
                    <w:b/>
                    <w:sz w:val="18"/>
                    <w:szCs w:val="18"/>
                  </w:rPr>
                  <w:t>以公允价值计量且其变动计入当期损益的金融资产</w:t>
                </w:r>
              </w:p>
            </w:tc>
            <w:tc>
              <w:tcPr>
                <w:tcW w:w="1180" w:type="pct"/>
                <w:vAlign w:val="center"/>
              </w:tcPr>
              <w:p w14:paraId="32355E32">
                <w:pPr>
                  <w:jc w:val="center"/>
                  <w:rPr>
                    <w:rFonts w:ascii="Arial Narrow" w:hAnsi="Arial Narrow"/>
                    <w:b/>
                    <w:sz w:val="18"/>
                    <w:szCs w:val="18"/>
                  </w:rPr>
                </w:pPr>
                <w:r>
                  <w:rPr>
                    <w:rFonts w:hint="eastAsia" w:ascii="Arial Narrow" w:hAnsi="Arial Narrow"/>
                    <w:b/>
                    <w:sz w:val="18"/>
                    <w:szCs w:val="18"/>
                  </w:rPr>
                  <w:t>以公允价值计量</w:t>
                </w:r>
                <w:r>
                  <w:rPr>
                    <w:rFonts w:ascii="Arial Narrow" w:hAnsi="Arial Narrow"/>
                    <w:b/>
                    <w:sz w:val="18"/>
                    <w:szCs w:val="18"/>
                  </w:rPr>
                  <w:t>且其变动计入其他综合</w:t>
                </w:r>
                <w:r>
                  <w:rPr>
                    <w:rFonts w:hint="eastAsia" w:ascii="Arial Narrow" w:hAnsi="Arial Narrow"/>
                    <w:b/>
                    <w:sz w:val="18"/>
                    <w:szCs w:val="18"/>
                  </w:rPr>
                  <w:t>收益</w:t>
                </w:r>
                <w:r>
                  <w:rPr>
                    <w:rFonts w:ascii="Arial Narrow" w:hAnsi="Arial Narrow"/>
                    <w:b/>
                    <w:sz w:val="18"/>
                    <w:szCs w:val="18"/>
                  </w:rPr>
                  <w:t>的金融资产</w:t>
                </w:r>
              </w:p>
            </w:tc>
            <w:tc>
              <w:tcPr>
                <w:tcW w:w="729" w:type="pct"/>
                <w:vAlign w:val="center"/>
              </w:tcPr>
              <w:p w14:paraId="0DFC6220">
                <w:pPr>
                  <w:jc w:val="center"/>
                  <w:rPr>
                    <w:rFonts w:ascii="Arial Narrow" w:hAnsi="Arial Narrow"/>
                    <w:b/>
                    <w:sz w:val="18"/>
                    <w:szCs w:val="18"/>
                  </w:rPr>
                </w:pPr>
                <w:r>
                  <w:rPr>
                    <w:rFonts w:hint="eastAsia" w:ascii="Arial Narrow" w:hAnsi="Arial Narrow"/>
                    <w:b/>
                    <w:sz w:val="18"/>
                    <w:szCs w:val="18"/>
                  </w:rPr>
                  <w:t>合计</w:t>
                </w:r>
              </w:p>
            </w:tc>
          </w:tr>
          <w:tr w14:paraId="17C3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vAlign w:val="center"/>
              </w:tcPr>
              <w:p w14:paraId="159A6602">
                <w:pPr>
                  <w:jc w:val="center"/>
                  <w:rPr>
                    <w:rFonts w:ascii="Arial Narrow" w:hAnsi="Arial Narrow"/>
                    <w:sz w:val="18"/>
                    <w:szCs w:val="18"/>
                  </w:rPr>
                </w:pPr>
                <w:r>
                  <w:rPr>
                    <w:rFonts w:hint="eastAsia" w:ascii="Arial Narrow" w:hAnsi="Arial Narrow"/>
                    <w:sz w:val="18"/>
                    <w:szCs w:val="18"/>
                  </w:rPr>
                  <w:t>货币资金</w:t>
                </w:r>
              </w:p>
            </w:tc>
            <w:tc>
              <w:tcPr>
                <w:tcW w:w="811" w:type="pct"/>
                <w:vAlign w:val="center"/>
              </w:tcPr>
              <w:p w14:paraId="77F92D35">
                <w:pPr>
                  <w:jc w:val="right"/>
                  <w:rPr>
                    <w:rFonts w:ascii="宋体" w:hAnsi="宋体"/>
                    <w:color w:val="000000"/>
                    <w:sz w:val="18"/>
                    <w:szCs w:val="18"/>
                  </w:rPr>
                </w:pPr>
                <w:r>
                  <w:rPr>
                    <w:rFonts w:hint="eastAsia" w:ascii="宋体" w:hAnsi="宋体"/>
                    <w:color w:val="000000"/>
                    <w:sz w:val="18"/>
                    <w:szCs w:val="18"/>
                  </w:rPr>
                  <w:t>367,940.48</w:t>
                </w:r>
              </w:p>
            </w:tc>
            <w:tc>
              <w:tcPr>
                <w:tcW w:w="1103" w:type="pct"/>
                <w:vAlign w:val="center"/>
              </w:tcPr>
              <w:p w14:paraId="770FF00C">
                <w:pPr>
                  <w:jc w:val="right"/>
                  <w:rPr>
                    <w:rFonts w:ascii="宋体" w:hAnsi="宋体"/>
                    <w:color w:val="000000"/>
                    <w:sz w:val="18"/>
                    <w:szCs w:val="18"/>
                  </w:rPr>
                </w:pPr>
              </w:p>
            </w:tc>
            <w:tc>
              <w:tcPr>
                <w:tcW w:w="1180" w:type="pct"/>
                <w:vAlign w:val="center"/>
              </w:tcPr>
              <w:p w14:paraId="561BB67A">
                <w:pPr>
                  <w:jc w:val="right"/>
                  <w:rPr>
                    <w:rFonts w:ascii="宋体" w:hAnsi="宋体"/>
                    <w:color w:val="000000"/>
                    <w:sz w:val="18"/>
                    <w:szCs w:val="18"/>
                  </w:rPr>
                </w:pPr>
              </w:p>
            </w:tc>
            <w:tc>
              <w:tcPr>
                <w:tcW w:w="729" w:type="pct"/>
                <w:vAlign w:val="center"/>
              </w:tcPr>
              <w:p w14:paraId="5D697D09">
                <w:pPr>
                  <w:jc w:val="right"/>
                  <w:rPr>
                    <w:rFonts w:ascii="宋体" w:hAnsi="宋体"/>
                    <w:color w:val="000000"/>
                    <w:sz w:val="18"/>
                    <w:szCs w:val="18"/>
                  </w:rPr>
                </w:pPr>
                <w:r>
                  <w:rPr>
                    <w:rFonts w:hint="eastAsia" w:ascii="宋体" w:hAnsi="宋体"/>
                    <w:color w:val="000000"/>
                    <w:sz w:val="18"/>
                    <w:szCs w:val="18"/>
                  </w:rPr>
                  <w:t>367,940.48</w:t>
                </w:r>
              </w:p>
            </w:tc>
          </w:tr>
          <w:tr w14:paraId="6E8F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vAlign w:val="center"/>
              </w:tcPr>
              <w:p w14:paraId="41D0E94D">
                <w:pPr>
                  <w:jc w:val="center"/>
                  <w:rPr>
                    <w:rFonts w:ascii="Arial Narrow" w:hAnsi="Arial Narrow"/>
                    <w:color w:val="0000FF"/>
                    <w:sz w:val="18"/>
                    <w:szCs w:val="18"/>
                  </w:rPr>
                </w:pPr>
                <w:r>
                  <w:rPr>
                    <w:rFonts w:hint="eastAsia" w:ascii="Arial Narrow" w:hAnsi="Arial Narrow"/>
                    <w:sz w:val="18"/>
                    <w:szCs w:val="18"/>
                  </w:rPr>
                  <w:t>应收票据</w:t>
                </w:r>
              </w:p>
            </w:tc>
            <w:tc>
              <w:tcPr>
                <w:tcW w:w="811" w:type="pct"/>
                <w:vAlign w:val="center"/>
              </w:tcPr>
              <w:p w14:paraId="648E584C">
                <w:pPr>
                  <w:jc w:val="right"/>
                  <w:rPr>
                    <w:rFonts w:ascii="宋体" w:hAnsi="宋体"/>
                    <w:color w:val="000000"/>
                    <w:sz w:val="18"/>
                    <w:szCs w:val="18"/>
                  </w:rPr>
                </w:pPr>
                <w:r>
                  <w:rPr>
                    <w:rFonts w:hint="eastAsia" w:ascii="宋体" w:hAnsi="宋体"/>
                    <w:color w:val="000000"/>
                    <w:sz w:val="18"/>
                    <w:szCs w:val="18"/>
                  </w:rPr>
                  <w:t>18,086.13</w:t>
                </w:r>
              </w:p>
            </w:tc>
            <w:tc>
              <w:tcPr>
                <w:tcW w:w="1103" w:type="pct"/>
                <w:vAlign w:val="center"/>
              </w:tcPr>
              <w:p w14:paraId="51C52EE8">
                <w:pPr>
                  <w:jc w:val="right"/>
                  <w:rPr>
                    <w:rFonts w:ascii="宋体" w:hAnsi="宋体"/>
                    <w:color w:val="000000"/>
                    <w:sz w:val="18"/>
                    <w:szCs w:val="18"/>
                  </w:rPr>
                </w:pPr>
              </w:p>
            </w:tc>
            <w:tc>
              <w:tcPr>
                <w:tcW w:w="1180" w:type="pct"/>
                <w:vAlign w:val="center"/>
              </w:tcPr>
              <w:p w14:paraId="74AF1F92">
                <w:pPr>
                  <w:jc w:val="right"/>
                  <w:rPr>
                    <w:rFonts w:ascii="宋体" w:hAnsi="宋体"/>
                    <w:color w:val="000000"/>
                    <w:sz w:val="18"/>
                    <w:szCs w:val="18"/>
                  </w:rPr>
                </w:pPr>
              </w:p>
            </w:tc>
            <w:tc>
              <w:tcPr>
                <w:tcW w:w="729" w:type="pct"/>
                <w:vAlign w:val="center"/>
              </w:tcPr>
              <w:p w14:paraId="6F03E1BF">
                <w:pPr>
                  <w:jc w:val="right"/>
                  <w:rPr>
                    <w:rFonts w:ascii="宋体" w:hAnsi="宋体"/>
                    <w:color w:val="000000"/>
                    <w:sz w:val="18"/>
                    <w:szCs w:val="18"/>
                  </w:rPr>
                </w:pPr>
                <w:r>
                  <w:rPr>
                    <w:rFonts w:hint="eastAsia" w:ascii="宋体" w:hAnsi="宋体"/>
                    <w:color w:val="000000"/>
                    <w:sz w:val="18"/>
                    <w:szCs w:val="18"/>
                  </w:rPr>
                  <w:t>18,086.13</w:t>
                </w:r>
              </w:p>
            </w:tc>
          </w:tr>
          <w:tr w14:paraId="632F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vAlign w:val="center"/>
              </w:tcPr>
              <w:p w14:paraId="24DCA350">
                <w:pPr>
                  <w:jc w:val="center"/>
                  <w:rPr>
                    <w:rFonts w:ascii="Arial Narrow" w:hAnsi="Arial Narrow"/>
                    <w:i/>
                    <w:color w:val="0000FF"/>
                    <w:sz w:val="18"/>
                    <w:szCs w:val="18"/>
                  </w:rPr>
                </w:pPr>
                <w:r>
                  <w:rPr>
                    <w:rFonts w:hint="eastAsia" w:ascii="Arial Narrow" w:hAnsi="Arial Narrow"/>
                    <w:sz w:val="18"/>
                    <w:szCs w:val="18"/>
                  </w:rPr>
                  <w:t>应收账款</w:t>
                </w:r>
              </w:p>
            </w:tc>
            <w:tc>
              <w:tcPr>
                <w:tcW w:w="811" w:type="pct"/>
                <w:vAlign w:val="center"/>
              </w:tcPr>
              <w:p w14:paraId="604384BA">
                <w:pPr>
                  <w:jc w:val="right"/>
                  <w:rPr>
                    <w:rFonts w:ascii="宋体" w:hAnsi="宋体"/>
                    <w:color w:val="000000"/>
                    <w:sz w:val="18"/>
                    <w:szCs w:val="18"/>
                  </w:rPr>
                </w:pPr>
                <w:r>
                  <w:rPr>
                    <w:rFonts w:hint="eastAsia" w:ascii="宋体" w:hAnsi="宋体"/>
                    <w:color w:val="000000"/>
                    <w:sz w:val="18"/>
                    <w:szCs w:val="18"/>
                  </w:rPr>
                  <w:t>130,565.01</w:t>
                </w:r>
              </w:p>
            </w:tc>
            <w:tc>
              <w:tcPr>
                <w:tcW w:w="1103" w:type="pct"/>
                <w:vAlign w:val="center"/>
              </w:tcPr>
              <w:p w14:paraId="1F9B9818">
                <w:pPr>
                  <w:jc w:val="right"/>
                  <w:rPr>
                    <w:rFonts w:ascii="宋体" w:hAnsi="宋体"/>
                    <w:color w:val="000000"/>
                    <w:sz w:val="18"/>
                    <w:szCs w:val="18"/>
                  </w:rPr>
                </w:pPr>
              </w:p>
            </w:tc>
            <w:tc>
              <w:tcPr>
                <w:tcW w:w="1180" w:type="pct"/>
                <w:vAlign w:val="center"/>
              </w:tcPr>
              <w:p w14:paraId="739305FE">
                <w:pPr>
                  <w:jc w:val="right"/>
                  <w:rPr>
                    <w:rFonts w:ascii="宋体" w:hAnsi="宋体"/>
                    <w:color w:val="000000"/>
                    <w:sz w:val="18"/>
                    <w:szCs w:val="18"/>
                  </w:rPr>
                </w:pPr>
              </w:p>
            </w:tc>
            <w:tc>
              <w:tcPr>
                <w:tcW w:w="729" w:type="pct"/>
                <w:vAlign w:val="center"/>
              </w:tcPr>
              <w:p w14:paraId="369AAE43">
                <w:pPr>
                  <w:jc w:val="right"/>
                  <w:rPr>
                    <w:rFonts w:ascii="宋体" w:hAnsi="宋体"/>
                    <w:color w:val="000000"/>
                    <w:sz w:val="18"/>
                    <w:szCs w:val="18"/>
                  </w:rPr>
                </w:pPr>
                <w:r>
                  <w:rPr>
                    <w:rFonts w:hint="eastAsia" w:ascii="宋体" w:hAnsi="宋体"/>
                    <w:color w:val="000000"/>
                    <w:sz w:val="18"/>
                    <w:szCs w:val="18"/>
                  </w:rPr>
                  <w:t>130,565.01</w:t>
                </w:r>
              </w:p>
            </w:tc>
          </w:tr>
          <w:tr w14:paraId="5797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vAlign w:val="center"/>
              </w:tcPr>
              <w:p w14:paraId="48B187A9">
                <w:pPr>
                  <w:jc w:val="center"/>
                  <w:rPr>
                    <w:rFonts w:ascii="Arial Narrow" w:hAnsi="Arial Narrow"/>
                    <w:i/>
                    <w:color w:val="0000FF"/>
                    <w:sz w:val="18"/>
                    <w:szCs w:val="18"/>
                  </w:rPr>
                </w:pPr>
                <w:r>
                  <w:rPr>
                    <w:rFonts w:hint="eastAsia" w:ascii="Arial Narrow" w:hAnsi="Arial Narrow"/>
                    <w:sz w:val="18"/>
                    <w:szCs w:val="18"/>
                  </w:rPr>
                  <w:t>应收</w:t>
                </w:r>
                <w:r>
                  <w:rPr>
                    <w:rFonts w:ascii="Arial Narrow" w:hAnsi="Arial Narrow"/>
                    <w:sz w:val="18"/>
                    <w:szCs w:val="18"/>
                  </w:rPr>
                  <w:t>款项融资</w:t>
                </w:r>
              </w:p>
            </w:tc>
            <w:tc>
              <w:tcPr>
                <w:tcW w:w="811" w:type="pct"/>
                <w:vAlign w:val="center"/>
              </w:tcPr>
              <w:p w14:paraId="6363AFFD">
                <w:pPr>
                  <w:jc w:val="right"/>
                  <w:rPr>
                    <w:rFonts w:ascii="宋体" w:hAnsi="宋体"/>
                    <w:color w:val="000000"/>
                    <w:sz w:val="18"/>
                    <w:szCs w:val="18"/>
                  </w:rPr>
                </w:pPr>
                <w:r>
                  <w:rPr>
                    <w:rFonts w:hint="eastAsia" w:ascii="宋体" w:hAnsi="宋体"/>
                    <w:color w:val="000000"/>
                    <w:sz w:val="18"/>
                    <w:szCs w:val="18"/>
                  </w:rPr>
                  <w:t>2,423.52</w:t>
                </w:r>
              </w:p>
            </w:tc>
            <w:tc>
              <w:tcPr>
                <w:tcW w:w="1103" w:type="pct"/>
                <w:vAlign w:val="center"/>
              </w:tcPr>
              <w:p w14:paraId="34F64380">
                <w:pPr>
                  <w:jc w:val="right"/>
                  <w:rPr>
                    <w:rFonts w:ascii="宋体" w:hAnsi="宋体"/>
                    <w:color w:val="000000"/>
                    <w:sz w:val="18"/>
                    <w:szCs w:val="18"/>
                  </w:rPr>
                </w:pPr>
              </w:p>
            </w:tc>
            <w:tc>
              <w:tcPr>
                <w:tcW w:w="1180" w:type="pct"/>
                <w:vAlign w:val="center"/>
              </w:tcPr>
              <w:p w14:paraId="7B51CEC1">
                <w:pPr>
                  <w:jc w:val="right"/>
                  <w:rPr>
                    <w:rFonts w:ascii="宋体" w:hAnsi="宋体"/>
                    <w:color w:val="000000"/>
                    <w:sz w:val="18"/>
                    <w:szCs w:val="18"/>
                  </w:rPr>
                </w:pPr>
              </w:p>
            </w:tc>
            <w:tc>
              <w:tcPr>
                <w:tcW w:w="729" w:type="pct"/>
                <w:vAlign w:val="center"/>
              </w:tcPr>
              <w:p w14:paraId="2B8E9BE7">
                <w:pPr>
                  <w:jc w:val="right"/>
                  <w:rPr>
                    <w:rFonts w:ascii="宋体" w:hAnsi="宋体"/>
                    <w:color w:val="000000"/>
                    <w:sz w:val="18"/>
                    <w:szCs w:val="18"/>
                  </w:rPr>
                </w:pPr>
                <w:r>
                  <w:rPr>
                    <w:rFonts w:hint="eastAsia" w:ascii="宋体" w:hAnsi="宋体"/>
                    <w:color w:val="000000"/>
                    <w:sz w:val="18"/>
                    <w:szCs w:val="18"/>
                  </w:rPr>
                  <w:t>2,423.52</w:t>
                </w:r>
              </w:p>
            </w:tc>
          </w:tr>
          <w:tr w14:paraId="69F1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vAlign w:val="center"/>
              </w:tcPr>
              <w:p w14:paraId="55F559D7">
                <w:pPr>
                  <w:jc w:val="center"/>
                  <w:rPr>
                    <w:rFonts w:ascii="Arial Narrow" w:hAnsi="Arial Narrow"/>
                    <w:i/>
                    <w:color w:val="0000FF"/>
                    <w:sz w:val="18"/>
                    <w:szCs w:val="18"/>
                  </w:rPr>
                </w:pPr>
                <w:r>
                  <w:rPr>
                    <w:rFonts w:hint="eastAsia" w:ascii="Arial Narrow" w:hAnsi="Arial Narrow"/>
                    <w:sz w:val="18"/>
                    <w:szCs w:val="18"/>
                  </w:rPr>
                  <w:t>其他</w:t>
                </w:r>
                <w:r>
                  <w:rPr>
                    <w:rFonts w:ascii="Arial Narrow" w:hAnsi="Arial Narrow"/>
                    <w:sz w:val="18"/>
                    <w:szCs w:val="18"/>
                  </w:rPr>
                  <w:t>应收款</w:t>
                </w:r>
              </w:p>
            </w:tc>
            <w:tc>
              <w:tcPr>
                <w:tcW w:w="811" w:type="pct"/>
                <w:vAlign w:val="center"/>
              </w:tcPr>
              <w:p w14:paraId="11216D7A">
                <w:pPr>
                  <w:jc w:val="right"/>
                  <w:rPr>
                    <w:rFonts w:ascii="宋体" w:hAnsi="宋体"/>
                    <w:color w:val="000000"/>
                    <w:sz w:val="18"/>
                    <w:szCs w:val="18"/>
                  </w:rPr>
                </w:pPr>
                <w:r>
                  <w:rPr>
                    <w:rFonts w:hint="eastAsia" w:ascii="宋体" w:hAnsi="宋体"/>
                    <w:color w:val="000000"/>
                    <w:sz w:val="18"/>
                    <w:szCs w:val="18"/>
                  </w:rPr>
                  <w:t>29,706.88</w:t>
                </w:r>
              </w:p>
            </w:tc>
            <w:tc>
              <w:tcPr>
                <w:tcW w:w="1103" w:type="pct"/>
                <w:vAlign w:val="center"/>
              </w:tcPr>
              <w:p w14:paraId="75ECDF49">
                <w:pPr>
                  <w:jc w:val="right"/>
                  <w:rPr>
                    <w:rFonts w:ascii="宋体" w:hAnsi="宋体"/>
                    <w:color w:val="000000"/>
                    <w:sz w:val="18"/>
                    <w:szCs w:val="18"/>
                  </w:rPr>
                </w:pPr>
              </w:p>
            </w:tc>
            <w:tc>
              <w:tcPr>
                <w:tcW w:w="1180" w:type="pct"/>
                <w:vAlign w:val="center"/>
              </w:tcPr>
              <w:p w14:paraId="6AEA7377">
                <w:pPr>
                  <w:jc w:val="right"/>
                  <w:rPr>
                    <w:rFonts w:ascii="宋体" w:hAnsi="宋体"/>
                    <w:color w:val="000000"/>
                    <w:sz w:val="18"/>
                    <w:szCs w:val="18"/>
                  </w:rPr>
                </w:pPr>
              </w:p>
            </w:tc>
            <w:tc>
              <w:tcPr>
                <w:tcW w:w="729" w:type="pct"/>
                <w:vAlign w:val="center"/>
              </w:tcPr>
              <w:p w14:paraId="668F60E6">
                <w:pPr>
                  <w:jc w:val="right"/>
                  <w:rPr>
                    <w:rFonts w:ascii="宋体" w:hAnsi="宋体"/>
                    <w:color w:val="000000"/>
                    <w:sz w:val="18"/>
                    <w:szCs w:val="18"/>
                  </w:rPr>
                </w:pPr>
                <w:r>
                  <w:rPr>
                    <w:rFonts w:hint="eastAsia" w:ascii="宋体" w:hAnsi="宋体"/>
                    <w:color w:val="000000"/>
                    <w:sz w:val="18"/>
                    <w:szCs w:val="18"/>
                  </w:rPr>
                  <w:t>29,706.88</w:t>
                </w:r>
              </w:p>
            </w:tc>
          </w:tr>
          <w:tr w14:paraId="16CA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6" w:type="pct"/>
                <w:vAlign w:val="center"/>
              </w:tcPr>
              <w:p w14:paraId="698AADEB">
                <w:pPr>
                  <w:jc w:val="center"/>
                  <w:rPr>
                    <w:rFonts w:ascii="Arial Narrow" w:hAnsi="Arial Narrow"/>
                    <w:i/>
                    <w:color w:val="0000FF"/>
                    <w:sz w:val="18"/>
                    <w:szCs w:val="18"/>
                  </w:rPr>
                </w:pPr>
                <w:r>
                  <w:rPr>
                    <w:rFonts w:hint="eastAsia" w:ascii="Arial Narrow" w:hAnsi="Arial Narrow"/>
                    <w:sz w:val="18"/>
                    <w:szCs w:val="18"/>
                  </w:rPr>
                  <w:t>其他</w:t>
                </w:r>
                <w:r>
                  <w:rPr>
                    <w:rFonts w:ascii="Arial Narrow" w:hAnsi="Arial Narrow"/>
                    <w:sz w:val="18"/>
                    <w:szCs w:val="18"/>
                  </w:rPr>
                  <w:t>权益工具投资</w:t>
                </w:r>
              </w:p>
            </w:tc>
            <w:tc>
              <w:tcPr>
                <w:tcW w:w="811" w:type="pct"/>
                <w:vAlign w:val="center"/>
              </w:tcPr>
              <w:p w14:paraId="5FD978D2">
                <w:pPr>
                  <w:jc w:val="right"/>
                  <w:rPr>
                    <w:rFonts w:ascii="宋体" w:hAnsi="宋体"/>
                    <w:color w:val="000000"/>
                    <w:sz w:val="18"/>
                    <w:szCs w:val="18"/>
                  </w:rPr>
                </w:pPr>
              </w:p>
            </w:tc>
            <w:tc>
              <w:tcPr>
                <w:tcW w:w="1103" w:type="pct"/>
                <w:vAlign w:val="center"/>
              </w:tcPr>
              <w:p w14:paraId="4F4D171F">
                <w:pPr>
                  <w:jc w:val="right"/>
                  <w:rPr>
                    <w:rFonts w:ascii="宋体" w:hAnsi="宋体"/>
                    <w:color w:val="000000"/>
                    <w:sz w:val="18"/>
                    <w:szCs w:val="18"/>
                  </w:rPr>
                </w:pPr>
              </w:p>
            </w:tc>
            <w:tc>
              <w:tcPr>
                <w:tcW w:w="1180" w:type="pct"/>
                <w:vAlign w:val="center"/>
              </w:tcPr>
              <w:p w14:paraId="617D516F">
                <w:pPr>
                  <w:jc w:val="right"/>
                  <w:rPr>
                    <w:rFonts w:ascii="宋体" w:hAnsi="宋体"/>
                    <w:color w:val="000000"/>
                    <w:sz w:val="18"/>
                    <w:szCs w:val="18"/>
                  </w:rPr>
                </w:pPr>
                <w:r>
                  <w:rPr>
                    <w:rFonts w:hint="eastAsia" w:ascii="宋体" w:hAnsi="宋体"/>
                    <w:color w:val="000000"/>
                    <w:sz w:val="18"/>
                    <w:szCs w:val="18"/>
                  </w:rPr>
                  <w:t>672.77</w:t>
                </w:r>
              </w:p>
            </w:tc>
            <w:tc>
              <w:tcPr>
                <w:tcW w:w="729" w:type="pct"/>
                <w:vAlign w:val="center"/>
              </w:tcPr>
              <w:p w14:paraId="7B92C916">
                <w:pPr>
                  <w:jc w:val="right"/>
                  <w:rPr>
                    <w:rFonts w:ascii="宋体" w:hAnsi="宋体"/>
                    <w:color w:val="000000"/>
                    <w:sz w:val="18"/>
                    <w:szCs w:val="18"/>
                  </w:rPr>
                </w:pPr>
                <w:r>
                  <w:rPr>
                    <w:rFonts w:hint="eastAsia" w:ascii="宋体" w:hAnsi="宋体"/>
                    <w:color w:val="000000"/>
                    <w:sz w:val="18"/>
                    <w:szCs w:val="18"/>
                  </w:rPr>
                  <w:t>672.77</w:t>
                </w:r>
              </w:p>
            </w:tc>
          </w:tr>
        </w:tbl>
        <w:p w14:paraId="7079E165">
          <w:pPr>
            <w:pStyle w:val="61"/>
            <w:rPr>
              <w:iCs/>
            </w:rPr>
          </w:pPr>
          <w:r>
            <w:rPr>
              <w:rFonts w:hint="eastAsia"/>
              <w:iCs/>
            </w:rPr>
            <w:t>（2）资产负债表日的各类金融负债的账面价值</w:t>
          </w:r>
        </w:p>
        <w:p w14:paraId="5B8C7BE7">
          <w:pPr>
            <w:autoSpaceDE w:val="0"/>
            <w:autoSpaceDN w:val="0"/>
            <w:adjustRightInd w:val="0"/>
            <w:spacing w:after="120" w:afterLines="50" w:line="360" w:lineRule="exact"/>
            <w:ind w:firstLine="420" w:firstLineChars="200"/>
            <w:rPr>
              <w:rFonts w:ascii="宋体" w:hAnsi="宋体"/>
            </w:rPr>
          </w:pPr>
          <w:r>
            <w:rPr>
              <w:rFonts w:hint="eastAsia" w:ascii="宋体" w:hAnsi="宋体"/>
            </w:rPr>
            <w:t>1）202</w:t>
          </w:r>
          <w:r>
            <w:rPr>
              <w:rFonts w:ascii="宋体" w:hAnsi="宋体"/>
            </w:rPr>
            <w:t>5</w:t>
          </w:r>
          <w:r>
            <w:rPr>
              <w:rFonts w:hint="eastAsia" w:ascii="宋体" w:hAnsi="宋体"/>
            </w:rPr>
            <w:t>年</w:t>
          </w:r>
          <w:r>
            <w:rPr>
              <w:rFonts w:ascii="宋体" w:hAnsi="宋体"/>
            </w:rPr>
            <w:t>6</w:t>
          </w:r>
          <w:r>
            <w:rPr>
              <w:rFonts w:hint="eastAsia" w:ascii="宋体" w:hAnsi="宋体"/>
            </w:rPr>
            <w:t>月3</w:t>
          </w:r>
          <w:r>
            <w:rPr>
              <w:rFonts w:ascii="宋体" w:hAnsi="宋体"/>
            </w:rPr>
            <w:t>0</w:t>
          </w:r>
          <w:r>
            <w:rPr>
              <w:rFonts w:hint="eastAsia" w:ascii="宋体" w:hAnsi="宋体"/>
            </w:rPr>
            <w:t>日</w:t>
          </w:r>
        </w:p>
        <w:p w14:paraId="45F4A735">
          <w:pPr>
            <w:autoSpaceDE w:val="0"/>
            <w:autoSpaceDN w:val="0"/>
            <w:adjustRightInd w:val="0"/>
            <w:spacing w:after="120" w:afterLines="50" w:line="360" w:lineRule="exact"/>
            <w:ind w:firstLine="420" w:firstLineChars="200"/>
            <w:jc w:val="right"/>
            <w:rPr>
              <w:rFonts w:ascii="宋体" w:hAnsi="宋体"/>
            </w:rPr>
          </w:pPr>
          <w:r>
            <w:rPr>
              <w:rFonts w:hint="eastAsia" w:ascii="宋体" w:hAnsi="宋体"/>
            </w:rPr>
            <w:t>单位：万元</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2608"/>
            <w:gridCol w:w="1576"/>
            <w:gridCol w:w="1671"/>
          </w:tblGrid>
          <w:tr w14:paraId="5313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65" w:type="pct"/>
                <w:vAlign w:val="center"/>
              </w:tcPr>
              <w:p w14:paraId="307DD84A">
                <w:pPr>
                  <w:jc w:val="center"/>
                  <w:rPr>
                    <w:rFonts w:ascii="Arial Narrow" w:hAnsi="Arial Narrow"/>
                    <w:b/>
                    <w:sz w:val="18"/>
                    <w:szCs w:val="18"/>
                  </w:rPr>
                </w:pPr>
                <w:r>
                  <w:rPr>
                    <w:rFonts w:hint="eastAsia" w:ascii="Arial Narrow" w:hAnsi="Arial Narrow"/>
                    <w:b/>
                    <w:sz w:val="18"/>
                    <w:szCs w:val="18"/>
                  </w:rPr>
                  <w:t>金融负债项目</w:t>
                </w:r>
              </w:p>
            </w:tc>
            <w:tc>
              <w:tcPr>
                <w:tcW w:w="1441" w:type="pct"/>
                <w:vAlign w:val="center"/>
              </w:tcPr>
              <w:p w14:paraId="1BA94D94">
                <w:pPr>
                  <w:jc w:val="center"/>
                  <w:rPr>
                    <w:rFonts w:ascii="Arial Narrow" w:hAnsi="Arial Narrow"/>
                    <w:b/>
                    <w:sz w:val="18"/>
                    <w:szCs w:val="18"/>
                  </w:rPr>
                </w:pPr>
                <w:r>
                  <w:rPr>
                    <w:rFonts w:hint="eastAsia" w:ascii="Arial Narrow" w:hAnsi="Arial Narrow"/>
                    <w:b/>
                    <w:sz w:val="18"/>
                    <w:szCs w:val="18"/>
                  </w:rPr>
                  <w:t>以公允价值计量且其变动计入当期损益的金融负债</w:t>
                </w:r>
              </w:p>
            </w:tc>
            <w:tc>
              <w:tcPr>
                <w:tcW w:w="871" w:type="pct"/>
                <w:vAlign w:val="center"/>
              </w:tcPr>
              <w:p w14:paraId="3CA5AE4B">
                <w:pPr>
                  <w:jc w:val="center"/>
                  <w:rPr>
                    <w:rFonts w:ascii="Arial Narrow" w:hAnsi="Arial Narrow"/>
                    <w:b/>
                    <w:sz w:val="18"/>
                    <w:szCs w:val="18"/>
                  </w:rPr>
                </w:pPr>
                <w:r>
                  <w:rPr>
                    <w:rFonts w:hint="eastAsia" w:ascii="Arial Narrow" w:hAnsi="Arial Narrow"/>
                    <w:b/>
                    <w:sz w:val="18"/>
                    <w:szCs w:val="18"/>
                  </w:rPr>
                  <w:t>其他金融负债</w:t>
                </w:r>
              </w:p>
            </w:tc>
            <w:tc>
              <w:tcPr>
                <w:tcW w:w="923" w:type="pct"/>
                <w:vAlign w:val="center"/>
              </w:tcPr>
              <w:p w14:paraId="08CC51A2">
                <w:pPr>
                  <w:jc w:val="center"/>
                  <w:rPr>
                    <w:rFonts w:ascii="Arial Narrow" w:hAnsi="Arial Narrow"/>
                    <w:b/>
                    <w:sz w:val="18"/>
                    <w:szCs w:val="18"/>
                  </w:rPr>
                </w:pPr>
                <w:r>
                  <w:rPr>
                    <w:rFonts w:hint="eastAsia" w:ascii="Arial Narrow" w:hAnsi="Arial Narrow"/>
                    <w:b/>
                    <w:sz w:val="18"/>
                    <w:szCs w:val="18"/>
                  </w:rPr>
                  <w:t>合计</w:t>
                </w:r>
              </w:p>
            </w:tc>
          </w:tr>
          <w:tr w14:paraId="1FE4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3FF293D3">
                <w:pPr>
                  <w:jc w:val="center"/>
                  <w:rPr>
                    <w:rFonts w:ascii="Arial Narrow" w:hAnsi="Arial Narrow"/>
                    <w:sz w:val="18"/>
                    <w:szCs w:val="18"/>
                  </w:rPr>
                </w:pPr>
                <w:r>
                  <w:rPr>
                    <w:rFonts w:hint="eastAsia" w:ascii="Arial Narrow" w:hAnsi="Arial Narrow"/>
                    <w:sz w:val="18"/>
                    <w:szCs w:val="18"/>
                  </w:rPr>
                  <w:t>短期借款</w:t>
                </w:r>
              </w:p>
            </w:tc>
            <w:tc>
              <w:tcPr>
                <w:tcW w:w="1441" w:type="pct"/>
                <w:vAlign w:val="center"/>
              </w:tcPr>
              <w:p w14:paraId="5150971A">
                <w:pPr>
                  <w:jc w:val="right"/>
                  <w:rPr>
                    <w:rFonts w:ascii="Arial Narrow" w:hAnsi="Arial Narrow"/>
                    <w:sz w:val="18"/>
                    <w:szCs w:val="18"/>
                  </w:rPr>
                </w:pPr>
              </w:p>
            </w:tc>
            <w:tc>
              <w:tcPr>
                <w:tcW w:w="871" w:type="pct"/>
                <w:vAlign w:val="center"/>
              </w:tcPr>
              <w:p w14:paraId="470CA62C">
                <w:pPr>
                  <w:jc w:val="right"/>
                  <w:rPr>
                    <w:rFonts w:ascii="宋体" w:hAnsi="宋体"/>
                    <w:color w:val="000000"/>
                    <w:sz w:val="18"/>
                    <w:szCs w:val="18"/>
                  </w:rPr>
                </w:pPr>
                <w:r>
                  <w:rPr>
                    <w:rFonts w:hint="eastAsia" w:ascii="宋体" w:hAnsi="宋体"/>
                    <w:color w:val="000000"/>
                    <w:sz w:val="18"/>
                    <w:szCs w:val="18"/>
                  </w:rPr>
                  <w:t>52,032.51</w:t>
                </w:r>
              </w:p>
            </w:tc>
            <w:tc>
              <w:tcPr>
                <w:tcW w:w="923" w:type="pct"/>
                <w:vAlign w:val="center"/>
              </w:tcPr>
              <w:p w14:paraId="378C36D3">
                <w:pPr>
                  <w:jc w:val="right"/>
                  <w:rPr>
                    <w:rFonts w:ascii="宋体" w:hAnsi="宋体"/>
                    <w:color w:val="000000"/>
                    <w:sz w:val="18"/>
                    <w:szCs w:val="18"/>
                  </w:rPr>
                </w:pPr>
                <w:r>
                  <w:rPr>
                    <w:rFonts w:hint="eastAsia" w:ascii="宋体" w:hAnsi="宋体"/>
                    <w:color w:val="000000"/>
                    <w:sz w:val="18"/>
                    <w:szCs w:val="18"/>
                  </w:rPr>
                  <w:t>52,032.51</w:t>
                </w:r>
              </w:p>
            </w:tc>
          </w:tr>
          <w:tr w14:paraId="642EA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3A1B2FF3">
                <w:pPr>
                  <w:jc w:val="center"/>
                  <w:rPr>
                    <w:rFonts w:ascii="Arial Narrow" w:hAnsi="Arial Narrow"/>
                    <w:sz w:val="18"/>
                    <w:szCs w:val="18"/>
                  </w:rPr>
                </w:pPr>
                <w:r>
                  <w:rPr>
                    <w:rFonts w:hint="eastAsia" w:ascii="Arial Narrow" w:hAnsi="Arial Narrow"/>
                    <w:sz w:val="18"/>
                    <w:szCs w:val="18"/>
                  </w:rPr>
                  <w:t>应付票据</w:t>
                </w:r>
              </w:p>
            </w:tc>
            <w:tc>
              <w:tcPr>
                <w:tcW w:w="1441" w:type="pct"/>
                <w:vAlign w:val="center"/>
              </w:tcPr>
              <w:p w14:paraId="5C30E01E">
                <w:pPr>
                  <w:jc w:val="right"/>
                  <w:rPr>
                    <w:rFonts w:ascii="Arial Narrow" w:hAnsi="Arial Narrow"/>
                    <w:sz w:val="18"/>
                    <w:szCs w:val="18"/>
                  </w:rPr>
                </w:pPr>
              </w:p>
            </w:tc>
            <w:tc>
              <w:tcPr>
                <w:tcW w:w="871" w:type="pct"/>
                <w:vAlign w:val="center"/>
              </w:tcPr>
              <w:p w14:paraId="33A9926B">
                <w:pPr>
                  <w:jc w:val="right"/>
                  <w:rPr>
                    <w:rFonts w:ascii="宋体" w:hAnsi="宋体"/>
                    <w:color w:val="000000"/>
                    <w:sz w:val="18"/>
                    <w:szCs w:val="18"/>
                  </w:rPr>
                </w:pPr>
                <w:r>
                  <w:rPr>
                    <w:rFonts w:hint="eastAsia" w:ascii="宋体" w:hAnsi="宋体"/>
                    <w:color w:val="000000"/>
                    <w:sz w:val="18"/>
                    <w:szCs w:val="18"/>
                  </w:rPr>
                  <w:t>287,468.78</w:t>
                </w:r>
              </w:p>
            </w:tc>
            <w:tc>
              <w:tcPr>
                <w:tcW w:w="923" w:type="pct"/>
                <w:vAlign w:val="center"/>
              </w:tcPr>
              <w:p w14:paraId="6871EB69">
                <w:pPr>
                  <w:jc w:val="right"/>
                  <w:rPr>
                    <w:rFonts w:ascii="宋体" w:hAnsi="宋体"/>
                    <w:color w:val="000000"/>
                    <w:sz w:val="18"/>
                    <w:szCs w:val="18"/>
                  </w:rPr>
                </w:pPr>
                <w:r>
                  <w:rPr>
                    <w:rFonts w:hint="eastAsia" w:ascii="宋体" w:hAnsi="宋体"/>
                    <w:color w:val="000000"/>
                    <w:sz w:val="18"/>
                    <w:szCs w:val="18"/>
                  </w:rPr>
                  <w:t>287,468.78</w:t>
                </w:r>
              </w:p>
            </w:tc>
          </w:tr>
          <w:tr w14:paraId="518D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2C26250C">
                <w:pPr>
                  <w:jc w:val="center"/>
                  <w:rPr>
                    <w:rFonts w:ascii="Arial Narrow" w:hAnsi="Arial Narrow"/>
                    <w:sz w:val="18"/>
                    <w:szCs w:val="18"/>
                  </w:rPr>
                </w:pPr>
                <w:r>
                  <w:rPr>
                    <w:rFonts w:hint="eastAsia" w:ascii="Arial Narrow" w:hAnsi="Arial Narrow"/>
                    <w:sz w:val="18"/>
                    <w:szCs w:val="18"/>
                  </w:rPr>
                  <w:t>应付账款</w:t>
                </w:r>
              </w:p>
            </w:tc>
            <w:tc>
              <w:tcPr>
                <w:tcW w:w="1441" w:type="pct"/>
                <w:vAlign w:val="center"/>
              </w:tcPr>
              <w:p w14:paraId="5A5E810F">
                <w:pPr>
                  <w:jc w:val="right"/>
                  <w:rPr>
                    <w:rFonts w:ascii="Arial Narrow" w:hAnsi="Arial Narrow"/>
                    <w:sz w:val="18"/>
                    <w:szCs w:val="18"/>
                  </w:rPr>
                </w:pPr>
              </w:p>
            </w:tc>
            <w:tc>
              <w:tcPr>
                <w:tcW w:w="871" w:type="pct"/>
                <w:vAlign w:val="center"/>
              </w:tcPr>
              <w:p w14:paraId="60EF377F">
                <w:pPr>
                  <w:jc w:val="right"/>
                  <w:rPr>
                    <w:rFonts w:ascii="宋体" w:hAnsi="宋体"/>
                    <w:color w:val="000000"/>
                    <w:sz w:val="18"/>
                    <w:szCs w:val="18"/>
                  </w:rPr>
                </w:pPr>
                <w:r>
                  <w:rPr>
                    <w:rFonts w:hint="eastAsia" w:ascii="宋体" w:hAnsi="宋体"/>
                    <w:color w:val="000000"/>
                    <w:sz w:val="18"/>
                    <w:szCs w:val="18"/>
                  </w:rPr>
                  <w:t>326,285.77</w:t>
                </w:r>
              </w:p>
            </w:tc>
            <w:tc>
              <w:tcPr>
                <w:tcW w:w="923" w:type="pct"/>
                <w:vAlign w:val="center"/>
              </w:tcPr>
              <w:p w14:paraId="6C03A627">
                <w:pPr>
                  <w:jc w:val="right"/>
                  <w:rPr>
                    <w:rFonts w:ascii="宋体" w:hAnsi="宋体"/>
                    <w:color w:val="000000"/>
                    <w:sz w:val="18"/>
                    <w:szCs w:val="18"/>
                  </w:rPr>
                </w:pPr>
                <w:r>
                  <w:rPr>
                    <w:rFonts w:hint="eastAsia" w:ascii="宋体" w:hAnsi="宋体"/>
                    <w:color w:val="000000"/>
                    <w:sz w:val="18"/>
                    <w:szCs w:val="18"/>
                  </w:rPr>
                  <w:t>326,285.77</w:t>
                </w:r>
              </w:p>
            </w:tc>
          </w:tr>
          <w:tr w14:paraId="58AC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6151B087">
                <w:pPr>
                  <w:jc w:val="center"/>
                  <w:rPr>
                    <w:rFonts w:ascii="Arial Narrow" w:hAnsi="Arial Narrow"/>
                    <w:sz w:val="18"/>
                    <w:szCs w:val="18"/>
                  </w:rPr>
                </w:pPr>
                <w:r>
                  <w:rPr>
                    <w:rFonts w:hint="eastAsia" w:ascii="Arial Narrow" w:hAnsi="Arial Narrow"/>
                    <w:sz w:val="18"/>
                    <w:szCs w:val="18"/>
                  </w:rPr>
                  <w:t>其他</w:t>
                </w:r>
                <w:r>
                  <w:rPr>
                    <w:rFonts w:ascii="Arial Narrow" w:hAnsi="Arial Narrow"/>
                    <w:sz w:val="18"/>
                    <w:szCs w:val="18"/>
                  </w:rPr>
                  <w:t>应付款</w:t>
                </w:r>
              </w:p>
            </w:tc>
            <w:tc>
              <w:tcPr>
                <w:tcW w:w="1441" w:type="pct"/>
                <w:vAlign w:val="center"/>
              </w:tcPr>
              <w:p w14:paraId="124CE1E9">
                <w:pPr>
                  <w:jc w:val="right"/>
                  <w:rPr>
                    <w:rFonts w:ascii="Arial Narrow" w:hAnsi="Arial Narrow"/>
                    <w:sz w:val="18"/>
                    <w:szCs w:val="18"/>
                  </w:rPr>
                </w:pPr>
              </w:p>
            </w:tc>
            <w:tc>
              <w:tcPr>
                <w:tcW w:w="871" w:type="pct"/>
                <w:vAlign w:val="center"/>
              </w:tcPr>
              <w:p w14:paraId="0123A36E">
                <w:pPr>
                  <w:jc w:val="right"/>
                  <w:rPr>
                    <w:rFonts w:ascii="宋体" w:hAnsi="宋体"/>
                    <w:color w:val="000000"/>
                    <w:sz w:val="18"/>
                    <w:szCs w:val="18"/>
                  </w:rPr>
                </w:pPr>
                <w:r>
                  <w:rPr>
                    <w:rFonts w:hint="eastAsia" w:ascii="宋体" w:hAnsi="宋体"/>
                    <w:color w:val="000000"/>
                    <w:sz w:val="18"/>
                    <w:szCs w:val="18"/>
                  </w:rPr>
                  <w:t>105,783.01</w:t>
                </w:r>
              </w:p>
            </w:tc>
            <w:tc>
              <w:tcPr>
                <w:tcW w:w="923" w:type="pct"/>
                <w:vAlign w:val="center"/>
              </w:tcPr>
              <w:p w14:paraId="655FB593">
                <w:pPr>
                  <w:jc w:val="right"/>
                  <w:rPr>
                    <w:rFonts w:ascii="宋体" w:hAnsi="宋体"/>
                    <w:color w:val="000000"/>
                    <w:sz w:val="18"/>
                    <w:szCs w:val="18"/>
                  </w:rPr>
                </w:pPr>
                <w:r>
                  <w:rPr>
                    <w:rFonts w:hint="eastAsia" w:ascii="宋体" w:hAnsi="宋体"/>
                    <w:color w:val="000000"/>
                    <w:sz w:val="18"/>
                    <w:szCs w:val="18"/>
                  </w:rPr>
                  <w:t>105,783.01</w:t>
                </w:r>
              </w:p>
            </w:tc>
          </w:tr>
          <w:tr w14:paraId="546D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1C67B364">
                <w:pPr>
                  <w:jc w:val="center"/>
                  <w:rPr>
                    <w:rFonts w:ascii="Arial Narrow" w:hAnsi="Arial Narrow"/>
                    <w:i/>
                    <w:color w:val="0000FF"/>
                    <w:sz w:val="18"/>
                    <w:szCs w:val="18"/>
                  </w:rPr>
                </w:pPr>
                <w:r>
                  <w:rPr>
                    <w:rFonts w:hint="eastAsia" w:ascii="Arial Narrow" w:hAnsi="Arial Narrow"/>
                    <w:sz w:val="18"/>
                    <w:szCs w:val="18"/>
                  </w:rPr>
                  <w:t>一年内到期的非流动负债</w:t>
                </w:r>
              </w:p>
            </w:tc>
            <w:tc>
              <w:tcPr>
                <w:tcW w:w="1441" w:type="pct"/>
                <w:vAlign w:val="center"/>
              </w:tcPr>
              <w:p w14:paraId="3C38C39C">
                <w:pPr>
                  <w:jc w:val="right"/>
                  <w:rPr>
                    <w:rFonts w:ascii="Arial Narrow" w:hAnsi="Arial Narrow"/>
                    <w:sz w:val="18"/>
                    <w:szCs w:val="18"/>
                  </w:rPr>
                </w:pPr>
              </w:p>
            </w:tc>
            <w:tc>
              <w:tcPr>
                <w:tcW w:w="871" w:type="pct"/>
                <w:vAlign w:val="center"/>
              </w:tcPr>
              <w:p w14:paraId="6A005140">
                <w:pPr>
                  <w:jc w:val="right"/>
                  <w:rPr>
                    <w:rFonts w:ascii="宋体" w:hAnsi="宋体"/>
                    <w:color w:val="000000"/>
                    <w:sz w:val="18"/>
                    <w:szCs w:val="18"/>
                  </w:rPr>
                </w:pPr>
                <w:r>
                  <w:rPr>
                    <w:rFonts w:hint="eastAsia" w:ascii="宋体" w:hAnsi="宋体"/>
                    <w:color w:val="000000"/>
                    <w:sz w:val="18"/>
                    <w:szCs w:val="18"/>
                  </w:rPr>
                  <w:t>53,429.60</w:t>
                </w:r>
              </w:p>
            </w:tc>
            <w:tc>
              <w:tcPr>
                <w:tcW w:w="923" w:type="pct"/>
                <w:vAlign w:val="center"/>
              </w:tcPr>
              <w:p w14:paraId="1F43643A">
                <w:pPr>
                  <w:jc w:val="right"/>
                  <w:rPr>
                    <w:rFonts w:ascii="宋体" w:hAnsi="宋体"/>
                    <w:color w:val="000000"/>
                    <w:sz w:val="18"/>
                    <w:szCs w:val="18"/>
                  </w:rPr>
                </w:pPr>
                <w:r>
                  <w:rPr>
                    <w:rFonts w:hint="eastAsia" w:ascii="宋体" w:hAnsi="宋体"/>
                    <w:color w:val="000000"/>
                    <w:sz w:val="18"/>
                    <w:szCs w:val="18"/>
                  </w:rPr>
                  <w:t>53,429.60</w:t>
                </w:r>
              </w:p>
            </w:tc>
          </w:tr>
          <w:tr w14:paraId="16DF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67242CDF">
                <w:pPr>
                  <w:jc w:val="center"/>
                  <w:rPr>
                    <w:rFonts w:ascii="Arial Narrow" w:hAnsi="Arial Narrow"/>
                    <w:sz w:val="18"/>
                    <w:szCs w:val="18"/>
                  </w:rPr>
                </w:pPr>
                <w:r>
                  <w:rPr>
                    <w:rFonts w:hint="eastAsia" w:ascii="Arial Narrow" w:hAnsi="Arial Narrow"/>
                    <w:sz w:val="18"/>
                    <w:szCs w:val="18"/>
                  </w:rPr>
                  <w:t>长期借款</w:t>
                </w:r>
              </w:p>
            </w:tc>
            <w:tc>
              <w:tcPr>
                <w:tcW w:w="1441" w:type="pct"/>
                <w:vAlign w:val="center"/>
              </w:tcPr>
              <w:p w14:paraId="601FA422">
                <w:pPr>
                  <w:jc w:val="right"/>
                  <w:rPr>
                    <w:rFonts w:ascii="Arial Narrow" w:hAnsi="Arial Narrow"/>
                    <w:sz w:val="18"/>
                    <w:szCs w:val="18"/>
                  </w:rPr>
                </w:pPr>
              </w:p>
            </w:tc>
            <w:tc>
              <w:tcPr>
                <w:tcW w:w="871" w:type="pct"/>
                <w:vAlign w:val="center"/>
              </w:tcPr>
              <w:p w14:paraId="493E1349">
                <w:pPr>
                  <w:jc w:val="right"/>
                  <w:rPr>
                    <w:rFonts w:ascii="宋体" w:hAnsi="宋体"/>
                    <w:color w:val="000000"/>
                    <w:sz w:val="18"/>
                    <w:szCs w:val="18"/>
                  </w:rPr>
                </w:pPr>
                <w:r>
                  <w:rPr>
                    <w:rFonts w:hint="eastAsia" w:ascii="宋体" w:hAnsi="宋体"/>
                    <w:color w:val="000000"/>
                    <w:sz w:val="18"/>
                    <w:szCs w:val="18"/>
                  </w:rPr>
                  <w:t>72,796.34</w:t>
                </w:r>
              </w:p>
            </w:tc>
            <w:tc>
              <w:tcPr>
                <w:tcW w:w="923" w:type="pct"/>
                <w:vAlign w:val="center"/>
              </w:tcPr>
              <w:p w14:paraId="68A6D0BB">
                <w:pPr>
                  <w:jc w:val="right"/>
                  <w:rPr>
                    <w:rFonts w:ascii="宋体" w:hAnsi="宋体"/>
                    <w:color w:val="000000"/>
                    <w:sz w:val="18"/>
                    <w:szCs w:val="18"/>
                  </w:rPr>
                </w:pPr>
                <w:r>
                  <w:rPr>
                    <w:rFonts w:hint="eastAsia" w:ascii="宋体" w:hAnsi="宋体"/>
                    <w:color w:val="000000"/>
                    <w:sz w:val="18"/>
                    <w:szCs w:val="18"/>
                  </w:rPr>
                  <w:t>72,796.34</w:t>
                </w:r>
              </w:p>
            </w:tc>
          </w:tr>
          <w:tr w14:paraId="7BD4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04DBC27F">
                <w:pPr>
                  <w:jc w:val="center"/>
                  <w:rPr>
                    <w:rFonts w:ascii="Arial Narrow" w:hAnsi="Arial Narrow"/>
                    <w:sz w:val="18"/>
                    <w:szCs w:val="18"/>
                  </w:rPr>
                </w:pPr>
                <w:r>
                  <w:rPr>
                    <w:rFonts w:hint="eastAsia" w:ascii="Arial Narrow" w:hAnsi="Arial Narrow"/>
                    <w:sz w:val="18"/>
                    <w:szCs w:val="18"/>
                  </w:rPr>
                  <w:t>租赁负债</w:t>
                </w:r>
              </w:p>
            </w:tc>
            <w:tc>
              <w:tcPr>
                <w:tcW w:w="1441" w:type="pct"/>
                <w:vAlign w:val="center"/>
              </w:tcPr>
              <w:p w14:paraId="00B61021">
                <w:pPr>
                  <w:jc w:val="right"/>
                  <w:rPr>
                    <w:rFonts w:ascii="Arial Narrow" w:hAnsi="Arial Narrow"/>
                    <w:sz w:val="18"/>
                    <w:szCs w:val="18"/>
                  </w:rPr>
                </w:pPr>
              </w:p>
            </w:tc>
            <w:tc>
              <w:tcPr>
                <w:tcW w:w="871" w:type="pct"/>
                <w:vAlign w:val="center"/>
              </w:tcPr>
              <w:p w14:paraId="6A8E2208">
                <w:pPr>
                  <w:jc w:val="right"/>
                  <w:rPr>
                    <w:rFonts w:ascii="宋体" w:hAnsi="宋体"/>
                    <w:color w:val="000000"/>
                    <w:sz w:val="18"/>
                    <w:szCs w:val="18"/>
                  </w:rPr>
                </w:pPr>
                <w:r>
                  <w:rPr>
                    <w:rFonts w:ascii="宋体" w:hAnsi="宋体"/>
                    <w:color w:val="000000"/>
                    <w:sz w:val="18"/>
                    <w:szCs w:val="18"/>
                  </w:rPr>
                  <w:t>0.00</w:t>
                </w:r>
              </w:p>
            </w:tc>
            <w:tc>
              <w:tcPr>
                <w:tcW w:w="923" w:type="pct"/>
                <w:vAlign w:val="center"/>
              </w:tcPr>
              <w:p w14:paraId="7738DA56">
                <w:pPr>
                  <w:jc w:val="right"/>
                  <w:rPr>
                    <w:rFonts w:ascii="宋体" w:hAnsi="宋体"/>
                    <w:color w:val="000000"/>
                    <w:sz w:val="18"/>
                    <w:szCs w:val="18"/>
                  </w:rPr>
                </w:pPr>
                <w:r>
                  <w:rPr>
                    <w:rFonts w:ascii="宋体" w:hAnsi="宋体"/>
                    <w:color w:val="000000"/>
                    <w:sz w:val="18"/>
                    <w:szCs w:val="18"/>
                  </w:rPr>
                  <w:t>0.00</w:t>
                </w:r>
              </w:p>
            </w:tc>
          </w:tr>
        </w:tbl>
        <w:p w14:paraId="6FDC63AE">
          <w:pPr>
            <w:autoSpaceDE w:val="0"/>
            <w:autoSpaceDN w:val="0"/>
            <w:adjustRightInd w:val="0"/>
            <w:spacing w:before="120" w:beforeLines="50" w:after="120" w:afterLines="50" w:line="360" w:lineRule="exact"/>
            <w:ind w:firstLine="420" w:firstLineChars="200"/>
            <w:rPr>
              <w:rFonts w:ascii="宋体" w:hAnsi="宋体"/>
            </w:rPr>
          </w:pPr>
          <w:r>
            <w:rPr>
              <w:rFonts w:ascii="宋体" w:hAnsi="宋体"/>
            </w:rPr>
            <w:t>2</w:t>
          </w:r>
          <w:r>
            <w:rPr>
              <w:rFonts w:hint="eastAsia" w:ascii="宋体" w:hAnsi="宋体"/>
            </w:rPr>
            <w:t>）202</w:t>
          </w:r>
          <w:r>
            <w:rPr>
              <w:rFonts w:ascii="宋体" w:hAnsi="宋体"/>
            </w:rPr>
            <w:t>4</w:t>
          </w:r>
          <w:r>
            <w:rPr>
              <w:rFonts w:hint="eastAsia" w:ascii="宋体" w:hAnsi="宋体"/>
            </w:rPr>
            <w:t>年12月31日</w:t>
          </w:r>
        </w:p>
        <w:p w14:paraId="309DF5F2">
          <w:pPr>
            <w:autoSpaceDE w:val="0"/>
            <w:autoSpaceDN w:val="0"/>
            <w:adjustRightInd w:val="0"/>
            <w:spacing w:after="120" w:afterLines="50" w:line="360" w:lineRule="exact"/>
            <w:ind w:firstLine="420" w:firstLineChars="200"/>
            <w:jc w:val="right"/>
            <w:rPr>
              <w:rFonts w:ascii="宋体" w:hAnsi="宋体"/>
            </w:rPr>
          </w:pPr>
          <w:r>
            <w:rPr>
              <w:rFonts w:hint="eastAsia" w:ascii="宋体" w:hAnsi="宋体"/>
            </w:rPr>
            <w:t>单位：万元</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2608"/>
            <w:gridCol w:w="1576"/>
            <w:gridCol w:w="1671"/>
          </w:tblGrid>
          <w:tr w14:paraId="7C11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65" w:type="pct"/>
                <w:vAlign w:val="center"/>
              </w:tcPr>
              <w:p w14:paraId="7EFF49AF">
                <w:pPr>
                  <w:jc w:val="center"/>
                  <w:rPr>
                    <w:rFonts w:ascii="宋体" w:hAnsi="宋体"/>
                    <w:b/>
                    <w:sz w:val="18"/>
                    <w:szCs w:val="18"/>
                  </w:rPr>
                </w:pPr>
                <w:r>
                  <w:rPr>
                    <w:rFonts w:hint="eastAsia" w:ascii="宋体" w:hAnsi="宋体"/>
                    <w:b/>
                    <w:sz w:val="18"/>
                    <w:szCs w:val="18"/>
                  </w:rPr>
                  <w:t>金融负债项目</w:t>
                </w:r>
              </w:p>
            </w:tc>
            <w:tc>
              <w:tcPr>
                <w:tcW w:w="1441" w:type="pct"/>
                <w:vAlign w:val="center"/>
              </w:tcPr>
              <w:p w14:paraId="323D15EF">
                <w:pPr>
                  <w:jc w:val="center"/>
                  <w:rPr>
                    <w:rFonts w:ascii="宋体" w:hAnsi="宋体"/>
                    <w:b/>
                    <w:sz w:val="18"/>
                    <w:szCs w:val="18"/>
                  </w:rPr>
                </w:pPr>
                <w:r>
                  <w:rPr>
                    <w:rFonts w:hint="eastAsia" w:ascii="宋体" w:hAnsi="宋体"/>
                    <w:b/>
                    <w:sz w:val="18"/>
                    <w:szCs w:val="18"/>
                  </w:rPr>
                  <w:t>以公允价值计量且其变动计入当期损益的金融负债</w:t>
                </w:r>
              </w:p>
            </w:tc>
            <w:tc>
              <w:tcPr>
                <w:tcW w:w="871" w:type="pct"/>
                <w:vAlign w:val="center"/>
              </w:tcPr>
              <w:p w14:paraId="18264403">
                <w:pPr>
                  <w:jc w:val="center"/>
                  <w:rPr>
                    <w:rFonts w:ascii="宋体" w:hAnsi="宋体"/>
                    <w:b/>
                    <w:sz w:val="18"/>
                    <w:szCs w:val="18"/>
                  </w:rPr>
                </w:pPr>
                <w:r>
                  <w:rPr>
                    <w:rFonts w:hint="eastAsia" w:ascii="宋体" w:hAnsi="宋体"/>
                    <w:b/>
                    <w:sz w:val="18"/>
                    <w:szCs w:val="18"/>
                  </w:rPr>
                  <w:t>其他金融负债</w:t>
                </w:r>
              </w:p>
            </w:tc>
            <w:tc>
              <w:tcPr>
                <w:tcW w:w="923" w:type="pct"/>
                <w:vAlign w:val="center"/>
              </w:tcPr>
              <w:p w14:paraId="417C8909">
                <w:pPr>
                  <w:jc w:val="center"/>
                  <w:rPr>
                    <w:rFonts w:ascii="宋体" w:hAnsi="宋体"/>
                    <w:b/>
                    <w:sz w:val="18"/>
                    <w:szCs w:val="18"/>
                  </w:rPr>
                </w:pPr>
                <w:r>
                  <w:rPr>
                    <w:rFonts w:hint="eastAsia" w:ascii="宋体" w:hAnsi="宋体"/>
                    <w:b/>
                    <w:sz w:val="18"/>
                    <w:szCs w:val="18"/>
                  </w:rPr>
                  <w:t>合计</w:t>
                </w:r>
              </w:p>
            </w:tc>
          </w:tr>
          <w:tr w14:paraId="707B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2B15B4A4">
                <w:pPr>
                  <w:jc w:val="center"/>
                  <w:rPr>
                    <w:rFonts w:ascii="宋体" w:hAnsi="宋体"/>
                    <w:i/>
                    <w:sz w:val="18"/>
                    <w:szCs w:val="18"/>
                  </w:rPr>
                </w:pPr>
                <w:r>
                  <w:rPr>
                    <w:rFonts w:hint="eastAsia" w:ascii="宋体" w:hAnsi="宋体"/>
                    <w:sz w:val="18"/>
                    <w:szCs w:val="18"/>
                  </w:rPr>
                  <w:t>短期借款</w:t>
                </w:r>
              </w:p>
            </w:tc>
            <w:tc>
              <w:tcPr>
                <w:tcW w:w="1441" w:type="pct"/>
                <w:vAlign w:val="center"/>
              </w:tcPr>
              <w:p w14:paraId="26F039A9">
                <w:pPr>
                  <w:jc w:val="right"/>
                  <w:rPr>
                    <w:rFonts w:ascii="宋体" w:hAnsi="宋体"/>
                    <w:sz w:val="18"/>
                    <w:szCs w:val="18"/>
                  </w:rPr>
                </w:pPr>
              </w:p>
            </w:tc>
            <w:tc>
              <w:tcPr>
                <w:tcW w:w="871" w:type="pct"/>
                <w:vAlign w:val="center"/>
              </w:tcPr>
              <w:p w14:paraId="79076AA9">
                <w:pPr>
                  <w:jc w:val="right"/>
                  <w:rPr>
                    <w:rFonts w:ascii="宋体" w:hAnsi="宋体"/>
                    <w:sz w:val="18"/>
                    <w:szCs w:val="18"/>
                  </w:rPr>
                </w:pPr>
                <w:r>
                  <w:rPr>
                    <w:rFonts w:ascii="宋体" w:hAnsi="宋体"/>
                    <w:sz w:val="18"/>
                    <w:szCs w:val="18"/>
                  </w:rPr>
                  <w:t>61,742.02</w:t>
                </w:r>
              </w:p>
            </w:tc>
            <w:tc>
              <w:tcPr>
                <w:tcW w:w="923" w:type="pct"/>
                <w:vAlign w:val="center"/>
              </w:tcPr>
              <w:p w14:paraId="36C9BED5">
                <w:pPr>
                  <w:jc w:val="right"/>
                  <w:rPr>
                    <w:rFonts w:ascii="宋体" w:hAnsi="宋体"/>
                    <w:sz w:val="18"/>
                    <w:szCs w:val="18"/>
                  </w:rPr>
                </w:pPr>
                <w:r>
                  <w:rPr>
                    <w:rFonts w:ascii="宋体" w:hAnsi="宋体"/>
                    <w:sz w:val="18"/>
                    <w:szCs w:val="18"/>
                  </w:rPr>
                  <w:t>61,742.02</w:t>
                </w:r>
              </w:p>
            </w:tc>
          </w:tr>
          <w:tr w14:paraId="65EC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0DB05D4A">
                <w:pPr>
                  <w:jc w:val="center"/>
                  <w:rPr>
                    <w:rFonts w:ascii="宋体" w:hAnsi="宋体"/>
                    <w:i/>
                    <w:color w:val="0000FF"/>
                    <w:sz w:val="18"/>
                    <w:szCs w:val="18"/>
                  </w:rPr>
                </w:pPr>
                <w:r>
                  <w:rPr>
                    <w:rFonts w:hint="eastAsia" w:ascii="宋体" w:hAnsi="宋体"/>
                    <w:sz w:val="18"/>
                    <w:szCs w:val="18"/>
                  </w:rPr>
                  <w:t>应付票据</w:t>
                </w:r>
              </w:p>
            </w:tc>
            <w:tc>
              <w:tcPr>
                <w:tcW w:w="1441" w:type="pct"/>
                <w:vAlign w:val="center"/>
              </w:tcPr>
              <w:p w14:paraId="33F62D89">
                <w:pPr>
                  <w:jc w:val="right"/>
                  <w:rPr>
                    <w:rFonts w:ascii="宋体" w:hAnsi="宋体"/>
                    <w:sz w:val="18"/>
                    <w:szCs w:val="18"/>
                  </w:rPr>
                </w:pPr>
              </w:p>
            </w:tc>
            <w:tc>
              <w:tcPr>
                <w:tcW w:w="871" w:type="pct"/>
                <w:vAlign w:val="center"/>
              </w:tcPr>
              <w:p w14:paraId="1D8F0B16">
                <w:pPr>
                  <w:jc w:val="right"/>
                  <w:rPr>
                    <w:rFonts w:ascii="宋体" w:hAnsi="宋体"/>
                    <w:sz w:val="18"/>
                    <w:szCs w:val="18"/>
                  </w:rPr>
                </w:pPr>
                <w:r>
                  <w:rPr>
                    <w:rFonts w:ascii="宋体" w:hAnsi="宋体"/>
                    <w:sz w:val="18"/>
                    <w:szCs w:val="18"/>
                  </w:rPr>
                  <w:t>221,519.11</w:t>
                </w:r>
              </w:p>
            </w:tc>
            <w:tc>
              <w:tcPr>
                <w:tcW w:w="923" w:type="pct"/>
                <w:vAlign w:val="center"/>
              </w:tcPr>
              <w:p w14:paraId="689939CE">
                <w:pPr>
                  <w:jc w:val="right"/>
                  <w:rPr>
                    <w:rFonts w:ascii="宋体" w:hAnsi="宋体"/>
                    <w:sz w:val="18"/>
                    <w:szCs w:val="18"/>
                  </w:rPr>
                </w:pPr>
                <w:r>
                  <w:rPr>
                    <w:rFonts w:ascii="宋体" w:hAnsi="宋体"/>
                    <w:sz w:val="18"/>
                    <w:szCs w:val="18"/>
                  </w:rPr>
                  <w:t>221,519.11</w:t>
                </w:r>
              </w:p>
            </w:tc>
          </w:tr>
          <w:tr w14:paraId="26C7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58E71174">
                <w:pPr>
                  <w:jc w:val="center"/>
                  <w:rPr>
                    <w:rFonts w:ascii="宋体" w:hAnsi="宋体"/>
                    <w:i/>
                    <w:color w:val="0000FF"/>
                    <w:sz w:val="18"/>
                    <w:szCs w:val="18"/>
                  </w:rPr>
                </w:pPr>
                <w:r>
                  <w:rPr>
                    <w:rFonts w:hint="eastAsia" w:ascii="宋体" w:hAnsi="宋体"/>
                    <w:sz w:val="18"/>
                    <w:szCs w:val="18"/>
                  </w:rPr>
                  <w:t>应付账款</w:t>
                </w:r>
              </w:p>
            </w:tc>
            <w:tc>
              <w:tcPr>
                <w:tcW w:w="1441" w:type="pct"/>
                <w:vAlign w:val="center"/>
              </w:tcPr>
              <w:p w14:paraId="3F5D5EBE">
                <w:pPr>
                  <w:jc w:val="right"/>
                  <w:rPr>
                    <w:rFonts w:ascii="宋体" w:hAnsi="宋体"/>
                    <w:sz w:val="18"/>
                    <w:szCs w:val="18"/>
                  </w:rPr>
                </w:pPr>
              </w:p>
            </w:tc>
            <w:tc>
              <w:tcPr>
                <w:tcW w:w="871" w:type="pct"/>
                <w:vAlign w:val="center"/>
              </w:tcPr>
              <w:p w14:paraId="58A07802">
                <w:pPr>
                  <w:jc w:val="right"/>
                  <w:rPr>
                    <w:rFonts w:ascii="宋体" w:hAnsi="宋体"/>
                    <w:sz w:val="18"/>
                    <w:szCs w:val="18"/>
                  </w:rPr>
                </w:pPr>
                <w:r>
                  <w:rPr>
                    <w:rFonts w:ascii="宋体" w:hAnsi="宋体"/>
                    <w:sz w:val="18"/>
                    <w:szCs w:val="18"/>
                  </w:rPr>
                  <w:t>346,374.47</w:t>
                </w:r>
              </w:p>
            </w:tc>
            <w:tc>
              <w:tcPr>
                <w:tcW w:w="923" w:type="pct"/>
                <w:vAlign w:val="center"/>
              </w:tcPr>
              <w:p w14:paraId="7D5C0DCE">
                <w:pPr>
                  <w:jc w:val="right"/>
                  <w:rPr>
                    <w:rFonts w:ascii="宋体" w:hAnsi="宋体"/>
                    <w:sz w:val="18"/>
                    <w:szCs w:val="18"/>
                  </w:rPr>
                </w:pPr>
                <w:r>
                  <w:rPr>
                    <w:rFonts w:ascii="宋体" w:hAnsi="宋体"/>
                    <w:sz w:val="18"/>
                    <w:szCs w:val="18"/>
                  </w:rPr>
                  <w:t>346,374.47</w:t>
                </w:r>
              </w:p>
            </w:tc>
          </w:tr>
          <w:tr w14:paraId="7A92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4647E395">
                <w:pPr>
                  <w:jc w:val="center"/>
                  <w:rPr>
                    <w:rFonts w:ascii="宋体" w:hAnsi="宋体"/>
                    <w:i/>
                    <w:color w:val="0000FF"/>
                    <w:sz w:val="18"/>
                    <w:szCs w:val="18"/>
                  </w:rPr>
                </w:pPr>
                <w:r>
                  <w:rPr>
                    <w:rFonts w:hint="eastAsia" w:ascii="宋体" w:hAnsi="宋体"/>
                    <w:sz w:val="18"/>
                    <w:szCs w:val="18"/>
                  </w:rPr>
                  <w:t>其他</w:t>
                </w:r>
                <w:r>
                  <w:rPr>
                    <w:rFonts w:ascii="宋体" w:hAnsi="宋体"/>
                    <w:sz w:val="18"/>
                    <w:szCs w:val="18"/>
                  </w:rPr>
                  <w:t>应付款</w:t>
                </w:r>
              </w:p>
            </w:tc>
            <w:tc>
              <w:tcPr>
                <w:tcW w:w="1441" w:type="pct"/>
                <w:vAlign w:val="center"/>
              </w:tcPr>
              <w:p w14:paraId="4DA3B143">
                <w:pPr>
                  <w:jc w:val="right"/>
                  <w:rPr>
                    <w:rFonts w:ascii="宋体" w:hAnsi="宋体"/>
                    <w:sz w:val="18"/>
                    <w:szCs w:val="18"/>
                  </w:rPr>
                </w:pPr>
              </w:p>
            </w:tc>
            <w:tc>
              <w:tcPr>
                <w:tcW w:w="871" w:type="pct"/>
                <w:vAlign w:val="center"/>
              </w:tcPr>
              <w:p w14:paraId="7E0F9CDA">
                <w:pPr>
                  <w:jc w:val="right"/>
                  <w:rPr>
                    <w:rFonts w:ascii="宋体" w:hAnsi="宋体"/>
                    <w:sz w:val="18"/>
                    <w:szCs w:val="18"/>
                  </w:rPr>
                </w:pPr>
                <w:r>
                  <w:rPr>
                    <w:rFonts w:ascii="宋体" w:hAnsi="宋体"/>
                    <w:sz w:val="18"/>
                    <w:szCs w:val="18"/>
                  </w:rPr>
                  <w:t>106,088.00</w:t>
                </w:r>
              </w:p>
            </w:tc>
            <w:tc>
              <w:tcPr>
                <w:tcW w:w="923" w:type="pct"/>
                <w:vAlign w:val="center"/>
              </w:tcPr>
              <w:p w14:paraId="6556C262">
                <w:pPr>
                  <w:jc w:val="right"/>
                  <w:rPr>
                    <w:rFonts w:ascii="宋体" w:hAnsi="宋体"/>
                    <w:sz w:val="18"/>
                    <w:szCs w:val="18"/>
                  </w:rPr>
                </w:pPr>
                <w:r>
                  <w:rPr>
                    <w:rFonts w:ascii="宋体" w:hAnsi="宋体"/>
                    <w:sz w:val="18"/>
                    <w:szCs w:val="18"/>
                  </w:rPr>
                  <w:t>106,088.00</w:t>
                </w:r>
              </w:p>
            </w:tc>
          </w:tr>
          <w:tr w14:paraId="7E59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70A7BB87">
                <w:pPr>
                  <w:jc w:val="center"/>
                  <w:rPr>
                    <w:rFonts w:ascii="宋体" w:hAnsi="宋体"/>
                    <w:i/>
                    <w:color w:val="0000FF"/>
                    <w:sz w:val="18"/>
                    <w:szCs w:val="18"/>
                  </w:rPr>
                </w:pPr>
                <w:r>
                  <w:rPr>
                    <w:rFonts w:hint="eastAsia" w:ascii="宋体" w:hAnsi="宋体"/>
                    <w:sz w:val="18"/>
                    <w:szCs w:val="18"/>
                  </w:rPr>
                  <w:t>一年内到期的非流动负债</w:t>
                </w:r>
              </w:p>
            </w:tc>
            <w:tc>
              <w:tcPr>
                <w:tcW w:w="1441" w:type="pct"/>
                <w:vAlign w:val="center"/>
              </w:tcPr>
              <w:p w14:paraId="0CC6D267">
                <w:pPr>
                  <w:jc w:val="right"/>
                  <w:rPr>
                    <w:rFonts w:ascii="宋体" w:hAnsi="宋体"/>
                    <w:sz w:val="18"/>
                    <w:szCs w:val="18"/>
                  </w:rPr>
                </w:pPr>
              </w:p>
            </w:tc>
            <w:tc>
              <w:tcPr>
                <w:tcW w:w="871" w:type="pct"/>
                <w:vAlign w:val="center"/>
              </w:tcPr>
              <w:p w14:paraId="4C6C8656">
                <w:pPr>
                  <w:jc w:val="right"/>
                  <w:rPr>
                    <w:rFonts w:ascii="宋体" w:hAnsi="宋体"/>
                    <w:sz w:val="18"/>
                    <w:szCs w:val="18"/>
                  </w:rPr>
                </w:pPr>
                <w:r>
                  <w:rPr>
                    <w:rFonts w:ascii="宋体" w:hAnsi="宋体"/>
                    <w:sz w:val="18"/>
                    <w:szCs w:val="18"/>
                  </w:rPr>
                  <w:t>57,933.14</w:t>
                </w:r>
              </w:p>
            </w:tc>
            <w:tc>
              <w:tcPr>
                <w:tcW w:w="923" w:type="pct"/>
                <w:vAlign w:val="center"/>
              </w:tcPr>
              <w:p w14:paraId="24A143B0">
                <w:pPr>
                  <w:jc w:val="right"/>
                  <w:rPr>
                    <w:rFonts w:ascii="宋体" w:hAnsi="宋体"/>
                    <w:sz w:val="18"/>
                    <w:szCs w:val="18"/>
                  </w:rPr>
                </w:pPr>
                <w:r>
                  <w:rPr>
                    <w:rFonts w:ascii="宋体" w:hAnsi="宋体"/>
                    <w:sz w:val="18"/>
                    <w:szCs w:val="18"/>
                  </w:rPr>
                  <w:t>57,933.14</w:t>
                </w:r>
              </w:p>
            </w:tc>
          </w:tr>
          <w:tr w14:paraId="69E0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0562B5CF">
                <w:pPr>
                  <w:jc w:val="center"/>
                  <w:rPr>
                    <w:rFonts w:ascii="宋体" w:hAnsi="宋体"/>
                    <w:i/>
                    <w:color w:val="0000FF"/>
                    <w:sz w:val="18"/>
                    <w:szCs w:val="18"/>
                  </w:rPr>
                </w:pPr>
                <w:r>
                  <w:rPr>
                    <w:rFonts w:hint="eastAsia" w:ascii="宋体" w:hAnsi="宋体"/>
                    <w:sz w:val="18"/>
                    <w:szCs w:val="18"/>
                  </w:rPr>
                  <w:t>长期借款</w:t>
                </w:r>
              </w:p>
            </w:tc>
            <w:tc>
              <w:tcPr>
                <w:tcW w:w="1441" w:type="pct"/>
                <w:vAlign w:val="center"/>
              </w:tcPr>
              <w:p w14:paraId="23988D5C">
                <w:pPr>
                  <w:jc w:val="right"/>
                  <w:rPr>
                    <w:rFonts w:ascii="宋体" w:hAnsi="宋体"/>
                    <w:sz w:val="18"/>
                    <w:szCs w:val="18"/>
                  </w:rPr>
                </w:pPr>
              </w:p>
            </w:tc>
            <w:tc>
              <w:tcPr>
                <w:tcW w:w="871" w:type="pct"/>
                <w:vAlign w:val="center"/>
              </w:tcPr>
              <w:p w14:paraId="62AD10D9">
                <w:pPr>
                  <w:jc w:val="right"/>
                  <w:rPr>
                    <w:rFonts w:ascii="宋体" w:hAnsi="宋体"/>
                    <w:sz w:val="18"/>
                    <w:szCs w:val="18"/>
                  </w:rPr>
                </w:pPr>
                <w:r>
                  <w:rPr>
                    <w:rFonts w:ascii="宋体" w:hAnsi="宋体"/>
                    <w:sz w:val="18"/>
                    <w:szCs w:val="18"/>
                  </w:rPr>
                  <w:t>82,093.12</w:t>
                </w:r>
              </w:p>
            </w:tc>
            <w:tc>
              <w:tcPr>
                <w:tcW w:w="923" w:type="pct"/>
                <w:vAlign w:val="center"/>
              </w:tcPr>
              <w:p w14:paraId="168C8F5F">
                <w:pPr>
                  <w:jc w:val="right"/>
                  <w:rPr>
                    <w:rFonts w:ascii="宋体" w:hAnsi="宋体"/>
                    <w:sz w:val="18"/>
                    <w:szCs w:val="18"/>
                  </w:rPr>
                </w:pPr>
                <w:r>
                  <w:rPr>
                    <w:rFonts w:ascii="宋体" w:hAnsi="宋体"/>
                    <w:sz w:val="18"/>
                    <w:szCs w:val="18"/>
                  </w:rPr>
                  <w:t>82,093.12</w:t>
                </w:r>
              </w:p>
            </w:tc>
          </w:tr>
          <w:tr w14:paraId="388D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pct"/>
                <w:vAlign w:val="center"/>
              </w:tcPr>
              <w:p w14:paraId="534C9636">
                <w:pPr>
                  <w:jc w:val="center"/>
                  <w:rPr>
                    <w:rFonts w:ascii="宋体" w:hAnsi="宋体"/>
                    <w:sz w:val="18"/>
                    <w:szCs w:val="18"/>
                  </w:rPr>
                </w:pPr>
                <w:r>
                  <w:rPr>
                    <w:rFonts w:hint="eastAsia" w:ascii="宋体" w:hAnsi="宋体"/>
                    <w:sz w:val="18"/>
                    <w:szCs w:val="18"/>
                  </w:rPr>
                  <w:t>租赁负债</w:t>
                </w:r>
              </w:p>
            </w:tc>
            <w:tc>
              <w:tcPr>
                <w:tcW w:w="1441" w:type="pct"/>
                <w:vAlign w:val="center"/>
              </w:tcPr>
              <w:p w14:paraId="0512AC04">
                <w:pPr>
                  <w:jc w:val="right"/>
                  <w:rPr>
                    <w:rFonts w:ascii="宋体" w:hAnsi="宋体"/>
                    <w:sz w:val="18"/>
                    <w:szCs w:val="18"/>
                  </w:rPr>
                </w:pPr>
              </w:p>
            </w:tc>
            <w:tc>
              <w:tcPr>
                <w:tcW w:w="871" w:type="pct"/>
                <w:vAlign w:val="center"/>
              </w:tcPr>
              <w:p w14:paraId="2C3D63D2">
                <w:pPr>
                  <w:jc w:val="right"/>
                  <w:rPr>
                    <w:rFonts w:ascii="宋体" w:hAnsi="宋体"/>
                    <w:sz w:val="18"/>
                    <w:szCs w:val="18"/>
                  </w:rPr>
                </w:pPr>
                <w:r>
                  <w:rPr>
                    <w:rFonts w:ascii="宋体" w:hAnsi="宋体"/>
                    <w:sz w:val="18"/>
                    <w:szCs w:val="18"/>
                  </w:rPr>
                  <w:t>9.06</w:t>
                </w:r>
              </w:p>
            </w:tc>
            <w:tc>
              <w:tcPr>
                <w:tcW w:w="923" w:type="pct"/>
                <w:vAlign w:val="center"/>
              </w:tcPr>
              <w:p w14:paraId="4B5FF400">
                <w:pPr>
                  <w:jc w:val="right"/>
                  <w:rPr>
                    <w:rFonts w:ascii="宋体" w:hAnsi="宋体"/>
                    <w:sz w:val="18"/>
                    <w:szCs w:val="18"/>
                  </w:rPr>
                </w:pPr>
                <w:r>
                  <w:rPr>
                    <w:rFonts w:ascii="宋体" w:hAnsi="宋体"/>
                    <w:sz w:val="18"/>
                    <w:szCs w:val="18"/>
                  </w:rPr>
                  <w:t>9.06</w:t>
                </w:r>
              </w:p>
            </w:tc>
          </w:tr>
        </w:tbl>
        <w:p w14:paraId="29A94159">
          <w:pPr>
            <w:spacing w:before="120" w:beforeLines="50" w:after="120" w:afterLines="50" w:line="360" w:lineRule="exact"/>
            <w:ind w:firstLine="420" w:firstLineChars="200"/>
            <w:outlineLvl w:val="2"/>
            <w:rPr>
              <w:rFonts w:ascii="宋体" w:hAnsi="宋体"/>
            </w:rPr>
          </w:pPr>
          <w:r>
            <w:rPr>
              <w:rFonts w:hint="eastAsia" w:ascii="宋体" w:hAnsi="宋体"/>
            </w:rPr>
            <w:t>（二）市场风险</w:t>
          </w:r>
        </w:p>
        <w:p w14:paraId="73B65E08">
          <w:pPr>
            <w:autoSpaceDE w:val="0"/>
            <w:autoSpaceDN w:val="0"/>
            <w:adjustRightInd w:val="0"/>
            <w:spacing w:after="120" w:afterLines="50" w:line="360" w:lineRule="exact"/>
            <w:ind w:firstLine="420" w:firstLineChars="200"/>
            <w:rPr>
              <w:rFonts w:ascii="宋体" w:hAnsi="宋体"/>
            </w:rPr>
          </w:pPr>
          <w:r>
            <w:rPr>
              <w:rFonts w:hint="eastAsia" w:ascii="宋体" w:hAnsi="宋体"/>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14:paraId="56426A1F">
          <w:pPr>
            <w:autoSpaceDE w:val="0"/>
            <w:autoSpaceDN w:val="0"/>
            <w:adjustRightInd w:val="0"/>
            <w:spacing w:after="120" w:afterLines="50" w:line="360" w:lineRule="exact"/>
            <w:ind w:firstLine="420" w:firstLineChars="200"/>
            <w:rPr>
              <w:rFonts w:ascii="宋体" w:hAnsi="宋体"/>
            </w:rPr>
          </w:pPr>
          <w:r>
            <w:rPr>
              <w:rFonts w:hint="eastAsia" w:ascii="宋体" w:hAnsi="宋体"/>
            </w:rPr>
            <w:t>1、汇率风险，汇率风险是指外汇汇率的变动对本公司财务成果和现金流产生影响的风险。本公司承受外汇风险主要与所持有美元往来款项有关，由于美元与本公司的功能货币之间的汇率变动使本公司面临外汇风险。但本公司管理层认为，该等美元往来款项于本公司总资产所占比例较小，此外本公司主要经营活动均以人民币结算，故本公司所面临的外汇风险并不重大。</w:t>
          </w:r>
        </w:p>
        <w:p w14:paraId="37B4C654">
          <w:pPr>
            <w:autoSpaceDE w:val="0"/>
            <w:autoSpaceDN w:val="0"/>
            <w:adjustRightInd w:val="0"/>
            <w:spacing w:after="120" w:afterLines="50" w:line="360" w:lineRule="exact"/>
            <w:ind w:firstLine="420" w:firstLineChars="200"/>
            <w:rPr>
              <w:rFonts w:ascii="宋体" w:hAnsi="宋体"/>
            </w:rPr>
          </w:pPr>
          <w:r>
            <w:rPr>
              <w:rFonts w:hint="eastAsia" w:ascii="宋体" w:hAnsi="宋体"/>
            </w:rPr>
            <w:t>资产负债表日，本公司外币资产及外币负债的余额如下（已折合为人民币）：</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1756"/>
            <w:gridCol w:w="1929"/>
            <w:gridCol w:w="1640"/>
            <w:gridCol w:w="1640"/>
          </w:tblGrid>
          <w:tr w14:paraId="276C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52" w:type="pct"/>
                <w:vMerge w:val="restart"/>
                <w:vAlign w:val="center"/>
              </w:tcPr>
              <w:p w14:paraId="49909730">
                <w:pPr>
                  <w:widowControl/>
                  <w:adjustRightInd w:val="0"/>
                  <w:snapToGrid w:val="0"/>
                  <w:spacing w:line="360" w:lineRule="exact"/>
                  <w:jc w:val="center"/>
                  <w:rPr>
                    <w:rFonts w:ascii="Arial Narrow" w:hAnsi="Arial Narrow" w:cs="Times New Roman"/>
                    <w:b/>
                    <w:snapToGrid w:val="0"/>
                    <w:sz w:val="18"/>
                    <w:szCs w:val="18"/>
                  </w:rPr>
                </w:pPr>
                <w:bookmarkStart w:id="367" w:name="_Hlk204677393"/>
                <w:r>
                  <w:rPr>
                    <w:rFonts w:ascii="Arial Narrow" w:hAnsi="Arial Narrow" w:cs="Times New Roman"/>
                    <w:b/>
                    <w:snapToGrid w:val="0"/>
                    <w:sz w:val="18"/>
                    <w:szCs w:val="18"/>
                  </w:rPr>
                  <w:t>项目</w:t>
                </w:r>
              </w:p>
            </w:tc>
            <w:tc>
              <w:tcPr>
                <w:tcW w:w="2036" w:type="pct"/>
                <w:gridSpan w:val="2"/>
                <w:vAlign w:val="center"/>
              </w:tcPr>
              <w:p w14:paraId="797AF2E6">
                <w:pPr>
                  <w:widowControl/>
                  <w:adjustRightInd w:val="0"/>
                  <w:snapToGrid w:val="0"/>
                  <w:spacing w:line="360" w:lineRule="exact"/>
                  <w:jc w:val="center"/>
                  <w:rPr>
                    <w:rFonts w:ascii="Arial Narrow" w:hAnsi="Arial Narrow" w:cs="Times New Roman"/>
                    <w:b/>
                    <w:snapToGrid w:val="0"/>
                    <w:sz w:val="18"/>
                    <w:szCs w:val="18"/>
                  </w:rPr>
                </w:pPr>
                <w:r>
                  <w:rPr>
                    <w:rFonts w:ascii="Arial Narrow" w:hAnsi="Arial Narrow" w:cs="Times New Roman"/>
                    <w:b/>
                    <w:snapToGrid w:val="0"/>
                    <w:sz w:val="18"/>
                    <w:szCs w:val="18"/>
                  </w:rPr>
                  <w:t>资产</w:t>
                </w:r>
              </w:p>
            </w:tc>
            <w:tc>
              <w:tcPr>
                <w:tcW w:w="1812" w:type="pct"/>
                <w:gridSpan w:val="2"/>
                <w:vAlign w:val="center"/>
              </w:tcPr>
              <w:p w14:paraId="6891C72A">
                <w:pPr>
                  <w:widowControl/>
                  <w:adjustRightInd w:val="0"/>
                  <w:snapToGrid w:val="0"/>
                  <w:spacing w:line="360" w:lineRule="exact"/>
                  <w:jc w:val="center"/>
                  <w:rPr>
                    <w:rFonts w:ascii="Arial Narrow" w:hAnsi="Arial Narrow" w:cs="Times New Roman"/>
                    <w:b/>
                    <w:snapToGrid w:val="0"/>
                    <w:sz w:val="18"/>
                    <w:szCs w:val="18"/>
                  </w:rPr>
                </w:pPr>
                <w:r>
                  <w:rPr>
                    <w:rFonts w:ascii="Arial Narrow" w:hAnsi="Arial Narrow" w:cs="Times New Roman"/>
                    <w:b/>
                    <w:snapToGrid w:val="0"/>
                    <w:sz w:val="18"/>
                    <w:szCs w:val="18"/>
                  </w:rPr>
                  <w:t>负债</w:t>
                </w:r>
              </w:p>
            </w:tc>
          </w:tr>
          <w:tr w14:paraId="1F49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52" w:type="pct"/>
                <w:vMerge w:val="continue"/>
                <w:vAlign w:val="center"/>
              </w:tcPr>
              <w:p w14:paraId="25012662">
                <w:pPr>
                  <w:widowControl/>
                  <w:adjustRightInd w:val="0"/>
                  <w:snapToGrid w:val="0"/>
                  <w:spacing w:line="360" w:lineRule="exact"/>
                  <w:jc w:val="center"/>
                  <w:rPr>
                    <w:rFonts w:ascii="Arial Narrow" w:hAnsi="Arial Narrow" w:cs="Times New Roman"/>
                    <w:b/>
                    <w:snapToGrid w:val="0"/>
                    <w:sz w:val="18"/>
                    <w:szCs w:val="18"/>
                  </w:rPr>
                </w:pPr>
              </w:p>
            </w:tc>
            <w:tc>
              <w:tcPr>
                <w:tcW w:w="970" w:type="pct"/>
                <w:vAlign w:val="center"/>
              </w:tcPr>
              <w:p w14:paraId="46D9B03A">
                <w:pPr>
                  <w:widowControl/>
                  <w:adjustRightInd w:val="0"/>
                  <w:snapToGrid w:val="0"/>
                  <w:spacing w:line="360" w:lineRule="exact"/>
                  <w:jc w:val="center"/>
                  <w:rPr>
                    <w:rFonts w:ascii="Arial Narrow" w:hAnsi="Arial Narrow" w:cs="Times New Roman"/>
                    <w:b/>
                    <w:snapToGrid w:val="0"/>
                    <w:sz w:val="18"/>
                    <w:szCs w:val="18"/>
                  </w:rPr>
                </w:pPr>
                <w:r>
                  <w:rPr>
                    <w:rFonts w:ascii="Arial Narrow" w:hAnsi="Arial Narrow" w:cs="Times New Roman"/>
                    <w:b/>
                    <w:snapToGrid w:val="0"/>
                    <w:sz w:val="18"/>
                    <w:szCs w:val="18"/>
                  </w:rPr>
                  <w:t>期末余额</w:t>
                </w:r>
              </w:p>
            </w:tc>
            <w:tc>
              <w:tcPr>
                <w:tcW w:w="1066" w:type="pct"/>
                <w:vAlign w:val="center"/>
              </w:tcPr>
              <w:p w14:paraId="4146AF63">
                <w:pPr>
                  <w:widowControl/>
                  <w:adjustRightInd w:val="0"/>
                  <w:snapToGrid w:val="0"/>
                  <w:spacing w:line="360" w:lineRule="exact"/>
                  <w:jc w:val="center"/>
                  <w:rPr>
                    <w:rFonts w:ascii="Arial Narrow" w:hAnsi="Arial Narrow" w:cs="Times New Roman"/>
                    <w:b/>
                    <w:snapToGrid w:val="0"/>
                    <w:sz w:val="18"/>
                    <w:szCs w:val="18"/>
                  </w:rPr>
                </w:pPr>
                <w:r>
                  <w:rPr>
                    <w:rFonts w:ascii="Arial Narrow" w:hAnsi="Arial Narrow" w:cs="Times New Roman"/>
                    <w:b/>
                    <w:snapToGrid w:val="0"/>
                    <w:sz w:val="18"/>
                    <w:szCs w:val="18"/>
                  </w:rPr>
                  <w:t>期初余额</w:t>
                </w:r>
              </w:p>
            </w:tc>
            <w:tc>
              <w:tcPr>
                <w:tcW w:w="906" w:type="pct"/>
                <w:vAlign w:val="center"/>
              </w:tcPr>
              <w:p w14:paraId="275842BB">
                <w:pPr>
                  <w:widowControl/>
                  <w:adjustRightInd w:val="0"/>
                  <w:snapToGrid w:val="0"/>
                  <w:spacing w:line="360" w:lineRule="exact"/>
                  <w:jc w:val="center"/>
                  <w:rPr>
                    <w:rFonts w:ascii="Arial Narrow" w:hAnsi="Arial Narrow" w:cs="Times New Roman"/>
                    <w:b/>
                    <w:snapToGrid w:val="0"/>
                    <w:sz w:val="18"/>
                    <w:szCs w:val="18"/>
                  </w:rPr>
                </w:pPr>
                <w:r>
                  <w:rPr>
                    <w:rFonts w:ascii="Arial Narrow" w:hAnsi="Arial Narrow" w:cs="Times New Roman"/>
                    <w:b/>
                    <w:snapToGrid w:val="0"/>
                    <w:sz w:val="18"/>
                    <w:szCs w:val="18"/>
                  </w:rPr>
                  <w:t>期末余额</w:t>
                </w:r>
              </w:p>
            </w:tc>
            <w:tc>
              <w:tcPr>
                <w:tcW w:w="906" w:type="pct"/>
                <w:vAlign w:val="center"/>
              </w:tcPr>
              <w:p w14:paraId="773197D6">
                <w:pPr>
                  <w:widowControl/>
                  <w:adjustRightInd w:val="0"/>
                  <w:snapToGrid w:val="0"/>
                  <w:spacing w:line="360" w:lineRule="exact"/>
                  <w:jc w:val="center"/>
                  <w:rPr>
                    <w:rFonts w:ascii="Arial Narrow" w:hAnsi="Arial Narrow" w:cs="Times New Roman"/>
                    <w:b/>
                    <w:snapToGrid w:val="0"/>
                    <w:sz w:val="18"/>
                    <w:szCs w:val="18"/>
                  </w:rPr>
                </w:pPr>
                <w:r>
                  <w:rPr>
                    <w:rFonts w:ascii="Arial Narrow" w:hAnsi="Arial Narrow" w:cs="Times New Roman"/>
                    <w:b/>
                    <w:snapToGrid w:val="0"/>
                    <w:sz w:val="18"/>
                    <w:szCs w:val="18"/>
                  </w:rPr>
                  <w:t>期初余额</w:t>
                </w:r>
              </w:p>
            </w:tc>
          </w:tr>
          <w:tr w14:paraId="0DFA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3D4F3883">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美元</w:t>
                </w:r>
              </w:p>
            </w:tc>
            <w:tc>
              <w:tcPr>
                <w:tcW w:w="970" w:type="pct"/>
                <w:vAlign w:val="center"/>
              </w:tcPr>
              <w:p w14:paraId="1B65B5F5">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1,111,989,015.09</w:t>
                </w:r>
              </w:p>
            </w:tc>
            <w:tc>
              <w:tcPr>
                <w:tcW w:w="1066" w:type="pct"/>
                <w:vAlign w:val="center"/>
              </w:tcPr>
              <w:p w14:paraId="117E7633">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1,086,028,672.30</w:t>
                </w:r>
              </w:p>
            </w:tc>
            <w:tc>
              <w:tcPr>
                <w:tcW w:w="906" w:type="pct"/>
                <w:vAlign w:val="center"/>
              </w:tcPr>
              <w:p w14:paraId="2B1DAB23">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34,413,999.87</w:t>
                </w:r>
              </w:p>
            </w:tc>
            <w:tc>
              <w:tcPr>
                <w:tcW w:w="906" w:type="pct"/>
                <w:vAlign w:val="center"/>
              </w:tcPr>
              <w:p w14:paraId="19ECB5FB">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5,769,709.09</w:t>
                </w:r>
              </w:p>
            </w:tc>
          </w:tr>
          <w:tr w14:paraId="622B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3D137085">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欧元</w:t>
                </w:r>
              </w:p>
            </w:tc>
            <w:tc>
              <w:tcPr>
                <w:tcW w:w="970" w:type="pct"/>
                <w:vAlign w:val="center"/>
              </w:tcPr>
              <w:p w14:paraId="39F58938">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8,831,506.45</w:t>
                </w:r>
              </w:p>
            </w:tc>
            <w:tc>
              <w:tcPr>
                <w:tcW w:w="1066" w:type="pct"/>
                <w:vAlign w:val="center"/>
              </w:tcPr>
              <w:p w14:paraId="20AD830B">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2,606,730.36</w:t>
                </w:r>
              </w:p>
            </w:tc>
            <w:tc>
              <w:tcPr>
                <w:tcW w:w="906" w:type="pct"/>
                <w:vAlign w:val="center"/>
              </w:tcPr>
              <w:p w14:paraId="2DC40FA1">
                <w:pPr>
                  <w:widowControl/>
                  <w:adjustRightInd w:val="0"/>
                  <w:snapToGrid w:val="0"/>
                  <w:spacing w:line="360" w:lineRule="exact"/>
                  <w:jc w:val="right"/>
                  <w:rPr>
                    <w:rFonts w:cs="Times New Roman" w:asciiTheme="minorEastAsia" w:hAnsiTheme="minorEastAsia" w:eastAsiaTheme="minorEastAsia"/>
                    <w:snapToGrid w:val="0"/>
                    <w:sz w:val="18"/>
                    <w:szCs w:val="18"/>
                  </w:rPr>
                </w:pPr>
              </w:p>
            </w:tc>
            <w:tc>
              <w:tcPr>
                <w:tcW w:w="906" w:type="pct"/>
                <w:vAlign w:val="center"/>
              </w:tcPr>
              <w:p w14:paraId="7E7B6D32">
                <w:pPr>
                  <w:widowControl/>
                  <w:adjustRightInd w:val="0"/>
                  <w:snapToGrid w:val="0"/>
                  <w:spacing w:line="360" w:lineRule="exact"/>
                  <w:jc w:val="right"/>
                  <w:rPr>
                    <w:rFonts w:cs="Times New Roman" w:asciiTheme="minorEastAsia" w:hAnsiTheme="minorEastAsia" w:eastAsiaTheme="minorEastAsia"/>
                    <w:snapToGrid w:val="0"/>
                    <w:sz w:val="18"/>
                    <w:szCs w:val="18"/>
                  </w:rPr>
                </w:pPr>
              </w:p>
            </w:tc>
          </w:tr>
          <w:tr w14:paraId="082E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18C9AED4">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巴西雷亚尔</w:t>
                </w:r>
              </w:p>
            </w:tc>
            <w:tc>
              <w:tcPr>
                <w:tcW w:w="970" w:type="pct"/>
                <w:vAlign w:val="center"/>
              </w:tcPr>
              <w:p w14:paraId="468439EC">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1,329.35</w:t>
                </w:r>
              </w:p>
            </w:tc>
            <w:tc>
              <w:tcPr>
                <w:tcW w:w="1066" w:type="pct"/>
                <w:vAlign w:val="center"/>
              </w:tcPr>
              <w:p w14:paraId="42FEE44D">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1,176.41</w:t>
                </w:r>
              </w:p>
            </w:tc>
            <w:tc>
              <w:tcPr>
                <w:tcW w:w="906" w:type="pct"/>
                <w:vAlign w:val="center"/>
              </w:tcPr>
              <w:p w14:paraId="5D1E64C3">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1,298,959.69</w:t>
                </w:r>
              </w:p>
            </w:tc>
            <w:tc>
              <w:tcPr>
                <w:tcW w:w="906" w:type="pct"/>
                <w:vAlign w:val="center"/>
              </w:tcPr>
              <w:p w14:paraId="7625AA7F">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1,562,706.74</w:t>
                </w:r>
              </w:p>
            </w:tc>
          </w:tr>
          <w:tr w14:paraId="15BB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0DE4D87F">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俄罗斯卢布</w:t>
                </w:r>
              </w:p>
            </w:tc>
            <w:tc>
              <w:tcPr>
                <w:tcW w:w="970" w:type="pct"/>
                <w:vAlign w:val="center"/>
              </w:tcPr>
              <w:p w14:paraId="5307BC64">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54,727,298.83</w:t>
                </w:r>
              </w:p>
            </w:tc>
            <w:tc>
              <w:tcPr>
                <w:tcW w:w="1066" w:type="pct"/>
                <w:vAlign w:val="center"/>
              </w:tcPr>
              <w:p w14:paraId="15134C4E">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61,484,215.17</w:t>
                </w:r>
              </w:p>
            </w:tc>
            <w:tc>
              <w:tcPr>
                <w:tcW w:w="906" w:type="pct"/>
                <w:vAlign w:val="center"/>
              </w:tcPr>
              <w:p w14:paraId="051006D5">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2,012,987.03</w:t>
                </w:r>
              </w:p>
            </w:tc>
            <w:tc>
              <w:tcPr>
                <w:tcW w:w="906" w:type="pct"/>
                <w:vAlign w:val="center"/>
              </w:tcPr>
              <w:p w14:paraId="55565788">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2,984,045.39</w:t>
                </w:r>
              </w:p>
            </w:tc>
          </w:tr>
          <w:tr w14:paraId="6697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21690687">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泰铢</w:t>
                </w:r>
              </w:p>
            </w:tc>
            <w:tc>
              <w:tcPr>
                <w:tcW w:w="970" w:type="pct"/>
                <w:vAlign w:val="center"/>
              </w:tcPr>
              <w:p w14:paraId="4A65E74C">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2,253,233.46</w:t>
                </w:r>
              </w:p>
            </w:tc>
            <w:tc>
              <w:tcPr>
                <w:tcW w:w="1066" w:type="pct"/>
                <w:vAlign w:val="center"/>
              </w:tcPr>
              <w:p w14:paraId="50A6F4C2">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2,794,689.21</w:t>
                </w:r>
              </w:p>
            </w:tc>
            <w:tc>
              <w:tcPr>
                <w:tcW w:w="906" w:type="pct"/>
                <w:vAlign w:val="center"/>
              </w:tcPr>
              <w:p w14:paraId="660ABBF8">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493,289.59</w:t>
                </w:r>
              </w:p>
            </w:tc>
            <w:tc>
              <w:tcPr>
                <w:tcW w:w="906" w:type="pct"/>
                <w:vAlign w:val="center"/>
              </w:tcPr>
              <w:p w14:paraId="1BE5405F">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547,194.61</w:t>
                </w:r>
              </w:p>
            </w:tc>
          </w:tr>
          <w:tr w14:paraId="1C5D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6FC2D80A">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越南盾</w:t>
                </w:r>
              </w:p>
            </w:tc>
            <w:tc>
              <w:tcPr>
                <w:tcW w:w="970" w:type="pct"/>
                <w:vAlign w:val="center"/>
              </w:tcPr>
              <w:p w14:paraId="024E2080">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2,336,028.33</w:t>
                </w:r>
              </w:p>
            </w:tc>
            <w:tc>
              <w:tcPr>
                <w:tcW w:w="1066" w:type="pct"/>
                <w:vAlign w:val="center"/>
              </w:tcPr>
              <w:p w14:paraId="00EAFEA1">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2,521,522.45</w:t>
                </w:r>
              </w:p>
            </w:tc>
            <w:tc>
              <w:tcPr>
                <w:tcW w:w="906" w:type="pct"/>
                <w:vAlign w:val="center"/>
              </w:tcPr>
              <w:p w14:paraId="40EBC47E">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2,008,321.27</w:t>
                </w:r>
              </w:p>
            </w:tc>
            <w:tc>
              <w:tcPr>
                <w:tcW w:w="906" w:type="pct"/>
                <w:vAlign w:val="center"/>
              </w:tcPr>
              <w:p w14:paraId="1635D319">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2,935,265.88</w:t>
                </w:r>
              </w:p>
            </w:tc>
          </w:tr>
          <w:tr w14:paraId="460A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3D2BB562">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墨西哥比索</w:t>
                </w:r>
              </w:p>
            </w:tc>
            <w:tc>
              <w:tcPr>
                <w:tcW w:w="970" w:type="pct"/>
                <w:vAlign w:val="center"/>
              </w:tcPr>
              <w:p w14:paraId="158F5552">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50,875.29</w:t>
                </w:r>
              </w:p>
            </w:tc>
            <w:tc>
              <w:tcPr>
                <w:tcW w:w="1066" w:type="pct"/>
                <w:vAlign w:val="center"/>
              </w:tcPr>
              <w:p w14:paraId="4AA656D7">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73,373.63</w:t>
                </w:r>
              </w:p>
            </w:tc>
            <w:tc>
              <w:tcPr>
                <w:tcW w:w="906" w:type="pct"/>
                <w:vAlign w:val="center"/>
              </w:tcPr>
              <w:p w14:paraId="36BBAFB8">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28,719.86</w:t>
                </w:r>
              </w:p>
            </w:tc>
            <w:tc>
              <w:tcPr>
                <w:tcW w:w="906" w:type="pct"/>
                <w:vAlign w:val="center"/>
              </w:tcPr>
              <w:p w14:paraId="11A5E8DA">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26,372.88</w:t>
                </w:r>
              </w:p>
            </w:tc>
          </w:tr>
          <w:tr w14:paraId="1263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043E3019">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埃塞俄比亚比尔</w:t>
                </w:r>
              </w:p>
            </w:tc>
            <w:tc>
              <w:tcPr>
                <w:tcW w:w="970" w:type="pct"/>
                <w:vAlign w:val="center"/>
              </w:tcPr>
              <w:p w14:paraId="391ECE86">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504,519.08</w:t>
                </w:r>
              </w:p>
            </w:tc>
            <w:tc>
              <w:tcPr>
                <w:tcW w:w="1066" w:type="pct"/>
                <w:vAlign w:val="center"/>
              </w:tcPr>
              <w:p w14:paraId="0BE24461">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926,804.83</w:t>
                </w:r>
              </w:p>
            </w:tc>
            <w:tc>
              <w:tcPr>
                <w:tcW w:w="906" w:type="pct"/>
                <w:vAlign w:val="center"/>
              </w:tcPr>
              <w:p w14:paraId="37A02600">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8,431.64</w:t>
                </w:r>
              </w:p>
            </w:tc>
            <w:tc>
              <w:tcPr>
                <w:tcW w:w="906" w:type="pct"/>
                <w:vAlign w:val="center"/>
              </w:tcPr>
              <w:p w14:paraId="0C02A0B8">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130,728.80</w:t>
                </w:r>
              </w:p>
            </w:tc>
          </w:tr>
          <w:tr w14:paraId="23B7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6171F7AE">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英镑</w:t>
                </w:r>
              </w:p>
            </w:tc>
            <w:tc>
              <w:tcPr>
                <w:tcW w:w="970" w:type="pct"/>
                <w:vAlign w:val="center"/>
              </w:tcPr>
              <w:p w14:paraId="45E928EA">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30,708.92</w:t>
                </w:r>
              </w:p>
            </w:tc>
            <w:tc>
              <w:tcPr>
                <w:tcW w:w="1066" w:type="pct"/>
                <w:vAlign w:val="center"/>
              </w:tcPr>
              <w:p w14:paraId="4146E74B">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28,354.99</w:t>
                </w:r>
              </w:p>
            </w:tc>
            <w:tc>
              <w:tcPr>
                <w:tcW w:w="906" w:type="pct"/>
                <w:vAlign w:val="center"/>
              </w:tcPr>
              <w:p w14:paraId="0E025453">
                <w:pPr>
                  <w:widowControl/>
                  <w:adjustRightInd w:val="0"/>
                  <w:snapToGrid w:val="0"/>
                  <w:spacing w:line="360" w:lineRule="exact"/>
                  <w:jc w:val="right"/>
                  <w:rPr>
                    <w:rFonts w:cs="Times New Roman" w:asciiTheme="minorEastAsia" w:hAnsiTheme="minorEastAsia" w:eastAsiaTheme="minorEastAsia"/>
                    <w:snapToGrid w:val="0"/>
                    <w:sz w:val="18"/>
                    <w:szCs w:val="18"/>
                  </w:rPr>
                </w:pPr>
              </w:p>
            </w:tc>
            <w:tc>
              <w:tcPr>
                <w:tcW w:w="906" w:type="pct"/>
                <w:vAlign w:val="center"/>
              </w:tcPr>
              <w:p w14:paraId="6CB25176">
                <w:pPr>
                  <w:widowControl/>
                  <w:adjustRightInd w:val="0"/>
                  <w:snapToGrid w:val="0"/>
                  <w:spacing w:line="360" w:lineRule="exact"/>
                  <w:jc w:val="right"/>
                  <w:rPr>
                    <w:rFonts w:cs="Times New Roman" w:asciiTheme="minorEastAsia" w:hAnsiTheme="minorEastAsia" w:eastAsiaTheme="minorEastAsia"/>
                    <w:snapToGrid w:val="0"/>
                    <w:sz w:val="18"/>
                    <w:szCs w:val="18"/>
                  </w:rPr>
                </w:pPr>
              </w:p>
            </w:tc>
          </w:tr>
          <w:tr w14:paraId="4667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531AF7DB">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新加坡币</w:t>
                </w:r>
              </w:p>
            </w:tc>
            <w:tc>
              <w:tcPr>
                <w:tcW w:w="970" w:type="pct"/>
                <w:vAlign w:val="center"/>
              </w:tcPr>
              <w:p w14:paraId="3AD3B80F">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221,054.14</w:t>
                </w:r>
              </w:p>
            </w:tc>
            <w:tc>
              <w:tcPr>
                <w:tcW w:w="1066" w:type="pct"/>
                <w:vAlign w:val="center"/>
              </w:tcPr>
              <w:p w14:paraId="4FBF64A1">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117,722.72</w:t>
                </w:r>
              </w:p>
            </w:tc>
            <w:tc>
              <w:tcPr>
                <w:tcW w:w="906" w:type="pct"/>
                <w:vAlign w:val="center"/>
              </w:tcPr>
              <w:p w14:paraId="6D07288A">
                <w:pPr>
                  <w:widowControl/>
                  <w:adjustRightInd w:val="0"/>
                  <w:snapToGrid w:val="0"/>
                  <w:spacing w:line="360" w:lineRule="exact"/>
                  <w:jc w:val="right"/>
                  <w:rPr>
                    <w:rFonts w:cs="Times New Roman" w:asciiTheme="minorEastAsia" w:hAnsiTheme="minorEastAsia" w:eastAsiaTheme="minorEastAsia"/>
                    <w:snapToGrid w:val="0"/>
                    <w:sz w:val="18"/>
                    <w:szCs w:val="18"/>
                  </w:rPr>
                </w:pPr>
              </w:p>
            </w:tc>
            <w:tc>
              <w:tcPr>
                <w:tcW w:w="906" w:type="pct"/>
                <w:vAlign w:val="center"/>
              </w:tcPr>
              <w:p w14:paraId="318D7A7C">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22,617.28</w:t>
                </w:r>
              </w:p>
            </w:tc>
          </w:tr>
          <w:tr w14:paraId="6504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2" w:type="pct"/>
                <w:vAlign w:val="center"/>
              </w:tcPr>
              <w:p w14:paraId="47F1AB17">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港币</w:t>
                </w:r>
              </w:p>
            </w:tc>
            <w:tc>
              <w:tcPr>
                <w:tcW w:w="970" w:type="pct"/>
                <w:vAlign w:val="center"/>
              </w:tcPr>
              <w:p w14:paraId="55F86835">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185,155,502.90</w:t>
                </w:r>
              </w:p>
            </w:tc>
            <w:tc>
              <w:tcPr>
                <w:tcW w:w="1066" w:type="pct"/>
                <w:vAlign w:val="center"/>
              </w:tcPr>
              <w:p w14:paraId="121C5797">
                <w:pPr>
                  <w:widowControl w:val="0"/>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122,829,666.76</w:t>
                </w:r>
              </w:p>
            </w:tc>
            <w:tc>
              <w:tcPr>
                <w:tcW w:w="906" w:type="pct"/>
                <w:vAlign w:val="center"/>
              </w:tcPr>
              <w:p w14:paraId="410A4D1D">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5,532,881.94</w:t>
                </w:r>
              </w:p>
            </w:tc>
            <w:tc>
              <w:tcPr>
                <w:tcW w:w="906" w:type="pct"/>
                <w:vAlign w:val="center"/>
              </w:tcPr>
              <w:p w14:paraId="43C8EBB5">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5,569,716.09</w:t>
                </w:r>
              </w:p>
            </w:tc>
          </w:tr>
        </w:tbl>
        <w:p w14:paraId="28FB6591"/>
        <w:p w14:paraId="7B7CF906">
          <w:pPr>
            <w:spacing w:before="120" w:beforeLines="50" w:after="120" w:afterLines="50" w:line="360" w:lineRule="exact"/>
            <w:ind w:firstLine="420" w:firstLineChars="200"/>
            <w:rPr>
              <w:rFonts w:ascii="宋体" w:hAnsi="宋体"/>
            </w:rPr>
          </w:pPr>
          <w:r>
            <w:rPr>
              <w:rFonts w:hint="eastAsia" w:ascii="宋体" w:hAnsi="宋体"/>
            </w:rPr>
            <w:t>敏感性分析，本公司承受外汇风险主要与美元和人民币的汇率变化有关。下表列示了本公司</w:t>
          </w:r>
          <w:bookmarkEnd w:id="367"/>
          <w:r>
            <w:rPr>
              <w:rFonts w:hint="eastAsia" w:ascii="宋体" w:hAnsi="宋体"/>
            </w:rPr>
            <w:t>相关外币与人民币汇率变动5%假设下的敏感性分析。在管理层进行敏感性分析时，5%的增减变动被认为合理反映了汇率变化的可能范围。汇率可能发生的合理变动对当期净利润的影响如下：</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7"/>
            <w:gridCol w:w="2656"/>
            <w:gridCol w:w="2655"/>
          </w:tblGrid>
          <w:tr w14:paraId="4D98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065" w:type="pct"/>
                <w:vMerge w:val="restart"/>
                <w:vAlign w:val="center"/>
              </w:tcPr>
              <w:p w14:paraId="667A7F57">
                <w:pPr>
                  <w:widowControl/>
                  <w:adjustRightInd w:val="0"/>
                  <w:snapToGrid w:val="0"/>
                  <w:spacing w:line="360" w:lineRule="exact"/>
                  <w:jc w:val="center"/>
                  <w:rPr>
                    <w:rFonts w:ascii="Arial Narrow" w:hAnsi="Arial Narrow" w:cs="Times New Roman"/>
                    <w:b/>
                    <w:snapToGrid w:val="0"/>
                    <w:sz w:val="18"/>
                    <w:szCs w:val="18"/>
                  </w:rPr>
                </w:pPr>
                <w:bookmarkStart w:id="368" w:name="OLE_LINK36"/>
                <w:bookmarkStart w:id="369" w:name="OLE_LINK39"/>
                <w:r>
                  <w:rPr>
                    <w:rFonts w:hint="eastAsia" w:ascii="Arial Narrow" w:hAnsi="Arial Narrow" w:cs="Times New Roman"/>
                    <w:b/>
                    <w:snapToGrid w:val="0"/>
                    <w:sz w:val="18"/>
                    <w:szCs w:val="18"/>
                  </w:rPr>
                  <w:t>本年利润增加/减少</w:t>
                </w:r>
              </w:p>
            </w:tc>
            <w:tc>
              <w:tcPr>
                <w:tcW w:w="2935" w:type="pct"/>
                <w:gridSpan w:val="2"/>
                <w:vAlign w:val="center"/>
              </w:tcPr>
              <w:p w14:paraId="3D9E4525">
                <w:pPr>
                  <w:widowControl/>
                  <w:adjustRightInd w:val="0"/>
                  <w:snapToGrid w:val="0"/>
                  <w:spacing w:line="360" w:lineRule="exact"/>
                  <w:jc w:val="center"/>
                  <w:rPr>
                    <w:rFonts w:ascii="Arial Narrow" w:hAnsi="Arial Narrow" w:cs="Times New Roman"/>
                    <w:b/>
                    <w:snapToGrid w:val="0"/>
                    <w:sz w:val="18"/>
                    <w:szCs w:val="18"/>
                  </w:rPr>
                </w:pPr>
                <w:r>
                  <w:rPr>
                    <w:rFonts w:hint="eastAsia" w:ascii="Arial Narrow" w:hAnsi="Arial Narrow" w:cs="Times New Roman"/>
                    <w:b/>
                    <w:snapToGrid w:val="0"/>
                    <w:sz w:val="18"/>
                    <w:szCs w:val="18"/>
                  </w:rPr>
                  <w:t>美元影响</w:t>
                </w:r>
              </w:p>
            </w:tc>
          </w:tr>
          <w:tr w14:paraId="55AD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065" w:type="pct"/>
                <w:vMerge w:val="continue"/>
                <w:vAlign w:val="center"/>
              </w:tcPr>
              <w:p w14:paraId="50FA72FC">
                <w:pPr>
                  <w:widowControl/>
                  <w:adjustRightInd w:val="0"/>
                  <w:snapToGrid w:val="0"/>
                  <w:spacing w:line="360" w:lineRule="exact"/>
                  <w:jc w:val="center"/>
                  <w:rPr>
                    <w:rFonts w:ascii="Arial Narrow" w:hAnsi="Arial Narrow" w:cs="Times New Roman"/>
                    <w:b/>
                    <w:snapToGrid w:val="0"/>
                    <w:sz w:val="18"/>
                    <w:szCs w:val="18"/>
                  </w:rPr>
                </w:pPr>
              </w:p>
            </w:tc>
            <w:tc>
              <w:tcPr>
                <w:tcW w:w="1468" w:type="pct"/>
                <w:vAlign w:val="center"/>
              </w:tcPr>
              <w:p w14:paraId="2A0A2E8D">
                <w:pPr>
                  <w:widowControl/>
                  <w:adjustRightInd w:val="0"/>
                  <w:snapToGrid w:val="0"/>
                  <w:spacing w:line="360" w:lineRule="exact"/>
                  <w:jc w:val="center"/>
                  <w:rPr>
                    <w:rFonts w:ascii="Arial Narrow" w:hAnsi="Arial Narrow" w:cs="Times New Roman"/>
                    <w:b/>
                    <w:snapToGrid w:val="0"/>
                    <w:sz w:val="18"/>
                    <w:szCs w:val="18"/>
                  </w:rPr>
                </w:pPr>
                <w:r>
                  <w:rPr>
                    <w:rFonts w:hint="eastAsia" w:ascii="Arial Narrow" w:hAnsi="Arial Narrow" w:cs="Times New Roman"/>
                    <w:b/>
                    <w:snapToGrid w:val="0"/>
                    <w:sz w:val="18"/>
                    <w:szCs w:val="18"/>
                  </w:rPr>
                  <w:t>本期金额</w:t>
                </w:r>
              </w:p>
            </w:tc>
            <w:tc>
              <w:tcPr>
                <w:tcW w:w="1467" w:type="pct"/>
                <w:vAlign w:val="center"/>
              </w:tcPr>
              <w:p w14:paraId="6293700F">
                <w:pPr>
                  <w:widowControl/>
                  <w:adjustRightInd w:val="0"/>
                  <w:snapToGrid w:val="0"/>
                  <w:spacing w:line="360" w:lineRule="exact"/>
                  <w:jc w:val="center"/>
                  <w:rPr>
                    <w:rFonts w:ascii="Arial Narrow" w:hAnsi="Arial Narrow" w:cs="Times New Roman"/>
                    <w:b/>
                    <w:snapToGrid w:val="0"/>
                    <w:sz w:val="18"/>
                    <w:szCs w:val="18"/>
                  </w:rPr>
                </w:pPr>
                <w:r>
                  <w:rPr>
                    <w:rFonts w:hint="eastAsia" w:ascii="Arial Narrow" w:hAnsi="Arial Narrow" w:cs="Times New Roman"/>
                    <w:b/>
                    <w:snapToGrid w:val="0"/>
                    <w:sz w:val="18"/>
                    <w:szCs w:val="18"/>
                  </w:rPr>
                  <w:t>上期金额</w:t>
                </w:r>
              </w:p>
            </w:tc>
          </w:tr>
          <w:tr w14:paraId="0B0A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65" w:type="pct"/>
                <w:vAlign w:val="center"/>
              </w:tcPr>
              <w:p w14:paraId="1E58479B">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hint="eastAsia" w:cs="Times New Roman" w:asciiTheme="minorEastAsia" w:hAnsiTheme="minorEastAsia" w:eastAsiaTheme="minorEastAsia"/>
                    <w:snapToGrid w:val="0"/>
                    <w:sz w:val="18"/>
                    <w:szCs w:val="18"/>
                  </w:rPr>
                  <w:t>人民币贬值</w:t>
                </w:r>
              </w:p>
            </w:tc>
            <w:tc>
              <w:tcPr>
                <w:tcW w:w="1468" w:type="pct"/>
                <w:vAlign w:val="center"/>
              </w:tcPr>
              <w:p w14:paraId="7EB2D403">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53,878,750.76</w:t>
                </w:r>
              </w:p>
            </w:tc>
            <w:tc>
              <w:tcPr>
                <w:tcW w:w="1467" w:type="pct"/>
                <w:vAlign w:val="center"/>
              </w:tcPr>
              <w:p w14:paraId="1E212A1D">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48,321,657.01</w:t>
                </w:r>
              </w:p>
            </w:tc>
          </w:tr>
          <w:tr w14:paraId="28B8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65" w:type="pct"/>
                <w:vAlign w:val="center"/>
              </w:tcPr>
              <w:p w14:paraId="645C72C7">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hint="eastAsia" w:cs="Times New Roman" w:asciiTheme="minorEastAsia" w:hAnsiTheme="minorEastAsia" w:eastAsiaTheme="minorEastAsia"/>
                    <w:snapToGrid w:val="0"/>
                    <w:sz w:val="18"/>
                    <w:szCs w:val="18"/>
                  </w:rPr>
                  <w:t>人民币升值</w:t>
                </w:r>
              </w:p>
            </w:tc>
            <w:tc>
              <w:tcPr>
                <w:tcW w:w="1468" w:type="pct"/>
                <w:vAlign w:val="center"/>
              </w:tcPr>
              <w:p w14:paraId="366DFFC0">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- 53,878,750.76</w:t>
                </w:r>
              </w:p>
            </w:tc>
            <w:tc>
              <w:tcPr>
                <w:tcW w:w="1467" w:type="pct"/>
                <w:vAlign w:val="center"/>
              </w:tcPr>
              <w:p w14:paraId="4CD94939">
                <w:pPr>
                  <w:widowControl/>
                  <w:adjustRightInd w:val="0"/>
                  <w:snapToGrid w:val="0"/>
                  <w:spacing w:line="360" w:lineRule="exact"/>
                  <w:jc w:val="right"/>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-48,321,657.01</w:t>
                </w:r>
              </w:p>
            </w:tc>
          </w:tr>
          <w:bookmarkEnd w:id="368"/>
          <w:bookmarkEnd w:id="369"/>
        </w:tbl>
        <w:p w14:paraId="4F041E4F">
          <w:pPr>
            <w:spacing w:before="120" w:beforeLines="50" w:after="120" w:afterLines="50" w:line="360" w:lineRule="exact"/>
            <w:ind w:firstLine="420" w:firstLineChars="200"/>
            <w:rPr>
              <w:rFonts w:ascii="宋体" w:hAnsi="宋体"/>
            </w:rPr>
          </w:pPr>
          <w:r>
            <w:rPr>
              <w:rFonts w:hint="eastAsia" w:ascii="宋体" w:hAnsi="宋体"/>
            </w:rPr>
            <w:t>2、利率风险—公允价值变动风险，本公司因利率变动引起金融工具公允价值变动的风险主要来自固定利率的银行借款。由于固定利率借款主要为长期借款及债务重组留债，因此本公司的董事会认为公允价值变动风险并不重大。本公司目前并无利率对冲的政策。</w:t>
          </w:r>
        </w:p>
        <w:p w14:paraId="37CC125B">
          <w:pPr>
            <w:spacing w:before="120" w:beforeLines="50" w:after="120" w:afterLines="50" w:line="360" w:lineRule="exact"/>
            <w:ind w:firstLine="420" w:firstLineChars="200"/>
            <w:rPr>
              <w:rFonts w:ascii="宋体" w:hAnsi="宋体"/>
            </w:rPr>
          </w:pPr>
          <w:r>
            <w:rPr>
              <w:rFonts w:hint="eastAsia" w:ascii="宋体" w:hAnsi="宋体"/>
            </w:rPr>
            <w:t>截至</w:t>
          </w:r>
          <w:r>
            <w:rPr>
              <w:rFonts w:ascii="宋体" w:hAnsi="宋体"/>
            </w:rPr>
            <w:t>2025</w:t>
          </w:r>
          <w:r>
            <w:rPr>
              <w:rFonts w:hint="eastAsia" w:ascii="宋体" w:hAnsi="宋体"/>
            </w:rPr>
            <w:t>年</w:t>
          </w:r>
          <w:r>
            <w:rPr>
              <w:rFonts w:ascii="宋体" w:hAnsi="宋体"/>
            </w:rPr>
            <w:t>6</w:t>
          </w:r>
          <w:r>
            <w:rPr>
              <w:rFonts w:hint="eastAsia" w:ascii="宋体" w:hAnsi="宋体"/>
            </w:rPr>
            <w:t>月3</w:t>
          </w:r>
          <w:r>
            <w:rPr>
              <w:rFonts w:ascii="宋体" w:hAnsi="宋体"/>
            </w:rPr>
            <w:t>0</w:t>
          </w:r>
          <w:r>
            <w:rPr>
              <w:rFonts w:hint="eastAsia" w:ascii="宋体" w:hAnsi="宋体"/>
            </w:rPr>
            <w:t>日，如果以浮动利率计算的借款利率上升或下降50个基点，而其他因素保持不变,本公司的净利润会减少或增加约</w:t>
          </w:r>
          <w:r>
            <w:rPr>
              <w:rFonts w:ascii="宋体" w:hAnsi="宋体"/>
            </w:rPr>
            <w:t>626.58</w:t>
          </w:r>
          <w:r>
            <w:rPr>
              <w:rFonts w:hint="eastAsia" w:ascii="宋体" w:hAnsi="宋体"/>
            </w:rPr>
            <w:t>万元（202</w:t>
          </w:r>
          <w:r>
            <w:rPr>
              <w:rFonts w:ascii="宋体" w:hAnsi="宋体"/>
            </w:rPr>
            <w:t>4</w:t>
          </w:r>
          <w:r>
            <w:rPr>
              <w:rFonts w:hint="eastAsia" w:ascii="宋体" w:hAnsi="宋体"/>
            </w:rPr>
            <w:t>年度约</w:t>
          </w:r>
          <w:r>
            <w:rPr>
              <w:rFonts w:ascii="宋体" w:hAnsi="宋体"/>
            </w:rPr>
            <w:t>698.86</w:t>
          </w:r>
          <w:r>
            <w:rPr>
              <w:rFonts w:hint="eastAsia" w:ascii="宋体" w:hAnsi="宋体"/>
            </w:rPr>
            <w:t>万元）。</w:t>
          </w:r>
        </w:p>
        <w:p w14:paraId="21C1D22B">
          <w:pPr>
            <w:spacing w:before="120" w:beforeLines="50" w:after="120" w:afterLines="50" w:line="360" w:lineRule="exact"/>
            <w:ind w:firstLine="420" w:firstLineChars="200"/>
            <w:outlineLvl w:val="2"/>
            <w:rPr>
              <w:rFonts w:ascii="宋体" w:hAnsi="宋体"/>
            </w:rPr>
          </w:pPr>
          <w:r>
            <w:rPr>
              <w:rFonts w:hint="eastAsia" w:ascii="宋体" w:hAnsi="宋体"/>
            </w:rPr>
            <w:t>（三）信用风险</w:t>
          </w:r>
        </w:p>
        <w:p w14:paraId="7F54E55D">
          <w:pPr>
            <w:autoSpaceDE w:val="0"/>
            <w:autoSpaceDN w:val="0"/>
            <w:adjustRightInd w:val="0"/>
            <w:spacing w:after="120" w:afterLines="50" w:line="360" w:lineRule="exact"/>
            <w:ind w:firstLine="420" w:firstLineChars="200"/>
            <w:rPr>
              <w:rFonts w:ascii="宋体" w:hAnsi="宋体"/>
            </w:rPr>
          </w:pPr>
          <w:r>
            <w:rPr>
              <w:rFonts w:hint="eastAsia" w:ascii="宋体" w:hAnsi="宋体"/>
            </w:rPr>
            <w:t>信用风险是指交易对手未能履行合同义务而导致本公司产生财务损失的风险，管理层已制定适当的信用政策，并且不断监察信用风险的敞口。</w:t>
          </w:r>
        </w:p>
        <w:p w14:paraId="185ADB57">
          <w:pPr>
            <w:autoSpaceDE w:val="0"/>
            <w:autoSpaceDN w:val="0"/>
            <w:adjustRightInd w:val="0"/>
            <w:spacing w:after="120" w:afterLines="50" w:line="360" w:lineRule="exact"/>
            <w:ind w:firstLine="420" w:firstLineChars="200"/>
            <w:rPr>
              <w:rFonts w:ascii="宋体" w:hAnsi="宋体"/>
            </w:rPr>
          </w:pPr>
          <w:r>
            <w:rPr>
              <w:rFonts w:hint="eastAsia" w:ascii="宋体" w:hAnsi="宋体"/>
            </w:rPr>
            <w:t>本公司基于对客户的财务状况、从第三方获取担保的可能性、信用记录及其它因素诸如目前市场状况等评估客户的信用资质并设置相应信用期。本公司于每个资产负债表日审核金融资产的回收情况，以确保相关金融资产计提了充分的预期信用损失准备。</w:t>
          </w:r>
        </w:p>
        <w:p w14:paraId="76142184">
          <w:pPr>
            <w:autoSpaceDE w:val="0"/>
            <w:autoSpaceDN w:val="0"/>
            <w:adjustRightInd w:val="0"/>
            <w:spacing w:after="120" w:afterLines="50" w:line="360" w:lineRule="exact"/>
            <w:ind w:firstLine="420" w:firstLineChars="200"/>
            <w:rPr>
              <w:rFonts w:ascii="宋体" w:hAnsi="宋体"/>
            </w:rPr>
          </w:pPr>
          <w:r>
            <w:rPr>
              <w:rFonts w:hint="eastAsia" w:ascii="宋体" w:hAnsi="宋体"/>
            </w:rPr>
            <w:t>本公司金融资产的信用风险源自于交易对手违约，最大信用风险敞口为资产负债表中每项金融资产的账面金额。本公司没有提供任何其他可能令本公司承受信用风险的担保。</w:t>
          </w:r>
        </w:p>
        <w:p w14:paraId="7D84DCA2">
          <w:pPr>
            <w:autoSpaceDE w:val="0"/>
            <w:autoSpaceDN w:val="0"/>
            <w:adjustRightInd w:val="0"/>
            <w:spacing w:after="120" w:afterLines="50" w:line="360" w:lineRule="exact"/>
            <w:ind w:firstLine="420" w:firstLineChars="200"/>
            <w:rPr>
              <w:rFonts w:ascii="宋体" w:hAnsi="宋体"/>
            </w:rPr>
          </w:pPr>
          <w:r>
            <w:rPr>
              <w:rFonts w:hint="eastAsia" w:ascii="宋体" w:hAnsi="宋体"/>
            </w:rPr>
            <w:t>本公司持有的货币资金主要存放于国有控股银行和其他大中型商业银行等金融机构，管理层认为这些商业银行具备较高信誉和资产状况，不存在重大的信用风险，不会产生因对方单位违约而导致的任何重大损失。</w:t>
          </w:r>
        </w:p>
        <w:p w14:paraId="4E46D7DF">
          <w:pPr>
            <w:autoSpaceDE w:val="0"/>
            <w:autoSpaceDN w:val="0"/>
            <w:adjustRightInd w:val="0"/>
            <w:spacing w:after="120" w:afterLines="50" w:line="360" w:lineRule="exact"/>
            <w:ind w:firstLine="420" w:firstLineChars="200"/>
            <w:rPr>
              <w:rFonts w:ascii="宋体" w:hAnsi="宋体"/>
            </w:rPr>
          </w:pPr>
          <w:r>
            <w:rPr>
              <w:rFonts w:hint="eastAsia" w:ascii="宋体" w:hAnsi="宋体"/>
            </w:rPr>
            <w:t>作为本公司信用风险资产管理的一部分，本公司利用账龄来评估应收账款和其他应收款的减值损失。本公司的应收账款和其他应收款涉及大量客户，账龄信息可以反映这些客户对于应收账款和其他应收款的偿付能力和坏账风险。本公司根据历史数据计算不同账龄期间的历史实际坏账率，并考虑了当前及未来经济状况的预测等前瞻性信息进行调整得出预期损失率。</w:t>
          </w:r>
        </w:p>
        <w:p w14:paraId="2F4C7F98">
          <w:pPr>
            <w:autoSpaceDE w:val="0"/>
            <w:autoSpaceDN w:val="0"/>
            <w:adjustRightInd w:val="0"/>
            <w:spacing w:after="120" w:afterLines="50" w:line="360" w:lineRule="exact"/>
            <w:ind w:firstLine="420" w:firstLineChars="200"/>
            <w:rPr>
              <w:rFonts w:ascii="宋体" w:hAnsi="宋体"/>
            </w:rPr>
          </w:pPr>
          <w:r>
            <w:rPr>
              <w:rFonts w:hint="eastAsia" w:ascii="宋体" w:hAnsi="宋体"/>
            </w:rPr>
            <w:t>截至2</w:t>
          </w:r>
          <w:r>
            <w:rPr>
              <w:rFonts w:ascii="宋体" w:hAnsi="宋体"/>
            </w:rPr>
            <w:t>025</w:t>
          </w:r>
          <w:r>
            <w:rPr>
              <w:rFonts w:hint="eastAsia" w:ascii="宋体" w:hAnsi="宋体"/>
            </w:rPr>
            <w:t>年</w:t>
          </w:r>
          <w:r>
            <w:rPr>
              <w:rFonts w:ascii="宋体" w:hAnsi="宋体"/>
            </w:rPr>
            <w:t>6</w:t>
          </w:r>
          <w:r>
            <w:rPr>
              <w:rFonts w:hint="eastAsia" w:ascii="宋体" w:hAnsi="宋体"/>
            </w:rPr>
            <w:t>月3</w:t>
          </w:r>
          <w:r>
            <w:rPr>
              <w:rFonts w:ascii="宋体" w:hAnsi="宋体"/>
            </w:rPr>
            <w:t>0</w:t>
          </w:r>
          <w:r>
            <w:rPr>
              <w:rFonts w:hint="eastAsia" w:ascii="宋体" w:hAnsi="宋体"/>
            </w:rPr>
            <w:t>日，相关资产的账面余额与预期信用减值损失情况如下：</w:t>
          </w:r>
        </w:p>
        <w:p w14:paraId="7780245E">
          <w:pPr>
            <w:autoSpaceDE w:val="0"/>
            <w:autoSpaceDN w:val="0"/>
            <w:adjustRightInd w:val="0"/>
            <w:spacing w:after="120" w:afterLines="50" w:line="360" w:lineRule="exact"/>
            <w:ind w:firstLine="420" w:firstLineChars="200"/>
            <w:jc w:val="right"/>
            <w:rPr>
              <w:rFonts w:ascii="宋体" w:hAnsi="宋体"/>
            </w:rPr>
          </w:pPr>
          <w:r>
            <w:rPr>
              <w:rFonts w:hint="eastAsia" w:ascii="宋体" w:hAnsi="宋体"/>
            </w:rPr>
            <w:t>单位：万元</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1"/>
            <w:gridCol w:w="2694"/>
            <w:gridCol w:w="2693"/>
          </w:tblGrid>
          <w:tr w14:paraId="7BE1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023" w:type="pct"/>
                <w:vAlign w:val="center"/>
              </w:tcPr>
              <w:p w14:paraId="4BBFC0A7">
                <w:pPr>
                  <w:widowControl w:val="0"/>
                  <w:autoSpaceDE w:val="0"/>
                  <w:autoSpaceDN w:val="0"/>
                  <w:adjustRightInd w:val="0"/>
                  <w:snapToGrid w:val="0"/>
                  <w:jc w:val="center"/>
                  <w:rPr>
                    <w:rFonts w:ascii="Arial Narrow" w:hAnsi="Arial Narrow" w:cs="Times New Roman"/>
                    <w:b/>
                    <w:snapToGrid w:val="0"/>
                    <w:sz w:val="18"/>
                  </w:rPr>
                </w:pPr>
                <w:r>
                  <w:rPr>
                    <w:rFonts w:hint="eastAsia" w:ascii="Arial Narrow" w:hAnsi="Arial Narrow" w:cs="Times New Roman"/>
                    <w:b/>
                    <w:snapToGrid w:val="0"/>
                    <w:sz w:val="18"/>
                  </w:rPr>
                  <w:t>项目</w:t>
                </w:r>
              </w:p>
            </w:tc>
            <w:tc>
              <w:tcPr>
                <w:tcW w:w="1489" w:type="pct"/>
                <w:vAlign w:val="center"/>
              </w:tcPr>
              <w:p w14:paraId="164EA0BC">
                <w:pPr>
                  <w:widowControl w:val="0"/>
                  <w:autoSpaceDE w:val="0"/>
                  <w:autoSpaceDN w:val="0"/>
                  <w:adjustRightInd w:val="0"/>
                  <w:snapToGrid w:val="0"/>
                  <w:jc w:val="center"/>
                  <w:rPr>
                    <w:rFonts w:ascii="Arial Narrow" w:hAnsi="Arial Narrow" w:cs="Times New Roman"/>
                    <w:b/>
                    <w:snapToGrid w:val="0"/>
                    <w:sz w:val="18"/>
                  </w:rPr>
                </w:pPr>
                <w:r>
                  <w:rPr>
                    <w:rFonts w:hint="eastAsia" w:ascii="Arial Narrow" w:hAnsi="Arial Narrow" w:cs="Times New Roman"/>
                    <w:b/>
                    <w:snapToGrid w:val="0"/>
                    <w:sz w:val="18"/>
                  </w:rPr>
                  <w:t>账面余额</w:t>
                </w:r>
              </w:p>
            </w:tc>
            <w:tc>
              <w:tcPr>
                <w:tcW w:w="1488" w:type="pct"/>
                <w:vAlign w:val="center"/>
              </w:tcPr>
              <w:p w14:paraId="61790C82">
                <w:pPr>
                  <w:widowControl w:val="0"/>
                  <w:autoSpaceDE w:val="0"/>
                  <w:autoSpaceDN w:val="0"/>
                  <w:adjustRightInd w:val="0"/>
                  <w:snapToGrid w:val="0"/>
                  <w:jc w:val="center"/>
                  <w:rPr>
                    <w:rFonts w:ascii="Arial Narrow" w:hAnsi="Arial Narrow" w:cs="Times New Roman"/>
                    <w:b/>
                    <w:snapToGrid w:val="0"/>
                    <w:sz w:val="18"/>
                  </w:rPr>
                </w:pPr>
                <w:r>
                  <w:rPr>
                    <w:rFonts w:hint="eastAsia" w:ascii="Arial Narrow" w:hAnsi="Arial Narrow" w:cs="Times New Roman"/>
                    <w:b/>
                    <w:snapToGrid w:val="0"/>
                    <w:sz w:val="18"/>
                  </w:rPr>
                  <w:t>减值准备</w:t>
                </w:r>
              </w:p>
            </w:tc>
          </w:tr>
          <w:tr w14:paraId="16F8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23" w:type="pct"/>
                <w:vAlign w:val="center"/>
              </w:tcPr>
              <w:p w14:paraId="2026DEC0">
                <w:pPr>
                  <w:widowControl w:val="0"/>
                  <w:autoSpaceDE w:val="0"/>
                  <w:autoSpaceDN w:val="0"/>
                  <w:adjustRightInd w:val="0"/>
                  <w:snapToGrid w:val="0"/>
                  <w:jc w:val="center"/>
                  <w:rPr>
                    <w:rFonts w:ascii="Arial Narrow" w:hAnsi="Arial Narrow" w:cs="Times New Roman"/>
                    <w:snapToGrid w:val="0"/>
                    <w:sz w:val="18"/>
                  </w:rPr>
                </w:pPr>
                <w:r>
                  <w:rPr>
                    <w:rFonts w:hint="eastAsia" w:ascii="Arial Narrow" w:hAnsi="Arial Narrow" w:cs="Times New Roman"/>
                    <w:snapToGrid w:val="0"/>
                    <w:sz w:val="18"/>
                  </w:rPr>
                  <w:t>应收票据</w:t>
                </w:r>
              </w:p>
            </w:tc>
            <w:tc>
              <w:tcPr>
                <w:tcW w:w="1489" w:type="pct"/>
                <w:vAlign w:val="center"/>
              </w:tcPr>
              <w:p w14:paraId="0E3C2D04">
                <w:pPr>
                  <w:widowControl w:val="0"/>
                  <w:jc w:val="right"/>
                  <w:rPr>
                    <w:rFonts w:ascii="宋体" w:hAnsi="宋体" w:cs="Times New Roman"/>
                    <w:color w:val="000000"/>
                    <w:sz w:val="18"/>
                    <w:szCs w:val="18"/>
                  </w:rPr>
                </w:pPr>
                <w:r>
                  <w:rPr>
                    <w:rFonts w:hint="eastAsia" w:ascii="宋体" w:hAnsi="宋体" w:cs="Times New Roman"/>
                    <w:color w:val="000000"/>
                    <w:sz w:val="18"/>
                    <w:szCs w:val="18"/>
                  </w:rPr>
                  <w:t>17,283.78</w:t>
                </w:r>
              </w:p>
            </w:tc>
            <w:tc>
              <w:tcPr>
                <w:tcW w:w="1488" w:type="pct"/>
                <w:vAlign w:val="center"/>
              </w:tcPr>
              <w:p w14:paraId="3597ADF2">
                <w:pPr>
                  <w:widowControl w:val="0"/>
                  <w:jc w:val="right"/>
                  <w:rPr>
                    <w:rFonts w:ascii="宋体" w:hAnsi="宋体" w:cs="Times New Roman"/>
                    <w:color w:val="000000"/>
                    <w:sz w:val="18"/>
                    <w:szCs w:val="18"/>
                  </w:rPr>
                </w:pPr>
              </w:p>
            </w:tc>
          </w:tr>
          <w:tr w14:paraId="511D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23" w:type="pct"/>
                <w:vAlign w:val="center"/>
              </w:tcPr>
              <w:p w14:paraId="6966CD0A">
                <w:pPr>
                  <w:widowControl w:val="0"/>
                  <w:autoSpaceDE w:val="0"/>
                  <w:autoSpaceDN w:val="0"/>
                  <w:adjustRightInd w:val="0"/>
                  <w:snapToGrid w:val="0"/>
                  <w:jc w:val="center"/>
                  <w:rPr>
                    <w:rFonts w:ascii="Arial Narrow" w:hAnsi="Arial Narrow" w:cs="Times New Roman"/>
                    <w:snapToGrid w:val="0"/>
                    <w:sz w:val="18"/>
                  </w:rPr>
                </w:pPr>
                <w:r>
                  <w:rPr>
                    <w:rFonts w:hint="eastAsia" w:ascii="Arial Narrow" w:hAnsi="Arial Narrow" w:cs="Times New Roman"/>
                    <w:snapToGrid w:val="0"/>
                    <w:sz w:val="18"/>
                  </w:rPr>
                  <w:t>应收款项融资</w:t>
                </w:r>
              </w:p>
            </w:tc>
            <w:tc>
              <w:tcPr>
                <w:tcW w:w="1489" w:type="pct"/>
                <w:vAlign w:val="center"/>
              </w:tcPr>
              <w:p w14:paraId="27D4EEF2">
                <w:pPr>
                  <w:widowControl w:val="0"/>
                  <w:jc w:val="right"/>
                  <w:rPr>
                    <w:rFonts w:ascii="宋体" w:hAnsi="宋体" w:cs="Times New Roman"/>
                    <w:color w:val="000000"/>
                    <w:sz w:val="18"/>
                    <w:szCs w:val="18"/>
                  </w:rPr>
                </w:pPr>
                <w:r>
                  <w:rPr>
                    <w:rFonts w:hint="eastAsia" w:ascii="宋体" w:hAnsi="宋体" w:cs="Times New Roman"/>
                    <w:color w:val="000000"/>
                    <w:sz w:val="18"/>
                    <w:szCs w:val="18"/>
                  </w:rPr>
                  <w:t>24,876.13</w:t>
                </w:r>
              </w:p>
            </w:tc>
            <w:tc>
              <w:tcPr>
                <w:tcW w:w="1488" w:type="pct"/>
                <w:vAlign w:val="center"/>
              </w:tcPr>
              <w:p w14:paraId="2EDF8C7D">
                <w:pPr>
                  <w:widowControl w:val="0"/>
                  <w:jc w:val="right"/>
                  <w:rPr>
                    <w:rFonts w:ascii="宋体" w:hAnsi="宋体" w:cs="Times New Roman"/>
                    <w:color w:val="000000"/>
                    <w:sz w:val="18"/>
                    <w:szCs w:val="18"/>
                  </w:rPr>
                </w:pPr>
              </w:p>
            </w:tc>
          </w:tr>
          <w:tr w14:paraId="724B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23" w:type="pct"/>
                <w:vAlign w:val="center"/>
              </w:tcPr>
              <w:p w14:paraId="6CC5ED03">
                <w:pPr>
                  <w:widowControl w:val="0"/>
                  <w:autoSpaceDE w:val="0"/>
                  <w:autoSpaceDN w:val="0"/>
                  <w:adjustRightInd w:val="0"/>
                  <w:snapToGrid w:val="0"/>
                  <w:jc w:val="center"/>
                  <w:rPr>
                    <w:rFonts w:ascii="Arial Narrow" w:hAnsi="Arial Narrow" w:cs="Times New Roman"/>
                    <w:snapToGrid w:val="0"/>
                    <w:sz w:val="18"/>
                  </w:rPr>
                </w:pPr>
                <w:r>
                  <w:rPr>
                    <w:rFonts w:hint="eastAsia" w:ascii="Arial Narrow" w:hAnsi="Arial Narrow" w:cs="Times New Roman"/>
                    <w:snapToGrid w:val="0"/>
                    <w:sz w:val="18"/>
                  </w:rPr>
                  <w:t>应收账款</w:t>
                </w:r>
              </w:p>
            </w:tc>
            <w:tc>
              <w:tcPr>
                <w:tcW w:w="1489" w:type="pct"/>
                <w:vAlign w:val="center"/>
              </w:tcPr>
              <w:p w14:paraId="002282B5">
                <w:pPr>
                  <w:widowControl w:val="0"/>
                  <w:jc w:val="right"/>
                  <w:rPr>
                    <w:rFonts w:ascii="宋体" w:hAnsi="宋体" w:cs="Times New Roman"/>
                    <w:color w:val="000000"/>
                    <w:sz w:val="18"/>
                    <w:szCs w:val="18"/>
                  </w:rPr>
                </w:pPr>
                <w:r>
                  <w:rPr>
                    <w:rFonts w:hint="eastAsia" w:ascii="宋体" w:hAnsi="宋体" w:cs="Times New Roman"/>
                    <w:color w:val="000000"/>
                    <w:sz w:val="18"/>
                    <w:szCs w:val="18"/>
                  </w:rPr>
                  <w:t>193,697.33</w:t>
                </w:r>
              </w:p>
            </w:tc>
            <w:tc>
              <w:tcPr>
                <w:tcW w:w="1488" w:type="pct"/>
                <w:vAlign w:val="center"/>
              </w:tcPr>
              <w:p w14:paraId="46FCFB8C">
                <w:pPr>
                  <w:widowControl w:val="0"/>
                  <w:jc w:val="right"/>
                  <w:rPr>
                    <w:rFonts w:ascii="宋体" w:hAnsi="宋体" w:cs="Times New Roman"/>
                    <w:color w:val="000000"/>
                    <w:sz w:val="18"/>
                    <w:szCs w:val="18"/>
                  </w:rPr>
                </w:pPr>
                <w:r>
                  <w:rPr>
                    <w:rFonts w:hint="eastAsia" w:ascii="宋体" w:hAnsi="宋体" w:cs="Times New Roman"/>
                    <w:color w:val="000000"/>
                    <w:sz w:val="18"/>
                    <w:szCs w:val="18"/>
                  </w:rPr>
                  <w:t>67,342.58</w:t>
                </w:r>
              </w:p>
            </w:tc>
          </w:tr>
          <w:tr w14:paraId="0DAF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23" w:type="pct"/>
                <w:vAlign w:val="center"/>
              </w:tcPr>
              <w:p w14:paraId="4263EF63">
                <w:pPr>
                  <w:widowControl w:val="0"/>
                  <w:autoSpaceDE w:val="0"/>
                  <w:autoSpaceDN w:val="0"/>
                  <w:adjustRightInd w:val="0"/>
                  <w:snapToGrid w:val="0"/>
                  <w:jc w:val="center"/>
                  <w:rPr>
                    <w:rFonts w:ascii="Arial Narrow" w:hAnsi="Arial Narrow" w:cs="Times New Roman"/>
                    <w:snapToGrid w:val="0"/>
                    <w:sz w:val="18"/>
                  </w:rPr>
                </w:pPr>
                <w:r>
                  <w:rPr>
                    <w:rFonts w:hint="eastAsia" w:ascii="Arial Narrow" w:hAnsi="Arial Narrow" w:cs="Times New Roman"/>
                    <w:snapToGrid w:val="0"/>
                    <w:sz w:val="18"/>
                  </w:rPr>
                  <w:t>其他应收款</w:t>
                </w:r>
              </w:p>
            </w:tc>
            <w:tc>
              <w:tcPr>
                <w:tcW w:w="1489" w:type="pct"/>
                <w:vAlign w:val="center"/>
              </w:tcPr>
              <w:p w14:paraId="0EE38D26">
                <w:pPr>
                  <w:widowControl w:val="0"/>
                  <w:jc w:val="right"/>
                  <w:rPr>
                    <w:rFonts w:ascii="宋体" w:hAnsi="宋体" w:cs="Times New Roman"/>
                    <w:color w:val="000000"/>
                    <w:sz w:val="18"/>
                    <w:szCs w:val="18"/>
                  </w:rPr>
                </w:pPr>
                <w:r>
                  <w:rPr>
                    <w:rFonts w:hint="eastAsia" w:ascii="宋体" w:hAnsi="宋体" w:cs="Times New Roman"/>
                    <w:color w:val="000000"/>
                    <w:sz w:val="18"/>
                    <w:szCs w:val="18"/>
                  </w:rPr>
                  <w:t>52,073.09</w:t>
                </w:r>
              </w:p>
            </w:tc>
            <w:tc>
              <w:tcPr>
                <w:tcW w:w="1488" w:type="pct"/>
                <w:vAlign w:val="center"/>
              </w:tcPr>
              <w:p w14:paraId="4AAA98A9">
                <w:pPr>
                  <w:widowControl w:val="0"/>
                  <w:jc w:val="right"/>
                  <w:rPr>
                    <w:rFonts w:ascii="宋体" w:hAnsi="宋体" w:cs="Times New Roman"/>
                    <w:color w:val="000000"/>
                    <w:sz w:val="18"/>
                    <w:szCs w:val="18"/>
                  </w:rPr>
                </w:pPr>
                <w:r>
                  <w:rPr>
                    <w:rFonts w:hint="eastAsia" w:ascii="宋体" w:hAnsi="宋体" w:cs="Times New Roman"/>
                    <w:color w:val="000000"/>
                    <w:sz w:val="18"/>
                    <w:szCs w:val="18"/>
                  </w:rPr>
                  <w:t>33,607.93</w:t>
                </w:r>
              </w:p>
            </w:tc>
          </w:tr>
          <w:tr w14:paraId="7087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23" w:type="pct"/>
                <w:vAlign w:val="center"/>
              </w:tcPr>
              <w:p w14:paraId="1DBCF59C">
                <w:pPr>
                  <w:widowControl w:val="0"/>
                  <w:autoSpaceDE w:val="0"/>
                  <w:autoSpaceDN w:val="0"/>
                  <w:adjustRightInd w:val="0"/>
                  <w:snapToGrid w:val="0"/>
                  <w:jc w:val="center"/>
                  <w:rPr>
                    <w:rFonts w:ascii="Arial Narrow" w:hAnsi="Arial Narrow" w:cs="Times New Roman"/>
                    <w:snapToGrid w:val="0"/>
                    <w:sz w:val="18"/>
                  </w:rPr>
                </w:pPr>
                <w:r>
                  <w:rPr>
                    <w:rFonts w:hint="eastAsia" w:ascii="Arial Narrow" w:hAnsi="Arial Narrow" w:cs="Times New Roman"/>
                    <w:snapToGrid w:val="0"/>
                    <w:sz w:val="18"/>
                  </w:rPr>
                  <w:t>合计</w:t>
                </w:r>
              </w:p>
            </w:tc>
            <w:tc>
              <w:tcPr>
                <w:tcW w:w="1489" w:type="pct"/>
                <w:vAlign w:val="center"/>
              </w:tcPr>
              <w:p w14:paraId="752713CC">
                <w:pPr>
                  <w:widowControl w:val="0"/>
                  <w:jc w:val="right"/>
                  <w:rPr>
                    <w:rFonts w:ascii="宋体" w:hAnsi="宋体" w:cs="Times New Roman"/>
                    <w:color w:val="000000"/>
                    <w:sz w:val="18"/>
                    <w:szCs w:val="18"/>
                  </w:rPr>
                </w:pPr>
                <w:r>
                  <w:rPr>
                    <w:rFonts w:ascii="宋体" w:hAnsi="宋体" w:cs="Times New Roman"/>
                    <w:color w:val="000000"/>
                    <w:sz w:val="18"/>
                    <w:szCs w:val="18"/>
                  </w:rPr>
                  <w:t>287,930.34</w:t>
                </w:r>
              </w:p>
            </w:tc>
            <w:tc>
              <w:tcPr>
                <w:tcW w:w="1488" w:type="pct"/>
                <w:vAlign w:val="center"/>
              </w:tcPr>
              <w:p w14:paraId="772F66CD">
                <w:pPr>
                  <w:widowControl w:val="0"/>
                  <w:jc w:val="right"/>
                  <w:rPr>
                    <w:rFonts w:ascii="宋体" w:hAnsi="宋体" w:cs="Times New Roman"/>
                    <w:color w:val="000000"/>
                    <w:sz w:val="18"/>
                    <w:szCs w:val="18"/>
                  </w:rPr>
                </w:pPr>
                <w:r>
                  <w:rPr>
                    <w:rFonts w:ascii="宋体" w:hAnsi="宋体" w:cs="Times New Roman"/>
                    <w:color w:val="000000"/>
                    <w:sz w:val="18"/>
                    <w:szCs w:val="18"/>
                  </w:rPr>
                  <w:t>100,950.51</w:t>
                </w:r>
              </w:p>
            </w:tc>
          </w:tr>
        </w:tbl>
        <w:p w14:paraId="236AB1C5"/>
        <w:p w14:paraId="54005157">
          <w:pPr>
            <w:spacing w:before="120" w:beforeLines="50" w:after="120" w:afterLines="50" w:line="360" w:lineRule="exact"/>
            <w:ind w:firstLine="420" w:firstLineChars="200"/>
            <w:rPr>
              <w:rFonts w:ascii="宋体" w:hAnsi="宋体"/>
            </w:rPr>
          </w:pPr>
          <w:r>
            <w:rPr>
              <w:rFonts w:hint="eastAsia" w:ascii="宋体" w:hAnsi="宋体"/>
            </w:rPr>
            <w:t>截至202</w:t>
          </w:r>
          <w:r>
            <w:rPr>
              <w:rFonts w:ascii="宋体" w:hAnsi="宋体"/>
            </w:rPr>
            <w:t>5</w:t>
          </w:r>
          <w:r>
            <w:rPr>
              <w:rFonts w:hint="eastAsia" w:ascii="宋体" w:hAnsi="宋体"/>
            </w:rPr>
            <w:t>年</w:t>
          </w:r>
          <w:r>
            <w:rPr>
              <w:rFonts w:ascii="宋体" w:hAnsi="宋体"/>
            </w:rPr>
            <w:t>6</w:t>
          </w:r>
          <w:r>
            <w:rPr>
              <w:rFonts w:hint="eastAsia" w:ascii="宋体" w:hAnsi="宋体"/>
            </w:rPr>
            <w:t>月</w:t>
          </w:r>
          <w:r>
            <w:rPr>
              <w:rFonts w:ascii="宋体" w:hAnsi="宋体"/>
            </w:rPr>
            <w:t>30</w:t>
          </w:r>
          <w:r>
            <w:rPr>
              <w:rFonts w:hint="eastAsia" w:ascii="宋体" w:hAnsi="宋体"/>
            </w:rPr>
            <w:t>日，本公司无对外财务担保。</w:t>
          </w:r>
        </w:p>
        <w:p w14:paraId="3026FAC8">
          <w:pPr>
            <w:spacing w:before="120" w:beforeLines="50" w:after="120" w:afterLines="50" w:line="360" w:lineRule="exact"/>
            <w:ind w:firstLine="420" w:firstLineChars="200"/>
            <w:outlineLvl w:val="2"/>
            <w:rPr>
              <w:rFonts w:ascii="宋体" w:hAnsi="宋体"/>
            </w:rPr>
          </w:pPr>
          <w:r>
            <w:rPr>
              <w:rFonts w:hint="eastAsia" w:ascii="宋体" w:hAnsi="宋体"/>
            </w:rPr>
            <w:t>（四）流动风险</w:t>
          </w:r>
        </w:p>
        <w:p w14:paraId="23671201">
          <w:pPr>
            <w:spacing w:before="120" w:beforeLines="50" w:after="120" w:afterLines="50" w:line="360" w:lineRule="exact"/>
            <w:ind w:firstLine="420" w:firstLineChars="200"/>
            <w:rPr>
              <w:rFonts w:ascii="宋体" w:hAnsi="宋体"/>
            </w:rPr>
          </w:pPr>
          <w:r>
            <w:rPr>
              <w:rFonts w:hint="eastAsia" w:ascii="宋体" w:hAnsi="宋体"/>
            </w:rPr>
            <w:t>流动性风险，是指企业在履行以交付现金或其他金融资产的方式结算的义务时发生资金短缺的风险。</w:t>
          </w:r>
        </w:p>
        <w:p w14:paraId="68A8631B">
          <w:pPr>
            <w:spacing w:before="120" w:beforeLines="50" w:after="120" w:afterLines="50" w:line="360" w:lineRule="exact"/>
            <w:ind w:firstLine="420" w:firstLineChars="200"/>
            <w:rPr>
              <w:rFonts w:ascii="宋体" w:hAnsi="宋体"/>
            </w:rPr>
          </w:pPr>
          <w:r>
            <w:rPr>
              <w:rFonts w:hint="eastAsia" w:ascii="宋体" w:hAnsi="宋体"/>
            </w:rPr>
            <w:t>截至</w:t>
          </w:r>
          <w:r>
            <w:rPr>
              <w:rFonts w:ascii="宋体" w:hAnsi="宋体"/>
            </w:rPr>
            <w:t>2</w:t>
          </w:r>
          <w:r>
            <w:rPr>
              <w:rFonts w:hint="eastAsia" w:ascii="宋体" w:hAnsi="宋体"/>
            </w:rPr>
            <w:t>02</w:t>
          </w:r>
          <w:r>
            <w:rPr>
              <w:rFonts w:ascii="宋体" w:hAnsi="宋体"/>
            </w:rPr>
            <w:t>5</w:t>
          </w:r>
          <w:r>
            <w:rPr>
              <w:rFonts w:hint="eastAsia" w:ascii="宋体" w:hAnsi="宋体"/>
            </w:rPr>
            <w:t>年</w:t>
          </w:r>
          <w:r>
            <w:rPr>
              <w:rFonts w:ascii="宋体" w:hAnsi="宋体"/>
            </w:rPr>
            <w:t>6</w:t>
          </w:r>
          <w:r>
            <w:rPr>
              <w:rFonts w:hint="eastAsia" w:ascii="宋体" w:hAnsi="宋体"/>
            </w:rPr>
            <w:t>月3</w:t>
          </w:r>
          <w:r>
            <w:rPr>
              <w:rFonts w:ascii="宋体" w:hAnsi="宋体"/>
            </w:rPr>
            <w:t>0</w:t>
          </w:r>
          <w:r>
            <w:rPr>
              <w:rFonts w:hint="eastAsia" w:ascii="宋体" w:hAnsi="宋体"/>
            </w:rPr>
            <w:t>日，本公司金融负债和表外担保项目以未折现的合同现金流量按合同剩余期限列示如下：</w:t>
          </w:r>
        </w:p>
        <w:p w14:paraId="7223570A">
          <w:pPr>
            <w:autoSpaceDE w:val="0"/>
            <w:autoSpaceDN w:val="0"/>
            <w:adjustRightInd w:val="0"/>
            <w:spacing w:after="120" w:afterLines="50" w:line="360" w:lineRule="exact"/>
            <w:ind w:firstLine="420" w:firstLineChars="200"/>
            <w:jc w:val="right"/>
            <w:rPr>
              <w:rFonts w:ascii="宋体" w:hAnsi="宋体"/>
            </w:rPr>
          </w:pPr>
          <w:r>
            <w:rPr>
              <w:rFonts w:hint="eastAsia" w:ascii="宋体" w:hAnsi="宋体"/>
            </w:rPr>
            <w:t>单位：万元</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4"/>
            <w:gridCol w:w="1309"/>
            <w:gridCol w:w="1164"/>
            <w:gridCol w:w="1162"/>
            <w:gridCol w:w="1017"/>
            <w:gridCol w:w="1203"/>
          </w:tblGrid>
          <w:tr w14:paraId="4A9C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65" w:type="pct"/>
              </w:tcPr>
              <w:p w14:paraId="41A5FB81">
                <w:pPr>
                  <w:widowControl/>
                  <w:adjustRightInd w:val="0"/>
                  <w:snapToGrid w:val="0"/>
                  <w:spacing w:line="360" w:lineRule="exact"/>
                  <w:jc w:val="center"/>
                  <w:rPr>
                    <w:rFonts w:ascii="宋体" w:hAnsi="宋体" w:cs="Times New Roman"/>
                    <w:b/>
                    <w:snapToGrid w:val="0"/>
                    <w:sz w:val="18"/>
                    <w:szCs w:val="18"/>
                  </w:rPr>
                </w:pPr>
                <w:r>
                  <w:rPr>
                    <w:rFonts w:ascii="宋体" w:hAnsi="宋体" w:cs="Times New Roman"/>
                    <w:b/>
                    <w:snapToGrid w:val="0"/>
                    <w:sz w:val="18"/>
                    <w:szCs w:val="18"/>
                  </w:rPr>
                  <w:t>项目</w:t>
                </w:r>
              </w:p>
            </w:tc>
            <w:tc>
              <w:tcPr>
                <w:tcW w:w="723" w:type="pct"/>
              </w:tcPr>
              <w:p w14:paraId="2A5FEECB">
                <w:pPr>
                  <w:widowControl/>
                  <w:adjustRightInd w:val="0"/>
                  <w:snapToGrid w:val="0"/>
                  <w:spacing w:line="360" w:lineRule="exact"/>
                  <w:jc w:val="center"/>
                  <w:rPr>
                    <w:rFonts w:ascii="宋体" w:hAnsi="宋体" w:cs="Times New Roman"/>
                    <w:b/>
                    <w:snapToGrid w:val="0"/>
                    <w:sz w:val="18"/>
                    <w:szCs w:val="18"/>
                  </w:rPr>
                </w:pPr>
                <w:r>
                  <w:rPr>
                    <w:rFonts w:ascii="宋体" w:hAnsi="宋体" w:cs="Times New Roman"/>
                    <w:b/>
                    <w:snapToGrid w:val="0"/>
                    <w:sz w:val="18"/>
                    <w:szCs w:val="18"/>
                  </w:rPr>
                  <w:t>1年以内</w:t>
                </w:r>
              </w:p>
            </w:tc>
            <w:tc>
              <w:tcPr>
                <w:tcW w:w="643" w:type="pct"/>
              </w:tcPr>
              <w:p w14:paraId="2559CDAB">
                <w:pPr>
                  <w:widowControl/>
                  <w:adjustRightInd w:val="0"/>
                  <w:snapToGrid w:val="0"/>
                  <w:spacing w:line="360" w:lineRule="exact"/>
                  <w:jc w:val="center"/>
                  <w:rPr>
                    <w:rFonts w:ascii="宋体" w:hAnsi="宋体" w:cs="Times New Roman"/>
                    <w:b/>
                    <w:snapToGrid w:val="0"/>
                    <w:sz w:val="18"/>
                    <w:szCs w:val="18"/>
                  </w:rPr>
                </w:pPr>
                <w:r>
                  <w:rPr>
                    <w:rFonts w:ascii="宋体" w:hAnsi="宋体" w:cs="Times New Roman"/>
                    <w:b/>
                    <w:snapToGrid w:val="0"/>
                    <w:sz w:val="18"/>
                    <w:szCs w:val="18"/>
                  </w:rPr>
                  <w:t>1-2年</w:t>
                </w:r>
              </w:p>
            </w:tc>
            <w:tc>
              <w:tcPr>
                <w:tcW w:w="642" w:type="pct"/>
              </w:tcPr>
              <w:p w14:paraId="05130BAF">
                <w:pPr>
                  <w:widowControl/>
                  <w:adjustRightInd w:val="0"/>
                  <w:snapToGrid w:val="0"/>
                  <w:spacing w:line="360" w:lineRule="exact"/>
                  <w:jc w:val="center"/>
                  <w:rPr>
                    <w:rFonts w:ascii="宋体" w:hAnsi="宋体" w:cs="Times New Roman"/>
                    <w:b/>
                    <w:snapToGrid w:val="0"/>
                    <w:sz w:val="18"/>
                    <w:szCs w:val="18"/>
                  </w:rPr>
                </w:pPr>
                <w:r>
                  <w:rPr>
                    <w:rFonts w:ascii="宋体" w:hAnsi="宋体" w:cs="Times New Roman"/>
                    <w:b/>
                    <w:snapToGrid w:val="0"/>
                    <w:sz w:val="18"/>
                    <w:szCs w:val="18"/>
                  </w:rPr>
                  <w:t>2-3年</w:t>
                </w:r>
              </w:p>
            </w:tc>
            <w:tc>
              <w:tcPr>
                <w:tcW w:w="562" w:type="pct"/>
              </w:tcPr>
              <w:p w14:paraId="5116D282">
                <w:pPr>
                  <w:widowControl/>
                  <w:adjustRightInd w:val="0"/>
                  <w:snapToGrid w:val="0"/>
                  <w:spacing w:line="360" w:lineRule="exact"/>
                  <w:jc w:val="center"/>
                  <w:rPr>
                    <w:rFonts w:ascii="宋体" w:hAnsi="宋体" w:cs="Times New Roman"/>
                    <w:b/>
                    <w:snapToGrid w:val="0"/>
                    <w:sz w:val="18"/>
                    <w:szCs w:val="18"/>
                  </w:rPr>
                </w:pPr>
                <w:r>
                  <w:rPr>
                    <w:rFonts w:ascii="宋体" w:hAnsi="宋体" w:cs="Times New Roman"/>
                    <w:b/>
                    <w:snapToGrid w:val="0"/>
                    <w:sz w:val="18"/>
                    <w:szCs w:val="18"/>
                  </w:rPr>
                  <w:t>3年以上</w:t>
                </w:r>
              </w:p>
            </w:tc>
            <w:tc>
              <w:tcPr>
                <w:tcW w:w="665" w:type="pct"/>
              </w:tcPr>
              <w:p w14:paraId="217EC39B">
                <w:pPr>
                  <w:widowControl/>
                  <w:adjustRightInd w:val="0"/>
                  <w:snapToGrid w:val="0"/>
                  <w:spacing w:line="360" w:lineRule="exact"/>
                  <w:jc w:val="center"/>
                  <w:rPr>
                    <w:rFonts w:ascii="宋体" w:hAnsi="宋体" w:cs="Times New Roman"/>
                    <w:b/>
                    <w:snapToGrid w:val="0"/>
                    <w:sz w:val="18"/>
                    <w:szCs w:val="18"/>
                  </w:rPr>
                </w:pPr>
                <w:r>
                  <w:rPr>
                    <w:rFonts w:ascii="宋体" w:hAnsi="宋体" w:cs="Times New Roman"/>
                    <w:b/>
                    <w:snapToGrid w:val="0"/>
                    <w:sz w:val="18"/>
                    <w:szCs w:val="18"/>
                  </w:rPr>
                  <w:t>合计</w:t>
                </w:r>
              </w:p>
            </w:tc>
          </w:tr>
          <w:tr w14:paraId="5C5D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5" w:type="pct"/>
                <w:vAlign w:val="center"/>
              </w:tcPr>
              <w:p w14:paraId="3DDAEBC7">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hint="eastAsia" w:cs="Times New Roman" w:asciiTheme="minorEastAsia" w:hAnsiTheme="minorEastAsia" w:eastAsiaTheme="minorEastAsia"/>
                    <w:snapToGrid w:val="0"/>
                    <w:sz w:val="18"/>
                    <w:szCs w:val="18"/>
                  </w:rPr>
                  <w:t>短期借款</w:t>
                </w:r>
              </w:p>
            </w:tc>
            <w:tc>
              <w:tcPr>
                <w:tcW w:w="723" w:type="pct"/>
                <w:vAlign w:val="center"/>
              </w:tcPr>
              <w:p w14:paraId="0A690FA2">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52,032.51</w:t>
                </w:r>
              </w:p>
            </w:tc>
            <w:tc>
              <w:tcPr>
                <w:tcW w:w="643" w:type="pct"/>
                <w:vAlign w:val="center"/>
              </w:tcPr>
              <w:p w14:paraId="0A5378D9">
                <w:pPr>
                  <w:widowControl w:val="0"/>
                  <w:jc w:val="right"/>
                  <w:rPr>
                    <w:rFonts w:cs="Times New Roman" w:asciiTheme="minorEastAsia" w:hAnsiTheme="minorEastAsia" w:eastAsiaTheme="minorEastAsia"/>
                    <w:color w:val="000000"/>
                    <w:sz w:val="18"/>
                    <w:szCs w:val="18"/>
                  </w:rPr>
                </w:pPr>
              </w:p>
            </w:tc>
            <w:tc>
              <w:tcPr>
                <w:tcW w:w="642" w:type="pct"/>
                <w:vAlign w:val="center"/>
              </w:tcPr>
              <w:p w14:paraId="35A98F36">
                <w:pPr>
                  <w:widowControl w:val="0"/>
                  <w:jc w:val="right"/>
                  <w:rPr>
                    <w:rFonts w:cs="Times New Roman" w:asciiTheme="minorEastAsia" w:hAnsiTheme="minorEastAsia" w:eastAsiaTheme="minorEastAsia"/>
                    <w:color w:val="000000"/>
                    <w:sz w:val="18"/>
                    <w:szCs w:val="18"/>
                  </w:rPr>
                </w:pPr>
              </w:p>
            </w:tc>
            <w:tc>
              <w:tcPr>
                <w:tcW w:w="562" w:type="pct"/>
                <w:vAlign w:val="center"/>
              </w:tcPr>
              <w:p w14:paraId="63C75494">
                <w:pPr>
                  <w:widowControl w:val="0"/>
                  <w:jc w:val="right"/>
                  <w:rPr>
                    <w:rFonts w:cs="Times New Roman" w:asciiTheme="minorEastAsia" w:hAnsiTheme="minorEastAsia" w:eastAsiaTheme="minorEastAsia"/>
                    <w:color w:val="000000"/>
                    <w:sz w:val="18"/>
                    <w:szCs w:val="18"/>
                  </w:rPr>
                </w:pPr>
              </w:p>
            </w:tc>
            <w:tc>
              <w:tcPr>
                <w:tcW w:w="665" w:type="pct"/>
                <w:vAlign w:val="center"/>
              </w:tcPr>
              <w:p w14:paraId="06D992A5">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52,032.51</w:t>
                </w:r>
              </w:p>
            </w:tc>
          </w:tr>
          <w:tr w14:paraId="15E2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5" w:type="pct"/>
                <w:vAlign w:val="center"/>
              </w:tcPr>
              <w:p w14:paraId="57EFE607">
                <w:pPr>
                  <w:widowControl w:val="0"/>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应付票据</w:t>
                </w:r>
              </w:p>
            </w:tc>
            <w:tc>
              <w:tcPr>
                <w:tcW w:w="723" w:type="pct"/>
                <w:vAlign w:val="center"/>
              </w:tcPr>
              <w:p w14:paraId="29587BCD">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287,468.78</w:t>
                </w:r>
              </w:p>
            </w:tc>
            <w:tc>
              <w:tcPr>
                <w:tcW w:w="643" w:type="pct"/>
                <w:vAlign w:val="center"/>
              </w:tcPr>
              <w:p w14:paraId="42923878">
                <w:pPr>
                  <w:widowControl w:val="0"/>
                  <w:jc w:val="right"/>
                  <w:rPr>
                    <w:rFonts w:cs="Times New Roman" w:asciiTheme="minorEastAsia" w:hAnsiTheme="minorEastAsia" w:eastAsiaTheme="minorEastAsia"/>
                    <w:color w:val="000000"/>
                    <w:sz w:val="18"/>
                    <w:szCs w:val="18"/>
                  </w:rPr>
                </w:pPr>
              </w:p>
            </w:tc>
            <w:tc>
              <w:tcPr>
                <w:tcW w:w="642" w:type="pct"/>
                <w:vAlign w:val="center"/>
              </w:tcPr>
              <w:p w14:paraId="7E8D3AFE">
                <w:pPr>
                  <w:widowControl w:val="0"/>
                  <w:jc w:val="right"/>
                  <w:rPr>
                    <w:rFonts w:cs="Times New Roman" w:asciiTheme="minorEastAsia" w:hAnsiTheme="minorEastAsia" w:eastAsiaTheme="minorEastAsia"/>
                    <w:color w:val="000000"/>
                    <w:sz w:val="18"/>
                    <w:szCs w:val="18"/>
                  </w:rPr>
                </w:pPr>
              </w:p>
            </w:tc>
            <w:tc>
              <w:tcPr>
                <w:tcW w:w="562" w:type="pct"/>
                <w:vAlign w:val="center"/>
              </w:tcPr>
              <w:p w14:paraId="0B1D1597">
                <w:pPr>
                  <w:widowControl w:val="0"/>
                  <w:jc w:val="right"/>
                  <w:rPr>
                    <w:rFonts w:cs="Times New Roman" w:asciiTheme="minorEastAsia" w:hAnsiTheme="minorEastAsia" w:eastAsiaTheme="minorEastAsia"/>
                    <w:color w:val="000000"/>
                    <w:sz w:val="18"/>
                    <w:szCs w:val="18"/>
                  </w:rPr>
                </w:pPr>
              </w:p>
            </w:tc>
            <w:tc>
              <w:tcPr>
                <w:tcW w:w="665" w:type="pct"/>
                <w:vAlign w:val="center"/>
              </w:tcPr>
              <w:p w14:paraId="75D20A4F">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287,468.78</w:t>
                </w:r>
              </w:p>
            </w:tc>
          </w:tr>
          <w:tr w14:paraId="33294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5" w:type="pct"/>
                <w:vAlign w:val="center"/>
              </w:tcPr>
              <w:p w14:paraId="1DC48731">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应付账款</w:t>
                </w:r>
              </w:p>
            </w:tc>
            <w:tc>
              <w:tcPr>
                <w:tcW w:w="723" w:type="pct"/>
                <w:vAlign w:val="center"/>
              </w:tcPr>
              <w:p w14:paraId="1CC89F6F">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326,285.77</w:t>
                </w:r>
              </w:p>
            </w:tc>
            <w:tc>
              <w:tcPr>
                <w:tcW w:w="643" w:type="pct"/>
                <w:vAlign w:val="center"/>
              </w:tcPr>
              <w:p w14:paraId="7C977AA5">
                <w:pPr>
                  <w:widowControl w:val="0"/>
                  <w:jc w:val="right"/>
                  <w:rPr>
                    <w:rFonts w:cs="Times New Roman" w:asciiTheme="minorEastAsia" w:hAnsiTheme="minorEastAsia" w:eastAsiaTheme="minorEastAsia"/>
                    <w:color w:val="000000"/>
                    <w:sz w:val="18"/>
                    <w:szCs w:val="18"/>
                  </w:rPr>
                </w:pPr>
              </w:p>
            </w:tc>
            <w:tc>
              <w:tcPr>
                <w:tcW w:w="642" w:type="pct"/>
                <w:vAlign w:val="center"/>
              </w:tcPr>
              <w:p w14:paraId="40A9BA09">
                <w:pPr>
                  <w:widowControl w:val="0"/>
                  <w:jc w:val="right"/>
                  <w:rPr>
                    <w:rFonts w:cs="Times New Roman" w:asciiTheme="minorEastAsia" w:hAnsiTheme="minorEastAsia" w:eastAsiaTheme="minorEastAsia"/>
                    <w:color w:val="000000"/>
                    <w:sz w:val="18"/>
                    <w:szCs w:val="18"/>
                  </w:rPr>
                </w:pPr>
              </w:p>
            </w:tc>
            <w:tc>
              <w:tcPr>
                <w:tcW w:w="562" w:type="pct"/>
                <w:vAlign w:val="center"/>
              </w:tcPr>
              <w:p w14:paraId="323C361C">
                <w:pPr>
                  <w:widowControl w:val="0"/>
                  <w:jc w:val="right"/>
                  <w:rPr>
                    <w:rFonts w:cs="Times New Roman" w:asciiTheme="minorEastAsia" w:hAnsiTheme="minorEastAsia" w:eastAsiaTheme="minorEastAsia"/>
                    <w:color w:val="000000"/>
                    <w:sz w:val="18"/>
                    <w:szCs w:val="18"/>
                  </w:rPr>
                </w:pPr>
              </w:p>
            </w:tc>
            <w:tc>
              <w:tcPr>
                <w:tcW w:w="665" w:type="pct"/>
                <w:vAlign w:val="center"/>
              </w:tcPr>
              <w:p w14:paraId="0DE96F37">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326,285.77</w:t>
                </w:r>
              </w:p>
            </w:tc>
          </w:tr>
          <w:tr w14:paraId="6DFB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5" w:type="pct"/>
                <w:vAlign w:val="center"/>
              </w:tcPr>
              <w:p w14:paraId="29D837B5">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其他应付款</w:t>
                </w:r>
              </w:p>
            </w:tc>
            <w:tc>
              <w:tcPr>
                <w:tcW w:w="723" w:type="pct"/>
                <w:vAlign w:val="center"/>
              </w:tcPr>
              <w:p w14:paraId="556A5120">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105,783.01</w:t>
                </w:r>
              </w:p>
            </w:tc>
            <w:tc>
              <w:tcPr>
                <w:tcW w:w="643" w:type="pct"/>
                <w:vAlign w:val="center"/>
              </w:tcPr>
              <w:p w14:paraId="2E0802F1">
                <w:pPr>
                  <w:widowControl w:val="0"/>
                  <w:jc w:val="right"/>
                  <w:rPr>
                    <w:rFonts w:cs="Times New Roman" w:asciiTheme="minorEastAsia" w:hAnsiTheme="minorEastAsia" w:eastAsiaTheme="minorEastAsia"/>
                    <w:color w:val="000000"/>
                    <w:sz w:val="18"/>
                    <w:szCs w:val="18"/>
                  </w:rPr>
                </w:pPr>
              </w:p>
            </w:tc>
            <w:tc>
              <w:tcPr>
                <w:tcW w:w="642" w:type="pct"/>
                <w:vAlign w:val="center"/>
              </w:tcPr>
              <w:p w14:paraId="19BFC915">
                <w:pPr>
                  <w:widowControl w:val="0"/>
                  <w:jc w:val="right"/>
                  <w:rPr>
                    <w:rFonts w:cs="Times New Roman" w:asciiTheme="minorEastAsia" w:hAnsiTheme="minorEastAsia" w:eastAsiaTheme="minorEastAsia"/>
                    <w:color w:val="000000"/>
                    <w:sz w:val="18"/>
                    <w:szCs w:val="18"/>
                  </w:rPr>
                </w:pPr>
              </w:p>
            </w:tc>
            <w:tc>
              <w:tcPr>
                <w:tcW w:w="562" w:type="pct"/>
                <w:vAlign w:val="center"/>
              </w:tcPr>
              <w:p w14:paraId="2F1B3F45">
                <w:pPr>
                  <w:widowControl w:val="0"/>
                  <w:jc w:val="right"/>
                  <w:rPr>
                    <w:rFonts w:cs="Times New Roman" w:asciiTheme="minorEastAsia" w:hAnsiTheme="minorEastAsia" w:eastAsiaTheme="minorEastAsia"/>
                    <w:color w:val="000000"/>
                    <w:sz w:val="18"/>
                    <w:szCs w:val="18"/>
                  </w:rPr>
                </w:pPr>
              </w:p>
            </w:tc>
            <w:tc>
              <w:tcPr>
                <w:tcW w:w="665" w:type="pct"/>
                <w:vAlign w:val="center"/>
              </w:tcPr>
              <w:p w14:paraId="3C50FB3D">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105,783.01</w:t>
                </w:r>
              </w:p>
            </w:tc>
          </w:tr>
          <w:tr w14:paraId="5935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5" w:type="pct"/>
                <w:vAlign w:val="center"/>
              </w:tcPr>
              <w:p w14:paraId="0EC28468">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其他流动负债</w:t>
                </w:r>
              </w:p>
            </w:tc>
            <w:tc>
              <w:tcPr>
                <w:tcW w:w="723" w:type="pct"/>
                <w:vAlign w:val="center"/>
              </w:tcPr>
              <w:p w14:paraId="0DC78013">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15,545.44</w:t>
                </w:r>
              </w:p>
            </w:tc>
            <w:tc>
              <w:tcPr>
                <w:tcW w:w="643" w:type="pct"/>
                <w:vAlign w:val="center"/>
              </w:tcPr>
              <w:p w14:paraId="7AA3E7D2">
                <w:pPr>
                  <w:widowControl w:val="0"/>
                  <w:jc w:val="right"/>
                  <w:rPr>
                    <w:rFonts w:cs="Times New Roman" w:asciiTheme="minorEastAsia" w:hAnsiTheme="minorEastAsia" w:eastAsiaTheme="minorEastAsia"/>
                    <w:color w:val="000000"/>
                    <w:sz w:val="18"/>
                    <w:szCs w:val="18"/>
                  </w:rPr>
                </w:pPr>
              </w:p>
            </w:tc>
            <w:tc>
              <w:tcPr>
                <w:tcW w:w="642" w:type="pct"/>
                <w:vAlign w:val="center"/>
              </w:tcPr>
              <w:p w14:paraId="4443DD70">
                <w:pPr>
                  <w:widowControl w:val="0"/>
                  <w:jc w:val="right"/>
                  <w:rPr>
                    <w:rFonts w:cs="Times New Roman" w:asciiTheme="minorEastAsia" w:hAnsiTheme="minorEastAsia" w:eastAsiaTheme="minorEastAsia"/>
                    <w:color w:val="000000"/>
                    <w:sz w:val="18"/>
                    <w:szCs w:val="18"/>
                  </w:rPr>
                </w:pPr>
              </w:p>
            </w:tc>
            <w:tc>
              <w:tcPr>
                <w:tcW w:w="562" w:type="pct"/>
                <w:vAlign w:val="center"/>
              </w:tcPr>
              <w:p w14:paraId="60011496">
                <w:pPr>
                  <w:widowControl w:val="0"/>
                  <w:jc w:val="right"/>
                  <w:rPr>
                    <w:rFonts w:cs="Times New Roman" w:asciiTheme="minorEastAsia" w:hAnsiTheme="minorEastAsia" w:eastAsiaTheme="minorEastAsia"/>
                    <w:color w:val="000000"/>
                    <w:sz w:val="18"/>
                    <w:szCs w:val="18"/>
                  </w:rPr>
                </w:pPr>
              </w:p>
            </w:tc>
            <w:tc>
              <w:tcPr>
                <w:tcW w:w="665" w:type="pct"/>
                <w:vAlign w:val="center"/>
              </w:tcPr>
              <w:p w14:paraId="1328A12A">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15,545.44</w:t>
                </w:r>
              </w:p>
            </w:tc>
          </w:tr>
          <w:tr w14:paraId="1215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5" w:type="pct"/>
                <w:vAlign w:val="center"/>
              </w:tcPr>
              <w:p w14:paraId="07770383">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租赁负债(含一年内到期)</w:t>
                </w:r>
              </w:p>
            </w:tc>
            <w:tc>
              <w:tcPr>
                <w:tcW w:w="723" w:type="pct"/>
                <w:vAlign w:val="center"/>
              </w:tcPr>
              <w:p w14:paraId="12F6A203">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75.52</w:t>
                </w:r>
              </w:p>
            </w:tc>
            <w:tc>
              <w:tcPr>
                <w:tcW w:w="643" w:type="pct"/>
                <w:vAlign w:val="center"/>
              </w:tcPr>
              <w:p w14:paraId="372B7EA1">
                <w:pPr>
                  <w:widowControl w:val="0"/>
                  <w:jc w:val="right"/>
                  <w:rPr>
                    <w:rFonts w:cs="Times New Roman" w:asciiTheme="minorEastAsia" w:hAnsiTheme="minorEastAsia" w:eastAsiaTheme="minorEastAsia"/>
                    <w:color w:val="000000"/>
                    <w:sz w:val="18"/>
                    <w:szCs w:val="18"/>
                  </w:rPr>
                </w:pPr>
              </w:p>
            </w:tc>
            <w:tc>
              <w:tcPr>
                <w:tcW w:w="642" w:type="pct"/>
                <w:vAlign w:val="center"/>
              </w:tcPr>
              <w:p w14:paraId="4E127A5F">
                <w:pPr>
                  <w:widowControl w:val="0"/>
                  <w:jc w:val="right"/>
                  <w:rPr>
                    <w:rFonts w:cs="Times New Roman" w:asciiTheme="minorEastAsia" w:hAnsiTheme="minorEastAsia" w:eastAsiaTheme="minorEastAsia"/>
                    <w:color w:val="000000"/>
                    <w:sz w:val="18"/>
                    <w:szCs w:val="18"/>
                  </w:rPr>
                </w:pPr>
              </w:p>
            </w:tc>
            <w:tc>
              <w:tcPr>
                <w:tcW w:w="562" w:type="pct"/>
                <w:vAlign w:val="center"/>
              </w:tcPr>
              <w:p w14:paraId="1C161D5E">
                <w:pPr>
                  <w:widowControl w:val="0"/>
                  <w:jc w:val="right"/>
                  <w:rPr>
                    <w:rFonts w:cs="Times New Roman" w:asciiTheme="minorEastAsia" w:hAnsiTheme="minorEastAsia" w:eastAsiaTheme="minorEastAsia"/>
                    <w:color w:val="000000"/>
                    <w:sz w:val="18"/>
                    <w:szCs w:val="18"/>
                  </w:rPr>
                </w:pPr>
              </w:p>
            </w:tc>
            <w:tc>
              <w:tcPr>
                <w:tcW w:w="665" w:type="pct"/>
                <w:vAlign w:val="center"/>
              </w:tcPr>
              <w:p w14:paraId="13B325B0">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75.52</w:t>
                </w:r>
              </w:p>
            </w:tc>
          </w:tr>
          <w:tr w14:paraId="135B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5" w:type="pct"/>
                <w:vAlign w:val="center"/>
              </w:tcPr>
              <w:p w14:paraId="04B7B154">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长期借款及一年内到期的非流动负债</w:t>
                </w:r>
              </w:p>
            </w:tc>
            <w:tc>
              <w:tcPr>
                <w:tcW w:w="723" w:type="pct"/>
                <w:vAlign w:val="center"/>
              </w:tcPr>
              <w:p w14:paraId="58B6E79B">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53,354.08</w:t>
                </w:r>
              </w:p>
            </w:tc>
            <w:tc>
              <w:tcPr>
                <w:tcW w:w="643" w:type="pct"/>
                <w:vAlign w:val="center"/>
              </w:tcPr>
              <w:p w14:paraId="33215AC6">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70,594.75</w:t>
                </w:r>
              </w:p>
            </w:tc>
            <w:tc>
              <w:tcPr>
                <w:tcW w:w="642" w:type="pct"/>
                <w:vAlign w:val="center"/>
              </w:tcPr>
              <w:p w14:paraId="2D3CB2D8">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2,201.59</w:t>
                </w:r>
              </w:p>
            </w:tc>
            <w:tc>
              <w:tcPr>
                <w:tcW w:w="562" w:type="pct"/>
                <w:vAlign w:val="center"/>
              </w:tcPr>
              <w:p w14:paraId="73D335DC">
                <w:pPr>
                  <w:widowControl w:val="0"/>
                  <w:jc w:val="right"/>
                  <w:rPr>
                    <w:rFonts w:cs="Times New Roman" w:asciiTheme="minorEastAsia" w:hAnsiTheme="minorEastAsia" w:eastAsiaTheme="minorEastAsia"/>
                    <w:color w:val="000000"/>
                    <w:sz w:val="18"/>
                    <w:szCs w:val="18"/>
                  </w:rPr>
                </w:pPr>
              </w:p>
            </w:tc>
            <w:tc>
              <w:tcPr>
                <w:tcW w:w="665" w:type="pct"/>
                <w:vAlign w:val="center"/>
              </w:tcPr>
              <w:p w14:paraId="54B67F28">
                <w:pPr>
                  <w:widowControl w:val="0"/>
                  <w:jc w:val="right"/>
                  <w:rPr>
                    <w:rFonts w:cs="Times New Roman" w:asciiTheme="minorEastAsia" w:hAnsiTheme="minorEastAsia" w:eastAsiaTheme="minorEastAsia"/>
                    <w:color w:val="000000"/>
                    <w:sz w:val="18"/>
                    <w:szCs w:val="18"/>
                  </w:rPr>
                </w:pPr>
                <w:r>
                  <w:rPr>
                    <w:rFonts w:hint="eastAsia" w:cs="Times New Roman" w:asciiTheme="minorEastAsia" w:hAnsiTheme="minorEastAsia" w:eastAsiaTheme="minorEastAsia"/>
                    <w:color w:val="000000"/>
                    <w:sz w:val="18"/>
                    <w:szCs w:val="18"/>
                  </w:rPr>
                  <w:t>126,150.42</w:t>
                </w:r>
              </w:p>
            </w:tc>
          </w:tr>
          <w:tr w14:paraId="1438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5" w:type="pct"/>
                <w:vAlign w:val="center"/>
              </w:tcPr>
              <w:p w14:paraId="17364698">
                <w:pPr>
                  <w:widowControl/>
                  <w:adjustRightInd w:val="0"/>
                  <w:snapToGrid w:val="0"/>
                  <w:spacing w:line="360" w:lineRule="exact"/>
                  <w:jc w:val="center"/>
                  <w:rPr>
                    <w:rFonts w:cs="Times New Roman" w:asciiTheme="minorEastAsia" w:hAnsiTheme="minorEastAsia" w:eastAsiaTheme="minorEastAsia"/>
                    <w:snapToGrid w:val="0"/>
                    <w:sz w:val="18"/>
                    <w:szCs w:val="18"/>
                  </w:rPr>
                </w:pPr>
                <w:r>
                  <w:rPr>
                    <w:rFonts w:cs="Times New Roman" w:asciiTheme="minorEastAsia" w:hAnsiTheme="minorEastAsia" w:eastAsiaTheme="minorEastAsia"/>
                    <w:snapToGrid w:val="0"/>
                    <w:sz w:val="18"/>
                    <w:szCs w:val="18"/>
                  </w:rPr>
                  <w:t>合计</w:t>
                </w:r>
              </w:p>
            </w:tc>
            <w:tc>
              <w:tcPr>
                <w:tcW w:w="723" w:type="pct"/>
                <w:vAlign w:val="center"/>
              </w:tcPr>
              <w:p w14:paraId="30702CA3">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840,545.11</w:t>
                </w:r>
              </w:p>
            </w:tc>
            <w:tc>
              <w:tcPr>
                <w:tcW w:w="643" w:type="pct"/>
                <w:vAlign w:val="center"/>
              </w:tcPr>
              <w:p w14:paraId="7CA0C3E9">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70,594.75</w:t>
                </w:r>
              </w:p>
            </w:tc>
            <w:tc>
              <w:tcPr>
                <w:tcW w:w="642" w:type="pct"/>
                <w:vAlign w:val="center"/>
              </w:tcPr>
              <w:p w14:paraId="4206E3BB">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2,201.59</w:t>
                </w:r>
              </w:p>
            </w:tc>
            <w:tc>
              <w:tcPr>
                <w:tcW w:w="562" w:type="pct"/>
                <w:vAlign w:val="center"/>
              </w:tcPr>
              <w:p w14:paraId="13BE01BF">
                <w:pPr>
                  <w:widowControl w:val="0"/>
                  <w:jc w:val="right"/>
                  <w:rPr>
                    <w:rFonts w:cs="Times New Roman" w:asciiTheme="minorEastAsia" w:hAnsiTheme="minorEastAsia" w:eastAsiaTheme="minorEastAsia"/>
                    <w:color w:val="000000"/>
                    <w:sz w:val="18"/>
                    <w:szCs w:val="18"/>
                  </w:rPr>
                </w:pPr>
              </w:p>
            </w:tc>
            <w:tc>
              <w:tcPr>
                <w:tcW w:w="665" w:type="pct"/>
                <w:vAlign w:val="center"/>
              </w:tcPr>
              <w:p w14:paraId="0F87BAD2">
                <w:pPr>
                  <w:widowControl w:val="0"/>
                  <w:jc w:val="right"/>
                  <w:rPr>
                    <w:rFonts w:cs="Times New Roman" w:asciiTheme="minorEastAsia" w:hAnsiTheme="minorEastAsia" w:eastAsiaTheme="minorEastAsia"/>
                    <w:color w:val="000000"/>
                    <w:sz w:val="18"/>
                    <w:szCs w:val="18"/>
                  </w:rPr>
                </w:pPr>
                <w:r>
                  <w:rPr>
                    <w:rFonts w:cs="Times New Roman" w:asciiTheme="minorEastAsia" w:hAnsiTheme="minorEastAsia" w:eastAsiaTheme="minorEastAsia"/>
                    <w:color w:val="000000"/>
                    <w:sz w:val="18"/>
                    <w:szCs w:val="18"/>
                  </w:rPr>
                  <w:t>913,341.45</w:t>
                </w:r>
              </w:p>
            </w:tc>
          </w:tr>
        </w:tbl>
        <w:p w14:paraId="107CEADE">
          <w:pPr>
            <w:rPr>
              <w:b/>
              <w:color w:val="000000" w:themeColor="text1"/>
              <w14:textFill>
                <w14:solidFill>
                  <w14:schemeClr w14:val="tx1"/>
                </w14:solidFill>
              </w14:textFill>
            </w:rPr>
          </w:pPr>
        </w:p>
      </w:sdtContent>
    </w:sdt>
    <w:p w14:paraId="56108E7F">
      <w:pPr>
        <w:pStyle w:val="4"/>
        <w:numPr>
          <w:ilvl w:val="0"/>
          <w:numId w:val="87"/>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套期</w:t>
      </w:r>
    </w:p>
    <w:p w14:paraId="192D3209">
      <w:pPr>
        <w:pStyle w:val="5"/>
        <w:numPr>
          <w:ilvl w:val="0"/>
          <w:numId w:val="88"/>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公司开展套期业务进行风险管理</w:t>
      </w:r>
    </w:p>
    <w:sdt>
      <w:sdtPr>
        <w:rPr>
          <w:color w:val="000000" w:themeColor="text1"/>
          <w14:textFill>
            <w14:solidFill>
              <w14:schemeClr w14:val="tx1"/>
            </w14:solidFill>
          </w14:textFill>
        </w:rPr>
        <w:alias w:val="是否适用：公司开展套期业务进行风险管理情况[双击切换]"/>
        <w:tag w:val="_GBC_2f499c37491c40ebb25e43ccee2adbf5"/>
        <w:id w:val="-175049888"/>
        <w:placeholder>
          <w:docPart w:val="GBC22222222222222222222222222222"/>
        </w:placeholder>
      </w:sdtPr>
      <w:sdtEndPr>
        <w:rPr>
          <w:color w:val="000000" w:themeColor="text1"/>
          <w14:textFill>
            <w14:solidFill>
              <w14:schemeClr w14:val="tx1"/>
            </w14:solidFill>
          </w14:textFill>
        </w:rPr>
      </w:sdtEndPr>
      <w:sdtContent>
        <w:p w14:paraId="5DEDC33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AEAE51F">
      <w:pPr>
        <w:rPr>
          <w:color w:val="000000" w:themeColor="text1"/>
          <w14:textFill>
            <w14:solidFill>
              <w14:schemeClr w14:val="tx1"/>
            </w14:solidFill>
          </w14:textFill>
        </w:rPr>
      </w:pPr>
    </w:p>
    <w:p w14:paraId="2A84650D">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公司开展套期业务进行风险管理的其他说明[双击切换]"/>
        <w:tag w:val="_GBC_75de8ffa05014fb7849cdf4959d00e5b"/>
        <w:id w:val="444896000"/>
        <w:placeholder>
          <w:docPart w:val="GBC22222222222222222222222222222"/>
        </w:placeholder>
      </w:sdtPr>
      <w:sdtEndPr>
        <w:rPr>
          <w:color w:val="000000" w:themeColor="text1"/>
          <w14:textFill>
            <w14:solidFill>
              <w14:schemeClr w14:val="tx1"/>
            </w14:solidFill>
          </w14:textFill>
        </w:rPr>
      </w:sdtEndPr>
      <w:sdtContent>
        <w:p w14:paraId="242BE40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2F74A6A">
      <w:pPr>
        <w:rPr>
          <w:color w:val="000000" w:themeColor="text1"/>
          <w14:textFill>
            <w14:solidFill>
              <w14:schemeClr w14:val="tx1"/>
            </w14:solidFill>
          </w14:textFill>
        </w:rPr>
      </w:pPr>
    </w:p>
    <w:p w14:paraId="20B47317">
      <w:pPr>
        <w:pStyle w:val="5"/>
        <w:numPr>
          <w:ilvl w:val="0"/>
          <w:numId w:val="88"/>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公司开展符合条件套期业务并应用套期会计</w:t>
      </w:r>
    </w:p>
    <w:sdt>
      <w:sdtPr>
        <w:rPr>
          <w:color w:val="000000" w:themeColor="text1"/>
          <w14:textFill>
            <w14:solidFill>
              <w14:schemeClr w14:val="tx1"/>
            </w14:solidFill>
          </w14:textFill>
        </w:rPr>
        <w:alias w:val="是否适用：公司开展符合条件套期业务并应用套期会计情况[双击切换]"/>
        <w:tag w:val="_GBC_6e6b563ac07d4214b853bf73488c53f8"/>
        <w:id w:val="-1087613672"/>
        <w:placeholder>
          <w:docPart w:val="GBC22222222222222222222222222222"/>
        </w:placeholder>
      </w:sdtPr>
      <w:sdtEndPr>
        <w:rPr>
          <w:color w:val="000000" w:themeColor="text1"/>
          <w14:textFill>
            <w14:solidFill>
              <w14:schemeClr w14:val="tx1"/>
            </w14:solidFill>
          </w14:textFill>
        </w:rPr>
      </w:sdtEndPr>
      <w:sdtContent>
        <w:p w14:paraId="5D053E2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92910B0">
      <w:pPr>
        <w:rPr>
          <w:color w:val="000000" w:themeColor="text1"/>
          <w14:textFill>
            <w14:solidFill>
              <w14:schemeClr w14:val="tx1"/>
            </w14:solidFill>
          </w14:textFill>
        </w:rPr>
      </w:pPr>
    </w:p>
    <w:p w14:paraId="554F37E1">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公司开展符合条件套期业务并应用套期会计情况的其他说明[双击切换]"/>
        <w:tag w:val="_GBC_27a95a99453a402ca0b1fc92fc64b202"/>
        <w:id w:val="-878934594"/>
        <w:placeholder>
          <w:docPart w:val="GBC22222222222222222222222222222"/>
        </w:placeholder>
      </w:sdtPr>
      <w:sdtEndPr>
        <w:rPr>
          <w:color w:val="000000" w:themeColor="text1"/>
          <w14:textFill>
            <w14:solidFill>
              <w14:schemeClr w14:val="tx1"/>
            </w14:solidFill>
          </w14:textFill>
        </w:rPr>
      </w:sdtEndPr>
      <w:sdtContent>
        <w:p w14:paraId="66D4C58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61BADD">
      <w:pPr>
        <w:rPr>
          <w:color w:val="000000" w:themeColor="text1"/>
          <w14:textFill>
            <w14:solidFill>
              <w14:schemeClr w14:val="tx1"/>
            </w14:solidFill>
          </w14:textFill>
        </w:rPr>
      </w:pPr>
    </w:p>
    <w:p w14:paraId="163E51DA">
      <w:pPr>
        <w:pStyle w:val="5"/>
        <w:numPr>
          <w:ilvl w:val="0"/>
          <w:numId w:val="88"/>
        </w:numPr>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公司开展套期业务进行风险管理、预期能实现风险管理目标但未应用套期会计</w:t>
      </w:r>
    </w:p>
    <w:sdt>
      <w:sdtPr>
        <w:rPr>
          <w:color w:val="000000" w:themeColor="text1"/>
          <w14:textFill>
            <w14:solidFill>
              <w14:schemeClr w14:val="tx1"/>
            </w14:solidFill>
          </w14:textFill>
        </w:rPr>
        <w:alias w:val="是否适用：公司开展套期业务进行风险管理、预期能实现风险管理目标但未应用套期会计[双击切换]"/>
        <w:tag w:val="_GBC_8ff64f4b33cf4c818fade70a82ac65ca"/>
        <w:id w:val="701526507"/>
        <w:placeholder>
          <w:docPart w:val="GBC22222222222222222222222222222"/>
        </w:placeholder>
      </w:sdtPr>
      <w:sdtEndPr>
        <w:rPr>
          <w:color w:val="000000" w:themeColor="text1"/>
          <w14:textFill>
            <w14:solidFill>
              <w14:schemeClr w14:val="tx1"/>
            </w14:solidFill>
          </w14:textFill>
        </w:rPr>
      </w:sdtEndPr>
      <w:sdtContent>
        <w:p w14:paraId="0548BE9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82B2A2F">
      <w:pPr>
        <w:rPr>
          <w:color w:val="000000" w:themeColor="text1"/>
          <w14:textFill>
            <w14:solidFill>
              <w14:schemeClr w14:val="tx1"/>
            </w14:solidFill>
          </w14:textFill>
        </w:rPr>
      </w:pPr>
    </w:p>
    <w:p w14:paraId="5D86EB30">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公司开展套期业务进行风险管理、预期能实现风险管理目标但未应用套期会计的其他说明[双击切换]"/>
        <w:tag w:val="_GBC_a996d12612974969937163f50fa093b8"/>
        <w:id w:val="-1784866326"/>
        <w:placeholder>
          <w:docPart w:val="GBC22222222222222222222222222222"/>
        </w:placeholder>
      </w:sdtPr>
      <w:sdtEndPr>
        <w:rPr>
          <w:color w:val="000000" w:themeColor="text1"/>
          <w14:textFill>
            <w14:solidFill>
              <w14:schemeClr w14:val="tx1"/>
            </w14:solidFill>
          </w14:textFill>
        </w:rPr>
      </w:sdtEndPr>
      <w:sdtContent>
        <w:p w14:paraId="5278A20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9617EF4">
      <w:pPr>
        <w:rPr>
          <w:color w:val="000000" w:themeColor="text1"/>
          <w14:textFill>
            <w14:solidFill>
              <w14:schemeClr w14:val="tx1"/>
            </w14:solidFill>
          </w14:textFill>
        </w:rPr>
      </w:pPr>
    </w:p>
    <w:p w14:paraId="04C805E0">
      <w:pPr>
        <w:pStyle w:val="4"/>
        <w:numPr>
          <w:ilvl w:val="0"/>
          <w:numId w:val="87"/>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金融资产转移</w:t>
      </w:r>
    </w:p>
    <w:p w14:paraId="6BFF54AD">
      <w:pPr>
        <w:pStyle w:val="5"/>
        <w:numPr>
          <w:ilvl w:val="0"/>
          <w:numId w:val="89"/>
        </w:numPr>
        <w:ind w:left="425" w:hanging="425"/>
        <w:rPr>
          <w:color w:val="000000" w:themeColor="text1"/>
          <w14:textFill>
            <w14:solidFill>
              <w14:schemeClr w14:val="tx1"/>
            </w14:solidFill>
          </w14:textFill>
        </w:rPr>
      </w:pPr>
      <w:bookmarkStart w:id="370" w:name="_Hlk153550670"/>
      <w:r>
        <w:rPr>
          <w:rFonts w:hint="eastAsia"/>
          <w:color w:val="000000" w:themeColor="text1"/>
          <w14:textFill>
            <w14:solidFill>
              <w14:schemeClr w14:val="tx1"/>
            </w14:solidFill>
          </w14:textFill>
        </w:rPr>
        <w:t>转移方式分类</w:t>
      </w:r>
    </w:p>
    <w:sdt>
      <w:sdtPr>
        <w:rPr>
          <w:color w:val="000000" w:themeColor="text1"/>
          <w14:textFill>
            <w14:solidFill>
              <w14:schemeClr w14:val="tx1"/>
            </w14:solidFill>
          </w14:textFill>
        </w:rPr>
        <w:alias w:val="是否适用：转移方式分类[双击切换]"/>
        <w:tag w:val="_GBC_3e1020fb455f4853972cca8d6b0a6b3e"/>
        <w:id w:val="-2060540862"/>
        <w:placeholder>
          <w:docPart w:val="GBC22222222222222222222222222222"/>
        </w:placeholder>
      </w:sdtPr>
      <w:sdtEndPr>
        <w:rPr>
          <w:color w:val="000000" w:themeColor="text1"/>
          <w14:textFill>
            <w14:solidFill>
              <w14:schemeClr w14:val="tx1"/>
            </w14:solidFill>
          </w14:textFill>
        </w:rPr>
      </w:sdtEndPr>
      <w:sdtContent>
        <w:p w14:paraId="26CAC96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54A68E">
      <w:pPr>
        <w:rPr>
          <w:color w:val="000000" w:themeColor="text1"/>
          <w14:textFill>
            <w14:solidFill>
              <w14:schemeClr w14:val="tx1"/>
            </w14:solidFill>
          </w14:textFill>
        </w:rPr>
      </w:pPr>
    </w:p>
    <w:bookmarkEnd w:id="370"/>
    <w:p w14:paraId="3F4EA47A">
      <w:pPr>
        <w:pStyle w:val="5"/>
        <w:numPr>
          <w:ilvl w:val="0"/>
          <w:numId w:val="89"/>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因转移而终止确认的金融资产</w:t>
      </w:r>
    </w:p>
    <w:sdt>
      <w:sdtPr>
        <w:rPr>
          <w:rFonts w:hint="eastAsia"/>
          <w:color w:val="000000" w:themeColor="text1"/>
          <w14:textFill>
            <w14:solidFill>
              <w14:schemeClr w14:val="tx1"/>
            </w14:solidFill>
          </w14:textFill>
        </w:rPr>
        <w:alias w:val="是否适用：因转移而终止确认的金融资产[双击切换]"/>
        <w:tag w:val="_GBC_46574eb995bc458dacbb66d429fbeb28"/>
        <w:id w:val="-845855868"/>
        <w:placeholder>
          <w:docPart w:val="GBC22222222222222222222222222222"/>
        </w:placeholder>
      </w:sdtPr>
      <w:sdtEndPr>
        <w:rPr>
          <w:rFonts w:hint="eastAsia"/>
          <w:color w:val="000000" w:themeColor="text1"/>
          <w14:textFill>
            <w14:solidFill>
              <w14:schemeClr w14:val="tx1"/>
            </w14:solidFill>
          </w14:textFill>
        </w:rPr>
      </w:sdtEndPr>
      <w:sdtContent>
        <w:p w14:paraId="729D2CD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D34972E">
      <w:pPr>
        <w:rPr>
          <w:color w:val="000000" w:themeColor="text1"/>
          <w14:textFill>
            <w14:solidFill>
              <w14:schemeClr w14:val="tx1"/>
            </w14:solidFill>
          </w14:textFill>
        </w:rPr>
      </w:pPr>
    </w:p>
    <w:p w14:paraId="4D0B3DF4">
      <w:pPr>
        <w:pStyle w:val="5"/>
        <w:numPr>
          <w:ilvl w:val="0"/>
          <w:numId w:val="89"/>
        </w:numPr>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继续涉入的转移金融资产</w:t>
      </w:r>
    </w:p>
    <w:sdt>
      <w:sdtPr>
        <w:rPr>
          <w:color w:val="000000" w:themeColor="text1"/>
          <w14:textFill>
            <w14:solidFill>
              <w14:schemeClr w14:val="tx1"/>
            </w14:solidFill>
          </w14:textFill>
        </w:rPr>
        <w:alias w:val="是否适用：继续涉入的转移金融资产[双击切换]"/>
        <w:tag w:val="_GBC_839df5011587479d8e96a4229c69e37a"/>
        <w:id w:val="2026282260"/>
        <w:placeholder>
          <w:docPart w:val="GBC22222222222222222222222222222"/>
        </w:placeholder>
      </w:sdtPr>
      <w:sdtEndPr>
        <w:rPr>
          <w:color w:val="000000" w:themeColor="text1"/>
          <w14:textFill>
            <w14:solidFill>
              <w14:schemeClr w14:val="tx1"/>
            </w14:solidFill>
          </w14:textFill>
        </w:rPr>
      </w:sdtEndPr>
      <w:sdtContent>
        <w:p w14:paraId="2566C8E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4BC046C">
      <w:pPr>
        <w:rPr>
          <w:color w:val="000000" w:themeColor="text1"/>
          <w14:textFill>
            <w14:solidFill>
              <w14:schemeClr w14:val="tx1"/>
            </w14:solidFill>
          </w14:textFill>
        </w:rPr>
      </w:pPr>
    </w:p>
    <w:p w14:paraId="11B91941">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金融资产转移其他说明[双击切换]"/>
        <w:tag w:val="_GBC_d5c96ff7d4c3440e81b67f6ecd7164b1"/>
        <w:id w:val="1945875585"/>
        <w:placeholder>
          <w:docPart w:val="GBC22222222222222222222222222222"/>
        </w:placeholder>
      </w:sdtPr>
      <w:sdtEndPr>
        <w:rPr>
          <w:color w:val="000000" w:themeColor="text1"/>
          <w14:textFill>
            <w14:solidFill>
              <w14:schemeClr w14:val="tx1"/>
            </w14:solidFill>
          </w14:textFill>
        </w:rPr>
      </w:sdtEndPr>
      <w:sdtContent>
        <w:p w14:paraId="051BFC7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0FF0A1F">
      <w:pPr>
        <w:rPr>
          <w:color w:val="000000" w:themeColor="text1"/>
          <w14:textFill>
            <w14:solidFill>
              <w14:schemeClr w14:val="tx1"/>
            </w14:solidFill>
          </w14:textFill>
        </w:rPr>
      </w:pPr>
    </w:p>
    <w:bookmarkEnd w:id="366"/>
    <w:p w14:paraId="611C4966">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公允价值的披露</w:t>
      </w:r>
    </w:p>
    <w:p w14:paraId="4B0174A2">
      <w:pPr>
        <w:pStyle w:val="4"/>
        <w:numPr>
          <w:ilvl w:val="0"/>
          <w:numId w:val="90"/>
        </w:numPr>
        <w:rPr>
          <w:rFonts w:ascii="宋体" w:hAnsi="宋体"/>
          <w:color w:val="000000" w:themeColor="text1"/>
          <w14:textFill>
            <w14:solidFill>
              <w14:schemeClr w14:val="tx1"/>
            </w14:solidFill>
          </w14:textFill>
        </w:rPr>
      </w:pPr>
      <w:bookmarkStart w:id="371" w:name="_Hlk10539195"/>
      <w:r>
        <w:rPr>
          <w:rFonts w:hint="eastAsia" w:ascii="宋体" w:hAnsi="宋体"/>
          <w:color w:val="000000" w:themeColor="text1"/>
          <w14:textFill>
            <w14:solidFill>
              <w14:schemeClr w14:val="tx1"/>
            </w14:solidFill>
          </w14:textFill>
        </w:rPr>
        <w:t>以公允价值计量的资产和负债的期末公允价值</w:t>
      </w:r>
    </w:p>
    <w:sdt>
      <w:sdtPr>
        <w:rPr>
          <w:color w:val="000000" w:themeColor="text1"/>
          <w14:textFill>
            <w14:solidFill>
              <w14:schemeClr w14:val="tx1"/>
            </w14:solidFill>
          </w14:textFill>
        </w:rPr>
        <w:alias w:val="是否适用：以公允价值计量的资产和负债的期末公允价值[双击切换]"/>
        <w:tag w:val="_GBC_291486261b6a4e8092eea55d961b7664"/>
        <w:id w:val="686182909"/>
        <w:placeholder>
          <w:docPart w:val="GBC22222222222222222222222222222"/>
        </w:placeholder>
      </w:sdtPr>
      <w:sdtEndPr>
        <w:rPr>
          <w:color w:val="000000" w:themeColor="text1"/>
          <w14:textFill>
            <w14:solidFill>
              <w14:schemeClr w14:val="tx1"/>
            </w14:solidFill>
          </w14:textFill>
        </w:rPr>
      </w:sdtEndPr>
      <w:sdtContent>
        <w:p w14:paraId="0C07CCD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D470B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以公允价值计量的资产和负债的期末公允价值"/>
          <w:tag w:val="_GBC_4b785696cde44d3f8a4a7d28ab963e38"/>
          <w:id w:val="-13085417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以公允价值计量的资产和负债的期末公允价值"/>
          <w:tag w:val="_GBC_3bb5670d72804a4b8298edc3e439955a"/>
          <w:id w:val="-828490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280"/>
        <w:gridCol w:w="1580"/>
        <w:gridCol w:w="1541"/>
        <w:gridCol w:w="1962"/>
        <w:gridCol w:w="1526"/>
      </w:tblGrid>
      <w:tr w14:paraId="38EB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5" w:hRule="atLeast"/>
        </w:trPr>
        <w:sdt>
          <w:sdtPr>
            <w:tag w:val="_PLD_25e2bb7801744f08a089c0e6a2b31b9b"/>
            <w:id w:val="2086343800"/>
          </w:sdtPr>
          <w:sdtContent>
            <w:tc>
              <w:tcPr>
                <w:tcW w:w="1331" w:type="pct"/>
                <w:vMerge w:val="restart"/>
                <w:tcBorders>
                  <w:top w:val="single" w:color="auto" w:sz="4" w:space="0"/>
                  <w:left w:val="single" w:color="auto" w:sz="4" w:space="0"/>
                  <w:right w:val="single" w:color="auto" w:sz="4" w:space="0"/>
                </w:tcBorders>
                <w:vAlign w:val="center"/>
              </w:tcPr>
              <w:p w14:paraId="4CE7A3F9">
                <w:pPr>
                  <w:jc w:val="cente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项目</w:t>
                </w:r>
              </w:p>
            </w:tc>
          </w:sdtContent>
        </w:sdt>
        <w:sdt>
          <w:sdtPr>
            <w:tag w:val="_PLD_ad919f08ba5040a28e31328eb66da0bf"/>
            <w:id w:val="-1892332501"/>
          </w:sdtPr>
          <w:sdtContent>
            <w:tc>
              <w:tcPr>
                <w:tcW w:w="3669" w:type="pct"/>
                <w:gridSpan w:val="4"/>
                <w:tcBorders>
                  <w:top w:val="single" w:color="auto" w:sz="4" w:space="0"/>
                  <w:left w:val="single" w:color="auto" w:sz="4" w:space="0"/>
                  <w:bottom w:val="single" w:color="auto" w:sz="4" w:space="0"/>
                  <w:right w:val="single" w:color="auto" w:sz="4" w:space="0"/>
                </w:tcBorders>
                <w:vAlign w:val="center"/>
              </w:tcPr>
              <w:p w14:paraId="3ACBCEC0">
                <w:pPr>
                  <w:jc w:val="cente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期末公允价值</w:t>
                </w:r>
              </w:p>
            </w:tc>
          </w:sdtContent>
        </w:sdt>
      </w:tr>
      <w:tr w14:paraId="53DC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5" w:hRule="atLeast"/>
        </w:trPr>
        <w:tc>
          <w:tcPr>
            <w:tcW w:w="1331" w:type="pct"/>
            <w:vMerge w:val="continue"/>
            <w:tcBorders>
              <w:left w:val="single" w:color="auto" w:sz="4" w:space="0"/>
              <w:bottom w:val="single" w:color="auto" w:sz="4" w:space="0"/>
              <w:right w:val="single" w:color="auto" w:sz="4" w:space="0"/>
            </w:tcBorders>
            <w:vAlign w:val="center"/>
          </w:tcPr>
          <w:p w14:paraId="3DB83593">
            <w:pPr>
              <w:jc w:val="center"/>
              <w:outlineLvl w:val="2"/>
              <w:rPr>
                <w:rFonts w:cs="Cambria"/>
                <w:color w:val="000000" w:themeColor="text1"/>
                <w14:textFill>
                  <w14:solidFill>
                    <w14:schemeClr w14:val="tx1"/>
                  </w14:solidFill>
                </w14:textFill>
              </w:rPr>
            </w:pPr>
          </w:p>
        </w:tc>
        <w:sdt>
          <w:sdtPr>
            <w:tag w:val="_PLD_4bb34c3d92bf450fb80f7c0c95977a2b"/>
            <w:id w:val="1463921086"/>
          </w:sdtPr>
          <w:sdtContent>
            <w:tc>
              <w:tcPr>
                <w:tcW w:w="937" w:type="pct"/>
                <w:tcBorders>
                  <w:top w:val="single" w:color="auto" w:sz="4" w:space="0"/>
                  <w:left w:val="single" w:color="auto" w:sz="4" w:space="0"/>
                  <w:bottom w:val="single" w:color="auto" w:sz="4" w:space="0"/>
                  <w:right w:val="single" w:color="auto" w:sz="4" w:space="0"/>
                </w:tcBorders>
                <w:vAlign w:val="center"/>
              </w:tcPr>
              <w:p w14:paraId="52C31728">
                <w:pPr>
                  <w:jc w:val="cente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第一层次公允价值计量</w:t>
                </w:r>
              </w:p>
            </w:tc>
          </w:sdtContent>
        </w:sdt>
        <w:sdt>
          <w:sdtPr>
            <w:tag w:val="_PLD_08753059c9e04a10af2918fbc1559bed"/>
            <w:id w:val="-1608729559"/>
          </w:sdtPr>
          <w:sdtContent>
            <w:tc>
              <w:tcPr>
                <w:tcW w:w="915" w:type="pct"/>
                <w:tcBorders>
                  <w:top w:val="single" w:color="auto" w:sz="4" w:space="0"/>
                  <w:left w:val="single" w:color="auto" w:sz="4" w:space="0"/>
                  <w:bottom w:val="single" w:color="auto" w:sz="4" w:space="0"/>
                  <w:right w:val="single" w:color="auto" w:sz="4" w:space="0"/>
                </w:tcBorders>
                <w:vAlign w:val="center"/>
              </w:tcPr>
              <w:p w14:paraId="3C80AA33">
                <w:pPr>
                  <w:jc w:val="cente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第二层次公允价值计量</w:t>
                </w:r>
              </w:p>
            </w:tc>
          </w:sdtContent>
        </w:sdt>
        <w:sdt>
          <w:sdtPr>
            <w:tag w:val="_PLD_b263de838c9c4afa9fddb6dee6409a62"/>
            <w:id w:val="-865441236"/>
          </w:sdtPr>
          <w:sdtContent>
            <w:tc>
              <w:tcPr>
                <w:tcW w:w="1152" w:type="pct"/>
                <w:tcBorders>
                  <w:top w:val="single" w:color="auto" w:sz="4" w:space="0"/>
                  <w:left w:val="single" w:color="auto" w:sz="4" w:space="0"/>
                  <w:bottom w:val="single" w:color="auto" w:sz="4" w:space="0"/>
                  <w:right w:val="single" w:color="auto" w:sz="4" w:space="0"/>
                </w:tcBorders>
                <w:vAlign w:val="center"/>
              </w:tcPr>
              <w:p w14:paraId="753F0168">
                <w:pPr>
                  <w:jc w:val="cente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第三层次公允价值计量</w:t>
                </w:r>
              </w:p>
            </w:tc>
          </w:sdtContent>
        </w:sdt>
        <w:sdt>
          <w:sdtPr>
            <w:tag w:val="_PLD_50eba344a451417c8072228a7a4959c5"/>
            <w:id w:val="1991449721"/>
          </w:sdtPr>
          <w:sdtContent>
            <w:tc>
              <w:tcPr>
                <w:tcW w:w="665" w:type="pct"/>
                <w:tcBorders>
                  <w:top w:val="single" w:color="auto" w:sz="4" w:space="0"/>
                  <w:left w:val="single" w:color="auto" w:sz="4" w:space="0"/>
                  <w:bottom w:val="single" w:color="auto" w:sz="4" w:space="0"/>
                  <w:right w:val="single" w:color="auto" w:sz="4" w:space="0"/>
                </w:tcBorders>
                <w:vAlign w:val="center"/>
              </w:tcPr>
              <w:p w14:paraId="1BAF26AF">
                <w:pPr>
                  <w:jc w:val="cente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合计</w:t>
                </w:r>
              </w:p>
            </w:tc>
          </w:sdtContent>
        </w:sdt>
      </w:tr>
      <w:tr w14:paraId="06B2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1331" w:type="pct"/>
            <w:tcBorders>
              <w:top w:val="single" w:color="auto" w:sz="4" w:space="0"/>
              <w:left w:val="single" w:color="auto" w:sz="4" w:space="0"/>
              <w:bottom w:val="single" w:color="auto" w:sz="4" w:space="0"/>
              <w:right w:val="single" w:color="auto" w:sz="4" w:space="0"/>
            </w:tcBorders>
          </w:tcPr>
          <w:p w14:paraId="3B50BFE0">
            <w:pPr>
              <w:outlineLvl w:val="2"/>
              <w:rPr>
                <w:rFonts w:cs="Cambria"/>
                <w:b/>
                <w:color w:val="000000" w:themeColor="text1"/>
                <w14:textFill>
                  <w14:solidFill>
                    <w14:schemeClr w14:val="tx1"/>
                  </w14:solidFill>
                </w14:textFill>
              </w:rPr>
            </w:pPr>
            <w:r>
              <w:rPr>
                <w:rFonts w:hint="eastAsia" w:cs="Cambria"/>
                <w:b/>
                <w:color w:val="000000" w:themeColor="text1"/>
                <w14:textFill>
                  <w14:solidFill>
                    <w14:schemeClr w14:val="tx1"/>
                  </w14:solidFill>
                </w14:textFill>
              </w:rPr>
              <w:t>一、持续的公允价值计量</w:t>
            </w:r>
          </w:p>
        </w:tc>
        <w:tc>
          <w:tcPr>
            <w:tcW w:w="937" w:type="pct"/>
            <w:tcBorders>
              <w:top w:val="single" w:color="auto" w:sz="4" w:space="0"/>
              <w:left w:val="single" w:color="auto" w:sz="4" w:space="0"/>
              <w:bottom w:val="single" w:color="auto" w:sz="4" w:space="0"/>
              <w:right w:val="single" w:color="auto" w:sz="4" w:space="0"/>
            </w:tcBorders>
          </w:tcPr>
          <w:p w14:paraId="316B0E54">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0E51B63">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22305976">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7FC349EC">
            <w:pPr>
              <w:jc w:val="right"/>
              <w:outlineLvl w:val="2"/>
              <w:rPr>
                <w:rFonts w:cs="Cambria"/>
              </w:rPr>
            </w:pPr>
          </w:p>
        </w:tc>
      </w:tr>
      <w:tr w14:paraId="47E4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280205D2">
            <w:pPr>
              <w:outlineLvl w:val="2"/>
              <w:rPr>
                <w:color w:val="000000" w:themeColor="text1"/>
                <w14:textFill>
                  <w14:solidFill>
                    <w14:schemeClr w14:val="tx1"/>
                  </w14:solidFill>
                </w14:textFill>
              </w:rPr>
            </w:pPr>
            <w:r>
              <w:rPr>
                <w:rFonts w:hint="eastAsia"/>
                <w:color w:val="000000" w:themeColor="text1"/>
                <w14:textFill>
                  <w14:solidFill>
                    <w14:schemeClr w14:val="tx1"/>
                  </w14:solidFill>
                </w14:textFill>
              </w:rPr>
              <w:t>（一）交易性金融资产</w:t>
            </w:r>
          </w:p>
        </w:tc>
        <w:tc>
          <w:tcPr>
            <w:tcW w:w="937" w:type="pct"/>
            <w:tcBorders>
              <w:top w:val="single" w:color="auto" w:sz="4" w:space="0"/>
              <w:left w:val="single" w:color="auto" w:sz="4" w:space="0"/>
              <w:bottom w:val="single" w:color="auto" w:sz="4" w:space="0"/>
              <w:right w:val="single" w:color="auto" w:sz="4" w:space="0"/>
            </w:tcBorders>
          </w:tcPr>
          <w:p w14:paraId="69D55EDE">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CD0962E">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30BC85E7">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1F0920CC">
            <w:pPr>
              <w:jc w:val="right"/>
              <w:outlineLvl w:val="2"/>
              <w:rPr>
                <w:rFonts w:cs="Cambria"/>
              </w:rPr>
            </w:pPr>
          </w:p>
        </w:tc>
      </w:tr>
      <w:tr w14:paraId="38B3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0058CBFB">
            <w:pPr>
              <w:outlineLvl w:val="2"/>
              <w:rPr>
                <w:color w:val="000000" w:themeColor="text1"/>
                <w14:textFill>
                  <w14:solidFill>
                    <w14:schemeClr w14:val="tx1"/>
                  </w14:solidFill>
                </w14:textFill>
              </w:rPr>
            </w:pPr>
            <w:r>
              <w:rPr>
                <w:color w:val="000000" w:themeColor="text1"/>
                <w14:textFill>
                  <w14:solidFill>
                    <w14:schemeClr w14:val="tx1"/>
                  </w14:solidFill>
                </w14:textFill>
              </w:rPr>
              <w:t>1.以公允价值计量且变动计入当期损益的金融资产</w:t>
            </w:r>
          </w:p>
        </w:tc>
        <w:tc>
          <w:tcPr>
            <w:tcW w:w="937" w:type="pct"/>
            <w:tcBorders>
              <w:top w:val="single" w:color="auto" w:sz="4" w:space="0"/>
              <w:left w:val="single" w:color="auto" w:sz="4" w:space="0"/>
              <w:bottom w:val="single" w:color="auto" w:sz="4" w:space="0"/>
              <w:right w:val="single" w:color="auto" w:sz="4" w:space="0"/>
            </w:tcBorders>
          </w:tcPr>
          <w:p w14:paraId="7E67422F">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6FE2D346">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2682471E">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0C0D5ACE">
            <w:pPr>
              <w:jc w:val="right"/>
              <w:outlineLvl w:val="2"/>
              <w:rPr>
                <w:rFonts w:cs="Cambria"/>
              </w:rPr>
            </w:pPr>
          </w:p>
        </w:tc>
      </w:tr>
      <w:tr w14:paraId="21D5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28E108FC">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w:t>
            </w:r>
            <w:r>
              <w:rPr>
                <w:rFonts w:cs="Cambria"/>
                <w:color w:val="000000" w:themeColor="text1"/>
                <w14:textFill>
                  <w14:solidFill>
                    <w14:schemeClr w14:val="tx1"/>
                  </w14:solidFill>
                </w14:textFill>
              </w:rPr>
              <w:t>1</w:t>
            </w:r>
            <w:r>
              <w:rPr>
                <w:rFonts w:hint="eastAsia" w:cs="Cambria"/>
                <w:color w:val="000000" w:themeColor="text1"/>
                <w14:textFill>
                  <w14:solidFill>
                    <w14:schemeClr w14:val="tx1"/>
                  </w14:solidFill>
                </w14:textFill>
              </w:rPr>
              <w:t>）债务工具投资</w:t>
            </w:r>
          </w:p>
        </w:tc>
        <w:tc>
          <w:tcPr>
            <w:tcW w:w="937" w:type="pct"/>
            <w:tcBorders>
              <w:top w:val="single" w:color="auto" w:sz="4" w:space="0"/>
              <w:left w:val="single" w:color="auto" w:sz="4" w:space="0"/>
              <w:bottom w:val="single" w:color="auto" w:sz="4" w:space="0"/>
              <w:right w:val="single" w:color="auto" w:sz="4" w:space="0"/>
            </w:tcBorders>
          </w:tcPr>
          <w:p w14:paraId="37202D31">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479F69C9">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27FBDD37">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10E762D1">
            <w:pPr>
              <w:jc w:val="right"/>
              <w:outlineLvl w:val="2"/>
              <w:rPr>
                <w:rFonts w:cs="Cambria"/>
              </w:rPr>
            </w:pPr>
          </w:p>
        </w:tc>
      </w:tr>
      <w:tr w14:paraId="4B0F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70CA4E69">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w:t>
            </w:r>
            <w:r>
              <w:rPr>
                <w:rFonts w:cs="Cambria"/>
                <w:color w:val="000000" w:themeColor="text1"/>
                <w14:textFill>
                  <w14:solidFill>
                    <w14:schemeClr w14:val="tx1"/>
                  </w14:solidFill>
                </w14:textFill>
              </w:rPr>
              <w:t>2</w:t>
            </w:r>
            <w:r>
              <w:rPr>
                <w:rFonts w:hint="eastAsia" w:cs="Cambria"/>
                <w:color w:val="000000" w:themeColor="text1"/>
                <w14:textFill>
                  <w14:solidFill>
                    <w14:schemeClr w14:val="tx1"/>
                  </w14:solidFill>
                </w14:textFill>
              </w:rPr>
              <w:t>）权益工具投资</w:t>
            </w:r>
          </w:p>
        </w:tc>
        <w:tc>
          <w:tcPr>
            <w:tcW w:w="937" w:type="pct"/>
            <w:tcBorders>
              <w:top w:val="single" w:color="auto" w:sz="4" w:space="0"/>
              <w:left w:val="single" w:color="auto" w:sz="4" w:space="0"/>
              <w:bottom w:val="single" w:color="auto" w:sz="4" w:space="0"/>
              <w:right w:val="single" w:color="auto" w:sz="4" w:space="0"/>
            </w:tcBorders>
          </w:tcPr>
          <w:p w14:paraId="461BF1A7">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57A9ADC">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32769427">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00CE83A7">
            <w:pPr>
              <w:jc w:val="right"/>
              <w:outlineLvl w:val="2"/>
              <w:rPr>
                <w:rFonts w:cs="Cambria"/>
              </w:rPr>
            </w:pPr>
          </w:p>
        </w:tc>
      </w:tr>
      <w:tr w14:paraId="219B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64A3D89A">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w:t>
            </w:r>
            <w:r>
              <w:rPr>
                <w:rFonts w:cs="Cambria"/>
                <w:color w:val="000000" w:themeColor="text1"/>
                <w14:textFill>
                  <w14:solidFill>
                    <w14:schemeClr w14:val="tx1"/>
                  </w14:solidFill>
                </w14:textFill>
              </w:rPr>
              <w:t>3</w:t>
            </w:r>
            <w:r>
              <w:rPr>
                <w:rFonts w:hint="eastAsia" w:cs="Cambria"/>
                <w:color w:val="000000" w:themeColor="text1"/>
                <w14:textFill>
                  <w14:solidFill>
                    <w14:schemeClr w14:val="tx1"/>
                  </w14:solidFill>
                </w14:textFill>
              </w:rPr>
              <w:t>）衍生金融资产</w:t>
            </w:r>
          </w:p>
        </w:tc>
        <w:tc>
          <w:tcPr>
            <w:tcW w:w="937" w:type="pct"/>
            <w:tcBorders>
              <w:top w:val="single" w:color="auto" w:sz="4" w:space="0"/>
              <w:left w:val="single" w:color="auto" w:sz="4" w:space="0"/>
              <w:bottom w:val="single" w:color="auto" w:sz="4" w:space="0"/>
              <w:right w:val="single" w:color="auto" w:sz="4" w:space="0"/>
            </w:tcBorders>
          </w:tcPr>
          <w:p w14:paraId="7C979243">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FAC0AC4">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11149F64">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0188E226">
            <w:pPr>
              <w:jc w:val="right"/>
              <w:outlineLvl w:val="2"/>
              <w:rPr>
                <w:rFonts w:cs="Cambria"/>
              </w:rPr>
            </w:pPr>
          </w:p>
        </w:tc>
      </w:tr>
      <w:tr w14:paraId="35D6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9" w:hRule="atLeast"/>
        </w:trPr>
        <w:tc>
          <w:tcPr>
            <w:tcW w:w="1331" w:type="pct"/>
            <w:tcBorders>
              <w:top w:val="single" w:color="auto" w:sz="4" w:space="0"/>
              <w:left w:val="single" w:color="auto" w:sz="4" w:space="0"/>
              <w:bottom w:val="single" w:color="auto" w:sz="4" w:space="0"/>
              <w:right w:val="single" w:color="auto" w:sz="4" w:space="0"/>
            </w:tcBorders>
          </w:tcPr>
          <w:p w14:paraId="5E279AD8">
            <w:pPr>
              <w:outlineLvl w:val="2"/>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 xml:space="preserve">2. </w:t>
            </w:r>
            <w:r>
              <w:rPr>
                <w:rFonts w:hint="eastAsia" w:cs="Cambria"/>
                <w:color w:val="000000" w:themeColor="text1"/>
                <w14:textFill>
                  <w14:solidFill>
                    <w14:schemeClr w14:val="tx1"/>
                  </w14:solidFill>
                </w14:textFill>
              </w:rPr>
              <w:t>指定以公允价值计量且其变动计入当期损益的金融资产</w:t>
            </w:r>
          </w:p>
        </w:tc>
        <w:tc>
          <w:tcPr>
            <w:tcW w:w="937" w:type="pct"/>
            <w:tcBorders>
              <w:top w:val="single" w:color="auto" w:sz="4" w:space="0"/>
              <w:left w:val="single" w:color="auto" w:sz="4" w:space="0"/>
              <w:bottom w:val="single" w:color="auto" w:sz="4" w:space="0"/>
              <w:right w:val="single" w:color="auto" w:sz="4" w:space="0"/>
            </w:tcBorders>
          </w:tcPr>
          <w:p w14:paraId="5A7F96E5">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27CA1C62">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7464EAFD">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09E78024">
            <w:pPr>
              <w:jc w:val="right"/>
              <w:outlineLvl w:val="2"/>
              <w:rPr>
                <w:rFonts w:cs="Cambria"/>
              </w:rPr>
            </w:pPr>
          </w:p>
        </w:tc>
      </w:tr>
      <w:tr w14:paraId="355C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6501F5A4">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w:t>
            </w:r>
            <w:r>
              <w:rPr>
                <w:rFonts w:cs="Cambria"/>
                <w:color w:val="000000" w:themeColor="text1"/>
                <w14:textFill>
                  <w14:solidFill>
                    <w14:schemeClr w14:val="tx1"/>
                  </w14:solidFill>
                </w14:textFill>
              </w:rPr>
              <w:t>1</w:t>
            </w:r>
            <w:r>
              <w:rPr>
                <w:rFonts w:hint="eastAsia" w:cs="Cambria"/>
                <w:color w:val="000000" w:themeColor="text1"/>
                <w14:textFill>
                  <w14:solidFill>
                    <w14:schemeClr w14:val="tx1"/>
                  </w14:solidFill>
                </w14:textFill>
              </w:rPr>
              <w:t>）债务工具投资</w:t>
            </w:r>
          </w:p>
        </w:tc>
        <w:tc>
          <w:tcPr>
            <w:tcW w:w="937" w:type="pct"/>
            <w:tcBorders>
              <w:top w:val="single" w:color="auto" w:sz="4" w:space="0"/>
              <w:left w:val="single" w:color="auto" w:sz="4" w:space="0"/>
              <w:bottom w:val="single" w:color="auto" w:sz="4" w:space="0"/>
              <w:right w:val="single" w:color="auto" w:sz="4" w:space="0"/>
            </w:tcBorders>
          </w:tcPr>
          <w:p w14:paraId="1F2402C3">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577B152A">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175788C6">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3680B749">
            <w:pPr>
              <w:jc w:val="right"/>
              <w:outlineLvl w:val="2"/>
              <w:rPr>
                <w:rFonts w:cs="Cambria"/>
              </w:rPr>
            </w:pPr>
          </w:p>
        </w:tc>
      </w:tr>
      <w:tr w14:paraId="4EA2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5B45C09B">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w:t>
            </w:r>
            <w:r>
              <w:rPr>
                <w:rFonts w:cs="Cambria"/>
                <w:color w:val="000000" w:themeColor="text1"/>
                <w14:textFill>
                  <w14:solidFill>
                    <w14:schemeClr w14:val="tx1"/>
                  </w14:solidFill>
                </w14:textFill>
              </w:rPr>
              <w:t>2</w:t>
            </w:r>
            <w:r>
              <w:rPr>
                <w:rFonts w:hint="eastAsia" w:cs="Cambria"/>
                <w:color w:val="000000" w:themeColor="text1"/>
                <w14:textFill>
                  <w14:solidFill>
                    <w14:schemeClr w14:val="tx1"/>
                  </w14:solidFill>
                </w14:textFill>
              </w:rPr>
              <w:t>）权益工具投资</w:t>
            </w:r>
          </w:p>
        </w:tc>
        <w:tc>
          <w:tcPr>
            <w:tcW w:w="937" w:type="pct"/>
            <w:tcBorders>
              <w:top w:val="single" w:color="auto" w:sz="4" w:space="0"/>
              <w:left w:val="single" w:color="auto" w:sz="4" w:space="0"/>
              <w:bottom w:val="single" w:color="auto" w:sz="4" w:space="0"/>
              <w:right w:val="single" w:color="auto" w:sz="4" w:space="0"/>
            </w:tcBorders>
          </w:tcPr>
          <w:p w14:paraId="309FCD03">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6DFC79F5">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381CB12E">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13FD5688">
            <w:pPr>
              <w:jc w:val="right"/>
              <w:outlineLvl w:val="2"/>
              <w:rPr>
                <w:rFonts w:cs="Cambria"/>
              </w:rPr>
            </w:pPr>
          </w:p>
        </w:tc>
      </w:tr>
      <w:tr w14:paraId="3711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6C50442D">
            <w:pPr>
              <w:outlineLvl w:val="2"/>
              <w:rPr>
                <w:color w:val="000000" w:themeColor="text1"/>
                <w14:textFill>
                  <w14:solidFill>
                    <w14:schemeClr w14:val="tx1"/>
                  </w14:solidFill>
                </w14:textFill>
              </w:rPr>
            </w:pPr>
            <w:r>
              <w:rPr>
                <w:rFonts w:hint="eastAsia"/>
                <w:color w:val="000000" w:themeColor="text1"/>
                <w14:textFill>
                  <w14:solidFill>
                    <w14:schemeClr w14:val="tx1"/>
                  </w14:solidFill>
                </w14:textFill>
              </w:rPr>
              <w:t>（二）其他债权投资</w:t>
            </w:r>
          </w:p>
        </w:tc>
        <w:tc>
          <w:tcPr>
            <w:tcW w:w="937" w:type="pct"/>
            <w:tcBorders>
              <w:top w:val="single" w:color="auto" w:sz="4" w:space="0"/>
              <w:left w:val="single" w:color="auto" w:sz="4" w:space="0"/>
              <w:bottom w:val="single" w:color="auto" w:sz="4" w:space="0"/>
              <w:right w:val="single" w:color="auto" w:sz="4" w:space="0"/>
            </w:tcBorders>
          </w:tcPr>
          <w:p w14:paraId="7FC185AA">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4CC13089">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11D6EE8C">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1E5F4153">
            <w:pPr>
              <w:jc w:val="right"/>
              <w:outlineLvl w:val="2"/>
              <w:rPr>
                <w:rFonts w:cs="Cambria"/>
              </w:rPr>
            </w:pPr>
          </w:p>
        </w:tc>
      </w:tr>
      <w:tr w14:paraId="55B6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17EEE933">
            <w:pPr>
              <w:outlineLvl w:val="2"/>
              <w:rPr>
                <w:color w:val="000000" w:themeColor="text1"/>
                <w14:textFill>
                  <w14:solidFill>
                    <w14:schemeClr w14:val="tx1"/>
                  </w14:solidFill>
                </w14:textFill>
              </w:rPr>
            </w:pPr>
            <w:r>
              <w:rPr>
                <w:rFonts w:hint="eastAsia"/>
                <w:color w:val="000000" w:themeColor="text1"/>
                <w14:textFill>
                  <w14:solidFill>
                    <w14:schemeClr w14:val="tx1"/>
                  </w14:solidFill>
                </w14:textFill>
              </w:rPr>
              <w:t>（三）其他权益工具投资</w:t>
            </w:r>
          </w:p>
        </w:tc>
        <w:tc>
          <w:tcPr>
            <w:tcW w:w="937" w:type="pct"/>
            <w:tcBorders>
              <w:top w:val="single" w:color="auto" w:sz="4" w:space="0"/>
              <w:left w:val="single" w:color="auto" w:sz="4" w:space="0"/>
              <w:bottom w:val="single" w:color="auto" w:sz="4" w:space="0"/>
              <w:right w:val="single" w:color="auto" w:sz="4" w:space="0"/>
            </w:tcBorders>
          </w:tcPr>
          <w:p w14:paraId="0EAEA755">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70A809B5">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0447AB77">
            <w:pPr>
              <w:jc w:val="right"/>
              <w:outlineLvl w:val="2"/>
              <w:rPr>
                <w:rFonts w:cs="Cambria"/>
              </w:rPr>
            </w:pPr>
            <w:r>
              <w:rPr>
                <w:rFonts w:cs="Cambria"/>
              </w:rPr>
              <w:t>6,755,605.27</w:t>
            </w:r>
          </w:p>
        </w:tc>
        <w:tc>
          <w:tcPr>
            <w:tcW w:w="665" w:type="pct"/>
            <w:tcBorders>
              <w:top w:val="single" w:color="auto" w:sz="4" w:space="0"/>
              <w:left w:val="single" w:color="auto" w:sz="4" w:space="0"/>
              <w:bottom w:val="single" w:color="auto" w:sz="4" w:space="0"/>
              <w:right w:val="single" w:color="auto" w:sz="4" w:space="0"/>
            </w:tcBorders>
          </w:tcPr>
          <w:p w14:paraId="082B4257">
            <w:pPr>
              <w:jc w:val="right"/>
              <w:outlineLvl w:val="2"/>
              <w:rPr>
                <w:rFonts w:cs="Cambria"/>
              </w:rPr>
            </w:pPr>
            <w:r>
              <w:rPr>
                <w:rFonts w:cs="Cambria"/>
              </w:rPr>
              <w:t>6,755,605.27</w:t>
            </w:r>
          </w:p>
        </w:tc>
      </w:tr>
      <w:tr w14:paraId="33A9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4E403C7F">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（四）投资性房地产</w:t>
            </w:r>
          </w:p>
        </w:tc>
        <w:tc>
          <w:tcPr>
            <w:tcW w:w="937" w:type="pct"/>
            <w:tcBorders>
              <w:top w:val="single" w:color="auto" w:sz="4" w:space="0"/>
              <w:left w:val="single" w:color="auto" w:sz="4" w:space="0"/>
              <w:bottom w:val="single" w:color="auto" w:sz="4" w:space="0"/>
              <w:right w:val="single" w:color="auto" w:sz="4" w:space="0"/>
            </w:tcBorders>
          </w:tcPr>
          <w:p w14:paraId="4D3368CC">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4E486D74">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15AE1746">
            <w:pPr>
              <w:jc w:val="right"/>
              <w:outlineLvl w:val="2"/>
              <w:rPr>
                <w:rFonts w:cs="Cambria"/>
              </w:rPr>
            </w:pPr>
            <w:r>
              <w:rPr>
                <w:rFonts w:cs="Cambria"/>
              </w:rPr>
              <w:t>3,137,253,000.00</w:t>
            </w:r>
          </w:p>
        </w:tc>
        <w:tc>
          <w:tcPr>
            <w:tcW w:w="665" w:type="pct"/>
            <w:tcBorders>
              <w:top w:val="single" w:color="auto" w:sz="4" w:space="0"/>
              <w:left w:val="single" w:color="auto" w:sz="4" w:space="0"/>
              <w:bottom w:val="single" w:color="auto" w:sz="4" w:space="0"/>
              <w:right w:val="single" w:color="auto" w:sz="4" w:space="0"/>
            </w:tcBorders>
          </w:tcPr>
          <w:p w14:paraId="2697FF13">
            <w:pPr>
              <w:jc w:val="right"/>
              <w:outlineLvl w:val="2"/>
              <w:rPr>
                <w:rFonts w:cs="Cambria"/>
              </w:rPr>
            </w:pPr>
            <w:r>
              <w:rPr>
                <w:rFonts w:cs="Cambria"/>
              </w:rPr>
              <w:t>3,137,253,000.00</w:t>
            </w:r>
          </w:p>
        </w:tc>
      </w:tr>
      <w:tr w14:paraId="0DC6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0437D914">
            <w:pPr>
              <w:outlineLvl w:val="2"/>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1.</w:t>
            </w:r>
            <w:r>
              <w:rPr>
                <w:rFonts w:hint="eastAsia" w:cs="Cambria"/>
                <w:color w:val="000000" w:themeColor="text1"/>
                <w14:textFill>
                  <w14:solidFill>
                    <w14:schemeClr w14:val="tx1"/>
                  </w14:solidFill>
                </w14:textFill>
              </w:rPr>
              <w:t>出租用的土地使用权</w:t>
            </w:r>
          </w:p>
        </w:tc>
        <w:tc>
          <w:tcPr>
            <w:tcW w:w="937" w:type="pct"/>
            <w:tcBorders>
              <w:top w:val="single" w:color="auto" w:sz="4" w:space="0"/>
              <w:left w:val="single" w:color="auto" w:sz="4" w:space="0"/>
              <w:bottom w:val="single" w:color="auto" w:sz="4" w:space="0"/>
              <w:right w:val="single" w:color="auto" w:sz="4" w:space="0"/>
            </w:tcBorders>
          </w:tcPr>
          <w:p w14:paraId="69ED957C">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5F375636">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313BC272">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3F9C830E">
            <w:pPr>
              <w:jc w:val="right"/>
              <w:outlineLvl w:val="2"/>
              <w:rPr>
                <w:rFonts w:cs="Cambria"/>
              </w:rPr>
            </w:pPr>
          </w:p>
        </w:tc>
      </w:tr>
      <w:tr w14:paraId="4F0C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29C3AE64">
            <w:pPr>
              <w:outlineLvl w:val="2"/>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2.</w:t>
            </w:r>
            <w:r>
              <w:rPr>
                <w:rFonts w:hint="eastAsia" w:cs="Cambria"/>
                <w:color w:val="000000" w:themeColor="text1"/>
                <w14:textFill>
                  <w14:solidFill>
                    <w14:schemeClr w14:val="tx1"/>
                  </w14:solidFill>
                </w14:textFill>
              </w:rPr>
              <w:t>出租的建筑物</w:t>
            </w:r>
          </w:p>
        </w:tc>
        <w:tc>
          <w:tcPr>
            <w:tcW w:w="937" w:type="pct"/>
            <w:tcBorders>
              <w:top w:val="single" w:color="auto" w:sz="4" w:space="0"/>
              <w:left w:val="single" w:color="auto" w:sz="4" w:space="0"/>
              <w:bottom w:val="single" w:color="auto" w:sz="4" w:space="0"/>
              <w:right w:val="single" w:color="auto" w:sz="4" w:space="0"/>
            </w:tcBorders>
          </w:tcPr>
          <w:p w14:paraId="16091F08">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4A17AC0A">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74D33A7E">
            <w:pPr>
              <w:jc w:val="right"/>
              <w:outlineLvl w:val="2"/>
              <w:rPr>
                <w:rFonts w:cs="Cambria"/>
              </w:rPr>
            </w:pPr>
            <w:r>
              <w:rPr>
                <w:rFonts w:cs="Cambria"/>
              </w:rPr>
              <w:t>3,137,253,000.00</w:t>
            </w:r>
          </w:p>
        </w:tc>
        <w:tc>
          <w:tcPr>
            <w:tcW w:w="665" w:type="pct"/>
            <w:tcBorders>
              <w:top w:val="single" w:color="auto" w:sz="4" w:space="0"/>
              <w:left w:val="single" w:color="auto" w:sz="4" w:space="0"/>
              <w:bottom w:val="single" w:color="auto" w:sz="4" w:space="0"/>
              <w:right w:val="single" w:color="auto" w:sz="4" w:space="0"/>
            </w:tcBorders>
          </w:tcPr>
          <w:p w14:paraId="3FB5309D">
            <w:pPr>
              <w:jc w:val="right"/>
              <w:outlineLvl w:val="2"/>
              <w:rPr>
                <w:rFonts w:cs="Cambria"/>
              </w:rPr>
            </w:pPr>
            <w:r>
              <w:rPr>
                <w:rFonts w:cs="Cambria"/>
              </w:rPr>
              <w:t>3,137,253,000.00</w:t>
            </w:r>
          </w:p>
        </w:tc>
      </w:tr>
      <w:tr w14:paraId="28F7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tc>
          <w:tcPr>
            <w:tcW w:w="1331" w:type="pct"/>
            <w:tcBorders>
              <w:top w:val="single" w:color="auto" w:sz="4" w:space="0"/>
              <w:left w:val="single" w:color="auto" w:sz="4" w:space="0"/>
              <w:bottom w:val="single" w:color="auto" w:sz="4" w:space="0"/>
              <w:right w:val="single" w:color="auto" w:sz="4" w:space="0"/>
            </w:tcBorders>
          </w:tcPr>
          <w:p w14:paraId="7DC135D8">
            <w:pPr>
              <w:outlineLvl w:val="2"/>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3.</w:t>
            </w:r>
            <w:r>
              <w:rPr>
                <w:rFonts w:hint="eastAsia" w:cs="Cambria"/>
                <w:color w:val="000000" w:themeColor="text1"/>
                <w14:textFill>
                  <w14:solidFill>
                    <w14:schemeClr w14:val="tx1"/>
                  </w14:solidFill>
                </w14:textFill>
              </w:rPr>
              <w:t>持有并准备增值后转让的土地使用权</w:t>
            </w:r>
          </w:p>
        </w:tc>
        <w:tc>
          <w:tcPr>
            <w:tcW w:w="937" w:type="pct"/>
            <w:tcBorders>
              <w:top w:val="single" w:color="auto" w:sz="4" w:space="0"/>
              <w:left w:val="single" w:color="auto" w:sz="4" w:space="0"/>
              <w:bottom w:val="single" w:color="auto" w:sz="4" w:space="0"/>
              <w:right w:val="single" w:color="auto" w:sz="4" w:space="0"/>
            </w:tcBorders>
          </w:tcPr>
          <w:p w14:paraId="3D594BD7">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5C4AA1B0">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7688D069">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02B02E3A">
            <w:pPr>
              <w:jc w:val="right"/>
              <w:outlineLvl w:val="2"/>
              <w:rPr>
                <w:rFonts w:cs="Cambria"/>
              </w:rPr>
            </w:pPr>
          </w:p>
        </w:tc>
      </w:tr>
      <w:tr w14:paraId="615C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535BBF94">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（五）生物资产</w:t>
            </w:r>
          </w:p>
        </w:tc>
        <w:tc>
          <w:tcPr>
            <w:tcW w:w="937" w:type="pct"/>
            <w:tcBorders>
              <w:top w:val="single" w:color="auto" w:sz="4" w:space="0"/>
              <w:left w:val="single" w:color="auto" w:sz="4" w:space="0"/>
              <w:bottom w:val="single" w:color="auto" w:sz="4" w:space="0"/>
              <w:right w:val="single" w:color="auto" w:sz="4" w:space="0"/>
            </w:tcBorders>
          </w:tcPr>
          <w:p w14:paraId="2917AC37">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6A0CD3F3">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40B70D0A">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4C4535E9">
            <w:pPr>
              <w:jc w:val="right"/>
              <w:outlineLvl w:val="2"/>
              <w:rPr>
                <w:rFonts w:cs="Cambria"/>
              </w:rPr>
            </w:pPr>
          </w:p>
        </w:tc>
      </w:tr>
      <w:tr w14:paraId="33DD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2C66EAA8">
            <w:pPr>
              <w:outlineLvl w:val="2"/>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1.</w:t>
            </w:r>
            <w:r>
              <w:rPr>
                <w:rFonts w:hint="eastAsia" w:cs="Cambria"/>
                <w:color w:val="000000" w:themeColor="text1"/>
                <w14:textFill>
                  <w14:solidFill>
                    <w14:schemeClr w14:val="tx1"/>
                  </w14:solidFill>
                </w14:textFill>
              </w:rPr>
              <w:t>消耗性生物资产</w:t>
            </w:r>
          </w:p>
        </w:tc>
        <w:tc>
          <w:tcPr>
            <w:tcW w:w="937" w:type="pct"/>
            <w:tcBorders>
              <w:top w:val="single" w:color="auto" w:sz="4" w:space="0"/>
              <w:left w:val="single" w:color="auto" w:sz="4" w:space="0"/>
              <w:bottom w:val="single" w:color="auto" w:sz="4" w:space="0"/>
              <w:right w:val="single" w:color="auto" w:sz="4" w:space="0"/>
            </w:tcBorders>
          </w:tcPr>
          <w:p w14:paraId="75993538">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08210FD9">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104997CA">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09E3976B">
            <w:pPr>
              <w:jc w:val="right"/>
              <w:outlineLvl w:val="2"/>
              <w:rPr>
                <w:rFonts w:cs="Cambria"/>
              </w:rPr>
            </w:pPr>
          </w:p>
        </w:tc>
      </w:tr>
      <w:tr w14:paraId="3746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0CD69EC1">
            <w:pPr>
              <w:outlineLvl w:val="2"/>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2.</w:t>
            </w:r>
            <w:r>
              <w:rPr>
                <w:rFonts w:hint="eastAsia" w:cs="Cambria"/>
                <w:color w:val="000000" w:themeColor="text1"/>
                <w14:textFill>
                  <w14:solidFill>
                    <w14:schemeClr w14:val="tx1"/>
                  </w14:solidFill>
                </w14:textFill>
              </w:rPr>
              <w:t>生产性生物资产</w:t>
            </w:r>
          </w:p>
        </w:tc>
        <w:tc>
          <w:tcPr>
            <w:tcW w:w="937" w:type="pct"/>
            <w:tcBorders>
              <w:top w:val="single" w:color="auto" w:sz="4" w:space="0"/>
              <w:left w:val="single" w:color="auto" w:sz="4" w:space="0"/>
              <w:bottom w:val="single" w:color="auto" w:sz="4" w:space="0"/>
              <w:right w:val="single" w:color="auto" w:sz="4" w:space="0"/>
            </w:tcBorders>
          </w:tcPr>
          <w:p w14:paraId="6346FCB9">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929A08C">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4169008B">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12E8B4DB">
            <w:pPr>
              <w:jc w:val="right"/>
              <w:outlineLvl w:val="2"/>
              <w:rPr>
                <w:rFonts w:cs="Cambria"/>
              </w:rPr>
            </w:pPr>
          </w:p>
        </w:tc>
      </w:tr>
      <w:tr w14:paraId="39B4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5" w:hRule="atLeast"/>
        </w:trPr>
        <w:tc>
          <w:tcPr>
            <w:tcW w:w="1331" w:type="pct"/>
            <w:tcBorders>
              <w:top w:val="single" w:color="auto" w:sz="4" w:space="0"/>
              <w:left w:val="single" w:color="auto" w:sz="4" w:space="0"/>
              <w:bottom w:val="single" w:color="auto" w:sz="4" w:space="0"/>
              <w:right w:val="single" w:color="auto" w:sz="4" w:space="0"/>
            </w:tcBorders>
          </w:tcPr>
          <w:p w14:paraId="049B2438">
            <w:pPr>
              <w:outlineLvl w:val="2"/>
              <w:rPr>
                <w:rFonts w:cs="Cambria"/>
              </w:rPr>
            </w:pPr>
            <w:r>
              <w:rPr>
                <w:rFonts w:hint="eastAsia" w:cs="Cambria"/>
              </w:rPr>
              <w:t>（六）应收款项融资</w:t>
            </w:r>
          </w:p>
        </w:tc>
        <w:tc>
          <w:tcPr>
            <w:tcW w:w="937" w:type="pct"/>
            <w:tcBorders>
              <w:top w:val="single" w:color="auto" w:sz="4" w:space="0"/>
              <w:left w:val="single" w:color="auto" w:sz="4" w:space="0"/>
              <w:bottom w:val="single" w:color="auto" w:sz="4" w:space="0"/>
              <w:right w:val="single" w:color="auto" w:sz="4" w:space="0"/>
            </w:tcBorders>
          </w:tcPr>
          <w:p w14:paraId="528563B5">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vAlign w:val="center"/>
          </w:tcPr>
          <w:p w14:paraId="5E2A8AF8">
            <w:pPr>
              <w:jc w:val="right"/>
              <w:outlineLvl w:val="2"/>
              <w:rPr>
                <w:rFonts w:cs="Cambria"/>
              </w:rPr>
            </w:pPr>
            <w:r>
              <w:rPr>
                <w:rFonts w:cs="Cambria"/>
              </w:rPr>
              <w:t>248,761,333.31</w:t>
            </w:r>
          </w:p>
        </w:tc>
        <w:tc>
          <w:tcPr>
            <w:tcW w:w="1152" w:type="pct"/>
            <w:tcBorders>
              <w:top w:val="single" w:color="auto" w:sz="4" w:space="0"/>
              <w:left w:val="single" w:color="auto" w:sz="4" w:space="0"/>
              <w:bottom w:val="single" w:color="auto" w:sz="4" w:space="0"/>
              <w:right w:val="single" w:color="auto" w:sz="4" w:space="0"/>
            </w:tcBorders>
            <w:vAlign w:val="center"/>
          </w:tcPr>
          <w:p w14:paraId="4316DB14">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vAlign w:val="center"/>
          </w:tcPr>
          <w:p w14:paraId="0ABB6F91">
            <w:pPr>
              <w:jc w:val="right"/>
              <w:outlineLvl w:val="2"/>
              <w:rPr>
                <w:rFonts w:cs="Cambria"/>
              </w:rPr>
            </w:pPr>
            <w:r>
              <w:rPr>
                <w:rFonts w:cs="Cambria"/>
              </w:rPr>
              <w:t>248,761,333.31</w:t>
            </w:r>
          </w:p>
        </w:tc>
      </w:tr>
      <w:tr w14:paraId="66D2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tc>
          <w:tcPr>
            <w:tcW w:w="1331" w:type="pct"/>
            <w:tcBorders>
              <w:top w:val="single" w:color="auto" w:sz="4" w:space="0"/>
              <w:left w:val="single" w:color="auto" w:sz="4" w:space="0"/>
              <w:bottom w:val="single" w:color="auto" w:sz="4" w:space="0"/>
              <w:right w:val="single" w:color="auto" w:sz="4" w:space="0"/>
            </w:tcBorders>
          </w:tcPr>
          <w:p w14:paraId="44593216">
            <w:pPr>
              <w:outlineLvl w:val="2"/>
              <w:rPr>
                <w:rFonts w:cs="Cambria"/>
                <w:b/>
                <w:color w:val="000000" w:themeColor="text1"/>
                <w14:textFill>
                  <w14:solidFill>
                    <w14:schemeClr w14:val="tx1"/>
                  </w14:solidFill>
                </w14:textFill>
              </w:rPr>
            </w:pPr>
            <w:r>
              <w:rPr>
                <w:rFonts w:hint="eastAsia" w:cs="Cambria"/>
                <w:b/>
                <w:color w:val="000000" w:themeColor="text1"/>
                <w14:textFill>
                  <w14:solidFill>
                    <w14:schemeClr w14:val="tx1"/>
                  </w14:solidFill>
                </w14:textFill>
              </w:rPr>
              <w:t>持续以公允价值计量的资产总额</w:t>
            </w:r>
          </w:p>
        </w:tc>
        <w:tc>
          <w:tcPr>
            <w:tcW w:w="937" w:type="pct"/>
            <w:tcBorders>
              <w:top w:val="single" w:color="auto" w:sz="4" w:space="0"/>
              <w:left w:val="single" w:color="auto" w:sz="4" w:space="0"/>
              <w:bottom w:val="single" w:color="auto" w:sz="4" w:space="0"/>
              <w:right w:val="single" w:color="auto" w:sz="4" w:space="0"/>
            </w:tcBorders>
          </w:tcPr>
          <w:p w14:paraId="16681951">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vAlign w:val="center"/>
          </w:tcPr>
          <w:p w14:paraId="6D089B5F">
            <w:pPr>
              <w:jc w:val="right"/>
              <w:outlineLvl w:val="2"/>
              <w:rPr>
                <w:rFonts w:cs="Cambria"/>
              </w:rPr>
            </w:pPr>
            <w:r>
              <w:rPr>
                <w:rFonts w:cs="Cambria"/>
              </w:rPr>
              <w:t>248,761,333.31</w:t>
            </w:r>
          </w:p>
        </w:tc>
        <w:tc>
          <w:tcPr>
            <w:tcW w:w="1152" w:type="pct"/>
            <w:tcBorders>
              <w:top w:val="single" w:color="auto" w:sz="4" w:space="0"/>
              <w:left w:val="single" w:color="auto" w:sz="4" w:space="0"/>
              <w:bottom w:val="single" w:color="auto" w:sz="4" w:space="0"/>
              <w:right w:val="single" w:color="auto" w:sz="4" w:space="0"/>
            </w:tcBorders>
            <w:vAlign w:val="center"/>
          </w:tcPr>
          <w:p w14:paraId="6D33B8D9">
            <w:pPr>
              <w:jc w:val="right"/>
              <w:outlineLvl w:val="2"/>
              <w:rPr>
                <w:rFonts w:cs="Cambria"/>
              </w:rPr>
            </w:pPr>
            <w:r>
              <w:rPr>
                <w:rFonts w:cs="Cambria"/>
              </w:rPr>
              <w:t>3,144,008,605.27</w:t>
            </w:r>
          </w:p>
        </w:tc>
        <w:tc>
          <w:tcPr>
            <w:tcW w:w="665" w:type="pct"/>
            <w:tcBorders>
              <w:top w:val="single" w:color="auto" w:sz="4" w:space="0"/>
              <w:left w:val="single" w:color="auto" w:sz="4" w:space="0"/>
              <w:bottom w:val="single" w:color="auto" w:sz="4" w:space="0"/>
              <w:right w:val="single" w:color="auto" w:sz="4" w:space="0"/>
            </w:tcBorders>
            <w:vAlign w:val="center"/>
          </w:tcPr>
          <w:p w14:paraId="38E82715">
            <w:pPr>
              <w:jc w:val="right"/>
              <w:outlineLvl w:val="2"/>
              <w:rPr>
                <w:rFonts w:cs="Cambria"/>
              </w:rPr>
            </w:pPr>
            <w:r>
              <w:rPr>
                <w:rFonts w:cs="Cambria"/>
              </w:rPr>
              <w:t>3,392,769,938.58</w:t>
            </w:r>
          </w:p>
        </w:tc>
      </w:tr>
      <w:tr w14:paraId="5D06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6" w:hRule="atLeast"/>
        </w:trPr>
        <w:tc>
          <w:tcPr>
            <w:tcW w:w="1331" w:type="pct"/>
            <w:tcBorders>
              <w:top w:val="single" w:color="auto" w:sz="4" w:space="0"/>
              <w:left w:val="single" w:color="auto" w:sz="4" w:space="0"/>
              <w:bottom w:val="single" w:color="auto" w:sz="4" w:space="0"/>
              <w:right w:val="single" w:color="auto" w:sz="4" w:space="0"/>
            </w:tcBorders>
          </w:tcPr>
          <w:p w14:paraId="4F4A1A50">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（七）交易性金融负债</w:t>
            </w:r>
          </w:p>
        </w:tc>
        <w:tc>
          <w:tcPr>
            <w:tcW w:w="937" w:type="pct"/>
            <w:tcBorders>
              <w:top w:val="single" w:color="auto" w:sz="4" w:space="0"/>
              <w:left w:val="single" w:color="auto" w:sz="4" w:space="0"/>
              <w:bottom w:val="single" w:color="auto" w:sz="4" w:space="0"/>
              <w:right w:val="single" w:color="auto" w:sz="4" w:space="0"/>
            </w:tcBorders>
          </w:tcPr>
          <w:p w14:paraId="41E20DFA">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46A7FF2">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6FEB8BF7">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54E660A9">
            <w:pPr>
              <w:jc w:val="right"/>
              <w:outlineLvl w:val="2"/>
              <w:rPr>
                <w:rFonts w:cs="Cambria"/>
              </w:rPr>
            </w:pPr>
          </w:p>
        </w:tc>
      </w:tr>
      <w:tr w14:paraId="357C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6" w:hRule="atLeast"/>
        </w:trPr>
        <w:tc>
          <w:tcPr>
            <w:tcW w:w="1331" w:type="pct"/>
            <w:tcBorders>
              <w:top w:val="single" w:color="auto" w:sz="4" w:space="0"/>
              <w:left w:val="single" w:color="auto" w:sz="4" w:space="0"/>
              <w:bottom w:val="single" w:color="auto" w:sz="4" w:space="0"/>
              <w:right w:val="single" w:color="auto" w:sz="4" w:space="0"/>
            </w:tcBorders>
          </w:tcPr>
          <w:p w14:paraId="4D8285AA">
            <w:pPr>
              <w:outlineLvl w:val="2"/>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1.以公允价值计量且变动计入当期损益的金融负债</w:t>
            </w:r>
          </w:p>
        </w:tc>
        <w:tc>
          <w:tcPr>
            <w:tcW w:w="937" w:type="pct"/>
            <w:tcBorders>
              <w:top w:val="single" w:color="auto" w:sz="4" w:space="0"/>
              <w:left w:val="single" w:color="auto" w:sz="4" w:space="0"/>
              <w:bottom w:val="single" w:color="auto" w:sz="4" w:space="0"/>
              <w:right w:val="single" w:color="auto" w:sz="4" w:space="0"/>
            </w:tcBorders>
          </w:tcPr>
          <w:p w14:paraId="469E1C32">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DFEE7D0">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33BC31DF">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40B4B37D">
            <w:pPr>
              <w:jc w:val="right"/>
              <w:outlineLvl w:val="2"/>
              <w:rPr>
                <w:rFonts w:cs="Cambria"/>
              </w:rPr>
            </w:pPr>
          </w:p>
        </w:tc>
      </w:tr>
      <w:tr w14:paraId="666C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77E48C06">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其中：发行的交易性债券</w:t>
            </w:r>
          </w:p>
        </w:tc>
        <w:tc>
          <w:tcPr>
            <w:tcW w:w="937" w:type="pct"/>
            <w:tcBorders>
              <w:top w:val="single" w:color="auto" w:sz="4" w:space="0"/>
              <w:left w:val="single" w:color="auto" w:sz="4" w:space="0"/>
              <w:bottom w:val="single" w:color="auto" w:sz="4" w:space="0"/>
              <w:right w:val="single" w:color="auto" w:sz="4" w:space="0"/>
            </w:tcBorders>
          </w:tcPr>
          <w:p w14:paraId="12AD49B3">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451D7A48">
            <w:pPr>
              <w:jc w:val="right"/>
            </w:pPr>
          </w:p>
        </w:tc>
        <w:tc>
          <w:tcPr>
            <w:tcW w:w="1152" w:type="pct"/>
            <w:tcBorders>
              <w:top w:val="single" w:color="auto" w:sz="4" w:space="0"/>
              <w:left w:val="single" w:color="auto" w:sz="4" w:space="0"/>
              <w:bottom w:val="single" w:color="auto" w:sz="4" w:space="0"/>
              <w:right w:val="single" w:color="auto" w:sz="4" w:space="0"/>
            </w:tcBorders>
          </w:tcPr>
          <w:p w14:paraId="199E5A37">
            <w:pPr>
              <w:jc w:val="right"/>
            </w:pPr>
          </w:p>
        </w:tc>
        <w:tc>
          <w:tcPr>
            <w:tcW w:w="665" w:type="pct"/>
            <w:tcBorders>
              <w:top w:val="single" w:color="auto" w:sz="4" w:space="0"/>
              <w:left w:val="single" w:color="auto" w:sz="4" w:space="0"/>
              <w:bottom w:val="single" w:color="auto" w:sz="4" w:space="0"/>
              <w:right w:val="single" w:color="auto" w:sz="4" w:space="0"/>
            </w:tcBorders>
          </w:tcPr>
          <w:p w14:paraId="4674A29C">
            <w:pPr>
              <w:jc w:val="right"/>
            </w:pPr>
          </w:p>
        </w:tc>
      </w:tr>
      <w:tr w14:paraId="06F6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6" w:hRule="atLeast"/>
        </w:trPr>
        <w:tc>
          <w:tcPr>
            <w:tcW w:w="1331" w:type="pct"/>
            <w:tcBorders>
              <w:top w:val="single" w:color="auto" w:sz="4" w:space="0"/>
              <w:left w:val="single" w:color="auto" w:sz="4" w:space="0"/>
              <w:bottom w:val="single" w:color="auto" w:sz="4" w:space="0"/>
              <w:right w:val="single" w:color="auto" w:sz="4" w:space="0"/>
            </w:tcBorders>
          </w:tcPr>
          <w:p w14:paraId="00A41465">
            <w:pPr>
              <w:tabs>
                <w:tab w:val="left" w:pos="432"/>
                <w:tab w:val="center" w:pos="5630"/>
                <w:tab w:val="center" w:pos="7430"/>
              </w:tabs>
              <w:ind w:firstLine="630" w:firstLineChars="300"/>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衍生金融负债</w:t>
            </w:r>
          </w:p>
        </w:tc>
        <w:tc>
          <w:tcPr>
            <w:tcW w:w="937" w:type="pct"/>
            <w:tcBorders>
              <w:top w:val="single" w:color="auto" w:sz="4" w:space="0"/>
              <w:left w:val="single" w:color="auto" w:sz="4" w:space="0"/>
              <w:bottom w:val="single" w:color="auto" w:sz="4" w:space="0"/>
              <w:right w:val="single" w:color="auto" w:sz="4" w:space="0"/>
            </w:tcBorders>
          </w:tcPr>
          <w:p w14:paraId="719A5632">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0A2370AA">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5FAEC08D">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20E465FB">
            <w:pPr>
              <w:jc w:val="right"/>
              <w:outlineLvl w:val="2"/>
              <w:rPr>
                <w:rFonts w:cs="Cambria"/>
              </w:rPr>
            </w:pPr>
          </w:p>
        </w:tc>
      </w:tr>
      <w:tr w14:paraId="59E7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1331" w:type="pct"/>
            <w:tcBorders>
              <w:top w:val="single" w:color="auto" w:sz="4" w:space="0"/>
              <w:left w:val="single" w:color="auto" w:sz="4" w:space="0"/>
              <w:bottom w:val="single" w:color="auto" w:sz="4" w:space="0"/>
              <w:right w:val="single" w:color="auto" w:sz="4" w:space="0"/>
            </w:tcBorders>
          </w:tcPr>
          <w:p w14:paraId="10DA272B">
            <w:pPr>
              <w:tabs>
                <w:tab w:val="left" w:pos="432"/>
                <w:tab w:val="center" w:pos="5630"/>
                <w:tab w:val="center" w:pos="7430"/>
              </w:tabs>
              <w:ind w:firstLine="630" w:firstLineChars="300"/>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其他</w:t>
            </w:r>
          </w:p>
        </w:tc>
        <w:tc>
          <w:tcPr>
            <w:tcW w:w="937" w:type="pct"/>
            <w:tcBorders>
              <w:top w:val="single" w:color="auto" w:sz="4" w:space="0"/>
              <w:left w:val="single" w:color="auto" w:sz="4" w:space="0"/>
              <w:bottom w:val="single" w:color="auto" w:sz="4" w:space="0"/>
              <w:right w:val="single" w:color="auto" w:sz="4" w:space="0"/>
            </w:tcBorders>
          </w:tcPr>
          <w:p w14:paraId="6CBFFFA2">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039448A">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2C3CE994">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248D4116">
            <w:pPr>
              <w:jc w:val="right"/>
              <w:outlineLvl w:val="2"/>
              <w:rPr>
                <w:rFonts w:cs="Cambria"/>
              </w:rPr>
            </w:pPr>
          </w:p>
        </w:tc>
      </w:tr>
      <w:tr w14:paraId="3C95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tc>
          <w:tcPr>
            <w:tcW w:w="1331" w:type="pct"/>
            <w:tcBorders>
              <w:top w:val="single" w:color="auto" w:sz="4" w:space="0"/>
              <w:left w:val="single" w:color="auto" w:sz="4" w:space="0"/>
              <w:bottom w:val="single" w:color="auto" w:sz="4" w:space="0"/>
              <w:right w:val="single" w:color="auto" w:sz="4" w:space="0"/>
            </w:tcBorders>
          </w:tcPr>
          <w:p w14:paraId="4DB18BF2">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2.指定为以公允价值计量且变动计入当期损益的金融负债</w:t>
            </w:r>
          </w:p>
        </w:tc>
        <w:tc>
          <w:tcPr>
            <w:tcW w:w="937" w:type="pct"/>
            <w:tcBorders>
              <w:top w:val="single" w:color="auto" w:sz="4" w:space="0"/>
              <w:left w:val="single" w:color="auto" w:sz="4" w:space="0"/>
              <w:bottom w:val="single" w:color="auto" w:sz="4" w:space="0"/>
              <w:right w:val="single" w:color="auto" w:sz="4" w:space="0"/>
            </w:tcBorders>
          </w:tcPr>
          <w:p w14:paraId="0B3FD373">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3BE5B3CA">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0930506F">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5752BA08">
            <w:pPr>
              <w:jc w:val="right"/>
              <w:outlineLvl w:val="2"/>
              <w:rPr>
                <w:rFonts w:cs="Cambria"/>
              </w:rPr>
            </w:pPr>
          </w:p>
        </w:tc>
      </w:tr>
      <w:tr w14:paraId="5D78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1331" w:type="pct"/>
            <w:tcBorders>
              <w:top w:val="single" w:color="auto" w:sz="4" w:space="0"/>
              <w:left w:val="single" w:color="auto" w:sz="4" w:space="0"/>
              <w:bottom w:val="single" w:color="auto" w:sz="4" w:space="0"/>
              <w:right w:val="single" w:color="auto" w:sz="4" w:space="0"/>
            </w:tcBorders>
          </w:tcPr>
          <w:p w14:paraId="1A8F73EC">
            <w:pPr>
              <w:outlineLvl w:val="2"/>
              <w:rPr>
                <w:rFonts w:cs="Cambria"/>
                <w:b/>
                <w:color w:val="000000" w:themeColor="text1"/>
                <w14:textFill>
                  <w14:solidFill>
                    <w14:schemeClr w14:val="tx1"/>
                  </w14:solidFill>
                </w14:textFill>
              </w:rPr>
            </w:pPr>
            <w:r>
              <w:rPr>
                <w:rFonts w:hint="eastAsia" w:cs="Cambria"/>
                <w:b/>
                <w:color w:val="000000" w:themeColor="text1"/>
                <w14:textFill>
                  <w14:solidFill>
                    <w14:schemeClr w14:val="tx1"/>
                  </w14:solidFill>
                </w14:textFill>
              </w:rPr>
              <w:t>持续以公允价值计量的负债总额</w:t>
            </w:r>
          </w:p>
        </w:tc>
        <w:tc>
          <w:tcPr>
            <w:tcW w:w="937" w:type="pct"/>
            <w:tcBorders>
              <w:top w:val="single" w:color="auto" w:sz="4" w:space="0"/>
              <w:left w:val="single" w:color="auto" w:sz="4" w:space="0"/>
              <w:bottom w:val="single" w:color="auto" w:sz="4" w:space="0"/>
              <w:right w:val="single" w:color="auto" w:sz="4" w:space="0"/>
            </w:tcBorders>
          </w:tcPr>
          <w:p w14:paraId="692A52DF">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B1CE637">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7B75F8AB">
            <w:pPr>
              <w:tabs>
                <w:tab w:val="center" w:pos="824"/>
                <w:tab w:val="right" w:pos="1649"/>
              </w:tabs>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7E6BE47F">
            <w:pPr>
              <w:jc w:val="right"/>
              <w:outlineLvl w:val="2"/>
              <w:rPr>
                <w:rFonts w:cs="Cambria"/>
              </w:rPr>
            </w:pPr>
          </w:p>
        </w:tc>
      </w:tr>
      <w:tr w14:paraId="1C4E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65E11CB7">
            <w:pPr>
              <w:outlineLvl w:val="2"/>
              <w:rPr>
                <w:rFonts w:cs="Cambria"/>
                <w:b/>
                <w:color w:val="000000" w:themeColor="text1"/>
                <w14:textFill>
                  <w14:solidFill>
                    <w14:schemeClr w14:val="tx1"/>
                  </w14:solidFill>
                </w14:textFill>
              </w:rPr>
            </w:pPr>
            <w:r>
              <w:rPr>
                <w:rFonts w:hint="eastAsia" w:cs="Cambria"/>
                <w:b/>
                <w:color w:val="000000" w:themeColor="text1"/>
                <w14:textFill>
                  <w14:solidFill>
                    <w14:schemeClr w14:val="tx1"/>
                  </w14:solidFill>
                </w14:textFill>
              </w:rPr>
              <w:t>二、非持续的公允价值计量</w:t>
            </w:r>
          </w:p>
        </w:tc>
        <w:tc>
          <w:tcPr>
            <w:tcW w:w="937" w:type="pct"/>
            <w:tcBorders>
              <w:top w:val="single" w:color="auto" w:sz="4" w:space="0"/>
              <w:left w:val="single" w:color="auto" w:sz="4" w:space="0"/>
              <w:bottom w:val="single" w:color="auto" w:sz="4" w:space="0"/>
              <w:right w:val="single" w:color="auto" w:sz="4" w:space="0"/>
            </w:tcBorders>
          </w:tcPr>
          <w:p w14:paraId="550B1FE9">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C849FE6">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64EAB484">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49A18287">
            <w:pPr>
              <w:jc w:val="right"/>
              <w:outlineLvl w:val="2"/>
              <w:rPr>
                <w:rFonts w:cs="Cambria"/>
              </w:rPr>
            </w:pPr>
          </w:p>
        </w:tc>
      </w:tr>
      <w:tr w14:paraId="48EE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0" w:hRule="atLeast"/>
        </w:trPr>
        <w:tc>
          <w:tcPr>
            <w:tcW w:w="1331" w:type="pct"/>
            <w:tcBorders>
              <w:top w:val="single" w:color="auto" w:sz="4" w:space="0"/>
              <w:left w:val="single" w:color="auto" w:sz="4" w:space="0"/>
              <w:bottom w:val="single" w:color="auto" w:sz="4" w:space="0"/>
              <w:right w:val="single" w:color="auto" w:sz="4" w:space="0"/>
            </w:tcBorders>
          </w:tcPr>
          <w:p w14:paraId="4B809754">
            <w:pPr>
              <w:outlineLvl w:val="2"/>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（一）持有待售资产</w:t>
            </w:r>
          </w:p>
        </w:tc>
        <w:tc>
          <w:tcPr>
            <w:tcW w:w="937" w:type="pct"/>
            <w:tcBorders>
              <w:top w:val="single" w:color="auto" w:sz="4" w:space="0"/>
              <w:left w:val="single" w:color="auto" w:sz="4" w:space="0"/>
              <w:bottom w:val="single" w:color="auto" w:sz="4" w:space="0"/>
              <w:right w:val="single" w:color="auto" w:sz="4" w:space="0"/>
            </w:tcBorders>
          </w:tcPr>
          <w:p w14:paraId="300818FA">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26255D4">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72457FA7">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4905C29E">
            <w:pPr>
              <w:jc w:val="right"/>
              <w:outlineLvl w:val="2"/>
              <w:rPr>
                <w:rFonts w:cs="Cambria"/>
              </w:rPr>
            </w:pPr>
          </w:p>
        </w:tc>
      </w:tr>
      <w:tr w14:paraId="7EEE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 w:hRule="atLeast"/>
        </w:trPr>
        <w:tc>
          <w:tcPr>
            <w:tcW w:w="1331" w:type="pct"/>
            <w:tcBorders>
              <w:top w:val="single" w:color="auto" w:sz="4" w:space="0"/>
              <w:left w:val="single" w:color="auto" w:sz="4" w:space="0"/>
              <w:bottom w:val="single" w:color="auto" w:sz="4" w:space="0"/>
              <w:right w:val="single" w:color="auto" w:sz="4" w:space="0"/>
            </w:tcBorders>
          </w:tcPr>
          <w:p w14:paraId="707C1FE8">
            <w:pPr>
              <w:outlineLvl w:val="2"/>
              <w:rPr>
                <w:rFonts w:cs="Cambria"/>
                <w:b/>
                <w:color w:val="000000" w:themeColor="text1"/>
                <w14:textFill>
                  <w14:solidFill>
                    <w14:schemeClr w14:val="tx1"/>
                  </w14:solidFill>
                </w14:textFill>
              </w:rPr>
            </w:pPr>
            <w:r>
              <w:rPr>
                <w:rFonts w:hint="eastAsia" w:cs="Cambria"/>
                <w:b/>
                <w:color w:val="000000" w:themeColor="text1"/>
                <w14:textFill>
                  <w14:solidFill>
                    <w14:schemeClr w14:val="tx1"/>
                  </w14:solidFill>
                </w14:textFill>
              </w:rPr>
              <w:t>非持续以公允价值计量的资产总额</w:t>
            </w:r>
          </w:p>
        </w:tc>
        <w:tc>
          <w:tcPr>
            <w:tcW w:w="937" w:type="pct"/>
            <w:tcBorders>
              <w:top w:val="single" w:color="auto" w:sz="4" w:space="0"/>
              <w:left w:val="single" w:color="auto" w:sz="4" w:space="0"/>
              <w:bottom w:val="single" w:color="auto" w:sz="4" w:space="0"/>
              <w:right w:val="single" w:color="auto" w:sz="4" w:space="0"/>
            </w:tcBorders>
          </w:tcPr>
          <w:p w14:paraId="717C9A19">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67D89F1C">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1A94E1DA">
            <w:pPr>
              <w:jc w:val="right"/>
              <w:outlineLvl w:val="2"/>
              <w:rPr>
                <w:rFonts w:cs="Cambria"/>
              </w:rPr>
            </w:pPr>
          </w:p>
          <w:p w14:paraId="6C3D7937">
            <w:pPr>
              <w:jc w:val="center"/>
              <w:rPr>
                <w:rFonts w:cs="Cambria"/>
              </w:rPr>
            </w:pPr>
          </w:p>
        </w:tc>
        <w:tc>
          <w:tcPr>
            <w:tcW w:w="665" w:type="pct"/>
            <w:tcBorders>
              <w:top w:val="single" w:color="auto" w:sz="4" w:space="0"/>
              <w:left w:val="single" w:color="auto" w:sz="4" w:space="0"/>
              <w:bottom w:val="single" w:color="auto" w:sz="4" w:space="0"/>
              <w:right w:val="single" w:color="auto" w:sz="4" w:space="0"/>
            </w:tcBorders>
          </w:tcPr>
          <w:p w14:paraId="0393A8BC">
            <w:pPr>
              <w:jc w:val="right"/>
              <w:outlineLvl w:val="2"/>
              <w:rPr>
                <w:rFonts w:cs="Cambria"/>
              </w:rPr>
            </w:pPr>
          </w:p>
        </w:tc>
      </w:tr>
      <w:tr w14:paraId="6B19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1" w:hRule="atLeast"/>
        </w:trPr>
        <w:tc>
          <w:tcPr>
            <w:tcW w:w="1331" w:type="pct"/>
            <w:tcBorders>
              <w:top w:val="single" w:color="auto" w:sz="4" w:space="0"/>
              <w:left w:val="single" w:color="auto" w:sz="4" w:space="0"/>
              <w:bottom w:val="single" w:color="auto" w:sz="4" w:space="0"/>
              <w:right w:val="single" w:color="auto" w:sz="4" w:space="0"/>
            </w:tcBorders>
          </w:tcPr>
          <w:p w14:paraId="28495819">
            <w:pPr>
              <w:outlineLvl w:val="2"/>
              <w:rPr>
                <w:rFonts w:cs="Cambria"/>
                <w:b/>
                <w:color w:val="000000" w:themeColor="text1"/>
                <w14:textFill>
                  <w14:solidFill>
                    <w14:schemeClr w14:val="tx1"/>
                  </w14:solidFill>
                </w14:textFill>
              </w:rPr>
            </w:pPr>
            <w:r>
              <w:rPr>
                <w:rFonts w:hint="eastAsia" w:cs="Cambria"/>
                <w:b/>
                <w:color w:val="000000" w:themeColor="text1"/>
                <w14:textFill>
                  <w14:solidFill>
                    <w14:schemeClr w14:val="tx1"/>
                  </w14:solidFill>
                </w14:textFill>
              </w:rPr>
              <w:t>非持续以公允价值计量的负债总额</w:t>
            </w:r>
          </w:p>
        </w:tc>
        <w:tc>
          <w:tcPr>
            <w:tcW w:w="937" w:type="pct"/>
            <w:tcBorders>
              <w:top w:val="single" w:color="auto" w:sz="4" w:space="0"/>
              <w:left w:val="single" w:color="auto" w:sz="4" w:space="0"/>
              <w:bottom w:val="single" w:color="auto" w:sz="4" w:space="0"/>
              <w:right w:val="single" w:color="auto" w:sz="4" w:space="0"/>
            </w:tcBorders>
          </w:tcPr>
          <w:p w14:paraId="3BE56F0D">
            <w:pPr>
              <w:jc w:val="right"/>
              <w:outlineLvl w:val="2"/>
              <w:rPr>
                <w:rFonts w:cs="Cambria"/>
              </w:rPr>
            </w:pPr>
          </w:p>
        </w:tc>
        <w:tc>
          <w:tcPr>
            <w:tcW w:w="915" w:type="pct"/>
            <w:tcBorders>
              <w:top w:val="single" w:color="auto" w:sz="4" w:space="0"/>
              <w:left w:val="single" w:color="auto" w:sz="4" w:space="0"/>
              <w:bottom w:val="single" w:color="auto" w:sz="4" w:space="0"/>
              <w:right w:val="single" w:color="auto" w:sz="4" w:space="0"/>
            </w:tcBorders>
          </w:tcPr>
          <w:p w14:paraId="1401EE20">
            <w:pPr>
              <w:jc w:val="right"/>
              <w:outlineLvl w:val="2"/>
              <w:rPr>
                <w:rFonts w:cs="Cambria"/>
              </w:rPr>
            </w:pPr>
          </w:p>
        </w:tc>
        <w:tc>
          <w:tcPr>
            <w:tcW w:w="1152" w:type="pct"/>
            <w:tcBorders>
              <w:top w:val="single" w:color="auto" w:sz="4" w:space="0"/>
              <w:left w:val="single" w:color="auto" w:sz="4" w:space="0"/>
              <w:bottom w:val="single" w:color="auto" w:sz="4" w:space="0"/>
              <w:right w:val="single" w:color="auto" w:sz="4" w:space="0"/>
            </w:tcBorders>
          </w:tcPr>
          <w:p w14:paraId="4F2D43B4">
            <w:pPr>
              <w:jc w:val="right"/>
              <w:outlineLvl w:val="2"/>
              <w:rPr>
                <w:rFonts w:cs="Cambria"/>
              </w:rPr>
            </w:pPr>
          </w:p>
        </w:tc>
        <w:tc>
          <w:tcPr>
            <w:tcW w:w="665" w:type="pct"/>
            <w:tcBorders>
              <w:top w:val="single" w:color="auto" w:sz="4" w:space="0"/>
              <w:left w:val="single" w:color="auto" w:sz="4" w:space="0"/>
              <w:bottom w:val="single" w:color="auto" w:sz="4" w:space="0"/>
              <w:right w:val="single" w:color="auto" w:sz="4" w:space="0"/>
            </w:tcBorders>
          </w:tcPr>
          <w:p w14:paraId="0CF14ADC">
            <w:pPr>
              <w:jc w:val="right"/>
              <w:outlineLvl w:val="2"/>
              <w:rPr>
                <w:rFonts w:cs="Cambria"/>
              </w:rPr>
            </w:pPr>
          </w:p>
        </w:tc>
      </w:tr>
    </w:tbl>
    <w:p w14:paraId="6909E7C7">
      <w:pPr>
        <w:tabs>
          <w:tab w:val="left" w:pos="1134"/>
        </w:tabs>
        <w:rPr>
          <w:rFonts w:cs="Cambria"/>
          <w:b/>
          <w:color w:val="000000" w:themeColor="text1"/>
          <w14:textFill>
            <w14:solidFill>
              <w14:schemeClr w14:val="tx1"/>
            </w14:solidFill>
          </w14:textFill>
        </w:rPr>
      </w:pPr>
    </w:p>
    <w:bookmarkEnd w:id="371"/>
    <w:p w14:paraId="26913582">
      <w:pPr>
        <w:pStyle w:val="4"/>
        <w:numPr>
          <w:ilvl w:val="0"/>
          <w:numId w:val="9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持续和非持续第一层次公允价值计量项目市价的确定依据</w:t>
      </w:r>
    </w:p>
    <w:sdt>
      <w:sdtPr>
        <w:rPr>
          <w:color w:val="000000" w:themeColor="text1"/>
          <w14:textFill>
            <w14:solidFill>
              <w14:schemeClr w14:val="tx1"/>
            </w14:solidFill>
          </w14:textFill>
        </w:rPr>
        <w:alias w:val="是否适用：持续和非持续第一层次公允价值计量项目市价的确定依据[双击切换]"/>
        <w:tag w:val="_GBC_699178e78c6743f697df07ed34d59216"/>
        <w:id w:val="-1846394806"/>
        <w:placeholder>
          <w:docPart w:val="GBC22222222222222222222222222222"/>
        </w:placeholder>
      </w:sdtPr>
      <w:sdtEndPr>
        <w:rPr>
          <w:color w:val="000000" w:themeColor="text1"/>
          <w14:textFill>
            <w14:solidFill>
              <w14:schemeClr w14:val="tx1"/>
            </w14:solidFill>
          </w14:textFill>
        </w:rPr>
      </w:sdtEndPr>
      <w:sdtContent>
        <w:p w14:paraId="19B43A1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AFD6FEB">
      <w:pPr>
        <w:rPr>
          <w:rFonts w:cs="Arial"/>
          <w:color w:val="000000" w:themeColor="text1"/>
          <w14:textFill>
            <w14:solidFill>
              <w14:schemeClr w14:val="tx1"/>
            </w14:solidFill>
          </w14:textFill>
        </w:rPr>
      </w:pPr>
      <w:sdt>
        <w:sdtPr>
          <w:rPr>
            <w:rFonts w:hint="eastAsia" w:cs="Arial"/>
            <w:color w:val="000000" w:themeColor="text1"/>
            <w14:textFill>
              <w14:solidFill>
                <w14:schemeClr w14:val="tx1"/>
              </w14:solidFill>
            </w14:textFill>
          </w:rPr>
          <w:alias w:val="持续和非持续第一层次公允价值计量项目市价的确定依据"/>
          <w:tag w:val="_GBC_8db65a2ca59047da919942f97cfc594e"/>
          <w:id w:val="-1495097249"/>
          <w:placeholder>
            <w:docPart w:val="GBC22222222222222222222222222222"/>
          </w:placeholder>
        </w:sdtPr>
        <w:sdtEndPr>
          <w:rPr>
            <w:rFonts w:hint="eastAsia" w:cs="Arial"/>
            <w:color w:val="000000" w:themeColor="text1"/>
            <w14:textFill>
              <w14:solidFill>
                <w14:schemeClr w14:val="tx1"/>
              </w14:solidFill>
            </w14:textFill>
          </w:rPr>
        </w:sdtEndPr>
        <w:sdtContent>
          <w:r>
            <w:rPr>
              <w:rFonts w:hint="eastAsia" w:cs="Arial"/>
              <w:color w:val="000000" w:themeColor="text1"/>
              <w14:textFill>
                <w14:solidFill>
                  <w14:schemeClr w14:val="tx1"/>
                </w14:solidFill>
              </w14:textFill>
            </w:rPr>
            <w:t>本公司于报告期内不存在持续和非持续第一层次公允价值计量项目。</w:t>
          </w:r>
        </w:sdtContent>
      </w:sdt>
    </w:p>
    <w:p w14:paraId="71A2FE3B">
      <w:pPr>
        <w:tabs>
          <w:tab w:val="left" w:pos="1134"/>
        </w:tabs>
        <w:rPr>
          <w:rFonts w:cs="Cambria"/>
          <w:b/>
          <w:color w:val="000000" w:themeColor="text1"/>
          <w14:textFill>
            <w14:solidFill>
              <w14:schemeClr w14:val="tx1"/>
            </w14:solidFill>
          </w14:textFill>
        </w:rPr>
      </w:pPr>
    </w:p>
    <w:p w14:paraId="00EE15F4">
      <w:pPr>
        <w:pStyle w:val="4"/>
        <w:numPr>
          <w:ilvl w:val="0"/>
          <w:numId w:val="9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持续和非持续第二层次公允价值计量项目，采用的估值技术和重要参数的定性及定量信息</w:t>
      </w:r>
    </w:p>
    <w:sdt>
      <w:sdtPr>
        <w:rPr>
          <w:rFonts w:hint="eastAsia" w:cs="Cambria"/>
          <w:color w:val="000000" w:themeColor="text1"/>
          <w14:textFill>
            <w14:solidFill>
              <w14:schemeClr w14:val="tx1"/>
            </w14:solidFill>
          </w14:textFill>
        </w:rPr>
        <w:alias w:val="是否适用：持续和非持续第二层次公允价值计量项目，采用的估值技术和重要参数的定性及定量信息[双击切换]"/>
        <w:tag w:val="_GBC_8bee9b1c9bf241d5ae1f2c4578fc3b6c"/>
        <w:id w:val="-1140341702"/>
        <w:placeholder>
          <w:docPart w:val="GBC22222222222222222222222222222"/>
        </w:placeholder>
      </w:sdtPr>
      <w:sdtEndPr>
        <w:rPr>
          <w:rFonts w:hint="eastAsia" w:cs="Cambria"/>
          <w:color w:val="000000" w:themeColor="text1"/>
          <w14:textFill>
            <w14:solidFill>
              <w14:schemeClr w14:val="tx1"/>
            </w14:solidFill>
          </w14:textFill>
        </w:rPr>
      </w:sdtEndPr>
      <w:sdtContent>
        <w:p w14:paraId="4AE01BA4">
          <w:pPr>
            <w:tabs>
              <w:tab w:val="left" w:pos="1134"/>
            </w:tabs>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w:instrText>
          </w:r>
          <w:r>
            <w:rPr>
              <w:rFonts w:hint="eastAsia" w:ascii="宋体" w:hAnsi="宋体" w:cs="Cambria"/>
              <w:color w:val="000000" w:themeColor="text1"/>
              <w14:textFill>
                <w14:solidFill>
                  <w14:schemeClr w14:val="tx1"/>
                </w14:solidFill>
              </w14:textFill>
            </w:rPr>
            <w:instrText xml:space="preserve">MACROBUTTON  SnrToggleCheckbox √适用</w:instrText>
          </w:r>
          <w:r>
            <w:rPr>
              <w:rFonts w:ascii="宋体" w:hAnsi="宋体" w:cs="Cambria"/>
              <w:color w:val="000000" w:themeColor="text1"/>
              <w14:textFill>
                <w14:solidFill>
                  <w14:schemeClr w14:val="tx1"/>
                </w14:solidFill>
              </w14:textFill>
            </w:rPr>
            <w:instrText xml:space="preserve">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sdt>
      <w:sdtPr>
        <w:rPr>
          <w:rFonts w:cs="Cambria"/>
          <w:color w:val="000000" w:themeColor="text1"/>
          <w14:textFill>
            <w14:solidFill>
              <w14:schemeClr w14:val="tx1"/>
            </w14:solidFill>
          </w14:textFill>
        </w:rPr>
        <w:alias w:val="持续和非持续第二层次公允价值计量项目，采用的估值技术和重要参数的定性及定量信息"/>
        <w:tag w:val="_GBC_406ac04d46a9411bb4890572e539e6ca"/>
        <w:id w:val="1300581556"/>
        <w:placeholder>
          <w:docPart w:val="GBC22222222222222222222222222222"/>
        </w:placeholder>
      </w:sdtPr>
      <w:sdtEndPr>
        <w:rPr>
          <w:rFonts w:cs="Cambria"/>
          <w:color w:val="000000" w:themeColor="text1"/>
          <w14:textFill>
            <w14:solidFill>
              <w14:schemeClr w14:val="tx1"/>
            </w14:solidFill>
          </w14:textFill>
        </w:rPr>
      </w:sdtEndPr>
      <w:sdtContent>
        <w:p w14:paraId="7E569C4F">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是除第一层次输入值外相关资产或负债直接或间接可观察的输入值。</w:t>
          </w:r>
        </w:p>
      </w:sdtContent>
    </w:sdt>
    <w:p w14:paraId="2B2343AB">
      <w:pPr>
        <w:rPr>
          <w:color w:val="000000" w:themeColor="text1"/>
          <w14:textFill>
            <w14:solidFill>
              <w14:schemeClr w14:val="tx1"/>
            </w14:solidFill>
          </w14:textFill>
        </w:rPr>
      </w:pPr>
    </w:p>
    <w:p w14:paraId="46E735EF">
      <w:pPr>
        <w:pStyle w:val="4"/>
        <w:numPr>
          <w:ilvl w:val="0"/>
          <w:numId w:val="9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持续和非持续第三层次公允价值计量项目，采用的估值技术和重要参数的定性及定量信息</w:t>
      </w:r>
    </w:p>
    <w:sdt>
      <w:sdtPr>
        <w:rPr>
          <w:rFonts w:hint="eastAsia"/>
          <w:color w:val="000000" w:themeColor="text1"/>
          <w14:textFill>
            <w14:solidFill>
              <w14:schemeClr w14:val="tx1"/>
            </w14:solidFill>
          </w14:textFill>
        </w:rPr>
        <w:alias w:val="是否适用：持续和非持续第三层次公允价值计量项目，采用的估值技术和重要参数的定性及定量信息[双击切换]"/>
        <w:tag w:val="_GBC_4feedb18bf344f2ebff0035f82f30e3c"/>
        <w:id w:val="-401686987"/>
        <w:placeholder>
          <w:docPart w:val="GBC22222222222222222222222222222"/>
        </w:placeholder>
      </w:sdtPr>
      <w:sdtEndPr>
        <w:rPr>
          <w:rFonts w:hint="eastAsia"/>
          <w:color w:val="000000" w:themeColor="text1"/>
          <w14:textFill>
            <w14:solidFill>
              <w14:schemeClr w14:val="tx1"/>
            </w14:solidFill>
          </w14:textFill>
        </w:rPr>
      </w:sdtEndPr>
      <w:sdtContent>
        <w:p w14:paraId="5A7CE9F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ascii="Times New Roman" w:hAnsi="Times New Roman" w:cs="宋体"/>
          <w:color w:val="000000" w:themeColor="text1"/>
          <w:kern w:val="0"/>
          <w:szCs w:val="21"/>
          <w14:textFill>
            <w14:solidFill>
              <w14:schemeClr w14:val="tx1"/>
            </w14:solidFill>
          </w14:textFill>
          <w14:ligatures w14:val="none"/>
        </w:rPr>
        <w:alias w:val="持续和非持续第三层次公允价值计量项目，采用的估值技术和重要参数的定性及定量信息"/>
        <w:tag w:val="_GBC_db2fdcfb26ce4ca9ac1e8da23b16aaaa"/>
        <w:id w:val="1721395367"/>
        <w:placeholder>
          <w:docPart w:val="GBC22222222222222222222222222222"/>
        </w:placeholder>
      </w:sdtPr>
      <w:sdtEndPr>
        <w:rPr>
          <w:rFonts w:hint="eastAsia" w:ascii="Times New Roman" w:hAnsi="Times New Roman" w:cs="宋体"/>
          <w:color w:val="000000" w:themeColor="text1"/>
          <w:kern w:val="0"/>
          <w:szCs w:val="21"/>
          <w14:textFill>
            <w14:solidFill>
              <w14:schemeClr w14:val="tx1"/>
            </w14:solidFill>
          </w14:textFill>
          <w14:ligatures w14:val="none"/>
        </w:rPr>
      </w:sdtEndPr>
      <w:sdtContent>
        <w:p w14:paraId="105A1358">
          <w:pPr>
            <w:pStyle w:val="61"/>
            <w:rPr>
              <w:iCs/>
            </w:rPr>
          </w:pPr>
          <w:r>
            <w:rPr>
              <w:rFonts w:hint="eastAsia"/>
              <w:iCs/>
            </w:rPr>
            <w:t>投资性房地产公允价值计量以资产负债表日,根据评估得出的市场价值作为确定公允价值的依据。本公司采用的估值技术主要为市场法、收益法。</w:t>
          </w:r>
        </w:p>
        <w:p w14:paraId="6D204A28">
          <w:pPr>
            <w:pStyle w:val="61"/>
            <w:rPr>
              <w:iCs/>
            </w:rPr>
          </w:pPr>
          <w:r>
            <w:rPr>
              <w:rFonts w:hint="eastAsia"/>
              <w:iCs/>
            </w:rPr>
            <w:t>本公司江门的厂房、爱琴海购物公园1-6层和爱琴海购物公园地下车库及商业，该部分房产已对外出租，签订租赁合同，且周边类似房地产的租赁市场较为发达，在附近区域可以搜集到一定数量与委估房屋建筑物类似的市场租赁信息，因此对上述物业采用收益法进行评估。</w:t>
          </w:r>
        </w:p>
        <w:p w14:paraId="6312A8D4">
          <w:pPr>
            <w:pStyle w:val="61"/>
            <w:rPr>
              <w:iCs/>
            </w:rPr>
          </w:pPr>
          <w:r>
            <w:rPr>
              <w:rFonts w:hint="eastAsia"/>
              <w:iCs/>
            </w:rPr>
            <w:t>本公司</w:t>
          </w:r>
          <w:r>
            <w:rPr>
              <w:iCs/>
            </w:rPr>
            <w:t>荣昌</w:t>
          </w:r>
          <w:r>
            <w:rPr>
              <w:rFonts w:hint="eastAsia"/>
              <w:iCs/>
            </w:rPr>
            <w:t>区</w:t>
          </w:r>
          <w:r>
            <w:rPr>
              <w:iCs/>
            </w:rPr>
            <w:t>的厂房、张家湾的住宅和人和街写字楼，在委估房屋建筑物附近区域，可以搜集到一定数量的与委估房屋建筑物类似的近期交易信息，具备市场法评估的条件。因此，对</w:t>
          </w:r>
          <w:r>
            <w:rPr>
              <w:rFonts w:hint="eastAsia"/>
              <w:iCs/>
            </w:rPr>
            <w:t>上述物业</w:t>
          </w:r>
          <w:r>
            <w:rPr>
              <w:iCs/>
            </w:rPr>
            <w:t>采用市场法进行评估</w:t>
          </w:r>
          <w:r>
            <w:rPr>
              <w:rFonts w:hint="eastAsia"/>
              <w:iCs/>
            </w:rPr>
            <w:t>。</w:t>
          </w:r>
        </w:p>
        <w:p w14:paraId="1BB54169">
          <w:pPr>
            <w:rPr>
              <w:rFonts w:cs="Cambria"/>
              <w:b/>
              <w:color w:val="000000" w:themeColor="text1"/>
              <w14:textFill>
                <w14:solidFill>
                  <w14:schemeClr w14:val="tx1"/>
                </w14:solidFill>
              </w14:textFill>
            </w:rPr>
          </w:pPr>
        </w:p>
      </w:sdtContent>
    </w:sdt>
    <w:p w14:paraId="370FEE89">
      <w:pPr>
        <w:pStyle w:val="4"/>
        <w:numPr>
          <w:ilvl w:val="0"/>
          <w:numId w:val="9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持续的第三层次公允价值计量项目，期初与期末账面价值间的调节信息及不可观察参数敏感性分析</w:t>
      </w:r>
    </w:p>
    <w:sdt>
      <w:sdtPr>
        <w:rPr>
          <w:rFonts w:hint="eastAsia"/>
          <w:color w:val="000000" w:themeColor="text1"/>
          <w14:textFill>
            <w14:solidFill>
              <w14:schemeClr w14:val="tx1"/>
            </w14:solidFill>
          </w14:textFill>
        </w:rPr>
        <w:alias w:val="是否适用：持续的第三层次公允价值计量项目，期初与期末账面价值间的调节信息及不可观察参数敏感性分析[双击切换]"/>
        <w:tag w:val="_GBC_fbb80659fa8c4cbba85b32b2b514495c"/>
        <w:id w:val="734670388"/>
        <w:placeholder>
          <w:docPart w:val="GBC22222222222222222222222222222"/>
        </w:placeholder>
      </w:sdtPr>
      <w:sdtEndPr>
        <w:rPr>
          <w:rFonts w:hint="eastAsia"/>
          <w:color w:val="000000" w:themeColor="text1"/>
          <w14:textFill>
            <w14:solidFill>
              <w14:schemeClr w14:val="tx1"/>
            </w14:solidFill>
          </w14:textFill>
        </w:rPr>
      </w:sdtEndPr>
      <w:sdtContent>
        <w:p w14:paraId="1B7425A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B7BDF8F">
      <w:pPr>
        <w:tabs>
          <w:tab w:val="left" w:pos="1134"/>
        </w:tabs>
        <w:rPr>
          <w:rFonts w:cs="Cambria"/>
          <w:b/>
          <w:color w:val="000000" w:themeColor="text1"/>
          <w14:textFill>
            <w14:solidFill>
              <w14:schemeClr w14:val="tx1"/>
            </w14:solidFill>
          </w14:textFill>
        </w:rPr>
      </w:pPr>
    </w:p>
    <w:p w14:paraId="1EE8A830">
      <w:pPr>
        <w:pStyle w:val="4"/>
        <w:numPr>
          <w:ilvl w:val="0"/>
          <w:numId w:val="9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持续的公允价值计量项目，本期内发生各层级之间转换的，转换的原因及确定转换时点的政策</w:t>
      </w:r>
    </w:p>
    <w:sdt>
      <w:sdtPr>
        <w:rPr>
          <w:rFonts w:hint="eastAsia"/>
          <w:color w:val="000000" w:themeColor="text1"/>
          <w14:textFill>
            <w14:solidFill>
              <w14:schemeClr w14:val="tx1"/>
            </w14:solidFill>
          </w14:textFill>
        </w:rPr>
        <w:alias w:val="是否适用：持续的公允价值计量项目，本期内发生各层级之间转换的，转换的原因及确定转换时点的政策[双击切换]"/>
        <w:tag w:val="_GBC_e3d16a79a58242bc9c7be1f3a6f00898"/>
        <w:id w:val="-664163981"/>
        <w:placeholder>
          <w:docPart w:val="GBC22222222222222222222222222222"/>
        </w:placeholder>
      </w:sdtPr>
      <w:sdtEndPr>
        <w:rPr>
          <w:rFonts w:hint="eastAsia"/>
          <w:color w:val="000000" w:themeColor="text1"/>
          <w14:textFill>
            <w14:solidFill>
              <w14:schemeClr w14:val="tx1"/>
            </w14:solidFill>
          </w14:textFill>
        </w:rPr>
      </w:sdtEndPr>
      <w:sdtContent>
        <w:p w14:paraId="3660531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2F4292D">
      <w:pPr>
        <w:tabs>
          <w:tab w:val="left" w:pos="1134"/>
        </w:tabs>
        <w:rPr>
          <w:rFonts w:cs="Cambria"/>
          <w:b/>
          <w:color w:val="000000" w:themeColor="text1"/>
          <w14:textFill>
            <w14:solidFill>
              <w14:schemeClr w14:val="tx1"/>
            </w14:solidFill>
          </w14:textFill>
        </w:rPr>
      </w:pPr>
    </w:p>
    <w:p w14:paraId="764F936C">
      <w:pPr>
        <w:pStyle w:val="4"/>
        <w:numPr>
          <w:ilvl w:val="0"/>
          <w:numId w:val="9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本期内发生的估值技术变更及变更原因</w:t>
      </w:r>
    </w:p>
    <w:sdt>
      <w:sdtPr>
        <w:rPr>
          <w:color w:val="000000" w:themeColor="text1"/>
          <w14:textFill>
            <w14:solidFill>
              <w14:schemeClr w14:val="tx1"/>
            </w14:solidFill>
          </w14:textFill>
        </w:rPr>
        <w:alias w:val="是否适用：本期内发生的估值技术变更及变更原因[双击切换]"/>
        <w:tag w:val="_GBC_b070160060a9485c87417fe5a8b5e02f"/>
        <w:id w:val="270438505"/>
        <w:placeholder>
          <w:docPart w:val="GBC22222222222222222222222222222"/>
        </w:placeholder>
      </w:sdtPr>
      <w:sdtEndPr>
        <w:rPr>
          <w:color w:val="000000" w:themeColor="text1"/>
          <w14:textFill>
            <w14:solidFill>
              <w14:schemeClr w14:val="tx1"/>
            </w14:solidFill>
          </w14:textFill>
        </w:rPr>
      </w:sdtEndPr>
      <w:sdtContent>
        <w:p w14:paraId="04DEEB6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CF9A2B4">
      <w:pPr>
        <w:rPr>
          <w:rFonts w:cstheme="minorBidi"/>
          <w:color w:val="000000" w:themeColor="text1"/>
          <w14:textFill>
            <w14:solidFill>
              <w14:schemeClr w14:val="tx1"/>
            </w14:solidFill>
          </w14:textFill>
        </w:rPr>
      </w:pPr>
    </w:p>
    <w:p w14:paraId="16EE3E2C">
      <w:pPr>
        <w:pStyle w:val="4"/>
        <w:numPr>
          <w:ilvl w:val="0"/>
          <w:numId w:val="9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不以公允价值计量的金融资产和金融负债的公允价值情况</w:t>
      </w:r>
    </w:p>
    <w:sdt>
      <w:sdtPr>
        <w:rPr>
          <w:rFonts w:hint="eastAsia" w:cstheme="minorBidi"/>
          <w:color w:val="000000" w:themeColor="text1"/>
          <w14:textFill>
            <w14:solidFill>
              <w14:schemeClr w14:val="tx1"/>
            </w14:solidFill>
          </w14:textFill>
        </w:rPr>
        <w:alias w:val="是否适用：不以公允价值计量的金融资产和金融负债的公允价值情况[双击切换]"/>
        <w:tag w:val="_GBC_848a058035fb408c922e66294e86defb"/>
        <w:id w:val="1563832036"/>
        <w:placeholder>
          <w:docPart w:val="GBC22222222222222222222222222222"/>
        </w:placeholder>
      </w:sdtPr>
      <w:sdtEndPr>
        <w:rPr>
          <w:rFonts w:hint="eastAsia" w:cstheme="minorBidi"/>
          <w:color w:val="000000" w:themeColor="text1"/>
          <w14:textFill>
            <w14:solidFill>
              <w14:schemeClr w14:val="tx1"/>
            </w14:solidFill>
          </w14:textFill>
        </w:rPr>
      </w:sdtEndPr>
      <w:sdtContent>
        <w:p w14:paraId="24A9F217">
          <w:pPr>
            <w:rPr>
              <w:rFonts w:cstheme="minorBidi"/>
              <w:color w:val="000000" w:themeColor="text1"/>
              <w14:textFill>
                <w14:solidFill>
                  <w14:schemeClr w14:val="tx1"/>
                </w14:solidFill>
              </w14:textFill>
            </w:rPr>
          </w:pPr>
          <w:r>
            <w:rPr>
              <w:rFonts w:ascii="宋体" w:hAnsi="宋体" w:cstheme="minorBidi"/>
              <w:color w:val="000000" w:themeColor="text1"/>
              <w14:textFill>
                <w14:solidFill>
                  <w14:schemeClr w14:val="tx1"/>
                </w14:solidFill>
              </w14:textFill>
            </w:rPr>
            <w:fldChar w:fldCharType="begin"/>
          </w:r>
          <w:r>
            <w:rPr>
              <w:rFonts w:ascii="宋体" w:hAnsi="宋体" w:cstheme="minorBidi"/>
              <w:color w:val="000000" w:themeColor="text1"/>
              <w14:textFill>
                <w14:solidFill>
                  <w14:schemeClr w14:val="tx1"/>
                </w14:solidFill>
              </w14:textFill>
            </w:rPr>
            <w:instrText xml:space="preserve"> MACROBUTTON  SnrToggleCheckbox □适用 </w:instrText>
          </w:r>
          <w:r>
            <w:rPr>
              <w:rFonts w:ascii="宋体" w:hAnsi="宋体" w:cstheme="minorBidi"/>
              <w:color w:val="000000" w:themeColor="text1"/>
              <w14:textFill>
                <w14:solidFill>
                  <w14:schemeClr w14:val="tx1"/>
                </w14:solidFill>
              </w14:textFill>
            </w:rPr>
            <w:fldChar w:fldCharType="end"/>
          </w:r>
          <w:r>
            <w:rPr>
              <w:rFonts w:ascii="宋体" w:hAnsi="宋体" w:cstheme="minorBidi"/>
              <w:color w:val="000000" w:themeColor="text1"/>
              <w14:textFill>
                <w14:solidFill>
                  <w14:schemeClr w14:val="tx1"/>
                </w14:solidFill>
              </w14:textFill>
            </w:rPr>
            <w:fldChar w:fldCharType="begin"/>
          </w:r>
          <w:r>
            <w:rPr>
              <w:rFonts w:ascii="宋体" w:hAnsi="宋体" w:cstheme="minorBidi"/>
              <w:color w:val="000000" w:themeColor="text1"/>
              <w14:textFill>
                <w14:solidFill>
                  <w14:schemeClr w14:val="tx1"/>
                </w14:solidFill>
              </w14:textFill>
            </w:rPr>
            <w:instrText xml:space="preserve"> MACROBUTTON  SnrToggleCheckbox √不适用 </w:instrText>
          </w:r>
          <w:r>
            <w:rPr>
              <w:rFonts w:ascii="宋体" w:hAnsi="宋体" w:cstheme="minorBidi"/>
              <w:color w:val="000000" w:themeColor="text1"/>
              <w14:textFill>
                <w14:solidFill>
                  <w14:schemeClr w14:val="tx1"/>
                </w14:solidFill>
              </w14:textFill>
            </w:rPr>
            <w:fldChar w:fldCharType="end"/>
          </w:r>
        </w:p>
      </w:sdtContent>
    </w:sdt>
    <w:p w14:paraId="5FDB945E">
      <w:pPr>
        <w:rPr>
          <w:rFonts w:cstheme="minorBidi"/>
          <w:color w:val="000000" w:themeColor="text1"/>
          <w14:textFill>
            <w14:solidFill>
              <w14:schemeClr w14:val="tx1"/>
            </w14:solidFill>
          </w14:textFill>
        </w:rPr>
      </w:pPr>
    </w:p>
    <w:p w14:paraId="3FABE286">
      <w:pPr>
        <w:pStyle w:val="4"/>
        <w:numPr>
          <w:ilvl w:val="0"/>
          <w:numId w:val="90"/>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rFonts w:hint="eastAsia"/>
          <w:color w:val="000000" w:themeColor="text1"/>
          <w14:textFill>
            <w14:solidFill>
              <w14:schemeClr w14:val="tx1"/>
            </w14:solidFill>
          </w14:textFill>
        </w:rPr>
        <w:alias w:val="是否适用：公允价值其他需要披露的事项[双击切换]"/>
        <w:tag w:val="_GBC_9174a0e7dec04e80924ee384dabe783a"/>
        <w:id w:val="1087807503"/>
        <w:placeholder>
          <w:docPart w:val="GBC22222222222222222222222222222"/>
        </w:placeholder>
      </w:sdtPr>
      <w:sdtEndPr>
        <w:rPr>
          <w:rFonts w:hint="eastAsia"/>
          <w:color w:val="000000" w:themeColor="text1"/>
          <w14:textFill>
            <w14:solidFill>
              <w14:schemeClr w14:val="tx1"/>
            </w14:solidFill>
          </w14:textFill>
        </w:rPr>
      </w:sdtEndPr>
      <w:sdtContent>
        <w:p w14:paraId="213D291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FF0DEDE">
      <w:pPr>
        <w:rPr>
          <w:color w:val="000000" w:themeColor="text1"/>
          <w14:textFill>
            <w14:solidFill>
              <w14:schemeClr w14:val="tx1"/>
            </w14:solidFill>
          </w14:textFill>
        </w:rPr>
      </w:pPr>
    </w:p>
    <w:p w14:paraId="0F29B835">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关联方及关联交易</w:t>
      </w:r>
    </w:p>
    <w:p w14:paraId="6C20AF67">
      <w:pPr>
        <w:pStyle w:val="4"/>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本企业的母公司情况</w:t>
      </w:r>
    </w:p>
    <w:sdt>
      <w:sdtPr>
        <w:rPr>
          <w:color w:val="000000" w:themeColor="text1"/>
          <w14:textFill>
            <w14:solidFill>
              <w14:schemeClr w14:val="tx1"/>
            </w14:solidFill>
          </w14:textFill>
        </w:rPr>
        <w:alias w:val="是否适用：本企业的母公司情况[双击切换]"/>
        <w:tag w:val="_GBC_ead7e4ec9cc847adb62aa8efd8005802"/>
        <w:id w:val="-1362127973"/>
        <w:placeholder>
          <w:docPart w:val="GBC22222222222222222222222222222"/>
        </w:placeholder>
      </w:sdtPr>
      <w:sdtEndPr>
        <w:rPr>
          <w:color w:val="000000" w:themeColor="text1"/>
          <w14:textFill>
            <w14:solidFill>
              <w14:schemeClr w14:val="tx1"/>
            </w14:solidFill>
          </w14:textFill>
        </w:rPr>
      </w:sdtEndPr>
      <w:sdtContent>
        <w:p w14:paraId="27A78DE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6CBAC23">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本企业的母公司情况"/>
          <w:tag w:val="_GBC_6deea75122314a599b3383585a0f5cfe"/>
          <w:id w:val="-1040384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万元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本企业的母公司情况"/>
          <w:tag w:val="_GBC_3d5eae3a190749288b0c0bc9b1b1a3a3"/>
          <w:id w:val="-14617215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234"/>
        <w:gridCol w:w="1464"/>
        <w:gridCol w:w="1464"/>
        <w:gridCol w:w="1683"/>
        <w:gridCol w:w="1818"/>
      </w:tblGrid>
      <w:tr w14:paraId="513D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tag w:val="_PLD_19f86fac20c44d648212d3b573ca4c90"/>
            <w:id w:val="1477878908"/>
          </w:sdtPr>
          <w:sdtContent>
            <w:tc>
              <w:tcPr>
                <w:tcW w:w="766" w:type="pct"/>
                <w:tcBorders>
                  <w:top w:val="single" w:color="auto" w:sz="4" w:space="0"/>
                  <w:left w:val="single" w:color="auto" w:sz="4" w:space="0"/>
                  <w:bottom w:val="single" w:color="auto" w:sz="4" w:space="0"/>
                  <w:right w:val="single" w:color="auto" w:sz="4" w:space="0"/>
                </w:tcBorders>
                <w:vAlign w:val="center"/>
              </w:tcPr>
              <w:p w14:paraId="28B8CE97">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母公司名称</w:t>
                </w:r>
              </w:p>
            </w:tc>
          </w:sdtContent>
        </w:sdt>
        <w:sdt>
          <w:sdtPr>
            <w:tag w:val="_PLD_d0e9e84346084d4db76e60afa87cf85a"/>
            <w:id w:val="-1791737755"/>
          </w:sdtPr>
          <w:sdtContent>
            <w:tc>
              <w:tcPr>
                <w:tcW w:w="682" w:type="pct"/>
                <w:tcBorders>
                  <w:top w:val="single" w:color="auto" w:sz="4" w:space="0"/>
                  <w:left w:val="single" w:color="auto" w:sz="4" w:space="0"/>
                  <w:bottom w:val="single" w:color="auto" w:sz="4" w:space="0"/>
                  <w:right w:val="single" w:color="auto" w:sz="4" w:space="0"/>
                </w:tcBorders>
                <w:vAlign w:val="center"/>
              </w:tcPr>
              <w:p w14:paraId="68A6DF7F">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注册地</w:t>
                </w:r>
              </w:p>
            </w:tc>
          </w:sdtContent>
        </w:sdt>
        <w:sdt>
          <w:sdtPr>
            <w:tag w:val="_PLD_862851f8ff08431ea28c3420f555e42d"/>
            <w:id w:val="-1548294764"/>
          </w:sdtPr>
          <w:sdtContent>
            <w:tc>
              <w:tcPr>
                <w:tcW w:w="809" w:type="pct"/>
                <w:tcBorders>
                  <w:top w:val="single" w:color="auto" w:sz="4" w:space="0"/>
                  <w:left w:val="single" w:color="auto" w:sz="4" w:space="0"/>
                  <w:bottom w:val="single" w:color="auto" w:sz="4" w:space="0"/>
                  <w:right w:val="single" w:color="auto" w:sz="4" w:space="0"/>
                </w:tcBorders>
                <w:vAlign w:val="center"/>
              </w:tcPr>
              <w:p w14:paraId="6555D8A2">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业务性质</w:t>
                </w:r>
              </w:p>
            </w:tc>
          </w:sdtContent>
        </w:sdt>
        <w:sdt>
          <w:sdtPr>
            <w:tag w:val="_PLD_77ed8bc59084448aa6eced74a15c106f"/>
            <w:id w:val="-1119684637"/>
          </w:sdtPr>
          <w:sdtContent>
            <w:tc>
              <w:tcPr>
                <w:tcW w:w="809" w:type="pct"/>
                <w:tcBorders>
                  <w:top w:val="single" w:color="auto" w:sz="4" w:space="0"/>
                  <w:left w:val="single" w:color="auto" w:sz="4" w:space="0"/>
                  <w:bottom w:val="single" w:color="auto" w:sz="4" w:space="0"/>
                  <w:right w:val="single" w:color="auto" w:sz="4" w:space="0"/>
                </w:tcBorders>
                <w:vAlign w:val="center"/>
              </w:tcPr>
              <w:p w14:paraId="46CA0595">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注册资本</w:t>
                </w:r>
              </w:p>
            </w:tc>
          </w:sdtContent>
        </w:sdt>
        <w:sdt>
          <w:sdtPr>
            <w:tag w:val="_PLD_360f61c4c6c14f0abe6480ef7f30e958"/>
            <w:id w:val="988666512"/>
          </w:sdtPr>
          <w:sdtContent>
            <w:tc>
              <w:tcPr>
                <w:tcW w:w="930" w:type="pct"/>
                <w:tcBorders>
                  <w:top w:val="single" w:color="auto" w:sz="4" w:space="0"/>
                  <w:left w:val="single" w:color="auto" w:sz="4" w:space="0"/>
                  <w:bottom w:val="single" w:color="auto" w:sz="4" w:space="0"/>
                  <w:right w:val="single" w:color="auto" w:sz="4" w:space="0"/>
                </w:tcBorders>
                <w:vAlign w:val="center"/>
              </w:tcPr>
              <w:p w14:paraId="16583847">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母公司对本企业的持股比例</w:t>
                </w:r>
                <w:r>
                  <w:rPr>
                    <w:rFonts w:cs="Cambria"/>
                    <w:color w:val="000000" w:themeColor="text1"/>
                    <w14:textFill>
                      <w14:solidFill>
                        <w14:schemeClr w14:val="tx1"/>
                      </w14:solidFill>
                    </w14:textFill>
                  </w:rPr>
                  <w:t>(%)</w:t>
                </w:r>
              </w:p>
            </w:tc>
          </w:sdtContent>
        </w:sdt>
        <w:sdt>
          <w:sdtPr>
            <w:tag w:val="_PLD_3ef945e24ca64fc394d2e6b861604fcf"/>
            <w:id w:val="620582688"/>
          </w:sdtPr>
          <w:sdtContent>
            <w:tc>
              <w:tcPr>
                <w:tcW w:w="1004" w:type="pct"/>
                <w:tcBorders>
                  <w:top w:val="single" w:color="auto" w:sz="4" w:space="0"/>
                  <w:left w:val="single" w:color="auto" w:sz="4" w:space="0"/>
                  <w:bottom w:val="single" w:color="auto" w:sz="4" w:space="0"/>
                  <w:right w:val="single" w:color="auto" w:sz="4" w:space="0"/>
                </w:tcBorders>
                <w:vAlign w:val="center"/>
              </w:tcPr>
              <w:p w14:paraId="49B5AE35">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母公司对本企业的表决权比例</w:t>
                </w:r>
                <w:r>
                  <w:rPr>
                    <w:rFonts w:cs="Cambria"/>
                    <w:color w:val="000000" w:themeColor="text1"/>
                    <w14:textFill>
                      <w14:solidFill>
                        <w14:schemeClr w14:val="tx1"/>
                      </w14:solidFill>
                    </w14:textFill>
                  </w:rPr>
                  <w:t>(%)</w:t>
                </w:r>
              </w:p>
            </w:tc>
          </w:sdtContent>
        </w:sdt>
      </w:tr>
      <w:tr w14:paraId="7C2A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66" w:type="pct"/>
            <w:tcBorders>
              <w:top w:val="single" w:color="auto" w:sz="4" w:space="0"/>
              <w:left w:val="single" w:color="auto" w:sz="4" w:space="0"/>
              <w:bottom w:val="single" w:color="auto" w:sz="4" w:space="0"/>
              <w:right w:val="single" w:color="auto" w:sz="4" w:space="0"/>
            </w:tcBorders>
            <w:vAlign w:val="center"/>
          </w:tcPr>
          <w:p w14:paraId="1990C2B0">
            <w:pPr>
              <w:rPr>
                <w:rFonts w:cs="Cambria"/>
              </w:rPr>
            </w:pPr>
            <w:r>
              <w:t>重庆满江红私募股权投资基金合伙企业（有限合伙）</w:t>
            </w:r>
          </w:p>
        </w:tc>
        <w:tc>
          <w:tcPr>
            <w:tcW w:w="682" w:type="pct"/>
            <w:tcBorders>
              <w:top w:val="single" w:color="auto" w:sz="4" w:space="0"/>
              <w:left w:val="single" w:color="auto" w:sz="4" w:space="0"/>
              <w:bottom w:val="single" w:color="auto" w:sz="4" w:space="0"/>
              <w:right w:val="single" w:color="auto" w:sz="4" w:space="0"/>
            </w:tcBorders>
            <w:vAlign w:val="center"/>
          </w:tcPr>
          <w:p w14:paraId="561421CC">
            <w:pPr>
              <w:jc w:val="center"/>
              <w:rPr>
                <w:rFonts w:cs="Cambria"/>
              </w:rPr>
            </w:pPr>
            <w:r>
              <w:t>重庆</w:t>
            </w:r>
          </w:p>
        </w:tc>
        <w:tc>
          <w:tcPr>
            <w:tcW w:w="809" w:type="pct"/>
            <w:tcBorders>
              <w:top w:val="single" w:color="auto" w:sz="4" w:space="0"/>
              <w:left w:val="single" w:color="auto" w:sz="4" w:space="0"/>
              <w:bottom w:val="single" w:color="auto" w:sz="4" w:space="0"/>
              <w:right w:val="single" w:color="auto" w:sz="4" w:space="0"/>
            </w:tcBorders>
            <w:vAlign w:val="center"/>
          </w:tcPr>
          <w:p w14:paraId="35FF91B6">
            <w:pPr>
              <w:jc w:val="center"/>
              <w:rPr>
                <w:rFonts w:cs="Cambria"/>
              </w:rPr>
            </w:pPr>
            <w:r>
              <w:t>股权投资</w:t>
            </w:r>
          </w:p>
        </w:tc>
        <w:tc>
          <w:tcPr>
            <w:tcW w:w="809" w:type="pct"/>
            <w:tcBorders>
              <w:top w:val="single" w:color="auto" w:sz="4" w:space="0"/>
              <w:left w:val="single" w:color="auto" w:sz="4" w:space="0"/>
              <w:bottom w:val="single" w:color="auto" w:sz="4" w:space="0"/>
              <w:right w:val="single" w:color="auto" w:sz="4" w:space="0"/>
            </w:tcBorders>
            <w:vAlign w:val="center"/>
          </w:tcPr>
          <w:p w14:paraId="1C485213">
            <w:pPr>
              <w:jc w:val="center"/>
              <w:rPr>
                <w:rFonts w:cs="Cambria"/>
              </w:rPr>
            </w:pPr>
            <w:r>
              <w:t>302,000.00</w:t>
            </w:r>
          </w:p>
        </w:tc>
        <w:tc>
          <w:tcPr>
            <w:tcW w:w="930" w:type="pct"/>
            <w:tcBorders>
              <w:top w:val="single" w:color="auto" w:sz="4" w:space="0"/>
              <w:left w:val="single" w:color="auto" w:sz="4" w:space="0"/>
              <w:bottom w:val="single" w:color="auto" w:sz="4" w:space="0"/>
              <w:right w:val="single" w:color="auto" w:sz="4" w:space="0"/>
            </w:tcBorders>
            <w:vAlign w:val="center"/>
          </w:tcPr>
          <w:p w14:paraId="6387A2C1">
            <w:pPr>
              <w:jc w:val="center"/>
              <w:rPr>
                <w:rFonts w:cs="Cambria"/>
              </w:rPr>
            </w:pPr>
            <w:r>
              <w:t>29.85</w:t>
            </w:r>
          </w:p>
        </w:tc>
        <w:tc>
          <w:tcPr>
            <w:tcW w:w="1004" w:type="pct"/>
            <w:tcBorders>
              <w:top w:val="single" w:color="auto" w:sz="4" w:space="0"/>
              <w:left w:val="single" w:color="auto" w:sz="4" w:space="0"/>
              <w:bottom w:val="single" w:color="auto" w:sz="4" w:space="0"/>
              <w:right w:val="single" w:color="auto" w:sz="4" w:space="0"/>
            </w:tcBorders>
            <w:vAlign w:val="center"/>
          </w:tcPr>
          <w:p w14:paraId="4372EB88">
            <w:pPr>
              <w:jc w:val="center"/>
              <w:rPr>
                <w:rFonts w:cs="Cambria"/>
              </w:rPr>
            </w:pPr>
            <w:r>
              <w:t>29.85</w:t>
            </w:r>
          </w:p>
        </w:tc>
      </w:tr>
    </w:tbl>
    <w:p w14:paraId="4F310AB9"/>
    <w:p w14:paraId="024F095F">
      <w:pPr>
        <w:tabs>
          <w:tab w:val="left" w:pos="1134"/>
        </w:tabs>
        <w:spacing w:line="360" w:lineRule="auto"/>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本企业的母公司情况的说明</w:t>
      </w:r>
    </w:p>
    <w:sdt>
      <w:sdtPr>
        <w:rPr>
          <w:rFonts w:cs="Cambria"/>
          <w:color w:val="000000" w:themeColor="text1"/>
          <w14:textFill>
            <w14:solidFill>
              <w14:schemeClr w14:val="tx1"/>
            </w14:solidFill>
          </w14:textFill>
        </w:rPr>
        <w:alias w:val="本企业的母公司情况的说明"/>
        <w:tag w:val="_GBC_23f67537c1df4d9d9ede9fbc78ad06a4"/>
        <w:id w:val="-210345822"/>
        <w:placeholder>
          <w:docPart w:val="GBC22222222222222222222222222222"/>
        </w:placeholder>
      </w:sdtPr>
      <w:sdtEndPr>
        <w:rPr>
          <w:rFonts w:cs="Cambria"/>
          <w:color w:val="000000" w:themeColor="text1"/>
          <w14:textFill>
            <w14:solidFill>
              <w14:schemeClr w14:val="tx1"/>
            </w14:solidFill>
          </w14:textFill>
        </w:rPr>
      </w:sdtEndPr>
      <w:sdtContent>
        <w:sdt>
          <w:sdtPr>
            <w:rPr>
              <w:rFonts w:cs="Cambria"/>
            </w:rPr>
            <w:alias w:val="本企业的母公司情况的说明"/>
            <w:tag w:val="_GBC_23f67537c1df4d9d9ede9fbc78ad06a4"/>
            <w:id w:val="-1032489908"/>
          </w:sdtPr>
          <w:sdtEndPr>
            <w:rPr>
              <w:rFonts w:cs="Cambria"/>
            </w:rPr>
          </w:sdtEndPr>
          <w:sdtContent>
            <w:p w14:paraId="14AB9E7C">
              <w:pPr>
                <w:spacing w:line="360" w:lineRule="auto"/>
                <w:ind w:firstLine="420" w:firstLineChars="200"/>
              </w:pPr>
              <w:r>
                <w:rPr>
                  <w:rFonts w:hint="eastAsia"/>
                </w:rPr>
                <w:t>重庆满江红私募股权投资基金合伙企业（有限合伙），成立于20</w:t>
              </w:r>
              <w:r>
                <w:t>20年</w:t>
              </w:r>
              <w:r>
                <w:rPr>
                  <w:rFonts w:hint="eastAsia"/>
                </w:rPr>
                <w:t>1</w:t>
              </w:r>
              <w:r>
                <w:t>2</w:t>
              </w:r>
              <w:r>
                <w:rPr>
                  <w:rFonts w:hint="eastAsia"/>
                </w:rPr>
                <w:t>月14日，统一社会信用代码:91500000MA61A2CD1G，认缴出资额：</w:t>
              </w:r>
              <w:r>
                <w:t>302,000.00</w:t>
              </w:r>
              <w:r>
                <w:rPr>
                  <w:rFonts w:hint="eastAsia"/>
                </w:rPr>
                <w:t>万元人民币，执行事务合伙人：重庆满江红企业管理有限公司。</w:t>
              </w:r>
            </w:p>
          </w:sdtContent>
        </w:sdt>
      </w:sdtContent>
    </w:sdt>
    <w:p w14:paraId="073474F6">
      <w:pPr>
        <w:rPr>
          <w:color w:val="000000" w:themeColor="text1"/>
          <w14:textFill>
            <w14:solidFill>
              <w14:schemeClr w14:val="tx1"/>
            </w14:solidFill>
          </w14:textFill>
        </w:rPr>
      </w:pPr>
      <w:r>
        <w:rPr>
          <w:rFonts w:hint="eastAsia"/>
          <w:color w:val="000000" w:themeColor="text1"/>
          <w14:textFill>
            <w14:solidFill>
              <w14:schemeClr w14:val="tx1"/>
            </w14:solidFill>
          </w14:textFill>
        </w:rPr>
        <w:t>本企业最终控制方是</w:t>
      </w:r>
      <w:sdt>
        <w:sdtPr>
          <w:rPr>
            <w:rFonts w:hint="eastAsia"/>
            <w:color w:val="000000" w:themeColor="text1"/>
            <w14:textFill>
              <w14:solidFill>
                <w14:schemeClr w14:val="tx1"/>
              </w14:solidFill>
            </w14:textFill>
          </w:rPr>
          <w:alias w:val="本企业最终控制方"/>
          <w:tag w:val="_GBC_951a676520994ab7a3822c5f58c20b7d"/>
          <w:id w:val="270437441"/>
          <w:placeholder>
            <w:docPart w:val="GBC22222222222222222222222222222"/>
          </w:placeholder>
        </w:sdtPr>
        <w:sdtEndPr>
          <w:rPr>
            <w:rFonts w:hint="eastAsia"/>
            <w:color w:val="000000" w:themeColor="text1"/>
            <w14:textFill>
              <w14:solidFill>
                <w14:schemeClr w14:val="tx1"/>
              </w14:solidFill>
            </w14:textFill>
          </w:rPr>
        </w:sdtEndPr>
        <w:sdtContent>
          <w:sdt>
            <w:sdtPr>
              <w:rPr>
                <w:rFonts w:hint="eastAsia"/>
              </w:rPr>
              <w:alias w:val="本企业最终控制方"/>
              <w:tag w:val="_GBC_951a676520994ab7a3822c5f58c20b7d"/>
              <w:id w:val="2145614772"/>
            </w:sdtPr>
            <w:sdtEndPr>
              <w:rPr>
                <w:rFonts w:hint="eastAsia"/>
              </w:rPr>
            </w:sdtEndPr>
            <w:sdtContent>
              <w:r>
                <w:rPr>
                  <w:rFonts w:hint="eastAsia"/>
                </w:rPr>
                <w:t>重庆满江红企业管理有限公司</w:t>
              </w:r>
            </w:sdtContent>
          </w:sdt>
        </w:sdtContent>
      </w:sdt>
    </w:p>
    <w:p w14:paraId="66657529">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本企业的母公司情况的其他说明"/>
        <w:tag w:val="_GBC_72b4ca7a02944263a74be4174baff4cf"/>
        <w:id w:val="61839484"/>
        <w:placeholder>
          <w:docPart w:val="GBC22222222222222222222222222222"/>
        </w:placeholder>
      </w:sdtPr>
      <w:sdtEndPr>
        <w:rPr>
          <w:color w:val="000000" w:themeColor="text1"/>
          <w14:textFill>
            <w14:solidFill>
              <w14:schemeClr w14:val="tx1"/>
            </w14:solidFill>
          </w14:textFill>
        </w:rPr>
      </w:sdtEndPr>
      <w:sdtContent>
        <w:p w14:paraId="6F8F1084">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3369FEEB">
      <w:pPr>
        <w:rPr>
          <w:color w:val="000000" w:themeColor="text1"/>
          <w14:textFill>
            <w14:solidFill>
              <w14:schemeClr w14:val="tx1"/>
            </w14:solidFill>
          </w14:textFill>
        </w:rPr>
      </w:pPr>
    </w:p>
    <w:p w14:paraId="38B7DDD2">
      <w:pPr>
        <w:pStyle w:val="4"/>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本企业的子公司情况</w:t>
      </w:r>
    </w:p>
    <w:p w14:paraId="11D5E02B">
      <w:pPr>
        <w:rPr>
          <w:color w:val="000000" w:themeColor="text1"/>
          <w14:textFill>
            <w14:solidFill>
              <w14:schemeClr w14:val="tx1"/>
            </w14:solidFill>
          </w14:textFill>
        </w:rPr>
      </w:pPr>
      <w:r>
        <w:rPr>
          <w:rFonts w:hint="eastAsia"/>
          <w:color w:val="000000" w:themeColor="text1"/>
          <w14:textFill>
            <w14:solidFill>
              <w14:schemeClr w14:val="tx1"/>
            </w14:solidFill>
          </w14:textFill>
        </w:rPr>
        <w:t>本企业子公司的情况详见附注</w:t>
      </w:r>
    </w:p>
    <w:sdt>
      <w:sdtPr>
        <w:rPr>
          <w:color w:val="000000" w:themeColor="text1"/>
          <w14:textFill>
            <w14:solidFill>
              <w14:schemeClr w14:val="tx1"/>
            </w14:solidFill>
          </w14:textFill>
        </w:rPr>
        <w:alias w:val="是否适用：本公司的子公司情况详见附注[双击切换]"/>
        <w:tag w:val="_GBC_a8d551b9f62149d3bf9322adae2c671f"/>
        <w:id w:val="556662123"/>
        <w:placeholder>
          <w:docPart w:val="GBC22222222222222222222222222222"/>
        </w:placeholder>
      </w:sdtPr>
      <w:sdtEndPr>
        <w:rPr>
          <w:color w:val="000000" w:themeColor="text1"/>
          <w14:textFill>
            <w14:solidFill>
              <w14:schemeClr w14:val="tx1"/>
            </w14:solidFill>
          </w14:textFill>
        </w:rPr>
      </w:sdtEndPr>
      <w:sdtContent>
        <w:p w14:paraId="32FC359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本公司的子公司情况详见附注"/>
        <w:tag w:val="_GBC_bb3e2669c3cc45d0a6637b1809087708"/>
        <w:id w:val="-477223575"/>
        <w:placeholder>
          <w:docPart w:val="GBC22222222222222222222222222222"/>
        </w:placeholder>
      </w:sdtPr>
      <w:sdtEndPr>
        <w:rPr>
          <w:rFonts w:hint="eastAsia"/>
          <w:color w:val="000000" w:themeColor="text1"/>
          <w14:textFill>
            <w14:solidFill>
              <w14:schemeClr w14:val="tx1"/>
            </w14:solidFill>
          </w14:textFill>
        </w:rPr>
      </w:sdtEndPr>
      <w:sdtContent>
        <w:sdt>
          <w:sdtPr>
            <w:rPr>
              <w:rFonts w:hint="eastAsia"/>
            </w:rPr>
            <w:alias w:val="本公司的子公司情况详见附注"/>
            <w:tag w:val="_GBC_bb3e2669c3cc45d0a6637b1809087708"/>
            <w:id w:val="1726642516"/>
          </w:sdtPr>
          <w:sdtEndPr>
            <w:rPr>
              <w:rFonts w:hint="eastAsia"/>
            </w:rPr>
          </w:sdtEndPr>
          <w:sdtContent>
            <w:p w14:paraId="4C1982F5">
              <w:pPr>
                <w:spacing w:line="360" w:lineRule="auto"/>
              </w:pPr>
              <w:r>
                <w:t>本公司子公司的情况详见</w:t>
              </w:r>
              <w:r>
                <w:rPr>
                  <w:rFonts w:hint="eastAsia"/>
                </w:rPr>
                <w:t>本报告</w:t>
              </w:r>
              <w:r>
                <w:t>第</w:t>
              </w:r>
              <w:r>
                <w:rPr>
                  <w:rFonts w:hint="eastAsia"/>
                </w:rPr>
                <w:t>八</w:t>
              </w:r>
              <w:r>
                <w:t>节财务报告</w:t>
              </w:r>
              <w:r>
                <w:rPr>
                  <w:rFonts w:hint="eastAsia"/>
                </w:rPr>
                <w:t xml:space="preserve"> </w:t>
              </w:r>
              <w:r>
                <w:t>十</w:t>
              </w:r>
              <w:r>
                <w:rPr>
                  <w:rFonts w:hint="eastAsia"/>
                </w:rPr>
                <w:t xml:space="preserve">、“在其他主体中的权益 </w:t>
              </w:r>
              <w:r>
                <w:t>1、在子公司中的权益</w:t>
              </w:r>
              <w:r>
                <w:rPr>
                  <w:rFonts w:hint="eastAsia"/>
                </w:rPr>
                <w:t>”。</w:t>
              </w:r>
            </w:p>
          </w:sdtContent>
        </w:sdt>
      </w:sdtContent>
    </w:sdt>
    <w:p w14:paraId="2F762D75">
      <w:pPr>
        <w:tabs>
          <w:tab w:val="left" w:pos="1134"/>
        </w:tabs>
        <w:rPr>
          <w:rFonts w:cs="Cambria"/>
          <w:color w:val="000000" w:themeColor="text1"/>
          <w14:textFill>
            <w14:solidFill>
              <w14:schemeClr w14:val="tx1"/>
            </w14:solidFill>
          </w14:textFill>
        </w:rPr>
      </w:pPr>
    </w:p>
    <w:p w14:paraId="3BCE703C">
      <w:pPr>
        <w:pStyle w:val="4"/>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本企业合营和联营企业情况</w:t>
      </w:r>
    </w:p>
    <w:p w14:paraId="038B0EDD">
      <w:pPr>
        <w:rPr>
          <w:color w:val="000000" w:themeColor="text1"/>
          <w14:textFill>
            <w14:solidFill>
              <w14:schemeClr w14:val="tx1"/>
            </w14:solidFill>
          </w14:textFill>
        </w:rPr>
      </w:pPr>
      <w:r>
        <w:rPr>
          <w:rFonts w:hint="eastAsia"/>
          <w:color w:val="000000" w:themeColor="text1"/>
          <w14:textFill>
            <w14:solidFill>
              <w14:schemeClr w14:val="tx1"/>
            </w14:solidFill>
          </w14:textFill>
        </w:rPr>
        <w:t>本企业重要的合营或联营企业详见附注</w:t>
      </w:r>
    </w:p>
    <w:sdt>
      <w:sdtPr>
        <w:rPr>
          <w:color w:val="000000" w:themeColor="text1"/>
          <w14:textFill>
            <w14:solidFill>
              <w14:schemeClr w14:val="tx1"/>
            </w14:solidFill>
          </w14:textFill>
        </w:rPr>
        <w:alias w:val="是否适用：本企业重要的合营或联营企业详见附注[双击切换]"/>
        <w:tag w:val="_GBC_2a369d3377e94598b2a744dfe59973e2"/>
        <w:id w:val="-2091687567"/>
        <w:placeholder>
          <w:docPart w:val="GBC22222222222222222222222222222"/>
        </w:placeholder>
      </w:sdtPr>
      <w:sdtEndPr>
        <w:rPr>
          <w:color w:val="000000" w:themeColor="text1"/>
          <w14:textFill>
            <w14:solidFill>
              <w14:schemeClr w14:val="tx1"/>
            </w14:solidFill>
          </w14:textFill>
        </w:rPr>
      </w:sdtEndPr>
      <w:sdtContent>
        <w:p w14:paraId="11429BA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rFonts w:hint="eastAsia"/>
          <w:color w:val="000000" w:themeColor="text1"/>
          <w14:textFill>
            <w14:solidFill>
              <w14:schemeClr w14:val="tx1"/>
            </w14:solidFill>
          </w14:textFill>
        </w:rPr>
        <w:alias w:val="本企业重要的合营或联营企业详见附注"/>
        <w:tag w:val="_GBC_3c58c586b3d3412d9989e9dff0b9f4cf"/>
        <w:id w:val="-1080288803"/>
        <w:placeholder>
          <w:docPart w:val="GBC22222222222222222222222222222"/>
        </w:placeholder>
      </w:sdtPr>
      <w:sdtEndPr>
        <w:rPr>
          <w:rFonts w:hint="eastAsia"/>
          <w:color w:val="000000" w:themeColor="text1"/>
          <w14:textFill>
            <w14:solidFill>
              <w14:schemeClr w14:val="tx1"/>
            </w14:solidFill>
          </w14:textFill>
        </w:rPr>
      </w:sdtEndPr>
      <w:sdtContent>
        <w:sdt>
          <w:sdtPr>
            <w:rPr>
              <w:rFonts w:hint="eastAsia"/>
            </w:rPr>
            <w:alias w:val="本企业重要的合营或联营企业详见附注"/>
            <w:tag w:val="_GBC_3c58c586b3d3412d9989e9dff0b9f4cf"/>
            <w:id w:val="-1860503497"/>
          </w:sdtPr>
          <w:sdtEndPr>
            <w:rPr>
              <w:rFonts w:hint="eastAsia"/>
            </w:rPr>
          </w:sdtEndPr>
          <w:sdtContent>
            <w:p w14:paraId="0FCB6EC4">
              <w:pPr>
                <w:autoSpaceDE w:val="0"/>
                <w:autoSpaceDN w:val="0"/>
                <w:adjustRightInd w:val="0"/>
                <w:spacing w:line="360" w:lineRule="auto"/>
              </w:pPr>
              <w:r>
                <w:rPr>
                  <w:rFonts w:hint="eastAsia"/>
                </w:rPr>
                <w:t>本公司重要的合营或联营企业详见本报告</w:t>
              </w:r>
              <w:r>
                <w:t>第</w:t>
              </w:r>
              <w:r>
                <w:rPr>
                  <w:rFonts w:hint="eastAsia"/>
                </w:rPr>
                <w:t>八</w:t>
              </w:r>
              <w:r>
                <w:t>节财务报告</w:t>
              </w:r>
              <w:r>
                <w:rPr>
                  <w:rFonts w:hint="eastAsia"/>
                </w:rPr>
                <w:t xml:space="preserve"> </w:t>
              </w:r>
              <w:r>
                <w:t>十</w:t>
              </w:r>
              <w:r>
                <w:rPr>
                  <w:rFonts w:hint="eastAsia"/>
                </w:rPr>
                <w:t xml:space="preserve">、“在其他主体中的权益 </w:t>
              </w:r>
              <w:r>
                <w:t>3、</w:t>
              </w:r>
              <w:r>
                <w:rPr>
                  <w:rFonts w:hint="eastAsia"/>
                </w:rPr>
                <w:t>在合营企业或联营企业中的权益”。</w:t>
              </w:r>
            </w:p>
          </w:sdtContent>
        </w:sdt>
      </w:sdtContent>
    </w:sdt>
    <w:p w14:paraId="5737FED6">
      <w:pPr>
        <w:rPr>
          <w:color w:val="000000" w:themeColor="text1"/>
          <w14:textFill>
            <w14:solidFill>
              <w14:schemeClr w14:val="tx1"/>
            </w14:solidFill>
          </w14:textFill>
        </w:rPr>
      </w:pPr>
    </w:p>
    <w:p w14:paraId="6F067AC5">
      <w:pPr>
        <w:rPr>
          <w:color w:val="000000" w:themeColor="text1"/>
          <w14:textFill>
            <w14:solidFill>
              <w14:schemeClr w14:val="tx1"/>
            </w14:solidFill>
          </w14:textFill>
        </w:rPr>
      </w:pPr>
      <w:r>
        <w:rPr>
          <w:rFonts w:hint="eastAsia"/>
          <w:color w:val="000000" w:themeColor="text1"/>
          <w14:textFill>
            <w14:solidFill>
              <w14:schemeClr w14:val="tx1"/>
            </w14:solidFill>
          </w14:textFill>
        </w:rPr>
        <w:t>本期与本公司发生关联方交易，或前期与本公司发生关联方交易形成余额的其他合营或联营企业情况如下</w:t>
      </w:r>
    </w:p>
    <w:sdt>
      <w:sdtPr>
        <w:rPr>
          <w:color w:val="000000" w:themeColor="text1"/>
          <w14:textFill>
            <w14:solidFill>
              <w14:schemeClr w14:val="tx1"/>
            </w14:solidFill>
          </w14:textFill>
        </w:rPr>
        <w:alias w:val="是否适用：本期与本公司发生关联方交易，或前期与本公司发生关联方交易形成余额的其他合营或联营企业情况如下[双击切换]"/>
        <w:tag w:val="_GBC_cab97913a7cc4573b25c34077eadbc4c"/>
        <w:id w:val="-2090371534"/>
        <w:placeholder>
          <w:docPart w:val="GBC22222222222222222222222222222"/>
        </w:placeholder>
      </w:sdtPr>
      <w:sdtEndPr>
        <w:rPr>
          <w:color w:val="000000" w:themeColor="text1"/>
          <w14:textFill>
            <w14:solidFill>
              <w14:schemeClr w14:val="tx1"/>
            </w14:solidFill>
          </w14:textFill>
        </w:rPr>
      </w:sdtEndPr>
      <w:sdtContent>
        <w:p w14:paraId="32C6227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85"/>
        <w:gridCol w:w="5064"/>
      </w:tblGrid>
      <w:tr w14:paraId="24D9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e5c009b9730d40bc93f36e5e672cbe84"/>
            <w:id w:val="-1035345017"/>
          </w:sdtPr>
          <w:sdtContent>
            <w:tc>
              <w:tcPr>
                <w:tcW w:w="2202" w:type="pct"/>
                <w:tcBorders>
                  <w:top w:val="single" w:color="auto" w:sz="4" w:space="0"/>
                  <w:left w:val="single" w:color="auto" w:sz="4" w:space="0"/>
                  <w:bottom w:val="single" w:color="auto" w:sz="4" w:space="0"/>
                  <w:right w:val="single" w:color="auto" w:sz="4" w:space="0"/>
                </w:tcBorders>
              </w:tcPr>
              <w:p w14:paraId="7BB3AA08">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合营或联营企业名称</w:t>
                </w:r>
              </w:p>
            </w:tc>
          </w:sdtContent>
        </w:sdt>
        <w:sdt>
          <w:sdtPr>
            <w:tag w:val="_PLD_84c60036e8b849288542661d1d1b9890"/>
            <w:id w:val="761420791"/>
          </w:sdtPr>
          <w:sdtContent>
            <w:tc>
              <w:tcPr>
                <w:tcW w:w="2798" w:type="pct"/>
                <w:tcBorders>
                  <w:top w:val="single" w:color="auto" w:sz="4" w:space="0"/>
                  <w:left w:val="single" w:color="auto" w:sz="4" w:space="0"/>
                  <w:bottom w:val="single" w:color="auto" w:sz="4" w:space="0"/>
                  <w:right w:val="single" w:color="auto" w:sz="4" w:space="0"/>
                </w:tcBorders>
              </w:tcPr>
              <w:p w14:paraId="24D3EF80">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与本企业关系</w:t>
                </w:r>
              </w:p>
            </w:tc>
          </w:sdtContent>
        </w:sdt>
      </w:tr>
      <w:tr w14:paraId="61B8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14:paraId="5ED1EADB">
            <w:r>
              <w:t>重庆银行股份有限公司</w:t>
            </w:r>
          </w:p>
        </w:tc>
        <w:tc>
          <w:tcPr>
            <w:tcW w:w="2798" w:type="pct"/>
            <w:tcBorders>
              <w:top w:val="single" w:color="auto" w:sz="4" w:space="0"/>
              <w:left w:val="single" w:color="auto" w:sz="4" w:space="0"/>
              <w:bottom w:val="single" w:color="auto" w:sz="4" w:space="0"/>
              <w:right w:val="single" w:color="auto" w:sz="4" w:space="0"/>
            </w:tcBorders>
          </w:tcPr>
          <w:p w14:paraId="070B8137">
            <w:r>
              <w:t>持有其 8.49%的股份，且派驻董事一名</w:t>
            </w:r>
          </w:p>
        </w:tc>
      </w:tr>
      <w:tr w14:paraId="7D70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14:paraId="22E44336">
            <w:r>
              <w:t>重庆新能源汽车融资租赁有限公司</w:t>
            </w:r>
          </w:p>
        </w:tc>
        <w:tc>
          <w:tcPr>
            <w:tcW w:w="2798" w:type="pct"/>
            <w:tcBorders>
              <w:top w:val="single" w:color="auto" w:sz="4" w:space="0"/>
              <w:left w:val="single" w:color="auto" w:sz="4" w:space="0"/>
              <w:bottom w:val="single" w:color="auto" w:sz="4" w:space="0"/>
              <w:right w:val="single" w:color="auto" w:sz="4" w:space="0"/>
            </w:tcBorders>
          </w:tcPr>
          <w:p w14:paraId="56794240">
            <w:r>
              <w:t>持有其 33%的股份</w:t>
            </w:r>
          </w:p>
        </w:tc>
      </w:tr>
      <w:tr w14:paraId="5A0B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14:paraId="142E77EB">
            <w:r>
              <w:t>力帆融资租赁(上海)有限公司</w:t>
            </w:r>
          </w:p>
        </w:tc>
        <w:tc>
          <w:tcPr>
            <w:tcW w:w="2798" w:type="pct"/>
            <w:tcBorders>
              <w:top w:val="single" w:color="auto" w:sz="4" w:space="0"/>
              <w:left w:val="single" w:color="auto" w:sz="4" w:space="0"/>
              <w:bottom w:val="single" w:color="auto" w:sz="4" w:space="0"/>
              <w:right w:val="single" w:color="auto" w:sz="4" w:space="0"/>
            </w:tcBorders>
          </w:tcPr>
          <w:p w14:paraId="73E55C94">
            <w:r>
              <w:t>持有其 49%的股份</w:t>
            </w:r>
          </w:p>
        </w:tc>
      </w:tr>
      <w:tr w14:paraId="59AE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14:paraId="6342BBC9">
            <w:r>
              <w:t>苏州曹智汽车有限公司</w:t>
            </w:r>
          </w:p>
        </w:tc>
        <w:tc>
          <w:tcPr>
            <w:tcW w:w="2798" w:type="pct"/>
            <w:tcBorders>
              <w:top w:val="single" w:color="auto" w:sz="4" w:space="0"/>
              <w:left w:val="single" w:color="auto" w:sz="4" w:space="0"/>
              <w:bottom w:val="single" w:color="auto" w:sz="4" w:space="0"/>
              <w:right w:val="single" w:color="auto" w:sz="4" w:space="0"/>
            </w:tcBorders>
          </w:tcPr>
          <w:p w14:paraId="778F7FBD">
            <w:r>
              <w:t>控股子公司持有其 45%的股份，且派驻董事一名</w:t>
            </w:r>
          </w:p>
        </w:tc>
      </w:tr>
      <w:tr w14:paraId="7EB2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14:paraId="13AD246F">
            <w:r>
              <w:t>新能源汽车产业发展（重庆）有限公司</w:t>
            </w:r>
          </w:p>
        </w:tc>
        <w:tc>
          <w:tcPr>
            <w:tcW w:w="2798" w:type="pct"/>
            <w:tcBorders>
              <w:top w:val="single" w:color="auto" w:sz="4" w:space="0"/>
              <w:left w:val="single" w:color="auto" w:sz="4" w:space="0"/>
              <w:bottom w:val="single" w:color="auto" w:sz="4" w:space="0"/>
              <w:right w:val="single" w:color="auto" w:sz="4" w:space="0"/>
            </w:tcBorders>
          </w:tcPr>
          <w:p w14:paraId="3866BB81">
            <w:r>
              <w:t>持有其 33%的股份</w:t>
            </w:r>
          </w:p>
        </w:tc>
      </w:tr>
    </w:tbl>
    <w:p w14:paraId="5ABC67D0"/>
    <w:p w14:paraId="5F40A829">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其他说明</w:t>
      </w:r>
    </w:p>
    <w:sdt>
      <w:sdtPr>
        <w:rPr>
          <w:rFonts w:cs="Cambria"/>
          <w:color w:val="000000" w:themeColor="text1"/>
          <w14:textFill>
            <w14:solidFill>
              <w14:schemeClr w14:val="tx1"/>
            </w14:solidFill>
          </w14:textFill>
        </w:rPr>
        <w:alias w:val="是否适用：存在关联方交易或余额的合营和联营企业情况说明[双击切换]"/>
        <w:tag w:val="_GBC_6d56e8a9eaca4f499d758b2eb96268bf"/>
        <w:id w:val="1474334044"/>
        <w:placeholder>
          <w:docPart w:val="GBC22222222222222222222222222222"/>
        </w:placeholder>
      </w:sdtPr>
      <w:sdtEndPr>
        <w:rPr>
          <w:rFonts w:cs="Cambria"/>
          <w:color w:val="000000" w:themeColor="text1"/>
          <w14:textFill>
            <w14:solidFill>
              <w14:schemeClr w14:val="tx1"/>
            </w14:solidFill>
          </w14:textFill>
        </w:rPr>
      </w:sdtEndPr>
      <w:sdtContent>
        <w:p w14:paraId="20CBC282">
          <w:pPr>
            <w:tabs>
              <w:tab w:val="left" w:pos="1134"/>
            </w:tabs>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sdt>
      <w:sdtPr>
        <w:rPr>
          <w:rFonts w:cs="Cambria"/>
          <w:color w:val="000000" w:themeColor="text1"/>
          <w14:textFill>
            <w14:solidFill>
              <w14:schemeClr w14:val="tx1"/>
            </w14:solidFill>
          </w14:textFill>
        </w:rPr>
        <w:alias w:val="存在关联方交易或余额的合营和联营企业情况说明"/>
        <w:tag w:val="_GBC_afdc74851c8d46aabe2bd15b0fcb9f8e"/>
        <w:id w:val="1423528229"/>
        <w:placeholder>
          <w:docPart w:val="GBC22222222222222222222222222222"/>
        </w:placeholder>
      </w:sdtPr>
      <w:sdtEndPr>
        <w:rPr>
          <w:rFonts w:cs="Cambria"/>
          <w:color w:val="000000" w:themeColor="text1"/>
          <w14:textFill>
            <w14:solidFill>
              <w14:schemeClr w14:val="tx1"/>
            </w14:solidFill>
          </w14:textFill>
        </w:rPr>
      </w:sdtEndPr>
      <w:sdtContent>
        <w:p w14:paraId="32D89723">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无</w:t>
          </w:r>
        </w:p>
      </w:sdtContent>
    </w:sdt>
    <w:p w14:paraId="7D4B7EF2">
      <w:pPr>
        <w:tabs>
          <w:tab w:val="left" w:pos="1134"/>
        </w:tabs>
        <w:rPr>
          <w:rFonts w:cs="Cambria"/>
          <w:color w:val="000000" w:themeColor="text1"/>
          <w14:textFill>
            <w14:solidFill>
              <w14:schemeClr w14:val="tx1"/>
            </w14:solidFill>
          </w14:textFill>
        </w:rPr>
      </w:pPr>
    </w:p>
    <w:p w14:paraId="6E966670">
      <w:pPr>
        <w:pStyle w:val="4"/>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其他关联方情况</w:t>
      </w:r>
    </w:p>
    <w:sdt>
      <w:sdtPr>
        <w:rPr>
          <w:color w:val="000000" w:themeColor="text1"/>
          <w14:textFill>
            <w14:solidFill>
              <w14:schemeClr w14:val="tx1"/>
            </w14:solidFill>
          </w14:textFill>
        </w:rPr>
        <w:alias w:val="是否适用：其他关联方情况[双击切换]"/>
        <w:tag w:val="_GBC_f9c029ef57734babb6375a74af1e3736"/>
        <w:id w:val="1401480132"/>
        <w:placeholder>
          <w:docPart w:val="GBC22222222222222222222222222222"/>
        </w:placeholder>
      </w:sdtPr>
      <w:sdtEndPr>
        <w:rPr>
          <w:color w:val="000000" w:themeColor="text1"/>
          <w14:textFill>
            <w14:solidFill>
              <w14:schemeClr w14:val="tx1"/>
            </w14:solidFill>
          </w14:textFill>
        </w:rPr>
      </w:sdtEndPr>
      <w:sdtContent>
        <w:p w14:paraId="7235309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4"/>
        <w:gridCol w:w="3675"/>
      </w:tblGrid>
      <w:tr w14:paraId="028B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sdt>
          <w:sdtPr>
            <w:tag w:val="_PLD_8fe00abbc9b249a98b2e3ac6b12f12db"/>
            <w:id w:val="6023911"/>
          </w:sdtPr>
          <w:sdtContent>
            <w:tc>
              <w:tcPr>
                <w:tcW w:w="2969" w:type="pct"/>
                <w:tcBorders>
                  <w:top w:val="single" w:color="auto" w:sz="4" w:space="0"/>
                  <w:left w:val="single" w:color="auto" w:sz="4" w:space="0"/>
                  <w:bottom w:val="single" w:color="auto" w:sz="4" w:space="0"/>
                  <w:right w:val="single" w:color="auto" w:sz="4" w:space="0"/>
                </w:tcBorders>
              </w:tcPr>
              <w:p w14:paraId="4BE3B929">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其他关联方名称</w:t>
                </w:r>
              </w:p>
            </w:tc>
          </w:sdtContent>
        </w:sdt>
        <w:sdt>
          <w:sdtPr>
            <w:tag w:val="_PLD_c1304840da1e482f80286e0c7ca19002"/>
            <w:id w:val="-65653229"/>
          </w:sdtPr>
          <w:sdtContent>
            <w:tc>
              <w:tcPr>
                <w:tcW w:w="2030" w:type="pct"/>
                <w:tcBorders>
                  <w:top w:val="single" w:color="auto" w:sz="4" w:space="0"/>
                  <w:left w:val="single" w:color="auto" w:sz="4" w:space="0"/>
                  <w:bottom w:val="single" w:color="auto" w:sz="4" w:space="0"/>
                  <w:right w:val="single" w:color="auto" w:sz="4" w:space="0"/>
                </w:tcBorders>
              </w:tcPr>
              <w:p w14:paraId="7A434A6F">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其他关联方与本企业关系</w:t>
                </w:r>
              </w:p>
            </w:tc>
          </w:sdtContent>
        </w:sdt>
      </w:tr>
      <w:tr w14:paraId="3727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C654C6E">
            <w:pPr>
              <w:rPr>
                <w:rFonts w:cs="Cambria"/>
              </w:rPr>
            </w:pPr>
            <w:r>
              <w:t>宝鸡吉利汽车部件有限公司</w:t>
            </w:r>
          </w:p>
        </w:tc>
        <w:sdt>
          <w:sdtPr>
            <w:rPr>
              <w:rFonts w:cs="Cambria"/>
            </w:rPr>
            <w:alias w:val="本企业的其他关联方情况明细－其他关联方与本公司关系"/>
            <w:tag w:val="_GBC_2205fb8ea5f648b5a0c9e8e3f8499f9f"/>
            <w:id w:val="-77146853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rPr>
          </w:sdtEndPr>
          <w:sdtContent>
            <w:tc>
              <w:tcPr>
                <w:tcW w:w="2030" w:type="pct"/>
                <w:tcBorders>
                  <w:top w:val="single" w:color="auto" w:sz="4" w:space="0"/>
                  <w:left w:val="single" w:color="auto" w:sz="4" w:space="0"/>
                  <w:bottom w:val="single" w:color="auto" w:sz="4" w:space="0"/>
                  <w:right w:val="single" w:color="auto" w:sz="4" w:space="0"/>
                </w:tcBorders>
              </w:tcPr>
              <w:p w14:paraId="1531EB96">
                <w:pPr>
                  <w:rPr>
                    <w:rFonts w:cs="Cambria"/>
                  </w:rPr>
                </w:pPr>
                <w:r>
                  <w:rPr>
                    <w:rFonts w:cs="Cambria"/>
                  </w:rPr>
                  <w:t>持有公司 5%以上股份股东的关联方</w:t>
                </w:r>
              </w:p>
            </w:tc>
          </w:sdtContent>
        </w:sdt>
      </w:tr>
      <w:tr w14:paraId="2CE2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0520E335">
            <w:pPr>
              <w:rPr>
                <w:rFonts w:cs="Cambria"/>
              </w:rPr>
            </w:pPr>
            <w:r>
              <w:t>枫盛汽车（江苏）有限公司</w:t>
            </w:r>
          </w:p>
        </w:tc>
        <w:tc>
          <w:tcPr>
            <w:tcW w:w="2030" w:type="pct"/>
            <w:tcBorders>
              <w:top w:val="single" w:color="auto" w:sz="4" w:space="0"/>
              <w:left w:val="single" w:color="auto" w:sz="4" w:space="0"/>
              <w:bottom w:val="single" w:color="auto" w:sz="4" w:space="0"/>
              <w:right w:val="single" w:color="auto" w:sz="4" w:space="0"/>
            </w:tcBorders>
          </w:tcPr>
          <w:p w14:paraId="59B91835">
            <w:pPr>
              <w:rPr>
                <w:rFonts w:cs="Cambria"/>
              </w:rPr>
            </w:pPr>
            <w:r>
              <w:t>持有公司 5%以上股份股东的关联方</w:t>
            </w:r>
          </w:p>
        </w:tc>
      </w:tr>
      <w:tr w14:paraId="7FF4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0A3BF0D7">
            <w:pPr>
              <w:rPr>
                <w:rFonts w:cs="Cambria"/>
              </w:rPr>
            </w:pPr>
            <w:r>
              <w:t>贵州吉利发动机有限公司</w:t>
            </w:r>
          </w:p>
        </w:tc>
        <w:tc>
          <w:tcPr>
            <w:tcW w:w="2030" w:type="pct"/>
            <w:tcBorders>
              <w:top w:val="single" w:color="auto" w:sz="4" w:space="0"/>
              <w:left w:val="single" w:color="auto" w:sz="4" w:space="0"/>
              <w:bottom w:val="single" w:color="auto" w:sz="4" w:space="0"/>
              <w:right w:val="single" w:color="auto" w:sz="4" w:space="0"/>
            </w:tcBorders>
          </w:tcPr>
          <w:p w14:paraId="389324B9">
            <w:pPr>
              <w:rPr>
                <w:rFonts w:cs="Cambria"/>
              </w:rPr>
            </w:pPr>
            <w:r>
              <w:t>持有公司 5%以上股份股东的关联方</w:t>
            </w:r>
          </w:p>
        </w:tc>
      </w:tr>
      <w:tr w14:paraId="5E50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76BAC85">
            <w:pPr>
              <w:rPr>
                <w:rFonts w:cs="Cambria"/>
              </w:rPr>
            </w:pPr>
            <w:r>
              <w:t>贵州吉利汽车制造有限公司</w:t>
            </w:r>
          </w:p>
        </w:tc>
        <w:tc>
          <w:tcPr>
            <w:tcW w:w="2030" w:type="pct"/>
            <w:tcBorders>
              <w:top w:val="single" w:color="auto" w:sz="4" w:space="0"/>
              <w:left w:val="single" w:color="auto" w:sz="4" w:space="0"/>
              <w:bottom w:val="single" w:color="auto" w:sz="4" w:space="0"/>
              <w:right w:val="single" w:color="auto" w:sz="4" w:space="0"/>
            </w:tcBorders>
          </w:tcPr>
          <w:p w14:paraId="28C66653">
            <w:pPr>
              <w:rPr>
                <w:rFonts w:cs="Cambria"/>
              </w:rPr>
            </w:pPr>
            <w:r>
              <w:t>持有公司 5%以上股份股东的关联方</w:t>
            </w:r>
          </w:p>
        </w:tc>
      </w:tr>
      <w:tr w14:paraId="571D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916366C">
            <w:pPr>
              <w:rPr>
                <w:rFonts w:cs="Cambria"/>
              </w:rPr>
            </w:pPr>
            <w:r>
              <w:t>杭州枫华科技有限公司</w:t>
            </w:r>
          </w:p>
        </w:tc>
        <w:tc>
          <w:tcPr>
            <w:tcW w:w="2030" w:type="pct"/>
            <w:tcBorders>
              <w:top w:val="single" w:color="auto" w:sz="4" w:space="0"/>
              <w:left w:val="single" w:color="auto" w:sz="4" w:space="0"/>
              <w:bottom w:val="single" w:color="auto" w:sz="4" w:space="0"/>
              <w:right w:val="single" w:color="auto" w:sz="4" w:space="0"/>
            </w:tcBorders>
          </w:tcPr>
          <w:p w14:paraId="7432ACD7">
            <w:pPr>
              <w:rPr>
                <w:rFonts w:cs="Cambria"/>
              </w:rPr>
            </w:pPr>
            <w:r>
              <w:t>持有公司 5%以上股份股东的关联方</w:t>
            </w:r>
          </w:p>
        </w:tc>
      </w:tr>
      <w:tr w14:paraId="7F6E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284D9B73">
            <w:pPr>
              <w:rPr>
                <w:rFonts w:cs="Cambria"/>
              </w:rPr>
            </w:pPr>
            <w:r>
              <w:t>杭州吉利共享服务有限公司</w:t>
            </w:r>
          </w:p>
        </w:tc>
        <w:tc>
          <w:tcPr>
            <w:tcW w:w="2030" w:type="pct"/>
            <w:tcBorders>
              <w:top w:val="single" w:color="auto" w:sz="4" w:space="0"/>
              <w:left w:val="single" w:color="auto" w:sz="4" w:space="0"/>
              <w:bottom w:val="single" w:color="auto" w:sz="4" w:space="0"/>
              <w:right w:val="single" w:color="auto" w:sz="4" w:space="0"/>
            </w:tcBorders>
          </w:tcPr>
          <w:p w14:paraId="44515674">
            <w:pPr>
              <w:rPr>
                <w:rFonts w:cs="Cambria"/>
              </w:rPr>
            </w:pPr>
            <w:r>
              <w:t>持有公司 5%以上股份股东的关联方</w:t>
            </w:r>
          </w:p>
        </w:tc>
      </w:tr>
      <w:tr w14:paraId="7444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EEB0598">
            <w:pPr>
              <w:rPr>
                <w:rFonts w:cs="Cambria"/>
              </w:rPr>
            </w:pPr>
            <w:r>
              <w:t>杭州吉利汽车数字科技有限公司</w:t>
            </w:r>
          </w:p>
        </w:tc>
        <w:tc>
          <w:tcPr>
            <w:tcW w:w="2030" w:type="pct"/>
            <w:tcBorders>
              <w:top w:val="single" w:color="auto" w:sz="4" w:space="0"/>
              <w:left w:val="single" w:color="auto" w:sz="4" w:space="0"/>
              <w:bottom w:val="single" w:color="auto" w:sz="4" w:space="0"/>
              <w:right w:val="single" w:color="auto" w:sz="4" w:space="0"/>
            </w:tcBorders>
          </w:tcPr>
          <w:p w14:paraId="29426C5D">
            <w:pPr>
              <w:rPr>
                <w:rFonts w:cs="Cambria"/>
              </w:rPr>
            </w:pPr>
            <w:r>
              <w:t>持有公司 5%以上股份股东的关联方</w:t>
            </w:r>
          </w:p>
        </w:tc>
      </w:tr>
      <w:tr w14:paraId="451A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07EBDF5">
            <w:pPr>
              <w:rPr>
                <w:rFonts w:cs="Cambria"/>
              </w:rPr>
            </w:pPr>
            <w:r>
              <w:t>杭州吉利汽车有限公司</w:t>
            </w:r>
          </w:p>
        </w:tc>
        <w:tc>
          <w:tcPr>
            <w:tcW w:w="2030" w:type="pct"/>
            <w:tcBorders>
              <w:top w:val="single" w:color="auto" w:sz="4" w:space="0"/>
              <w:left w:val="single" w:color="auto" w:sz="4" w:space="0"/>
              <w:bottom w:val="single" w:color="auto" w:sz="4" w:space="0"/>
              <w:right w:val="single" w:color="auto" w:sz="4" w:space="0"/>
            </w:tcBorders>
          </w:tcPr>
          <w:p w14:paraId="494A5E8F">
            <w:pPr>
              <w:rPr>
                <w:rFonts w:cs="Cambria"/>
              </w:rPr>
            </w:pPr>
            <w:r>
              <w:t>持有公司 5%以上股份股东的关联方</w:t>
            </w:r>
          </w:p>
        </w:tc>
      </w:tr>
      <w:tr w14:paraId="6D5B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20C1FDC4">
            <w:pPr>
              <w:rPr>
                <w:rFonts w:cs="Cambria"/>
              </w:rPr>
            </w:pPr>
            <w:r>
              <w:t>杭州吉利易云科技有限公司</w:t>
            </w:r>
          </w:p>
        </w:tc>
        <w:tc>
          <w:tcPr>
            <w:tcW w:w="2030" w:type="pct"/>
            <w:tcBorders>
              <w:top w:val="single" w:color="auto" w:sz="4" w:space="0"/>
              <w:left w:val="single" w:color="auto" w:sz="4" w:space="0"/>
              <w:bottom w:val="single" w:color="auto" w:sz="4" w:space="0"/>
              <w:right w:val="single" w:color="auto" w:sz="4" w:space="0"/>
            </w:tcBorders>
          </w:tcPr>
          <w:p w14:paraId="4D310A11">
            <w:pPr>
              <w:rPr>
                <w:rFonts w:cs="Cambria"/>
              </w:rPr>
            </w:pPr>
            <w:r>
              <w:t>持有公司 5%以上股份股东的关联方</w:t>
            </w:r>
          </w:p>
        </w:tc>
      </w:tr>
      <w:tr w14:paraId="6FF9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CBB097F">
            <w:pPr>
              <w:rPr>
                <w:rFonts w:cs="Cambria"/>
              </w:rPr>
            </w:pPr>
            <w:r>
              <w:t>杭州吉桥汽车科技有限公司</w:t>
            </w:r>
          </w:p>
        </w:tc>
        <w:tc>
          <w:tcPr>
            <w:tcW w:w="2030" w:type="pct"/>
            <w:tcBorders>
              <w:top w:val="single" w:color="auto" w:sz="4" w:space="0"/>
              <w:left w:val="single" w:color="auto" w:sz="4" w:space="0"/>
              <w:bottom w:val="single" w:color="auto" w:sz="4" w:space="0"/>
              <w:right w:val="single" w:color="auto" w:sz="4" w:space="0"/>
            </w:tcBorders>
          </w:tcPr>
          <w:p w14:paraId="2E683D02">
            <w:pPr>
              <w:rPr>
                <w:rFonts w:cs="Cambria"/>
              </w:rPr>
            </w:pPr>
            <w:r>
              <w:t>持有公司 5%以上股份股东的关联方</w:t>
            </w:r>
          </w:p>
        </w:tc>
      </w:tr>
      <w:tr w14:paraId="574E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5C834E3">
            <w:pPr>
              <w:rPr>
                <w:rFonts w:cs="Cambria"/>
              </w:rPr>
            </w:pPr>
            <w:r>
              <w:t>杭州睿享汽车服务有限公司</w:t>
            </w:r>
          </w:p>
        </w:tc>
        <w:tc>
          <w:tcPr>
            <w:tcW w:w="2030" w:type="pct"/>
            <w:tcBorders>
              <w:top w:val="single" w:color="auto" w:sz="4" w:space="0"/>
              <w:left w:val="single" w:color="auto" w:sz="4" w:space="0"/>
              <w:bottom w:val="single" w:color="auto" w:sz="4" w:space="0"/>
              <w:right w:val="single" w:color="auto" w:sz="4" w:space="0"/>
            </w:tcBorders>
          </w:tcPr>
          <w:p w14:paraId="2CA1D3FD">
            <w:pPr>
              <w:rPr>
                <w:rFonts w:cs="Cambria"/>
              </w:rPr>
            </w:pPr>
            <w:r>
              <w:t>持有公司 5%以上股份股东的关联方</w:t>
            </w:r>
          </w:p>
        </w:tc>
      </w:tr>
      <w:tr w14:paraId="0297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465504F">
            <w:pPr>
              <w:rPr>
                <w:rFonts w:cs="Cambria"/>
              </w:rPr>
            </w:pPr>
            <w:r>
              <w:t>杭州幸福千万家健康服务管理有限公司</w:t>
            </w:r>
          </w:p>
        </w:tc>
        <w:tc>
          <w:tcPr>
            <w:tcW w:w="2030" w:type="pct"/>
            <w:tcBorders>
              <w:top w:val="single" w:color="auto" w:sz="4" w:space="0"/>
              <w:left w:val="single" w:color="auto" w:sz="4" w:space="0"/>
              <w:bottom w:val="single" w:color="auto" w:sz="4" w:space="0"/>
              <w:right w:val="single" w:color="auto" w:sz="4" w:space="0"/>
            </w:tcBorders>
          </w:tcPr>
          <w:p w14:paraId="6DC6E6F9">
            <w:pPr>
              <w:rPr>
                <w:rFonts w:cs="Cambria"/>
              </w:rPr>
            </w:pPr>
            <w:r>
              <w:t>持有公司 5%以上股份股东的关联方</w:t>
            </w:r>
          </w:p>
        </w:tc>
      </w:tr>
      <w:tr w14:paraId="33E5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717CD37">
            <w:pPr>
              <w:rPr>
                <w:rFonts w:cs="Cambria"/>
              </w:rPr>
            </w:pPr>
            <w:r>
              <w:t>杭州易能电池管理技术有限公司</w:t>
            </w:r>
          </w:p>
        </w:tc>
        <w:tc>
          <w:tcPr>
            <w:tcW w:w="2030" w:type="pct"/>
            <w:tcBorders>
              <w:top w:val="single" w:color="auto" w:sz="4" w:space="0"/>
              <w:left w:val="single" w:color="auto" w:sz="4" w:space="0"/>
              <w:bottom w:val="single" w:color="auto" w:sz="4" w:space="0"/>
              <w:right w:val="single" w:color="auto" w:sz="4" w:space="0"/>
            </w:tcBorders>
          </w:tcPr>
          <w:p w14:paraId="07286631">
            <w:pPr>
              <w:rPr>
                <w:rFonts w:cs="Cambria"/>
              </w:rPr>
            </w:pPr>
            <w:r>
              <w:t>持有公司 5%以上股份股东的关联方</w:t>
            </w:r>
          </w:p>
        </w:tc>
      </w:tr>
      <w:tr w14:paraId="36FC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7386843">
            <w:pPr>
              <w:rPr>
                <w:rFonts w:cs="Cambria"/>
              </w:rPr>
            </w:pPr>
            <w:r>
              <w:t>湖南吉利汽车部件有限公司</w:t>
            </w:r>
          </w:p>
        </w:tc>
        <w:tc>
          <w:tcPr>
            <w:tcW w:w="2030" w:type="pct"/>
            <w:tcBorders>
              <w:top w:val="single" w:color="auto" w:sz="4" w:space="0"/>
              <w:left w:val="single" w:color="auto" w:sz="4" w:space="0"/>
              <w:bottom w:val="single" w:color="auto" w:sz="4" w:space="0"/>
              <w:right w:val="single" w:color="auto" w:sz="4" w:space="0"/>
            </w:tcBorders>
          </w:tcPr>
          <w:p w14:paraId="4A04D8C3">
            <w:pPr>
              <w:rPr>
                <w:rFonts w:cs="Cambria"/>
              </w:rPr>
            </w:pPr>
            <w:r>
              <w:t>持有公司 5%以上股份股东的关联方</w:t>
            </w:r>
          </w:p>
        </w:tc>
      </w:tr>
      <w:tr w14:paraId="3E0C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A5453A9">
            <w:pPr>
              <w:rPr>
                <w:rFonts w:cs="Cambria"/>
              </w:rPr>
            </w:pPr>
            <w:r>
              <w:t>吉利汽车控股（杭州）有限公司</w:t>
            </w:r>
          </w:p>
        </w:tc>
        <w:tc>
          <w:tcPr>
            <w:tcW w:w="2030" w:type="pct"/>
            <w:tcBorders>
              <w:top w:val="single" w:color="auto" w:sz="4" w:space="0"/>
              <w:left w:val="single" w:color="auto" w:sz="4" w:space="0"/>
              <w:bottom w:val="single" w:color="auto" w:sz="4" w:space="0"/>
              <w:right w:val="single" w:color="auto" w:sz="4" w:space="0"/>
            </w:tcBorders>
          </w:tcPr>
          <w:p w14:paraId="701A5A73">
            <w:pPr>
              <w:rPr>
                <w:rFonts w:cs="Cambria"/>
              </w:rPr>
            </w:pPr>
            <w:r>
              <w:t>持有公司 5%以上股份股东的关联方</w:t>
            </w:r>
          </w:p>
        </w:tc>
      </w:tr>
      <w:tr w14:paraId="17A3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04950FD">
            <w:pPr>
              <w:rPr>
                <w:rFonts w:cs="Cambria"/>
              </w:rPr>
            </w:pPr>
            <w:r>
              <w:t>吉利汽车控股（上海）有限公司</w:t>
            </w:r>
          </w:p>
        </w:tc>
        <w:tc>
          <w:tcPr>
            <w:tcW w:w="2030" w:type="pct"/>
            <w:tcBorders>
              <w:top w:val="single" w:color="auto" w:sz="4" w:space="0"/>
              <w:left w:val="single" w:color="auto" w:sz="4" w:space="0"/>
              <w:bottom w:val="single" w:color="auto" w:sz="4" w:space="0"/>
              <w:right w:val="single" w:color="auto" w:sz="4" w:space="0"/>
            </w:tcBorders>
          </w:tcPr>
          <w:p w14:paraId="67B4A178">
            <w:pPr>
              <w:rPr>
                <w:rFonts w:cs="Cambria"/>
              </w:rPr>
            </w:pPr>
            <w:r>
              <w:t>持有公司 5%以上股份股东的关联方</w:t>
            </w:r>
          </w:p>
        </w:tc>
      </w:tr>
      <w:tr w14:paraId="0492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4D401FC">
            <w:pPr>
              <w:rPr>
                <w:rFonts w:cs="Cambria"/>
              </w:rPr>
            </w:pPr>
            <w:r>
              <w:t>吉利汽车研究院（宁波）有限公司</w:t>
            </w:r>
          </w:p>
        </w:tc>
        <w:tc>
          <w:tcPr>
            <w:tcW w:w="2030" w:type="pct"/>
            <w:tcBorders>
              <w:top w:val="single" w:color="auto" w:sz="4" w:space="0"/>
              <w:left w:val="single" w:color="auto" w:sz="4" w:space="0"/>
              <w:bottom w:val="single" w:color="auto" w:sz="4" w:space="0"/>
              <w:right w:val="single" w:color="auto" w:sz="4" w:space="0"/>
            </w:tcBorders>
          </w:tcPr>
          <w:p w14:paraId="045D264C">
            <w:pPr>
              <w:rPr>
                <w:rFonts w:cs="Cambria"/>
              </w:rPr>
            </w:pPr>
            <w:r>
              <w:t>持有公司 5%以上股份股东的关联方</w:t>
            </w:r>
          </w:p>
        </w:tc>
      </w:tr>
      <w:tr w14:paraId="0E53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3BE7F68">
            <w:pPr>
              <w:rPr>
                <w:rFonts w:cs="Cambria"/>
              </w:rPr>
            </w:pPr>
            <w:r>
              <w:t>吉利长兴自动变速器有限公司</w:t>
            </w:r>
          </w:p>
        </w:tc>
        <w:tc>
          <w:tcPr>
            <w:tcW w:w="2030" w:type="pct"/>
            <w:tcBorders>
              <w:top w:val="single" w:color="auto" w:sz="4" w:space="0"/>
              <w:left w:val="single" w:color="auto" w:sz="4" w:space="0"/>
              <w:bottom w:val="single" w:color="auto" w:sz="4" w:space="0"/>
              <w:right w:val="single" w:color="auto" w:sz="4" w:space="0"/>
            </w:tcBorders>
          </w:tcPr>
          <w:p w14:paraId="0E2A7840">
            <w:pPr>
              <w:rPr>
                <w:rFonts w:cs="Cambria"/>
              </w:rPr>
            </w:pPr>
            <w:r>
              <w:t>持有公司 5%以上股份股东的关联方</w:t>
            </w:r>
          </w:p>
        </w:tc>
      </w:tr>
      <w:tr w14:paraId="404B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2507533">
            <w:pPr>
              <w:rPr>
                <w:rFonts w:cs="Cambria"/>
              </w:rPr>
            </w:pPr>
            <w:r>
              <w:t>吉利智创科技（北京）有限公司</w:t>
            </w:r>
          </w:p>
        </w:tc>
        <w:tc>
          <w:tcPr>
            <w:tcW w:w="2030" w:type="pct"/>
            <w:tcBorders>
              <w:top w:val="single" w:color="auto" w:sz="4" w:space="0"/>
              <w:left w:val="single" w:color="auto" w:sz="4" w:space="0"/>
              <w:bottom w:val="single" w:color="auto" w:sz="4" w:space="0"/>
              <w:right w:val="single" w:color="auto" w:sz="4" w:space="0"/>
            </w:tcBorders>
          </w:tcPr>
          <w:p w14:paraId="23AD0955">
            <w:pPr>
              <w:rPr>
                <w:rFonts w:cs="Cambria"/>
              </w:rPr>
            </w:pPr>
            <w:r>
              <w:t>持有公司 5%以上股份股东的关联方</w:t>
            </w:r>
          </w:p>
        </w:tc>
      </w:tr>
      <w:tr w14:paraId="379F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8E87723">
            <w:pPr>
              <w:rPr>
                <w:rFonts w:cs="Cambria"/>
              </w:rPr>
            </w:pPr>
            <w:r>
              <w:t>吉利智联科技(大连)有限公司</w:t>
            </w:r>
          </w:p>
        </w:tc>
        <w:tc>
          <w:tcPr>
            <w:tcW w:w="2030" w:type="pct"/>
            <w:tcBorders>
              <w:top w:val="single" w:color="auto" w:sz="4" w:space="0"/>
              <w:left w:val="single" w:color="auto" w:sz="4" w:space="0"/>
              <w:bottom w:val="single" w:color="auto" w:sz="4" w:space="0"/>
              <w:right w:val="single" w:color="auto" w:sz="4" w:space="0"/>
            </w:tcBorders>
          </w:tcPr>
          <w:p w14:paraId="492F5367">
            <w:pPr>
              <w:rPr>
                <w:rFonts w:cs="Cambria"/>
              </w:rPr>
            </w:pPr>
            <w:r>
              <w:t>持有公司 5%以上股份股东的关联方</w:t>
            </w:r>
          </w:p>
        </w:tc>
      </w:tr>
      <w:tr w14:paraId="6613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D122995">
            <w:pPr>
              <w:rPr>
                <w:rFonts w:cs="Cambria"/>
              </w:rPr>
            </w:pPr>
            <w:r>
              <w:t>吉利智联科技（大连）有限公司</w:t>
            </w:r>
          </w:p>
        </w:tc>
        <w:tc>
          <w:tcPr>
            <w:tcW w:w="2030" w:type="pct"/>
            <w:tcBorders>
              <w:top w:val="single" w:color="auto" w:sz="4" w:space="0"/>
              <w:left w:val="single" w:color="auto" w:sz="4" w:space="0"/>
              <w:bottom w:val="single" w:color="auto" w:sz="4" w:space="0"/>
              <w:right w:val="single" w:color="auto" w:sz="4" w:space="0"/>
            </w:tcBorders>
          </w:tcPr>
          <w:p w14:paraId="3CD22CF8">
            <w:pPr>
              <w:rPr>
                <w:rFonts w:cs="Cambria"/>
              </w:rPr>
            </w:pPr>
            <w:r>
              <w:t>持有公司 5%以上股份股东的关联方</w:t>
            </w:r>
          </w:p>
        </w:tc>
      </w:tr>
      <w:tr w14:paraId="6B14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2745D165">
            <w:pPr>
              <w:rPr>
                <w:rFonts w:cs="Cambria"/>
              </w:rPr>
            </w:pPr>
            <w:r>
              <w:t>吉利智联科技（武汉）有限公司</w:t>
            </w:r>
          </w:p>
        </w:tc>
        <w:tc>
          <w:tcPr>
            <w:tcW w:w="2030" w:type="pct"/>
            <w:tcBorders>
              <w:top w:val="single" w:color="auto" w:sz="4" w:space="0"/>
              <w:left w:val="single" w:color="auto" w:sz="4" w:space="0"/>
              <w:bottom w:val="single" w:color="auto" w:sz="4" w:space="0"/>
              <w:right w:val="single" w:color="auto" w:sz="4" w:space="0"/>
            </w:tcBorders>
          </w:tcPr>
          <w:p w14:paraId="3C7EE496">
            <w:pPr>
              <w:rPr>
                <w:rFonts w:cs="Cambria"/>
              </w:rPr>
            </w:pPr>
            <w:r>
              <w:t>持有公司 5%以上股份股东的关联方</w:t>
            </w:r>
          </w:p>
        </w:tc>
      </w:tr>
      <w:tr w14:paraId="1372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E3403DE">
            <w:pPr>
              <w:rPr>
                <w:rFonts w:cs="Cambria"/>
              </w:rPr>
            </w:pPr>
            <w:r>
              <w:t>江苏绿色智行科技有限公司</w:t>
            </w:r>
          </w:p>
        </w:tc>
        <w:tc>
          <w:tcPr>
            <w:tcW w:w="2030" w:type="pct"/>
            <w:tcBorders>
              <w:top w:val="single" w:color="auto" w:sz="4" w:space="0"/>
              <w:left w:val="single" w:color="auto" w:sz="4" w:space="0"/>
              <w:bottom w:val="single" w:color="auto" w:sz="4" w:space="0"/>
              <w:right w:val="single" w:color="auto" w:sz="4" w:space="0"/>
            </w:tcBorders>
          </w:tcPr>
          <w:p w14:paraId="2C855DF3">
            <w:pPr>
              <w:rPr>
                <w:rFonts w:cs="Cambria"/>
              </w:rPr>
            </w:pPr>
            <w:r>
              <w:t>持有公司 5%以上股份股东的关联方</w:t>
            </w:r>
          </w:p>
        </w:tc>
      </w:tr>
      <w:tr w14:paraId="364C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8B611DA">
            <w:pPr>
              <w:rPr>
                <w:rFonts w:cs="Cambria"/>
              </w:rPr>
            </w:pPr>
            <w:r>
              <w:t>江苏威肯西汽车科技有限公司</w:t>
            </w:r>
          </w:p>
        </w:tc>
        <w:tc>
          <w:tcPr>
            <w:tcW w:w="2030" w:type="pct"/>
            <w:tcBorders>
              <w:top w:val="single" w:color="auto" w:sz="4" w:space="0"/>
              <w:left w:val="single" w:color="auto" w:sz="4" w:space="0"/>
              <w:bottom w:val="single" w:color="auto" w:sz="4" w:space="0"/>
              <w:right w:val="single" w:color="auto" w:sz="4" w:space="0"/>
            </w:tcBorders>
          </w:tcPr>
          <w:p w14:paraId="1BD7866E">
            <w:pPr>
              <w:rPr>
                <w:rFonts w:cs="Cambria"/>
              </w:rPr>
            </w:pPr>
            <w:r>
              <w:t>持有公司 5%以上股份股东的关联方</w:t>
            </w:r>
          </w:p>
        </w:tc>
      </w:tr>
      <w:tr w14:paraId="3004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E423E93">
            <w:pPr>
              <w:rPr>
                <w:rFonts w:cs="Cambria"/>
              </w:rPr>
            </w:pPr>
            <w:r>
              <w:t>江西安驰新能源科技有限公司</w:t>
            </w:r>
          </w:p>
        </w:tc>
        <w:tc>
          <w:tcPr>
            <w:tcW w:w="2030" w:type="pct"/>
            <w:tcBorders>
              <w:top w:val="single" w:color="auto" w:sz="4" w:space="0"/>
              <w:left w:val="single" w:color="auto" w:sz="4" w:space="0"/>
              <w:bottom w:val="single" w:color="auto" w:sz="4" w:space="0"/>
              <w:right w:val="single" w:color="auto" w:sz="4" w:space="0"/>
            </w:tcBorders>
          </w:tcPr>
          <w:p w14:paraId="0E6767C5">
            <w:pPr>
              <w:rPr>
                <w:rFonts w:cs="Cambria"/>
              </w:rPr>
            </w:pPr>
            <w:r>
              <w:t>持有公司 5%以上股份股东的关联方</w:t>
            </w:r>
          </w:p>
        </w:tc>
      </w:tr>
      <w:tr w14:paraId="026F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D6C47CA">
            <w:pPr>
              <w:rPr>
                <w:rFonts w:cs="Cambria"/>
              </w:rPr>
            </w:pPr>
            <w:r>
              <w:t>雷达新能源汽车（浙江）有限公司</w:t>
            </w:r>
          </w:p>
        </w:tc>
        <w:tc>
          <w:tcPr>
            <w:tcW w:w="2030" w:type="pct"/>
            <w:tcBorders>
              <w:top w:val="single" w:color="auto" w:sz="4" w:space="0"/>
              <w:left w:val="single" w:color="auto" w:sz="4" w:space="0"/>
              <w:bottom w:val="single" w:color="auto" w:sz="4" w:space="0"/>
              <w:right w:val="single" w:color="auto" w:sz="4" w:space="0"/>
            </w:tcBorders>
          </w:tcPr>
          <w:p w14:paraId="7E0AE13A">
            <w:pPr>
              <w:rPr>
                <w:rFonts w:cs="Cambria"/>
              </w:rPr>
            </w:pPr>
            <w:r>
              <w:t>持有公司 5%以上股份股东的关联方</w:t>
            </w:r>
          </w:p>
        </w:tc>
      </w:tr>
      <w:tr w14:paraId="6842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07D7E5E7">
            <w:pPr>
              <w:rPr>
                <w:rFonts w:cs="Cambria"/>
              </w:rPr>
            </w:pPr>
            <w:r>
              <w:t>临沂领吉茂华汽车销售服务有限公司</w:t>
            </w:r>
          </w:p>
        </w:tc>
        <w:tc>
          <w:tcPr>
            <w:tcW w:w="2030" w:type="pct"/>
            <w:tcBorders>
              <w:top w:val="single" w:color="auto" w:sz="4" w:space="0"/>
              <w:left w:val="single" w:color="auto" w:sz="4" w:space="0"/>
              <w:bottom w:val="single" w:color="auto" w:sz="4" w:space="0"/>
              <w:right w:val="single" w:color="auto" w:sz="4" w:space="0"/>
            </w:tcBorders>
          </w:tcPr>
          <w:p w14:paraId="009B7E21">
            <w:pPr>
              <w:rPr>
                <w:rFonts w:cs="Cambria"/>
              </w:rPr>
            </w:pPr>
            <w:r>
              <w:t>持有公司 5%以上股份股东的关联方</w:t>
            </w:r>
          </w:p>
        </w:tc>
      </w:tr>
      <w:tr w14:paraId="53E3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75207B8">
            <w:pPr>
              <w:rPr>
                <w:rFonts w:cs="Cambria"/>
              </w:rPr>
            </w:pPr>
            <w:r>
              <w:t>领吉汽车商贸有限公司</w:t>
            </w:r>
          </w:p>
        </w:tc>
        <w:tc>
          <w:tcPr>
            <w:tcW w:w="2030" w:type="pct"/>
            <w:tcBorders>
              <w:top w:val="single" w:color="auto" w:sz="4" w:space="0"/>
              <w:left w:val="single" w:color="auto" w:sz="4" w:space="0"/>
              <w:bottom w:val="single" w:color="auto" w:sz="4" w:space="0"/>
              <w:right w:val="single" w:color="auto" w:sz="4" w:space="0"/>
            </w:tcBorders>
          </w:tcPr>
          <w:p w14:paraId="00FF0EB1">
            <w:pPr>
              <w:rPr>
                <w:rFonts w:cs="Cambria"/>
              </w:rPr>
            </w:pPr>
            <w:r>
              <w:t>持有公司 5%以上股份股东的关联方</w:t>
            </w:r>
          </w:p>
        </w:tc>
      </w:tr>
      <w:tr w14:paraId="301E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FE334B6">
            <w:pPr>
              <w:rPr>
                <w:rFonts w:cs="Cambria"/>
              </w:rPr>
            </w:pPr>
            <w:r>
              <w:t>领克汽车科技有限公司</w:t>
            </w:r>
          </w:p>
        </w:tc>
        <w:tc>
          <w:tcPr>
            <w:tcW w:w="2030" w:type="pct"/>
            <w:tcBorders>
              <w:top w:val="single" w:color="auto" w:sz="4" w:space="0"/>
              <w:left w:val="single" w:color="auto" w:sz="4" w:space="0"/>
              <w:bottom w:val="single" w:color="auto" w:sz="4" w:space="0"/>
              <w:right w:val="single" w:color="auto" w:sz="4" w:space="0"/>
            </w:tcBorders>
          </w:tcPr>
          <w:p w14:paraId="5A6A03BB">
            <w:pPr>
              <w:rPr>
                <w:rFonts w:cs="Cambria"/>
              </w:rPr>
            </w:pPr>
            <w:r>
              <w:t>持有公司 5%以上股份股东的关联方</w:t>
            </w:r>
          </w:p>
        </w:tc>
      </w:tr>
      <w:tr w14:paraId="75B6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09F54B92">
            <w:pPr>
              <w:rPr>
                <w:rFonts w:cs="Cambria"/>
              </w:rPr>
            </w:pPr>
            <w:r>
              <w:t>领悟汽车技术（重庆）有限公司</w:t>
            </w:r>
          </w:p>
        </w:tc>
        <w:tc>
          <w:tcPr>
            <w:tcW w:w="2030" w:type="pct"/>
            <w:tcBorders>
              <w:top w:val="single" w:color="auto" w:sz="4" w:space="0"/>
              <w:left w:val="single" w:color="auto" w:sz="4" w:space="0"/>
              <w:bottom w:val="single" w:color="auto" w:sz="4" w:space="0"/>
              <w:right w:val="single" w:color="auto" w:sz="4" w:space="0"/>
            </w:tcBorders>
          </w:tcPr>
          <w:p w14:paraId="2260C6C7">
            <w:pPr>
              <w:rPr>
                <w:rFonts w:cs="Cambria"/>
              </w:rPr>
            </w:pPr>
            <w:r>
              <w:t>持有公司 5%以上股份股东的关联方</w:t>
            </w:r>
          </w:p>
        </w:tc>
      </w:tr>
      <w:tr w14:paraId="522E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8BCC219">
            <w:pPr>
              <w:rPr>
                <w:rFonts w:cs="Cambria"/>
              </w:rPr>
            </w:pPr>
            <w:r>
              <w:t>宁波吉利罗佑发动机零部件有限公司</w:t>
            </w:r>
          </w:p>
        </w:tc>
        <w:tc>
          <w:tcPr>
            <w:tcW w:w="2030" w:type="pct"/>
            <w:tcBorders>
              <w:top w:val="single" w:color="auto" w:sz="4" w:space="0"/>
              <w:left w:val="single" w:color="auto" w:sz="4" w:space="0"/>
              <w:bottom w:val="single" w:color="auto" w:sz="4" w:space="0"/>
              <w:right w:val="single" w:color="auto" w:sz="4" w:space="0"/>
            </w:tcBorders>
          </w:tcPr>
          <w:p w14:paraId="7C6F3AC8">
            <w:pPr>
              <w:rPr>
                <w:rFonts w:cs="Cambria"/>
              </w:rPr>
            </w:pPr>
            <w:r>
              <w:t>持有公司 5%以上股份股东的关联方</w:t>
            </w:r>
          </w:p>
        </w:tc>
      </w:tr>
      <w:tr w14:paraId="12F1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E6D91F2">
            <w:pPr>
              <w:rPr>
                <w:rFonts w:cs="Cambria"/>
              </w:rPr>
            </w:pPr>
            <w:r>
              <w:t>宁波吉利汽车研究开发有限公司</w:t>
            </w:r>
          </w:p>
        </w:tc>
        <w:tc>
          <w:tcPr>
            <w:tcW w:w="2030" w:type="pct"/>
            <w:tcBorders>
              <w:top w:val="single" w:color="auto" w:sz="4" w:space="0"/>
              <w:left w:val="single" w:color="auto" w:sz="4" w:space="0"/>
              <w:bottom w:val="single" w:color="auto" w:sz="4" w:space="0"/>
              <w:right w:val="single" w:color="auto" w:sz="4" w:space="0"/>
            </w:tcBorders>
          </w:tcPr>
          <w:p w14:paraId="7C84EFD7">
            <w:pPr>
              <w:rPr>
                <w:rFonts w:cs="Cambria"/>
              </w:rPr>
            </w:pPr>
            <w:r>
              <w:t>持有公司 5%以上股份股东的关联方</w:t>
            </w:r>
          </w:p>
        </w:tc>
      </w:tr>
      <w:tr w14:paraId="4CD0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8F3BB1A">
            <w:pPr>
              <w:rPr>
                <w:rFonts w:cs="Cambria"/>
              </w:rPr>
            </w:pPr>
            <w:r>
              <w:t>宁波前湾新区吉研后勤服务有限公司</w:t>
            </w:r>
          </w:p>
        </w:tc>
        <w:tc>
          <w:tcPr>
            <w:tcW w:w="2030" w:type="pct"/>
            <w:tcBorders>
              <w:top w:val="single" w:color="auto" w:sz="4" w:space="0"/>
              <w:left w:val="single" w:color="auto" w:sz="4" w:space="0"/>
              <w:bottom w:val="single" w:color="auto" w:sz="4" w:space="0"/>
              <w:right w:val="single" w:color="auto" w:sz="4" w:space="0"/>
            </w:tcBorders>
          </w:tcPr>
          <w:p w14:paraId="695DC164">
            <w:pPr>
              <w:rPr>
                <w:rFonts w:cs="Cambria"/>
              </w:rPr>
            </w:pPr>
            <w:r>
              <w:t>持有公司 5%以上股份股东的关联方</w:t>
            </w:r>
          </w:p>
        </w:tc>
      </w:tr>
      <w:tr w14:paraId="36C5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07A8C350">
            <w:pPr>
              <w:rPr>
                <w:rFonts w:cs="Cambria"/>
              </w:rPr>
            </w:pPr>
            <w:r>
              <w:t>启征新能源汽车（济南）有限公司</w:t>
            </w:r>
          </w:p>
        </w:tc>
        <w:tc>
          <w:tcPr>
            <w:tcW w:w="2030" w:type="pct"/>
            <w:tcBorders>
              <w:top w:val="single" w:color="auto" w:sz="4" w:space="0"/>
              <w:left w:val="single" w:color="auto" w:sz="4" w:space="0"/>
              <w:bottom w:val="single" w:color="auto" w:sz="4" w:space="0"/>
              <w:right w:val="single" w:color="auto" w:sz="4" w:space="0"/>
            </w:tcBorders>
          </w:tcPr>
          <w:p w14:paraId="70598EBB">
            <w:pPr>
              <w:rPr>
                <w:rFonts w:cs="Cambria"/>
              </w:rPr>
            </w:pPr>
            <w:r>
              <w:t>持有公司 5%以上股份股东的关联方</w:t>
            </w:r>
          </w:p>
        </w:tc>
      </w:tr>
      <w:tr w14:paraId="5E12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18E8FE1">
            <w:pPr>
              <w:rPr>
                <w:rFonts w:cs="Cambria"/>
              </w:rPr>
            </w:pPr>
            <w:r>
              <w:t>钱江雷霆（北京）科技有限公司</w:t>
            </w:r>
          </w:p>
        </w:tc>
        <w:tc>
          <w:tcPr>
            <w:tcW w:w="2030" w:type="pct"/>
            <w:tcBorders>
              <w:top w:val="single" w:color="auto" w:sz="4" w:space="0"/>
              <w:left w:val="single" w:color="auto" w:sz="4" w:space="0"/>
              <w:bottom w:val="single" w:color="auto" w:sz="4" w:space="0"/>
              <w:right w:val="single" w:color="auto" w:sz="4" w:space="0"/>
            </w:tcBorders>
          </w:tcPr>
          <w:p w14:paraId="65328480">
            <w:pPr>
              <w:rPr>
                <w:rFonts w:cs="Cambria"/>
              </w:rPr>
            </w:pPr>
            <w:r>
              <w:t>持有公司 5%以上股份股东的关联方</w:t>
            </w:r>
          </w:p>
        </w:tc>
      </w:tr>
      <w:tr w14:paraId="47C9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6857F2F">
            <w:pPr>
              <w:rPr>
                <w:rFonts w:cs="Cambria"/>
              </w:rPr>
            </w:pPr>
            <w:r>
              <w:t>青岛领吉星汽车销售服务有限公司</w:t>
            </w:r>
          </w:p>
        </w:tc>
        <w:tc>
          <w:tcPr>
            <w:tcW w:w="2030" w:type="pct"/>
            <w:tcBorders>
              <w:top w:val="single" w:color="auto" w:sz="4" w:space="0"/>
              <w:left w:val="single" w:color="auto" w:sz="4" w:space="0"/>
              <w:bottom w:val="single" w:color="auto" w:sz="4" w:space="0"/>
              <w:right w:val="single" w:color="auto" w:sz="4" w:space="0"/>
            </w:tcBorders>
          </w:tcPr>
          <w:p w14:paraId="7A6D2249">
            <w:pPr>
              <w:rPr>
                <w:rFonts w:cs="Cambria"/>
              </w:rPr>
            </w:pPr>
            <w:r>
              <w:t>持有公司 5%以上股份股东的关联方</w:t>
            </w:r>
          </w:p>
        </w:tc>
      </w:tr>
      <w:tr w14:paraId="6281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0EB1FF10">
            <w:pPr>
              <w:rPr>
                <w:rFonts w:cs="Cambria"/>
              </w:rPr>
            </w:pPr>
            <w:r>
              <w:t>山东吉利新能源商用车有限公司</w:t>
            </w:r>
          </w:p>
        </w:tc>
        <w:tc>
          <w:tcPr>
            <w:tcW w:w="2030" w:type="pct"/>
            <w:tcBorders>
              <w:top w:val="single" w:color="auto" w:sz="4" w:space="0"/>
              <w:left w:val="single" w:color="auto" w:sz="4" w:space="0"/>
              <w:bottom w:val="single" w:color="auto" w:sz="4" w:space="0"/>
              <w:right w:val="single" w:color="auto" w:sz="4" w:space="0"/>
            </w:tcBorders>
          </w:tcPr>
          <w:p w14:paraId="5D92C44E">
            <w:pPr>
              <w:rPr>
                <w:rFonts w:cs="Cambria"/>
              </w:rPr>
            </w:pPr>
            <w:r>
              <w:t>持有公司 5%以上股份股东的关联方</w:t>
            </w:r>
          </w:p>
        </w:tc>
      </w:tr>
      <w:tr w14:paraId="725B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27B14747">
            <w:pPr>
              <w:rPr>
                <w:rFonts w:cs="Cambria"/>
              </w:rPr>
            </w:pPr>
            <w:r>
              <w:t>山西吉利汽车部件有限公司</w:t>
            </w:r>
          </w:p>
        </w:tc>
        <w:tc>
          <w:tcPr>
            <w:tcW w:w="2030" w:type="pct"/>
            <w:tcBorders>
              <w:top w:val="single" w:color="auto" w:sz="4" w:space="0"/>
              <w:left w:val="single" w:color="auto" w:sz="4" w:space="0"/>
              <w:bottom w:val="single" w:color="auto" w:sz="4" w:space="0"/>
              <w:right w:val="single" w:color="auto" w:sz="4" w:space="0"/>
            </w:tcBorders>
          </w:tcPr>
          <w:p w14:paraId="57083EBE">
            <w:pPr>
              <w:rPr>
                <w:rFonts w:cs="Cambria"/>
              </w:rPr>
            </w:pPr>
            <w:r>
              <w:t>持有公司 5%以上股份股东的关联方</w:t>
            </w:r>
          </w:p>
        </w:tc>
      </w:tr>
      <w:tr w14:paraId="2DA4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7849480">
            <w:pPr>
              <w:rPr>
                <w:rFonts w:cs="Cambria"/>
              </w:rPr>
            </w:pPr>
            <w:r>
              <w:t>上海星矢数海科技有限公司</w:t>
            </w:r>
          </w:p>
        </w:tc>
        <w:tc>
          <w:tcPr>
            <w:tcW w:w="2030" w:type="pct"/>
            <w:tcBorders>
              <w:top w:val="single" w:color="auto" w:sz="4" w:space="0"/>
              <w:left w:val="single" w:color="auto" w:sz="4" w:space="0"/>
              <w:bottom w:val="single" w:color="auto" w:sz="4" w:space="0"/>
              <w:right w:val="single" w:color="auto" w:sz="4" w:space="0"/>
            </w:tcBorders>
          </w:tcPr>
          <w:p w14:paraId="4441DC13">
            <w:pPr>
              <w:rPr>
                <w:rFonts w:cs="Cambria"/>
              </w:rPr>
            </w:pPr>
            <w:r>
              <w:t>持有公司 5%以上股份股东的关联方</w:t>
            </w:r>
          </w:p>
        </w:tc>
      </w:tr>
      <w:tr w14:paraId="2193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F061539">
            <w:pPr>
              <w:rPr>
                <w:rFonts w:cs="Cambria"/>
              </w:rPr>
            </w:pPr>
            <w:r>
              <w:t>四川领克汽车制造有限公司</w:t>
            </w:r>
          </w:p>
        </w:tc>
        <w:tc>
          <w:tcPr>
            <w:tcW w:w="2030" w:type="pct"/>
            <w:tcBorders>
              <w:top w:val="single" w:color="auto" w:sz="4" w:space="0"/>
              <w:left w:val="single" w:color="auto" w:sz="4" w:space="0"/>
              <w:bottom w:val="single" w:color="auto" w:sz="4" w:space="0"/>
              <w:right w:val="single" w:color="auto" w:sz="4" w:space="0"/>
            </w:tcBorders>
          </w:tcPr>
          <w:p w14:paraId="4768FBE1">
            <w:pPr>
              <w:rPr>
                <w:rFonts w:cs="Cambria"/>
              </w:rPr>
            </w:pPr>
            <w:r>
              <w:t>持有公司 5%以上股份股东的关联方</w:t>
            </w:r>
          </w:p>
        </w:tc>
      </w:tr>
      <w:tr w14:paraId="6EC0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E5AE7E7">
            <w:pPr>
              <w:rPr>
                <w:rFonts w:cs="Cambria"/>
              </w:rPr>
            </w:pPr>
            <w:r>
              <w:t>苏州市吉利优行电子科技有限公司</w:t>
            </w:r>
          </w:p>
        </w:tc>
        <w:tc>
          <w:tcPr>
            <w:tcW w:w="2030" w:type="pct"/>
            <w:tcBorders>
              <w:top w:val="single" w:color="auto" w:sz="4" w:space="0"/>
              <w:left w:val="single" w:color="auto" w:sz="4" w:space="0"/>
              <w:bottom w:val="single" w:color="auto" w:sz="4" w:space="0"/>
              <w:right w:val="single" w:color="auto" w:sz="4" w:space="0"/>
            </w:tcBorders>
          </w:tcPr>
          <w:p w14:paraId="407F4D2E">
            <w:pPr>
              <w:rPr>
                <w:rFonts w:cs="Cambria"/>
              </w:rPr>
            </w:pPr>
            <w:r>
              <w:t>持有公司 5%以上股份股东的关联方</w:t>
            </w:r>
          </w:p>
        </w:tc>
      </w:tr>
      <w:tr w14:paraId="7D60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F4930AE">
            <w:pPr>
              <w:rPr>
                <w:rFonts w:cs="Cambria"/>
              </w:rPr>
            </w:pPr>
            <w:r>
              <w:t>天津易易唤能科技有限公司</w:t>
            </w:r>
          </w:p>
        </w:tc>
        <w:tc>
          <w:tcPr>
            <w:tcW w:w="2030" w:type="pct"/>
            <w:tcBorders>
              <w:top w:val="single" w:color="auto" w:sz="4" w:space="0"/>
              <w:left w:val="single" w:color="auto" w:sz="4" w:space="0"/>
              <w:bottom w:val="single" w:color="auto" w:sz="4" w:space="0"/>
              <w:right w:val="single" w:color="auto" w:sz="4" w:space="0"/>
            </w:tcBorders>
          </w:tcPr>
          <w:p w14:paraId="65DD7F11">
            <w:pPr>
              <w:rPr>
                <w:rFonts w:cs="Cambria"/>
              </w:rPr>
            </w:pPr>
            <w:r>
              <w:t>持有公司 5%以上股份股东的关联方</w:t>
            </w:r>
          </w:p>
        </w:tc>
      </w:tr>
      <w:tr w14:paraId="7F27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CEADF4F">
            <w:pPr>
              <w:rPr>
                <w:rFonts w:cs="Cambria"/>
              </w:rPr>
            </w:pPr>
            <w:r>
              <w:t>武汉路特斯科技有限公司</w:t>
            </w:r>
          </w:p>
        </w:tc>
        <w:tc>
          <w:tcPr>
            <w:tcW w:w="2030" w:type="pct"/>
            <w:tcBorders>
              <w:top w:val="single" w:color="auto" w:sz="4" w:space="0"/>
              <w:left w:val="single" w:color="auto" w:sz="4" w:space="0"/>
              <w:bottom w:val="single" w:color="auto" w:sz="4" w:space="0"/>
              <w:right w:val="single" w:color="auto" w:sz="4" w:space="0"/>
            </w:tcBorders>
          </w:tcPr>
          <w:p w14:paraId="5985DACD">
            <w:pPr>
              <w:rPr>
                <w:rFonts w:cs="Cambria"/>
              </w:rPr>
            </w:pPr>
            <w:r>
              <w:t>持有公司 5%以上股份股东的关联方</w:t>
            </w:r>
          </w:p>
        </w:tc>
      </w:tr>
      <w:tr w14:paraId="3C83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37504CE">
            <w:pPr>
              <w:rPr>
                <w:rFonts w:cs="Cambria"/>
              </w:rPr>
            </w:pPr>
            <w:r>
              <w:t>西安吉利汽车有限公司</w:t>
            </w:r>
          </w:p>
        </w:tc>
        <w:tc>
          <w:tcPr>
            <w:tcW w:w="2030" w:type="pct"/>
            <w:tcBorders>
              <w:top w:val="single" w:color="auto" w:sz="4" w:space="0"/>
              <w:left w:val="single" w:color="auto" w:sz="4" w:space="0"/>
              <w:bottom w:val="single" w:color="auto" w:sz="4" w:space="0"/>
              <w:right w:val="single" w:color="auto" w:sz="4" w:space="0"/>
            </w:tcBorders>
          </w:tcPr>
          <w:p w14:paraId="2B462196">
            <w:pPr>
              <w:rPr>
                <w:rFonts w:cs="Cambria"/>
              </w:rPr>
            </w:pPr>
            <w:r>
              <w:t>持有公司 5%以上股份股东的关联方</w:t>
            </w:r>
          </w:p>
        </w:tc>
      </w:tr>
      <w:tr w14:paraId="7FBB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44721E4">
            <w:pPr>
              <w:rPr>
                <w:rFonts w:cs="Cambria"/>
              </w:rPr>
            </w:pPr>
            <w:r>
              <w:t>义乌吉利动力总成有限公司</w:t>
            </w:r>
          </w:p>
        </w:tc>
        <w:tc>
          <w:tcPr>
            <w:tcW w:w="2030" w:type="pct"/>
            <w:tcBorders>
              <w:top w:val="single" w:color="auto" w:sz="4" w:space="0"/>
              <w:left w:val="single" w:color="auto" w:sz="4" w:space="0"/>
              <w:bottom w:val="single" w:color="auto" w:sz="4" w:space="0"/>
              <w:right w:val="single" w:color="auto" w:sz="4" w:space="0"/>
            </w:tcBorders>
          </w:tcPr>
          <w:p w14:paraId="07EBE4F9">
            <w:pPr>
              <w:rPr>
                <w:rFonts w:cs="Cambria"/>
              </w:rPr>
            </w:pPr>
            <w:r>
              <w:t>持有公司 5%以上股份股东的关联方</w:t>
            </w:r>
          </w:p>
        </w:tc>
      </w:tr>
      <w:tr w14:paraId="34F1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599AF02">
            <w:pPr>
              <w:rPr>
                <w:rFonts w:cs="Cambria"/>
              </w:rPr>
            </w:pPr>
            <w:r>
              <w:t>余姚领克汽车部件有限公司</w:t>
            </w:r>
          </w:p>
        </w:tc>
        <w:tc>
          <w:tcPr>
            <w:tcW w:w="2030" w:type="pct"/>
            <w:tcBorders>
              <w:top w:val="single" w:color="auto" w:sz="4" w:space="0"/>
              <w:left w:val="single" w:color="auto" w:sz="4" w:space="0"/>
              <w:bottom w:val="single" w:color="auto" w:sz="4" w:space="0"/>
              <w:right w:val="single" w:color="auto" w:sz="4" w:space="0"/>
            </w:tcBorders>
          </w:tcPr>
          <w:p w14:paraId="53DBDE6E">
            <w:pPr>
              <w:rPr>
                <w:rFonts w:cs="Cambria"/>
              </w:rPr>
            </w:pPr>
            <w:r>
              <w:t>持有公司 5%以上股份股东的关联方</w:t>
            </w:r>
          </w:p>
        </w:tc>
      </w:tr>
      <w:tr w14:paraId="4E1E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CDBCEEE">
            <w:pPr>
              <w:rPr>
                <w:rFonts w:cs="Cambria"/>
              </w:rPr>
            </w:pPr>
            <w:r>
              <w:t>原力数能（重庆）科技有限公司</w:t>
            </w:r>
          </w:p>
        </w:tc>
        <w:tc>
          <w:tcPr>
            <w:tcW w:w="2030" w:type="pct"/>
            <w:tcBorders>
              <w:top w:val="single" w:color="auto" w:sz="4" w:space="0"/>
              <w:left w:val="single" w:color="auto" w:sz="4" w:space="0"/>
              <w:bottom w:val="single" w:color="auto" w:sz="4" w:space="0"/>
              <w:right w:val="single" w:color="auto" w:sz="4" w:space="0"/>
            </w:tcBorders>
          </w:tcPr>
          <w:p w14:paraId="379E4732">
            <w:pPr>
              <w:rPr>
                <w:rFonts w:cs="Cambria"/>
              </w:rPr>
            </w:pPr>
            <w:r>
              <w:t>持有公司 5%以上股份股东的关联方</w:t>
            </w:r>
          </w:p>
        </w:tc>
      </w:tr>
      <w:tr w14:paraId="4CDA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223D236">
            <w:pPr>
              <w:rPr>
                <w:rFonts w:cs="Cambria"/>
              </w:rPr>
            </w:pPr>
            <w:r>
              <w:t>浙江锋锐发动机有限公司</w:t>
            </w:r>
          </w:p>
        </w:tc>
        <w:tc>
          <w:tcPr>
            <w:tcW w:w="2030" w:type="pct"/>
            <w:tcBorders>
              <w:top w:val="single" w:color="auto" w:sz="4" w:space="0"/>
              <w:left w:val="single" w:color="auto" w:sz="4" w:space="0"/>
              <w:bottom w:val="single" w:color="auto" w:sz="4" w:space="0"/>
              <w:right w:val="single" w:color="auto" w:sz="4" w:space="0"/>
            </w:tcBorders>
          </w:tcPr>
          <w:p w14:paraId="63444366">
            <w:pPr>
              <w:rPr>
                <w:rFonts w:cs="Cambria"/>
              </w:rPr>
            </w:pPr>
            <w:r>
              <w:t>持有公司 5%以上股份股东的关联方</w:t>
            </w:r>
          </w:p>
        </w:tc>
      </w:tr>
      <w:tr w14:paraId="01FA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4C25504">
            <w:pPr>
              <w:rPr>
                <w:rFonts w:cs="Cambria"/>
              </w:rPr>
            </w:pPr>
            <w:r>
              <w:t>浙江豪情汽车制造有限公司</w:t>
            </w:r>
          </w:p>
        </w:tc>
        <w:tc>
          <w:tcPr>
            <w:tcW w:w="2030" w:type="pct"/>
            <w:tcBorders>
              <w:top w:val="single" w:color="auto" w:sz="4" w:space="0"/>
              <w:left w:val="single" w:color="auto" w:sz="4" w:space="0"/>
              <w:bottom w:val="single" w:color="auto" w:sz="4" w:space="0"/>
              <w:right w:val="single" w:color="auto" w:sz="4" w:space="0"/>
            </w:tcBorders>
          </w:tcPr>
          <w:p w14:paraId="5E446C45">
            <w:pPr>
              <w:rPr>
                <w:rFonts w:cs="Cambria"/>
              </w:rPr>
            </w:pPr>
            <w:r>
              <w:t>持有公司 5%以上股份股东的关联方</w:t>
            </w:r>
          </w:p>
        </w:tc>
      </w:tr>
      <w:tr w14:paraId="1740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EB257A4">
            <w:pPr>
              <w:rPr>
                <w:rFonts w:cs="Cambria"/>
              </w:rPr>
            </w:pPr>
            <w:r>
              <w:t>浙江寰福科技有限公司</w:t>
            </w:r>
          </w:p>
        </w:tc>
        <w:tc>
          <w:tcPr>
            <w:tcW w:w="2030" w:type="pct"/>
            <w:tcBorders>
              <w:top w:val="single" w:color="auto" w:sz="4" w:space="0"/>
              <w:left w:val="single" w:color="auto" w:sz="4" w:space="0"/>
              <w:bottom w:val="single" w:color="auto" w:sz="4" w:space="0"/>
              <w:right w:val="single" w:color="auto" w:sz="4" w:space="0"/>
            </w:tcBorders>
          </w:tcPr>
          <w:p w14:paraId="1AD923D9">
            <w:pPr>
              <w:rPr>
                <w:rFonts w:cs="Cambria"/>
              </w:rPr>
            </w:pPr>
            <w:r>
              <w:t>持有公司 5%以上股份股东的关联方</w:t>
            </w:r>
          </w:p>
        </w:tc>
      </w:tr>
      <w:tr w14:paraId="173F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066042B">
            <w:pPr>
              <w:rPr>
                <w:rFonts w:cs="Cambria"/>
              </w:rPr>
            </w:pPr>
            <w:r>
              <w:t>浙江吉利教育科技有限公司</w:t>
            </w:r>
          </w:p>
        </w:tc>
        <w:tc>
          <w:tcPr>
            <w:tcW w:w="2030" w:type="pct"/>
            <w:tcBorders>
              <w:top w:val="single" w:color="auto" w:sz="4" w:space="0"/>
              <w:left w:val="single" w:color="auto" w:sz="4" w:space="0"/>
              <w:bottom w:val="single" w:color="auto" w:sz="4" w:space="0"/>
              <w:right w:val="single" w:color="auto" w:sz="4" w:space="0"/>
            </w:tcBorders>
          </w:tcPr>
          <w:p w14:paraId="54BAA456">
            <w:pPr>
              <w:rPr>
                <w:rFonts w:cs="Cambria"/>
              </w:rPr>
            </w:pPr>
            <w:r>
              <w:t>持有公司 5%以上股份股东的关联方</w:t>
            </w:r>
          </w:p>
        </w:tc>
      </w:tr>
      <w:tr w14:paraId="4A22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3474219">
            <w:pPr>
              <w:rPr>
                <w:rFonts w:cs="Cambria"/>
              </w:rPr>
            </w:pPr>
            <w:r>
              <w:t>浙江吉利控股集团汽车销售有限公司</w:t>
            </w:r>
          </w:p>
        </w:tc>
        <w:tc>
          <w:tcPr>
            <w:tcW w:w="2030" w:type="pct"/>
            <w:tcBorders>
              <w:top w:val="single" w:color="auto" w:sz="4" w:space="0"/>
              <w:left w:val="single" w:color="auto" w:sz="4" w:space="0"/>
              <w:bottom w:val="single" w:color="auto" w:sz="4" w:space="0"/>
              <w:right w:val="single" w:color="auto" w:sz="4" w:space="0"/>
            </w:tcBorders>
          </w:tcPr>
          <w:p w14:paraId="0FBFBF82">
            <w:pPr>
              <w:rPr>
                <w:rFonts w:cs="Cambria"/>
              </w:rPr>
            </w:pPr>
            <w:r>
              <w:t>持有公司 5%以上股份股东的关联方</w:t>
            </w:r>
          </w:p>
        </w:tc>
      </w:tr>
      <w:tr w14:paraId="71C5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2A7900DC">
            <w:pPr>
              <w:rPr>
                <w:rFonts w:cs="Cambria"/>
              </w:rPr>
            </w:pPr>
            <w:r>
              <w:t>浙江吉利控股集团有限公司</w:t>
            </w:r>
          </w:p>
        </w:tc>
        <w:tc>
          <w:tcPr>
            <w:tcW w:w="2030" w:type="pct"/>
            <w:tcBorders>
              <w:top w:val="single" w:color="auto" w:sz="4" w:space="0"/>
              <w:left w:val="single" w:color="auto" w:sz="4" w:space="0"/>
              <w:bottom w:val="single" w:color="auto" w:sz="4" w:space="0"/>
              <w:right w:val="single" w:color="auto" w:sz="4" w:space="0"/>
            </w:tcBorders>
          </w:tcPr>
          <w:p w14:paraId="7F22B6A2">
            <w:pPr>
              <w:rPr>
                <w:rFonts w:cs="Cambria"/>
              </w:rPr>
            </w:pPr>
            <w:r>
              <w:t>持有公司 5%以上股份股东的关联方</w:t>
            </w:r>
          </w:p>
        </w:tc>
      </w:tr>
      <w:tr w14:paraId="7099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CF3798F">
            <w:pPr>
              <w:rPr>
                <w:rFonts w:cs="Cambria"/>
              </w:rPr>
            </w:pPr>
            <w:r>
              <w:t>浙江吉利汽车备件有限公司</w:t>
            </w:r>
          </w:p>
        </w:tc>
        <w:tc>
          <w:tcPr>
            <w:tcW w:w="2030" w:type="pct"/>
            <w:tcBorders>
              <w:top w:val="single" w:color="auto" w:sz="4" w:space="0"/>
              <w:left w:val="single" w:color="auto" w:sz="4" w:space="0"/>
              <w:bottom w:val="single" w:color="auto" w:sz="4" w:space="0"/>
              <w:right w:val="single" w:color="auto" w:sz="4" w:space="0"/>
            </w:tcBorders>
          </w:tcPr>
          <w:p w14:paraId="638B4315">
            <w:pPr>
              <w:rPr>
                <w:rFonts w:cs="Cambria"/>
              </w:rPr>
            </w:pPr>
            <w:r>
              <w:t>持有公司 5%以上股份股东的关联方</w:t>
            </w:r>
          </w:p>
        </w:tc>
      </w:tr>
      <w:tr w14:paraId="057F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5D9284B">
            <w:pPr>
              <w:rPr>
                <w:rFonts w:cs="Cambria"/>
              </w:rPr>
            </w:pPr>
            <w:r>
              <w:t>浙江吉利汽车工程技术开发有限公司</w:t>
            </w:r>
          </w:p>
        </w:tc>
        <w:tc>
          <w:tcPr>
            <w:tcW w:w="2030" w:type="pct"/>
            <w:tcBorders>
              <w:top w:val="single" w:color="auto" w:sz="4" w:space="0"/>
              <w:left w:val="single" w:color="auto" w:sz="4" w:space="0"/>
              <w:bottom w:val="single" w:color="auto" w:sz="4" w:space="0"/>
              <w:right w:val="single" w:color="auto" w:sz="4" w:space="0"/>
            </w:tcBorders>
          </w:tcPr>
          <w:p w14:paraId="36EB8CA7">
            <w:pPr>
              <w:rPr>
                <w:rFonts w:cs="Cambria"/>
              </w:rPr>
            </w:pPr>
            <w:r>
              <w:t>持有公司 5%以上股份股东的关联方</w:t>
            </w:r>
          </w:p>
        </w:tc>
      </w:tr>
      <w:tr w14:paraId="62E4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107F20C">
            <w:pPr>
              <w:rPr>
                <w:rFonts w:cs="Cambria"/>
              </w:rPr>
            </w:pPr>
            <w:r>
              <w:t>浙江吉利汽车国际贸易有限公司</w:t>
            </w:r>
          </w:p>
        </w:tc>
        <w:tc>
          <w:tcPr>
            <w:tcW w:w="2030" w:type="pct"/>
            <w:tcBorders>
              <w:top w:val="single" w:color="auto" w:sz="4" w:space="0"/>
              <w:left w:val="single" w:color="auto" w:sz="4" w:space="0"/>
              <w:bottom w:val="single" w:color="auto" w:sz="4" w:space="0"/>
              <w:right w:val="single" w:color="auto" w:sz="4" w:space="0"/>
            </w:tcBorders>
          </w:tcPr>
          <w:p w14:paraId="78DD7525">
            <w:pPr>
              <w:rPr>
                <w:rFonts w:cs="Cambria"/>
              </w:rPr>
            </w:pPr>
            <w:r>
              <w:t>持有公司 5%以上股份股东的关联方</w:t>
            </w:r>
          </w:p>
        </w:tc>
      </w:tr>
      <w:tr w14:paraId="6F92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3021976">
            <w:pPr>
              <w:rPr>
                <w:rFonts w:cs="Cambria"/>
              </w:rPr>
            </w:pPr>
            <w:r>
              <w:t>浙江吉利汽车有限公司</w:t>
            </w:r>
          </w:p>
        </w:tc>
        <w:tc>
          <w:tcPr>
            <w:tcW w:w="2030" w:type="pct"/>
            <w:tcBorders>
              <w:top w:val="single" w:color="auto" w:sz="4" w:space="0"/>
              <w:left w:val="single" w:color="auto" w:sz="4" w:space="0"/>
              <w:bottom w:val="single" w:color="auto" w:sz="4" w:space="0"/>
              <w:right w:val="single" w:color="auto" w:sz="4" w:space="0"/>
            </w:tcBorders>
          </w:tcPr>
          <w:p w14:paraId="6297AB44">
            <w:pPr>
              <w:rPr>
                <w:rFonts w:cs="Cambria"/>
              </w:rPr>
            </w:pPr>
            <w:r>
              <w:t>持有公司 5%以上股份股东的关联方</w:t>
            </w:r>
          </w:p>
        </w:tc>
      </w:tr>
      <w:tr w14:paraId="576D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921DF32">
            <w:pPr>
              <w:rPr>
                <w:rFonts w:cs="Cambria"/>
              </w:rPr>
            </w:pPr>
            <w:r>
              <w:t>浙江吉利商务服务有限公司</w:t>
            </w:r>
          </w:p>
        </w:tc>
        <w:tc>
          <w:tcPr>
            <w:tcW w:w="2030" w:type="pct"/>
            <w:tcBorders>
              <w:top w:val="single" w:color="auto" w:sz="4" w:space="0"/>
              <w:left w:val="single" w:color="auto" w:sz="4" w:space="0"/>
              <w:bottom w:val="single" w:color="auto" w:sz="4" w:space="0"/>
              <w:right w:val="single" w:color="auto" w:sz="4" w:space="0"/>
            </w:tcBorders>
          </w:tcPr>
          <w:p w14:paraId="037C6CFD">
            <w:pPr>
              <w:rPr>
                <w:rFonts w:cs="Cambria"/>
              </w:rPr>
            </w:pPr>
            <w:r>
              <w:t>持有公司 5%以上股份股东的关联方</w:t>
            </w:r>
          </w:p>
        </w:tc>
      </w:tr>
      <w:tr w14:paraId="30E1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2E6A036B">
            <w:pPr>
              <w:rPr>
                <w:rFonts w:cs="Cambria"/>
              </w:rPr>
            </w:pPr>
            <w:r>
              <w:t>浙江吉速物流有限公司</w:t>
            </w:r>
          </w:p>
        </w:tc>
        <w:tc>
          <w:tcPr>
            <w:tcW w:w="2030" w:type="pct"/>
            <w:tcBorders>
              <w:top w:val="single" w:color="auto" w:sz="4" w:space="0"/>
              <w:left w:val="single" w:color="auto" w:sz="4" w:space="0"/>
              <w:bottom w:val="single" w:color="auto" w:sz="4" w:space="0"/>
              <w:right w:val="single" w:color="auto" w:sz="4" w:space="0"/>
            </w:tcBorders>
          </w:tcPr>
          <w:p w14:paraId="3411FB49">
            <w:pPr>
              <w:rPr>
                <w:rFonts w:cs="Cambria"/>
              </w:rPr>
            </w:pPr>
            <w:r>
              <w:t>持有公司 5%以上股份股东的关联方</w:t>
            </w:r>
          </w:p>
        </w:tc>
      </w:tr>
      <w:tr w14:paraId="0B6B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5DDAA79">
            <w:pPr>
              <w:rPr>
                <w:rFonts w:cs="Cambria"/>
              </w:rPr>
            </w:pPr>
            <w:r>
              <w:t>浙江吉信资源循环科技有限公司</w:t>
            </w:r>
          </w:p>
        </w:tc>
        <w:tc>
          <w:tcPr>
            <w:tcW w:w="2030" w:type="pct"/>
            <w:tcBorders>
              <w:top w:val="single" w:color="auto" w:sz="4" w:space="0"/>
              <w:left w:val="single" w:color="auto" w:sz="4" w:space="0"/>
              <w:bottom w:val="single" w:color="auto" w:sz="4" w:space="0"/>
              <w:right w:val="single" w:color="auto" w:sz="4" w:space="0"/>
            </w:tcBorders>
          </w:tcPr>
          <w:p w14:paraId="03E1E06B">
            <w:pPr>
              <w:rPr>
                <w:rFonts w:cs="Cambria"/>
              </w:rPr>
            </w:pPr>
            <w:r>
              <w:t>持有公司 5%以上股份股东的关联方</w:t>
            </w:r>
          </w:p>
        </w:tc>
      </w:tr>
      <w:tr w14:paraId="54C2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25794789">
            <w:pPr>
              <w:rPr>
                <w:rFonts w:cs="Cambria"/>
              </w:rPr>
            </w:pPr>
            <w:r>
              <w:t>浙江吉智新能源汽车科技有限公司</w:t>
            </w:r>
          </w:p>
        </w:tc>
        <w:tc>
          <w:tcPr>
            <w:tcW w:w="2030" w:type="pct"/>
            <w:tcBorders>
              <w:top w:val="single" w:color="auto" w:sz="4" w:space="0"/>
              <w:left w:val="single" w:color="auto" w:sz="4" w:space="0"/>
              <w:bottom w:val="single" w:color="auto" w:sz="4" w:space="0"/>
              <w:right w:val="single" w:color="auto" w:sz="4" w:space="0"/>
            </w:tcBorders>
          </w:tcPr>
          <w:p w14:paraId="38BA0E43">
            <w:pPr>
              <w:rPr>
                <w:rFonts w:cs="Cambria"/>
              </w:rPr>
            </w:pPr>
            <w:r>
              <w:t>持有公司 5%以上股份股东的关联方</w:t>
            </w:r>
          </w:p>
        </w:tc>
      </w:tr>
      <w:tr w14:paraId="5D50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1EF39A4">
            <w:pPr>
              <w:rPr>
                <w:rFonts w:cs="Cambria"/>
              </w:rPr>
            </w:pPr>
            <w:r>
              <w:t>浙江利民实业集团有限公司</w:t>
            </w:r>
          </w:p>
        </w:tc>
        <w:tc>
          <w:tcPr>
            <w:tcW w:w="2030" w:type="pct"/>
            <w:tcBorders>
              <w:top w:val="single" w:color="auto" w:sz="4" w:space="0"/>
              <w:left w:val="single" w:color="auto" w:sz="4" w:space="0"/>
              <w:bottom w:val="single" w:color="auto" w:sz="4" w:space="0"/>
              <w:right w:val="single" w:color="auto" w:sz="4" w:space="0"/>
            </w:tcBorders>
          </w:tcPr>
          <w:p w14:paraId="41831887">
            <w:pPr>
              <w:rPr>
                <w:rFonts w:cs="Cambria"/>
              </w:rPr>
            </w:pPr>
            <w:r>
              <w:t>持有公司 5%以上股份股东的关联方</w:t>
            </w:r>
          </w:p>
        </w:tc>
      </w:tr>
      <w:tr w14:paraId="7F2D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EB9F851">
            <w:pPr>
              <w:rPr>
                <w:rFonts w:cs="Cambria"/>
              </w:rPr>
            </w:pPr>
            <w:r>
              <w:t>浙江陆虎汽车有限公司</w:t>
            </w:r>
          </w:p>
        </w:tc>
        <w:tc>
          <w:tcPr>
            <w:tcW w:w="2030" w:type="pct"/>
            <w:tcBorders>
              <w:top w:val="single" w:color="auto" w:sz="4" w:space="0"/>
              <w:left w:val="single" w:color="auto" w:sz="4" w:space="0"/>
              <w:bottom w:val="single" w:color="auto" w:sz="4" w:space="0"/>
              <w:right w:val="single" w:color="auto" w:sz="4" w:space="0"/>
            </w:tcBorders>
          </w:tcPr>
          <w:p w14:paraId="3F7824ED">
            <w:pPr>
              <w:rPr>
                <w:rFonts w:cs="Cambria"/>
              </w:rPr>
            </w:pPr>
            <w:r>
              <w:t>持有公司 5%以上股份股东的关联方</w:t>
            </w:r>
          </w:p>
        </w:tc>
      </w:tr>
      <w:tr w14:paraId="55C1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0C08E66B">
            <w:pPr>
              <w:rPr>
                <w:rFonts w:cs="Cambria"/>
              </w:rPr>
            </w:pPr>
            <w:r>
              <w:t>浙江绿色智行科创有限公司</w:t>
            </w:r>
          </w:p>
        </w:tc>
        <w:tc>
          <w:tcPr>
            <w:tcW w:w="2030" w:type="pct"/>
            <w:tcBorders>
              <w:top w:val="single" w:color="auto" w:sz="4" w:space="0"/>
              <w:left w:val="single" w:color="auto" w:sz="4" w:space="0"/>
              <w:bottom w:val="single" w:color="auto" w:sz="4" w:space="0"/>
              <w:right w:val="single" w:color="auto" w:sz="4" w:space="0"/>
            </w:tcBorders>
          </w:tcPr>
          <w:p w14:paraId="4C7C4075">
            <w:pPr>
              <w:rPr>
                <w:rFonts w:cs="Cambria"/>
              </w:rPr>
            </w:pPr>
            <w:r>
              <w:t>持有公司 5%以上股份股东的关联方</w:t>
            </w:r>
          </w:p>
        </w:tc>
      </w:tr>
      <w:tr w14:paraId="7867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F67082F">
            <w:pPr>
              <w:rPr>
                <w:rFonts w:cs="Cambria"/>
              </w:rPr>
            </w:pPr>
            <w:r>
              <w:t>浙江美可达摩托车有限公司</w:t>
            </w:r>
          </w:p>
        </w:tc>
        <w:tc>
          <w:tcPr>
            <w:tcW w:w="2030" w:type="pct"/>
            <w:tcBorders>
              <w:top w:val="single" w:color="auto" w:sz="4" w:space="0"/>
              <w:left w:val="single" w:color="auto" w:sz="4" w:space="0"/>
              <w:bottom w:val="single" w:color="auto" w:sz="4" w:space="0"/>
              <w:right w:val="single" w:color="auto" w:sz="4" w:space="0"/>
            </w:tcBorders>
          </w:tcPr>
          <w:p w14:paraId="2EB1DC93">
            <w:pPr>
              <w:rPr>
                <w:rFonts w:cs="Cambria"/>
              </w:rPr>
            </w:pPr>
            <w:r>
              <w:t>持有公司 5%以上股份股东的关联方</w:t>
            </w:r>
          </w:p>
        </w:tc>
      </w:tr>
      <w:tr w14:paraId="3484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FC9A5C0">
            <w:pPr>
              <w:rPr>
                <w:rFonts w:cs="Cambria"/>
              </w:rPr>
            </w:pPr>
            <w:r>
              <w:t>浙江铭岛汽车配件销售有限公司</w:t>
            </w:r>
          </w:p>
        </w:tc>
        <w:tc>
          <w:tcPr>
            <w:tcW w:w="2030" w:type="pct"/>
            <w:tcBorders>
              <w:top w:val="single" w:color="auto" w:sz="4" w:space="0"/>
              <w:left w:val="single" w:color="auto" w:sz="4" w:space="0"/>
              <w:bottom w:val="single" w:color="auto" w:sz="4" w:space="0"/>
              <w:right w:val="single" w:color="auto" w:sz="4" w:space="0"/>
            </w:tcBorders>
          </w:tcPr>
          <w:p w14:paraId="35E886B3">
            <w:pPr>
              <w:rPr>
                <w:rFonts w:cs="Cambria"/>
              </w:rPr>
            </w:pPr>
            <w:r>
              <w:t>持有公司 5%以上股份股东的关联方</w:t>
            </w:r>
          </w:p>
        </w:tc>
      </w:tr>
      <w:tr w14:paraId="50D0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387F4DD">
            <w:pPr>
              <w:rPr>
                <w:rFonts w:cs="Cambria"/>
              </w:rPr>
            </w:pPr>
            <w:r>
              <w:t>浙江铭岛实业有限公司</w:t>
            </w:r>
          </w:p>
        </w:tc>
        <w:tc>
          <w:tcPr>
            <w:tcW w:w="2030" w:type="pct"/>
            <w:tcBorders>
              <w:top w:val="single" w:color="auto" w:sz="4" w:space="0"/>
              <w:left w:val="single" w:color="auto" w:sz="4" w:space="0"/>
              <w:bottom w:val="single" w:color="auto" w:sz="4" w:space="0"/>
              <w:right w:val="single" w:color="auto" w:sz="4" w:space="0"/>
            </w:tcBorders>
          </w:tcPr>
          <w:p w14:paraId="21C9ABC9">
            <w:pPr>
              <w:rPr>
                <w:rFonts w:cs="Cambria"/>
              </w:rPr>
            </w:pPr>
            <w:r>
              <w:t>持有公司 5%以上股份股东的关联方</w:t>
            </w:r>
          </w:p>
        </w:tc>
      </w:tr>
      <w:tr w14:paraId="510D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8C03525">
            <w:pPr>
              <w:rPr>
                <w:rFonts w:cs="Cambria"/>
              </w:rPr>
            </w:pPr>
            <w:r>
              <w:t>浙江钱江摩托股份有限公司</w:t>
            </w:r>
          </w:p>
        </w:tc>
        <w:tc>
          <w:tcPr>
            <w:tcW w:w="2030" w:type="pct"/>
            <w:tcBorders>
              <w:top w:val="single" w:color="auto" w:sz="4" w:space="0"/>
              <w:left w:val="single" w:color="auto" w:sz="4" w:space="0"/>
              <w:bottom w:val="single" w:color="auto" w:sz="4" w:space="0"/>
              <w:right w:val="single" w:color="auto" w:sz="4" w:space="0"/>
            </w:tcBorders>
          </w:tcPr>
          <w:p w14:paraId="60C3C29A">
            <w:pPr>
              <w:rPr>
                <w:rFonts w:cs="Cambria"/>
              </w:rPr>
            </w:pPr>
            <w:r>
              <w:t>持有公司 5%以上股份股东的关联方</w:t>
            </w:r>
          </w:p>
        </w:tc>
      </w:tr>
      <w:tr w14:paraId="4E74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0CE59E14">
            <w:pPr>
              <w:rPr>
                <w:rFonts w:cs="Cambria"/>
              </w:rPr>
            </w:pPr>
            <w:r>
              <w:t>浙江轩孚科技有限公司</w:t>
            </w:r>
          </w:p>
        </w:tc>
        <w:tc>
          <w:tcPr>
            <w:tcW w:w="2030" w:type="pct"/>
            <w:tcBorders>
              <w:top w:val="single" w:color="auto" w:sz="4" w:space="0"/>
              <w:left w:val="single" w:color="auto" w:sz="4" w:space="0"/>
              <w:bottom w:val="single" w:color="auto" w:sz="4" w:space="0"/>
              <w:right w:val="single" w:color="auto" w:sz="4" w:space="0"/>
            </w:tcBorders>
          </w:tcPr>
          <w:p w14:paraId="5FEE27A7">
            <w:pPr>
              <w:rPr>
                <w:rFonts w:cs="Cambria"/>
              </w:rPr>
            </w:pPr>
            <w:r>
              <w:t>持有公司 5%以上股份股东的关联方</w:t>
            </w:r>
          </w:p>
        </w:tc>
      </w:tr>
      <w:tr w14:paraId="2B72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488904B">
            <w:pPr>
              <w:rPr>
                <w:rFonts w:cs="Cambria"/>
              </w:rPr>
            </w:pPr>
            <w:r>
              <w:t>浙江翼真汽车研究开发有限公司</w:t>
            </w:r>
          </w:p>
        </w:tc>
        <w:tc>
          <w:tcPr>
            <w:tcW w:w="2030" w:type="pct"/>
            <w:tcBorders>
              <w:top w:val="single" w:color="auto" w:sz="4" w:space="0"/>
              <w:left w:val="single" w:color="auto" w:sz="4" w:space="0"/>
              <w:bottom w:val="single" w:color="auto" w:sz="4" w:space="0"/>
              <w:right w:val="single" w:color="auto" w:sz="4" w:space="0"/>
            </w:tcBorders>
          </w:tcPr>
          <w:p w14:paraId="16147FAA">
            <w:pPr>
              <w:rPr>
                <w:rFonts w:cs="Cambria"/>
              </w:rPr>
            </w:pPr>
            <w:r>
              <w:t>持有公司 5%以上股份股东的关联方</w:t>
            </w:r>
          </w:p>
        </w:tc>
      </w:tr>
      <w:tr w14:paraId="584A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D966749">
            <w:pPr>
              <w:rPr>
                <w:rFonts w:cs="Cambria"/>
              </w:rPr>
            </w:pPr>
            <w:r>
              <w:t>浙江远景汽配有限公司</w:t>
            </w:r>
          </w:p>
        </w:tc>
        <w:tc>
          <w:tcPr>
            <w:tcW w:w="2030" w:type="pct"/>
            <w:tcBorders>
              <w:top w:val="single" w:color="auto" w:sz="4" w:space="0"/>
              <w:left w:val="single" w:color="auto" w:sz="4" w:space="0"/>
              <w:bottom w:val="single" w:color="auto" w:sz="4" w:space="0"/>
              <w:right w:val="single" w:color="auto" w:sz="4" w:space="0"/>
            </w:tcBorders>
          </w:tcPr>
          <w:p w14:paraId="6E053189">
            <w:pPr>
              <w:rPr>
                <w:rFonts w:cs="Cambria"/>
              </w:rPr>
            </w:pPr>
            <w:r>
              <w:t>持有公司 5%以上股份股东的关联方</w:t>
            </w:r>
          </w:p>
        </w:tc>
      </w:tr>
      <w:tr w14:paraId="20C8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3ED45C3">
            <w:pPr>
              <w:rPr>
                <w:rFonts w:cs="Cambria"/>
              </w:rPr>
            </w:pPr>
            <w:r>
              <w:t>重庆力帆红星商业管理有限公司</w:t>
            </w:r>
          </w:p>
        </w:tc>
        <w:tc>
          <w:tcPr>
            <w:tcW w:w="2030" w:type="pct"/>
            <w:tcBorders>
              <w:top w:val="single" w:color="auto" w:sz="4" w:space="0"/>
              <w:left w:val="single" w:color="auto" w:sz="4" w:space="0"/>
              <w:bottom w:val="single" w:color="auto" w:sz="4" w:space="0"/>
              <w:right w:val="single" w:color="auto" w:sz="4" w:space="0"/>
            </w:tcBorders>
          </w:tcPr>
          <w:p w14:paraId="309A0BEE">
            <w:pPr>
              <w:rPr>
                <w:rFonts w:cs="Cambria"/>
              </w:rPr>
            </w:pPr>
            <w:r>
              <w:t>持有公司 5%以上股份股东的关联方</w:t>
            </w:r>
          </w:p>
        </w:tc>
      </w:tr>
      <w:tr w14:paraId="3A1B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2D2E727">
            <w:pPr>
              <w:rPr>
                <w:rFonts w:cs="Cambria"/>
              </w:rPr>
            </w:pPr>
            <w:r>
              <w:t>重庆新润商业管理有限公司</w:t>
            </w:r>
          </w:p>
        </w:tc>
        <w:tc>
          <w:tcPr>
            <w:tcW w:w="2030" w:type="pct"/>
            <w:tcBorders>
              <w:top w:val="single" w:color="auto" w:sz="4" w:space="0"/>
              <w:left w:val="single" w:color="auto" w:sz="4" w:space="0"/>
              <w:bottom w:val="single" w:color="auto" w:sz="4" w:space="0"/>
              <w:right w:val="single" w:color="auto" w:sz="4" w:space="0"/>
            </w:tcBorders>
          </w:tcPr>
          <w:p w14:paraId="2FFA8DB9">
            <w:pPr>
              <w:rPr>
                <w:rFonts w:cs="Cambria"/>
              </w:rPr>
            </w:pPr>
            <w:r>
              <w:t>持有公司 5%以上股份股东的关联方</w:t>
            </w:r>
          </w:p>
        </w:tc>
      </w:tr>
      <w:tr w14:paraId="2A2E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5E5EBBF">
            <w:pPr>
              <w:rPr>
                <w:rFonts w:cs="Cambria"/>
              </w:rPr>
            </w:pPr>
            <w:r>
              <w:t>重庆幸福千万家汽车销售有限公司</w:t>
            </w:r>
          </w:p>
        </w:tc>
        <w:tc>
          <w:tcPr>
            <w:tcW w:w="2030" w:type="pct"/>
            <w:tcBorders>
              <w:top w:val="single" w:color="auto" w:sz="4" w:space="0"/>
              <w:left w:val="single" w:color="auto" w:sz="4" w:space="0"/>
              <w:bottom w:val="single" w:color="auto" w:sz="4" w:space="0"/>
              <w:right w:val="single" w:color="auto" w:sz="4" w:space="0"/>
            </w:tcBorders>
          </w:tcPr>
          <w:p w14:paraId="7091F346">
            <w:pPr>
              <w:rPr>
                <w:rFonts w:cs="Cambria"/>
              </w:rPr>
            </w:pPr>
            <w:r>
              <w:t>持有公司 5%以上股份股东的关联方</w:t>
            </w:r>
          </w:p>
        </w:tc>
      </w:tr>
      <w:tr w14:paraId="10BB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B8B7704">
            <w:pPr>
              <w:rPr>
                <w:rFonts w:cs="Cambria"/>
              </w:rPr>
            </w:pPr>
            <w:r>
              <w:t>重庆裕弘昇物业管理有限公司</w:t>
            </w:r>
          </w:p>
        </w:tc>
        <w:tc>
          <w:tcPr>
            <w:tcW w:w="2030" w:type="pct"/>
            <w:tcBorders>
              <w:top w:val="single" w:color="auto" w:sz="4" w:space="0"/>
              <w:left w:val="single" w:color="auto" w:sz="4" w:space="0"/>
              <w:bottom w:val="single" w:color="auto" w:sz="4" w:space="0"/>
              <w:right w:val="single" w:color="auto" w:sz="4" w:space="0"/>
            </w:tcBorders>
          </w:tcPr>
          <w:p w14:paraId="1061BDCE">
            <w:pPr>
              <w:rPr>
                <w:rFonts w:cs="Cambria"/>
              </w:rPr>
            </w:pPr>
            <w:r>
              <w:t>持有公司 5%以上股份股东的关联方</w:t>
            </w:r>
          </w:p>
        </w:tc>
      </w:tr>
      <w:tr w14:paraId="2021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C186420">
            <w:pPr>
              <w:rPr>
                <w:rFonts w:cs="Cambria"/>
              </w:rPr>
            </w:pPr>
            <w:r>
              <w:t>杭州优行科技有限公司</w:t>
            </w:r>
          </w:p>
        </w:tc>
        <w:tc>
          <w:tcPr>
            <w:tcW w:w="2030" w:type="pct"/>
            <w:tcBorders>
              <w:top w:val="single" w:color="auto" w:sz="4" w:space="0"/>
              <w:left w:val="single" w:color="auto" w:sz="4" w:space="0"/>
              <w:bottom w:val="single" w:color="auto" w:sz="4" w:space="0"/>
              <w:right w:val="single" w:color="auto" w:sz="4" w:space="0"/>
            </w:tcBorders>
          </w:tcPr>
          <w:p w14:paraId="4EC61509">
            <w:pPr>
              <w:rPr>
                <w:rFonts w:cs="Cambria"/>
              </w:rPr>
            </w:pPr>
            <w:r>
              <w:t>持有公司 5%以上股份股东的关联方</w:t>
            </w:r>
          </w:p>
        </w:tc>
      </w:tr>
      <w:tr w14:paraId="3435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0765DF1">
            <w:pPr>
              <w:rPr>
                <w:rFonts w:cs="Cambria"/>
              </w:rPr>
            </w:pPr>
            <w:r>
              <w:t>重庆盼达汽车租赁有限公司</w:t>
            </w:r>
          </w:p>
        </w:tc>
        <w:tc>
          <w:tcPr>
            <w:tcW w:w="2030" w:type="pct"/>
            <w:tcBorders>
              <w:top w:val="single" w:color="auto" w:sz="4" w:space="0"/>
              <w:left w:val="single" w:color="auto" w:sz="4" w:space="0"/>
              <w:bottom w:val="single" w:color="auto" w:sz="4" w:space="0"/>
              <w:right w:val="single" w:color="auto" w:sz="4" w:space="0"/>
            </w:tcBorders>
          </w:tcPr>
          <w:p w14:paraId="67FEC76E">
            <w:pPr>
              <w:rPr>
                <w:rFonts w:cs="Cambria"/>
              </w:rPr>
            </w:pPr>
            <w:r>
              <w:t>持有公司 5%以上股份股东的关联方</w:t>
            </w:r>
          </w:p>
        </w:tc>
      </w:tr>
      <w:tr w14:paraId="1446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0D5A511D">
            <w:pPr>
              <w:rPr>
                <w:rFonts w:cs="Cambria"/>
              </w:rPr>
            </w:pPr>
            <w:r>
              <w:t>浙江枫盛汽车销售有限公司</w:t>
            </w:r>
          </w:p>
        </w:tc>
        <w:tc>
          <w:tcPr>
            <w:tcW w:w="2030" w:type="pct"/>
            <w:tcBorders>
              <w:top w:val="single" w:color="auto" w:sz="4" w:space="0"/>
              <w:left w:val="single" w:color="auto" w:sz="4" w:space="0"/>
              <w:bottom w:val="single" w:color="auto" w:sz="4" w:space="0"/>
              <w:right w:val="single" w:color="auto" w:sz="4" w:space="0"/>
            </w:tcBorders>
          </w:tcPr>
          <w:p w14:paraId="5CE6909D">
            <w:pPr>
              <w:rPr>
                <w:rFonts w:cs="Cambria"/>
              </w:rPr>
            </w:pPr>
            <w:r>
              <w:t>持有公司 5%以上股份股东的关联方</w:t>
            </w:r>
          </w:p>
        </w:tc>
      </w:tr>
      <w:tr w14:paraId="44F6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70212C9">
            <w:pPr>
              <w:rPr>
                <w:rFonts w:cs="Cambria"/>
              </w:rPr>
            </w:pPr>
            <w:r>
              <w:t>浙江翼真汽车销售有限公司</w:t>
            </w:r>
          </w:p>
        </w:tc>
        <w:tc>
          <w:tcPr>
            <w:tcW w:w="2030" w:type="pct"/>
            <w:tcBorders>
              <w:top w:val="single" w:color="auto" w:sz="4" w:space="0"/>
              <w:left w:val="single" w:color="auto" w:sz="4" w:space="0"/>
              <w:bottom w:val="single" w:color="auto" w:sz="4" w:space="0"/>
              <w:right w:val="single" w:color="auto" w:sz="4" w:space="0"/>
            </w:tcBorders>
          </w:tcPr>
          <w:p w14:paraId="2597A088">
            <w:pPr>
              <w:rPr>
                <w:rFonts w:cs="Cambria"/>
              </w:rPr>
            </w:pPr>
            <w:r>
              <w:t>持有公司 5%以上股份股东的关联方</w:t>
            </w:r>
          </w:p>
        </w:tc>
      </w:tr>
      <w:tr w14:paraId="7446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879642F">
            <w:pPr>
              <w:rPr>
                <w:rFonts w:cs="Cambria"/>
              </w:rPr>
            </w:pPr>
            <w:r>
              <w:t>杭州众悦出行科技有限公司</w:t>
            </w:r>
          </w:p>
        </w:tc>
        <w:tc>
          <w:tcPr>
            <w:tcW w:w="2030" w:type="pct"/>
            <w:tcBorders>
              <w:top w:val="single" w:color="auto" w:sz="4" w:space="0"/>
              <w:left w:val="single" w:color="auto" w:sz="4" w:space="0"/>
              <w:bottom w:val="single" w:color="auto" w:sz="4" w:space="0"/>
              <w:right w:val="single" w:color="auto" w:sz="4" w:space="0"/>
            </w:tcBorders>
          </w:tcPr>
          <w:p w14:paraId="24052416">
            <w:pPr>
              <w:rPr>
                <w:rFonts w:cs="Cambria"/>
              </w:rPr>
            </w:pPr>
            <w:r>
              <w:t>持有公司 5%以上股份股东的关联方</w:t>
            </w:r>
          </w:p>
        </w:tc>
      </w:tr>
      <w:tr w14:paraId="7216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11200FF">
            <w:pPr>
              <w:rPr>
                <w:rFonts w:cs="Cambria"/>
              </w:rPr>
            </w:pPr>
            <w:r>
              <w:t>启征新能源汽车销售（济南）有限公司</w:t>
            </w:r>
          </w:p>
        </w:tc>
        <w:tc>
          <w:tcPr>
            <w:tcW w:w="2030" w:type="pct"/>
            <w:tcBorders>
              <w:top w:val="single" w:color="auto" w:sz="4" w:space="0"/>
              <w:left w:val="single" w:color="auto" w:sz="4" w:space="0"/>
              <w:bottom w:val="single" w:color="auto" w:sz="4" w:space="0"/>
              <w:right w:val="single" w:color="auto" w:sz="4" w:space="0"/>
            </w:tcBorders>
          </w:tcPr>
          <w:p w14:paraId="6ABD0FE0">
            <w:pPr>
              <w:rPr>
                <w:rFonts w:cs="Cambria"/>
              </w:rPr>
            </w:pPr>
            <w:r>
              <w:t>持有公司 5%以上股份股东的关联方</w:t>
            </w:r>
          </w:p>
        </w:tc>
      </w:tr>
      <w:tr w14:paraId="5D8B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4433F89">
            <w:pPr>
              <w:rPr>
                <w:rFonts w:cs="Cambria"/>
              </w:rPr>
            </w:pPr>
            <w:r>
              <w:t>广西田林百矿铝业有限公司</w:t>
            </w:r>
          </w:p>
        </w:tc>
        <w:tc>
          <w:tcPr>
            <w:tcW w:w="2030" w:type="pct"/>
            <w:tcBorders>
              <w:top w:val="single" w:color="auto" w:sz="4" w:space="0"/>
              <w:left w:val="single" w:color="auto" w:sz="4" w:space="0"/>
              <w:bottom w:val="single" w:color="auto" w:sz="4" w:space="0"/>
              <w:right w:val="single" w:color="auto" w:sz="4" w:space="0"/>
            </w:tcBorders>
          </w:tcPr>
          <w:p w14:paraId="52E95C6F">
            <w:pPr>
              <w:rPr>
                <w:rFonts w:cs="Cambria"/>
              </w:rPr>
            </w:pPr>
            <w:r>
              <w:t>持有公司 5%以上股份股东的关联方</w:t>
            </w:r>
          </w:p>
        </w:tc>
      </w:tr>
      <w:tr w14:paraId="6BF7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E810075">
            <w:pPr>
              <w:rPr>
                <w:rFonts w:cs="Cambria"/>
              </w:rPr>
            </w:pPr>
            <w:r>
              <w:t>广西德保百矿铝业有限公司</w:t>
            </w:r>
          </w:p>
        </w:tc>
        <w:tc>
          <w:tcPr>
            <w:tcW w:w="2030" w:type="pct"/>
            <w:tcBorders>
              <w:top w:val="single" w:color="auto" w:sz="4" w:space="0"/>
              <w:left w:val="single" w:color="auto" w:sz="4" w:space="0"/>
              <w:bottom w:val="single" w:color="auto" w:sz="4" w:space="0"/>
              <w:right w:val="single" w:color="auto" w:sz="4" w:space="0"/>
            </w:tcBorders>
          </w:tcPr>
          <w:p w14:paraId="15FB7D05">
            <w:pPr>
              <w:rPr>
                <w:rFonts w:cs="Cambria"/>
              </w:rPr>
            </w:pPr>
            <w:r>
              <w:t>持有公司 5%以上股份股东的关联方</w:t>
            </w:r>
          </w:p>
        </w:tc>
      </w:tr>
      <w:tr w14:paraId="25CF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2162FD0C">
            <w:pPr>
              <w:rPr>
                <w:rFonts w:cs="Cambria"/>
              </w:rPr>
            </w:pPr>
            <w:r>
              <w:t>广西百矿铝业有限公司</w:t>
            </w:r>
          </w:p>
        </w:tc>
        <w:tc>
          <w:tcPr>
            <w:tcW w:w="2030" w:type="pct"/>
            <w:tcBorders>
              <w:top w:val="single" w:color="auto" w:sz="4" w:space="0"/>
              <w:left w:val="single" w:color="auto" w:sz="4" w:space="0"/>
              <w:bottom w:val="single" w:color="auto" w:sz="4" w:space="0"/>
              <w:right w:val="single" w:color="auto" w:sz="4" w:space="0"/>
            </w:tcBorders>
          </w:tcPr>
          <w:p w14:paraId="6D926F94">
            <w:pPr>
              <w:rPr>
                <w:rFonts w:cs="Cambria"/>
              </w:rPr>
            </w:pPr>
            <w:r>
              <w:t>持有公司 5%以上股份股东的关联方</w:t>
            </w:r>
          </w:p>
        </w:tc>
      </w:tr>
      <w:tr w14:paraId="6755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F9A150F">
            <w:pPr>
              <w:rPr>
                <w:rFonts w:cs="Cambria"/>
              </w:rPr>
            </w:pPr>
            <w:r>
              <w:t>义乌领克汽车有限公司</w:t>
            </w:r>
          </w:p>
        </w:tc>
        <w:tc>
          <w:tcPr>
            <w:tcW w:w="2030" w:type="pct"/>
            <w:tcBorders>
              <w:top w:val="single" w:color="auto" w:sz="4" w:space="0"/>
              <w:left w:val="single" w:color="auto" w:sz="4" w:space="0"/>
              <w:bottom w:val="single" w:color="auto" w:sz="4" w:space="0"/>
              <w:right w:val="single" w:color="auto" w:sz="4" w:space="0"/>
            </w:tcBorders>
          </w:tcPr>
          <w:p w14:paraId="7526AA07">
            <w:pPr>
              <w:rPr>
                <w:rFonts w:cs="Cambria"/>
              </w:rPr>
            </w:pPr>
            <w:r>
              <w:t>持有公司 5%以上股份股东的关联方</w:t>
            </w:r>
          </w:p>
        </w:tc>
      </w:tr>
      <w:tr w14:paraId="0816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E4BB0C6">
            <w:pPr>
              <w:rPr>
                <w:rFonts w:cs="Cambria"/>
              </w:rPr>
            </w:pPr>
            <w:r>
              <w:t>易易互联科技有限公司</w:t>
            </w:r>
          </w:p>
        </w:tc>
        <w:tc>
          <w:tcPr>
            <w:tcW w:w="2030" w:type="pct"/>
            <w:tcBorders>
              <w:top w:val="single" w:color="auto" w:sz="4" w:space="0"/>
              <w:left w:val="single" w:color="auto" w:sz="4" w:space="0"/>
              <w:bottom w:val="single" w:color="auto" w:sz="4" w:space="0"/>
              <w:right w:val="single" w:color="auto" w:sz="4" w:space="0"/>
            </w:tcBorders>
          </w:tcPr>
          <w:p w14:paraId="18C992EB">
            <w:pPr>
              <w:rPr>
                <w:rFonts w:cs="Cambria"/>
              </w:rPr>
            </w:pPr>
            <w:r>
              <w:t>持有公司 5%以上股份股东的关联方</w:t>
            </w:r>
          </w:p>
        </w:tc>
      </w:tr>
      <w:tr w14:paraId="10B6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FEE5D04">
            <w:pPr>
              <w:rPr>
                <w:rFonts w:cs="Cambria"/>
              </w:rPr>
            </w:pPr>
            <w:r>
              <w:t>吉利汽车集团有限公司</w:t>
            </w:r>
          </w:p>
        </w:tc>
        <w:tc>
          <w:tcPr>
            <w:tcW w:w="2030" w:type="pct"/>
            <w:tcBorders>
              <w:top w:val="single" w:color="auto" w:sz="4" w:space="0"/>
              <w:left w:val="single" w:color="auto" w:sz="4" w:space="0"/>
              <w:bottom w:val="single" w:color="auto" w:sz="4" w:space="0"/>
              <w:right w:val="single" w:color="auto" w:sz="4" w:space="0"/>
            </w:tcBorders>
          </w:tcPr>
          <w:p w14:paraId="06734F54">
            <w:pPr>
              <w:rPr>
                <w:rFonts w:cs="Cambria"/>
              </w:rPr>
            </w:pPr>
            <w:r>
              <w:t>持有公司 5%以上股份股东的关联方</w:t>
            </w:r>
          </w:p>
        </w:tc>
      </w:tr>
      <w:tr w14:paraId="0C20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6A452FD">
            <w:pPr>
              <w:rPr>
                <w:rFonts w:cs="Cambria"/>
              </w:rPr>
            </w:pPr>
            <w:r>
              <w:t>广域铭岛数字科技有限公司</w:t>
            </w:r>
          </w:p>
        </w:tc>
        <w:tc>
          <w:tcPr>
            <w:tcW w:w="2030" w:type="pct"/>
            <w:tcBorders>
              <w:top w:val="single" w:color="auto" w:sz="4" w:space="0"/>
              <w:left w:val="single" w:color="auto" w:sz="4" w:space="0"/>
              <w:bottom w:val="single" w:color="auto" w:sz="4" w:space="0"/>
              <w:right w:val="single" w:color="auto" w:sz="4" w:space="0"/>
            </w:tcBorders>
          </w:tcPr>
          <w:p w14:paraId="79109491">
            <w:pPr>
              <w:rPr>
                <w:rFonts w:cs="Cambria"/>
              </w:rPr>
            </w:pPr>
            <w:r>
              <w:t>持有公司 5%以上股份股东的关联方</w:t>
            </w:r>
          </w:p>
        </w:tc>
      </w:tr>
      <w:tr w14:paraId="0153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1C23CC0">
            <w:pPr>
              <w:rPr>
                <w:rFonts w:cs="Cambria"/>
              </w:rPr>
            </w:pPr>
            <w:r>
              <w:t>宁波吉润汽车部件有限公司</w:t>
            </w:r>
          </w:p>
        </w:tc>
        <w:tc>
          <w:tcPr>
            <w:tcW w:w="2030" w:type="pct"/>
            <w:tcBorders>
              <w:top w:val="single" w:color="auto" w:sz="4" w:space="0"/>
              <w:left w:val="single" w:color="auto" w:sz="4" w:space="0"/>
              <w:bottom w:val="single" w:color="auto" w:sz="4" w:space="0"/>
              <w:right w:val="single" w:color="auto" w:sz="4" w:space="0"/>
            </w:tcBorders>
          </w:tcPr>
          <w:p w14:paraId="23A162AD">
            <w:pPr>
              <w:rPr>
                <w:rFonts w:cs="Cambria"/>
              </w:rPr>
            </w:pPr>
            <w:r>
              <w:t>持有公司 5%以上股份股东的关联方</w:t>
            </w:r>
          </w:p>
        </w:tc>
      </w:tr>
      <w:tr w14:paraId="7B02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1EE4871">
            <w:pPr>
              <w:rPr>
                <w:rFonts w:cs="Cambria"/>
              </w:rPr>
            </w:pPr>
            <w:r>
              <w:t>苏州易易互联科技有限责任公司</w:t>
            </w:r>
          </w:p>
        </w:tc>
        <w:tc>
          <w:tcPr>
            <w:tcW w:w="2030" w:type="pct"/>
            <w:tcBorders>
              <w:top w:val="single" w:color="auto" w:sz="4" w:space="0"/>
              <w:left w:val="single" w:color="auto" w:sz="4" w:space="0"/>
              <w:bottom w:val="single" w:color="auto" w:sz="4" w:space="0"/>
              <w:right w:val="single" w:color="auto" w:sz="4" w:space="0"/>
            </w:tcBorders>
          </w:tcPr>
          <w:p w14:paraId="5D5E056B">
            <w:pPr>
              <w:rPr>
                <w:rFonts w:cs="Cambria"/>
              </w:rPr>
            </w:pPr>
            <w:r>
              <w:t>持有公司 5%以上股份股东的关联方</w:t>
            </w:r>
          </w:p>
        </w:tc>
      </w:tr>
      <w:tr w14:paraId="2BD2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36A5E5E3">
            <w:pPr>
              <w:rPr>
                <w:rFonts w:cs="Cambria"/>
              </w:rPr>
            </w:pPr>
            <w:r>
              <w:t>浙江枫盛汽车科技有限公司</w:t>
            </w:r>
          </w:p>
        </w:tc>
        <w:tc>
          <w:tcPr>
            <w:tcW w:w="2030" w:type="pct"/>
            <w:tcBorders>
              <w:top w:val="single" w:color="auto" w:sz="4" w:space="0"/>
              <w:left w:val="single" w:color="auto" w:sz="4" w:space="0"/>
              <w:bottom w:val="single" w:color="auto" w:sz="4" w:space="0"/>
              <w:right w:val="single" w:color="auto" w:sz="4" w:space="0"/>
            </w:tcBorders>
          </w:tcPr>
          <w:p w14:paraId="157104D1">
            <w:pPr>
              <w:rPr>
                <w:rFonts w:cs="Cambria"/>
              </w:rPr>
            </w:pPr>
            <w:r>
              <w:t>持有公司 5%以上股份股东的关联方</w:t>
            </w:r>
          </w:p>
        </w:tc>
      </w:tr>
      <w:tr w14:paraId="5F94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6963E6C">
            <w:pPr>
              <w:rPr>
                <w:rFonts w:cs="Cambria"/>
              </w:rPr>
            </w:pPr>
            <w:r>
              <w:t>浙江吉润汽车有限公司</w:t>
            </w:r>
          </w:p>
        </w:tc>
        <w:tc>
          <w:tcPr>
            <w:tcW w:w="2030" w:type="pct"/>
            <w:tcBorders>
              <w:top w:val="single" w:color="auto" w:sz="4" w:space="0"/>
              <w:left w:val="single" w:color="auto" w:sz="4" w:space="0"/>
              <w:bottom w:val="single" w:color="auto" w:sz="4" w:space="0"/>
              <w:right w:val="single" w:color="auto" w:sz="4" w:space="0"/>
            </w:tcBorders>
          </w:tcPr>
          <w:p w14:paraId="0CE59BBD">
            <w:pPr>
              <w:rPr>
                <w:rFonts w:cs="Cambria"/>
              </w:rPr>
            </w:pPr>
            <w:r>
              <w:t>持有公司 5%以上股份股东的关联方</w:t>
            </w:r>
          </w:p>
        </w:tc>
      </w:tr>
      <w:tr w14:paraId="185C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B5BD150">
            <w:pPr>
              <w:rPr>
                <w:rFonts w:cs="Cambria"/>
              </w:rPr>
            </w:pPr>
            <w:r>
              <w:t>浙江吉利汽车技术有限公司</w:t>
            </w:r>
          </w:p>
        </w:tc>
        <w:tc>
          <w:tcPr>
            <w:tcW w:w="2030" w:type="pct"/>
            <w:tcBorders>
              <w:top w:val="single" w:color="auto" w:sz="4" w:space="0"/>
              <w:left w:val="single" w:color="auto" w:sz="4" w:space="0"/>
              <w:bottom w:val="single" w:color="auto" w:sz="4" w:space="0"/>
              <w:right w:val="single" w:color="auto" w:sz="4" w:space="0"/>
            </w:tcBorders>
          </w:tcPr>
          <w:p w14:paraId="6C79D13D">
            <w:pPr>
              <w:rPr>
                <w:rFonts w:cs="Cambria"/>
              </w:rPr>
            </w:pPr>
            <w:r>
              <w:t>持有公司 5%以上股份股东的关联方</w:t>
            </w:r>
          </w:p>
        </w:tc>
      </w:tr>
      <w:tr w14:paraId="61C4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05F88C9">
            <w:pPr>
              <w:rPr>
                <w:rFonts w:cs="Cambria"/>
              </w:rPr>
            </w:pPr>
            <w:r>
              <w:t>长兴吉利汽车部件有限公司</w:t>
            </w:r>
          </w:p>
        </w:tc>
        <w:tc>
          <w:tcPr>
            <w:tcW w:w="2030" w:type="pct"/>
            <w:tcBorders>
              <w:top w:val="single" w:color="auto" w:sz="4" w:space="0"/>
              <w:left w:val="single" w:color="auto" w:sz="4" w:space="0"/>
              <w:bottom w:val="single" w:color="auto" w:sz="4" w:space="0"/>
              <w:right w:val="single" w:color="auto" w:sz="4" w:space="0"/>
            </w:tcBorders>
          </w:tcPr>
          <w:p w14:paraId="2C0F4B35">
            <w:pPr>
              <w:rPr>
                <w:rFonts w:cs="Cambria"/>
              </w:rPr>
            </w:pPr>
            <w:r>
              <w:t>持有公司 5%以上股份股东的关联方</w:t>
            </w:r>
          </w:p>
        </w:tc>
      </w:tr>
      <w:tr w14:paraId="76C7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B107B35">
            <w:pPr>
              <w:rPr>
                <w:rFonts w:cs="Cambria"/>
              </w:rPr>
            </w:pPr>
            <w:r>
              <w:t>浙江吉速供应链管理有限公司</w:t>
            </w:r>
          </w:p>
        </w:tc>
        <w:tc>
          <w:tcPr>
            <w:tcW w:w="2030" w:type="pct"/>
            <w:tcBorders>
              <w:top w:val="single" w:color="auto" w:sz="4" w:space="0"/>
              <w:left w:val="single" w:color="auto" w:sz="4" w:space="0"/>
              <w:bottom w:val="single" w:color="auto" w:sz="4" w:space="0"/>
              <w:right w:val="single" w:color="auto" w:sz="4" w:space="0"/>
            </w:tcBorders>
          </w:tcPr>
          <w:p w14:paraId="2253754D">
            <w:pPr>
              <w:rPr>
                <w:rFonts w:cs="Cambria"/>
              </w:rPr>
            </w:pPr>
            <w:r>
              <w:t>持有公司 5%以上股份股东的关联方</w:t>
            </w:r>
          </w:p>
        </w:tc>
      </w:tr>
      <w:tr w14:paraId="2367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8D0A8B7">
            <w:pPr>
              <w:rPr>
                <w:rFonts w:cs="Cambria"/>
              </w:rPr>
            </w:pPr>
            <w:r>
              <w:t>凯悦汽车大部件制造（张家口）有限公司</w:t>
            </w:r>
          </w:p>
        </w:tc>
        <w:tc>
          <w:tcPr>
            <w:tcW w:w="2030" w:type="pct"/>
            <w:tcBorders>
              <w:top w:val="single" w:color="auto" w:sz="4" w:space="0"/>
              <w:left w:val="single" w:color="auto" w:sz="4" w:space="0"/>
              <w:bottom w:val="single" w:color="auto" w:sz="4" w:space="0"/>
              <w:right w:val="single" w:color="auto" w:sz="4" w:space="0"/>
            </w:tcBorders>
          </w:tcPr>
          <w:p w14:paraId="27E5512B">
            <w:pPr>
              <w:rPr>
                <w:rFonts w:cs="Cambria"/>
              </w:rPr>
            </w:pPr>
            <w:r>
              <w:t>持有公司 5%以上股份股东的关联方</w:t>
            </w:r>
          </w:p>
        </w:tc>
      </w:tr>
      <w:tr w14:paraId="142C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5B534D1A">
            <w:pPr>
              <w:rPr>
                <w:rFonts w:cs="Cambria"/>
              </w:rPr>
            </w:pPr>
            <w:r>
              <w:t>上饶领创汽车检测技术有限公司</w:t>
            </w:r>
          </w:p>
        </w:tc>
        <w:tc>
          <w:tcPr>
            <w:tcW w:w="2030" w:type="pct"/>
            <w:tcBorders>
              <w:top w:val="single" w:color="auto" w:sz="4" w:space="0"/>
              <w:left w:val="single" w:color="auto" w:sz="4" w:space="0"/>
              <w:bottom w:val="single" w:color="auto" w:sz="4" w:space="0"/>
              <w:right w:val="single" w:color="auto" w:sz="4" w:space="0"/>
            </w:tcBorders>
          </w:tcPr>
          <w:p w14:paraId="25C1BAE9">
            <w:pPr>
              <w:rPr>
                <w:rFonts w:cs="Cambria"/>
              </w:rPr>
            </w:pPr>
            <w:r>
              <w:t>持有公司 5%以上股份股东的关联方</w:t>
            </w:r>
          </w:p>
        </w:tc>
      </w:tr>
      <w:tr w14:paraId="523E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F139D5C">
            <w:pPr>
              <w:rPr>
                <w:rFonts w:cs="Cambria"/>
              </w:rPr>
            </w:pPr>
            <w:r>
              <w:t>杭州吉利共享科技有限公司（曾用名:杭州轩宇企业咨询管理有限公司）</w:t>
            </w:r>
          </w:p>
        </w:tc>
        <w:tc>
          <w:tcPr>
            <w:tcW w:w="2030" w:type="pct"/>
            <w:tcBorders>
              <w:top w:val="single" w:color="auto" w:sz="4" w:space="0"/>
              <w:left w:val="single" w:color="auto" w:sz="4" w:space="0"/>
              <w:bottom w:val="single" w:color="auto" w:sz="4" w:space="0"/>
              <w:right w:val="single" w:color="auto" w:sz="4" w:space="0"/>
            </w:tcBorders>
          </w:tcPr>
          <w:p w14:paraId="2E88D420">
            <w:pPr>
              <w:rPr>
                <w:rFonts w:cs="Cambria"/>
              </w:rPr>
            </w:pPr>
            <w:r>
              <w:t>持有公司 5%以上股份股东的关联方</w:t>
            </w:r>
          </w:p>
        </w:tc>
      </w:tr>
      <w:tr w14:paraId="56A3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45A5322F">
            <w:pPr>
              <w:rPr>
                <w:rFonts w:cs="Cambria"/>
              </w:rPr>
            </w:pPr>
            <w:r>
              <w:t>重庆润鹏房地产开发有限公司</w:t>
            </w:r>
          </w:p>
        </w:tc>
        <w:tc>
          <w:tcPr>
            <w:tcW w:w="2030" w:type="pct"/>
            <w:tcBorders>
              <w:top w:val="single" w:color="auto" w:sz="4" w:space="0"/>
              <w:left w:val="single" w:color="auto" w:sz="4" w:space="0"/>
              <w:bottom w:val="single" w:color="auto" w:sz="4" w:space="0"/>
              <w:right w:val="single" w:color="auto" w:sz="4" w:space="0"/>
            </w:tcBorders>
          </w:tcPr>
          <w:p w14:paraId="6D8306AB">
            <w:pPr>
              <w:rPr>
                <w:rFonts w:cs="Cambria"/>
              </w:rPr>
            </w:pPr>
            <w:r>
              <w:t>持有公司 5%以上股份股东的关联方</w:t>
            </w:r>
          </w:p>
        </w:tc>
      </w:tr>
      <w:tr w14:paraId="2C77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41284A0">
            <w:pPr>
              <w:rPr>
                <w:rFonts w:cs="Cambria"/>
              </w:rPr>
            </w:pPr>
            <w:r>
              <w:t>浙江济底科技有限公司</w:t>
            </w:r>
          </w:p>
        </w:tc>
        <w:tc>
          <w:tcPr>
            <w:tcW w:w="2030" w:type="pct"/>
            <w:tcBorders>
              <w:top w:val="single" w:color="auto" w:sz="4" w:space="0"/>
              <w:left w:val="single" w:color="auto" w:sz="4" w:space="0"/>
              <w:bottom w:val="single" w:color="auto" w:sz="4" w:space="0"/>
              <w:right w:val="single" w:color="auto" w:sz="4" w:space="0"/>
            </w:tcBorders>
          </w:tcPr>
          <w:p w14:paraId="3576DFDE">
            <w:pPr>
              <w:rPr>
                <w:rFonts w:cs="Cambria"/>
              </w:rPr>
            </w:pPr>
            <w:r>
              <w:t>持有公司 5%以上股份股东的关联方</w:t>
            </w:r>
          </w:p>
        </w:tc>
      </w:tr>
      <w:tr w14:paraId="758E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FBFDBED">
            <w:pPr>
              <w:rPr>
                <w:rFonts w:cs="Cambria"/>
              </w:rPr>
            </w:pPr>
            <w:r>
              <w:t>山东吉利程达循环汽车销售服务有限公司</w:t>
            </w:r>
          </w:p>
        </w:tc>
        <w:tc>
          <w:tcPr>
            <w:tcW w:w="2030" w:type="pct"/>
            <w:tcBorders>
              <w:top w:val="single" w:color="auto" w:sz="4" w:space="0"/>
              <w:left w:val="single" w:color="auto" w:sz="4" w:space="0"/>
              <w:bottom w:val="single" w:color="auto" w:sz="4" w:space="0"/>
              <w:right w:val="single" w:color="auto" w:sz="4" w:space="0"/>
            </w:tcBorders>
          </w:tcPr>
          <w:p w14:paraId="2E650C1C">
            <w:pPr>
              <w:rPr>
                <w:rFonts w:cs="Cambria"/>
              </w:rPr>
            </w:pPr>
            <w:r>
              <w:t>持有公司 5%以上股份股东的关联方</w:t>
            </w:r>
          </w:p>
        </w:tc>
      </w:tr>
      <w:tr w14:paraId="7ABE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6F7EB7B2">
            <w:pPr>
              <w:rPr>
                <w:rFonts w:cs="Cambria"/>
              </w:rPr>
            </w:pPr>
            <w:r>
              <w:t>安徽吉枫循环科技产业有限公司</w:t>
            </w:r>
          </w:p>
        </w:tc>
        <w:tc>
          <w:tcPr>
            <w:tcW w:w="2030" w:type="pct"/>
            <w:tcBorders>
              <w:top w:val="single" w:color="auto" w:sz="4" w:space="0"/>
              <w:left w:val="single" w:color="auto" w:sz="4" w:space="0"/>
              <w:bottom w:val="single" w:color="auto" w:sz="4" w:space="0"/>
              <w:right w:val="single" w:color="auto" w:sz="4" w:space="0"/>
            </w:tcBorders>
          </w:tcPr>
          <w:p w14:paraId="6B5A1AAD">
            <w:pPr>
              <w:rPr>
                <w:rFonts w:cs="Cambria"/>
              </w:rPr>
            </w:pPr>
            <w:r>
              <w:t>持有公司 5%以上股份股东的关联方</w:t>
            </w:r>
          </w:p>
        </w:tc>
      </w:tr>
      <w:tr w14:paraId="28BA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7348D35D">
            <w:pPr>
              <w:rPr>
                <w:rFonts w:cs="Cambria"/>
              </w:rPr>
            </w:pPr>
            <w:r>
              <w:t>东营领吉凯华汽车销售服务有限公司</w:t>
            </w:r>
          </w:p>
        </w:tc>
        <w:tc>
          <w:tcPr>
            <w:tcW w:w="2030" w:type="pct"/>
            <w:tcBorders>
              <w:top w:val="single" w:color="auto" w:sz="4" w:space="0"/>
              <w:left w:val="single" w:color="auto" w:sz="4" w:space="0"/>
              <w:bottom w:val="single" w:color="auto" w:sz="4" w:space="0"/>
              <w:right w:val="single" w:color="auto" w:sz="4" w:space="0"/>
            </w:tcBorders>
          </w:tcPr>
          <w:p w14:paraId="4BE19916">
            <w:pPr>
              <w:rPr>
                <w:rFonts w:cs="Cambria"/>
              </w:rPr>
            </w:pPr>
            <w:r>
              <w:t>持有公司 5%以上股份股东的关联方</w:t>
            </w:r>
          </w:p>
        </w:tc>
      </w:tr>
      <w:tr w14:paraId="2A44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DE65754">
            <w:pPr>
              <w:rPr>
                <w:rFonts w:cs="Cambria"/>
              </w:rPr>
            </w:pPr>
            <w:r>
              <w:t>DREAMSMART INFINITY HK</w:t>
            </w:r>
          </w:p>
        </w:tc>
        <w:tc>
          <w:tcPr>
            <w:tcW w:w="2030" w:type="pct"/>
            <w:tcBorders>
              <w:top w:val="single" w:color="auto" w:sz="4" w:space="0"/>
              <w:left w:val="single" w:color="auto" w:sz="4" w:space="0"/>
              <w:bottom w:val="single" w:color="auto" w:sz="4" w:space="0"/>
              <w:right w:val="single" w:color="auto" w:sz="4" w:space="0"/>
            </w:tcBorders>
          </w:tcPr>
          <w:p w14:paraId="28B1061D">
            <w:pPr>
              <w:rPr>
                <w:rFonts w:cs="Cambria"/>
              </w:rPr>
            </w:pPr>
            <w:r>
              <w:t>持有公司 5%以上股份股东的关联方</w:t>
            </w:r>
          </w:p>
        </w:tc>
      </w:tr>
      <w:tr w14:paraId="6555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969" w:type="pct"/>
            <w:tcBorders>
              <w:top w:val="single" w:color="auto" w:sz="4" w:space="0"/>
              <w:left w:val="single" w:color="auto" w:sz="4" w:space="0"/>
              <w:bottom w:val="single" w:color="auto" w:sz="4" w:space="0"/>
              <w:right w:val="single" w:color="auto" w:sz="4" w:space="0"/>
            </w:tcBorders>
            <w:vAlign w:val="center"/>
          </w:tcPr>
          <w:p w14:paraId="16DCB1FB">
            <w:pPr>
              <w:rPr>
                <w:rFonts w:cs="Cambria"/>
              </w:rPr>
            </w:pPr>
            <w:r>
              <w:t>领为视觉智能科技（宁波）有限公司</w:t>
            </w:r>
          </w:p>
        </w:tc>
        <w:tc>
          <w:tcPr>
            <w:tcW w:w="2030" w:type="pct"/>
            <w:tcBorders>
              <w:top w:val="single" w:color="auto" w:sz="4" w:space="0"/>
              <w:left w:val="single" w:color="auto" w:sz="4" w:space="0"/>
              <w:bottom w:val="single" w:color="auto" w:sz="4" w:space="0"/>
              <w:right w:val="single" w:color="auto" w:sz="4" w:space="0"/>
            </w:tcBorders>
          </w:tcPr>
          <w:p w14:paraId="2BA49E2F">
            <w:pPr>
              <w:rPr>
                <w:rFonts w:cs="Cambria"/>
              </w:rPr>
            </w:pPr>
            <w:r>
              <w:t>持有公司 5%以上股份股东的关联方</w:t>
            </w:r>
          </w:p>
        </w:tc>
      </w:tr>
    </w:tbl>
    <w:p w14:paraId="4D4D7425"/>
    <w:p w14:paraId="7D857C85">
      <w:pPr>
        <w:tabs>
          <w:tab w:val="left" w:pos="1134"/>
        </w:tabs>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其他说明</w:t>
      </w:r>
    </w:p>
    <w:sdt>
      <w:sdtPr>
        <w:rPr>
          <w:rFonts w:cs="Cambria"/>
          <w:color w:val="000000" w:themeColor="text1"/>
          <w14:textFill>
            <w14:solidFill>
              <w14:schemeClr w14:val="tx1"/>
            </w14:solidFill>
          </w14:textFill>
        </w:rPr>
        <w:alias w:val="本企业的其他关联方情况的说明"/>
        <w:tag w:val="_GBC_214bcb1375e347c4be22006f5cc854a9"/>
        <w:id w:val="2145764082"/>
        <w:placeholder>
          <w:docPart w:val="GBC22222222222222222222222222222"/>
        </w:placeholder>
      </w:sdtPr>
      <w:sdtEndPr>
        <w:rPr>
          <w:rFonts w:cs="Cambria"/>
          <w:color w:val="000000" w:themeColor="text1"/>
          <w14:textFill>
            <w14:solidFill>
              <w14:schemeClr w14:val="tx1"/>
            </w14:solidFill>
          </w14:textFill>
        </w:rPr>
      </w:sdtEndPr>
      <w:sdtContent>
        <w:p w14:paraId="3DDCC86D">
          <w:pPr>
            <w:tabs>
              <w:tab w:val="left" w:pos="1134"/>
            </w:tabs>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无</w:t>
          </w:r>
        </w:p>
      </w:sdtContent>
    </w:sdt>
    <w:p w14:paraId="0EE40A0A">
      <w:pPr>
        <w:tabs>
          <w:tab w:val="left" w:pos="1134"/>
        </w:tabs>
        <w:rPr>
          <w:rFonts w:cs="Cambria"/>
          <w:b/>
          <w:color w:val="000000" w:themeColor="text1"/>
          <w14:textFill>
            <w14:solidFill>
              <w14:schemeClr w14:val="tx1"/>
            </w14:solidFill>
          </w14:textFill>
        </w:rPr>
      </w:pPr>
    </w:p>
    <w:p w14:paraId="7023BD6D">
      <w:pPr>
        <w:pStyle w:val="4"/>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关联交易情况</w:t>
      </w:r>
    </w:p>
    <w:p w14:paraId="72EEF784">
      <w:pPr>
        <w:pStyle w:val="5"/>
        <w:numPr>
          <w:ilvl w:val="0"/>
          <w:numId w:val="92"/>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购销商品、提供和接受劳务的关联交易</w:t>
      </w:r>
    </w:p>
    <w:p w14:paraId="530FDA2D">
      <w:pPr>
        <w:rPr>
          <w:color w:val="000000" w:themeColor="text1"/>
          <w14:textFill>
            <w14:solidFill>
              <w14:schemeClr w14:val="tx1"/>
            </w14:solidFill>
          </w14:textFill>
        </w:rPr>
      </w:pPr>
      <w:bookmarkStart w:id="372" w:name="_Hlk137124040"/>
      <w:r>
        <w:rPr>
          <w:rFonts w:hint="eastAsia"/>
          <w:color w:val="000000" w:themeColor="text1"/>
          <w14:textFill>
            <w14:solidFill>
              <w14:schemeClr w14:val="tx1"/>
            </w14:solidFill>
          </w14:textFill>
        </w:rPr>
        <w:t>采购商品/接受劳务情况表</w:t>
      </w:r>
    </w:p>
    <w:sdt>
      <w:sdtPr>
        <w:rPr>
          <w:color w:val="000000" w:themeColor="text1"/>
          <w14:textFill>
            <w14:solidFill>
              <w14:schemeClr w14:val="tx1"/>
            </w14:solidFill>
          </w14:textFill>
        </w:rPr>
        <w:alias w:val="是否适用：采购商品或接受劳务情况表[双击切换]"/>
        <w:tag w:val="_GBC_af7e43b831354837910c4edde708e04a"/>
        <w:id w:val="457228530"/>
        <w:placeholder>
          <w:docPart w:val="GBC22222222222222222222222222222"/>
        </w:placeholder>
      </w:sdtPr>
      <w:sdtEndPr>
        <w:rPr>
          <w:color w:val="000000" w:themeColor="text1"/>
          <w14:textFill>
            <w14:solidFill>
              <w14:schemeClr w14:val="tx1"/>
            </w14:solidFill>
          </w14:textFill>
        </w:rPr>
      </w:sdtEndPr>
      <w:sdtContent>
        <w:p w14:paraId="6E91017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29DBD0">
      <w:pPr>
        <w:jc w:val="right"/>
        <w:rPr>
          <w:rFonts w:cs="Cambria"/>
          <w:b/>
          <w:bCs/>
          <w:color w:val="000000" w:themeColor="text1"/>
          <w14:textFill>
            <w14:solidFill>
              <w14:schemeClr w14:val="tx1"/>
            </w14:solidFill>
          </w14:textFill>
        </w:rPr>
      </w:pPr>
      <w:r>
        <w:rPr>
          <w:rFonts w:hint="eastAsia" w:cs="Cambria"/>
          <w:color w:val="000000" w:themeColor="text1"/>
          <w14:textFill>
            <w14:solidFill>
              <w14:schemeClr w14:val="tx1"/>
            </w14:solidFill>
          </w14:textFill>
        </w:rPr>
        <w:t>单位：</w:t>
      </w:r>
      <w:sdt>
        <w:sdtPr>
          <w:rPr>
            <w:rFonts w:hint="eastAsia" w:cs="Cambria"/>
            <w:color w:val="000000" w:themeColor="text1"/>
            <w14:textFill>
              <w14:solidFill>
                <w14:schemeClr w14:val="tx1"/>
              </w14:solidFill>
            </w14:textFill>
          </w:rPr>
          <w:alias w:val="单位：采购商品接受劳务情况表"/>
          <w:tag w:val="_GBC_45ae86deace34388a904346eae355be1"/>
          <w:id w:val="17342685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元</w:t>
          </w:r>
        </w:sdtContent>
      </w:sdt>
      <w:r>
        <w:rPr>
          <w:rFonts w:hint="eastAsia" w:cs="Cambria"/>
          <w:color w:val="000000" w:themeColor="text1"/>
          <w14:textFill>
            <w14:solidFill>
              <w14:schemeClr w14:val="tx1"/>
            </w14:solidFill>
          </w14:textFill>
        </w:rPr>
        <w:t xml:space="preserve">  币种：</w:t>
      </w:r>
      <w:sdt>
        <w:sdtPr>
          <w:rPr>
            <w:rFonts w:hint="eastAsia" w:cs="Cambria"/>
            <w:color w:val="000000" w:themeColor="text1"/>
            <w14:textFill>
              <w14:solidFill>
                <w14:schemeClr w14:val="tx1"/>
              </w14:solidFill>
            </w14:textFill>
          </w:rPr>
          <w:alias w:val="币种：采购商品接受劳务情况表"/>
          <w:tag w:val="_GBC_ac9ca64b68bd493da1d7e7c719a6104c"/>
          <w:id w:val="1849511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人民币</w:t>
          </w:r>
        </w:sdtContent>
      </w:sdt>
    </w:p>
    <w:bookmarkEnd w:id="372"/>
    <w:tbl>
      <w:tblPr>
        <w:tblStyle w:val="37"/>
        <w:tblW w:w="5164" w:type="pct"/>
        <w:tblInd w:w="-28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922"/>
        <w:gridCol w:w="1598"/>
        <w:gridCol w:w="1729"/>
        <w:gridCol w:w="2097"/>
      </w:tblGrid>
      <w:tr w14:paraId="406D77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5" w:hRule="atLeast"/>
        </w:trPr>
        <w:sdt>
          <w:sdtPr>
            <w:tag w:val="_PLD_c09a7dc97d494a8fb07056392e54876a"/>
            <w:id w:val="1782532299"/>
          </w:sdtPr>
          <w:sdtContent>
            <w:tc>
              <w:tcPr>
                <w:tcW w:w="2098" w:type="pct"/>
                <w:tcBorders>
                  <w:top w:val="single" w:color="auto" w:sz="4" w:space="0"/>
                  <w:left w:val="single" w:color="auto" w:sz="4" w:space="0"/>
                  <w:bottom w:val="single" w:color="auto" w:sz="4" w:space="0"/>
                  <w:right w:val="single" w:color="auto" w:sz="4" w:space="0"/>
                </w:tcBorders>
                <w:vAlign w:val="center"/>
              </w:tcPr>
              <w:p w14:paraId="63983DBB">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关联方</w:t>
                </w:r>
              </w:p>
            </w:tc>
          </w:sdtContent>
        </w:sdt>
        <w:sdt>
          <w:sdtPr>
            <w:tag w:val="_PLD_6f5fdab53c694e56963e5e189cd0c28d"/>
            <w:id w:val="-653292238"/>
          </w:sdtPr>
          <w:sdtContent>
            <w:tc>
              <w:tcPr>
                <w:tcW w:w="855" w:type="pct"/>
                <w:tcBorders>
                  <w:top w:val="single" w:color="auto" w:sz="4" w:space="0"/>
                  <w:left w:val="single" w:color="auto" w:sz="4" w:space="0"/>
                  <w:bottom w:val="single" w:color="auto" w:sz="4" w:space="0"/>
                  <w:right w:val="single" w:color="auto" w:sz="4" w:space="0"/>
                </w:tcBorders>
                <w:vAlign w:val="center"/>
              </w:tcPr>
              <w:p w14:paraId="6285204C">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关联交易内容</w:t>
                </w:r>
              </w:p>
            </w:tc>
          </w:sdtContent>
        </w:sdt>
        <w:sdt>
          <w:sdtPr>
            <w:tag w:val="_PLD_1237b998b2a64f30a674dff433b841b0"/>
            <w:id w:val="137228770"/>
          </w:sdtPr>
          <w:sdtContent>
            <w:tc>
              <w:tcPr>
                <w:tcW w:w="925" w:type="pct"/>
                <w:tcBorders>
                  <w:top w:val="single" w:color="auto" w:sz="4" w:space="0"/>
                  <w:left w:val="single" w:color="auto" w:sz="4" w:space="0"/>
                  <w:right w:val="single" w:color="auto" w:sz="4" w:space="0"/>
                </w:tcBorders>
                <w:vAlign w:val="center"/>
              </w:tcPr>
              <w:p w14:paraId="2834FCFF">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本期发生额</w:t>
                </w:r>
              </w:p>
            </w:tc>
          </w:sdtContent>
        </w:sdt>
        <w:sdt>
          <w:sdtPr>
            <w:tag w:val="_PLD_f7d77ff6fdf642199e4c9fc12f00610d"/>
            <w:id w:val="-380862526"/>
          </w:sdtPr>
          <w:sdtContent>
            <w:tc>
              <w:tcPr>
                <w:tcW w:w="1122" w:type="pct"/>
                <w:tcBorders>
                  <w:top w:val="single" w:color="auto" w:sz="4" w:space="0"/>
                  <w:left w:val="single" w:color="auto" w:sz="4" w:space="0"/>
                  <w:right w:val="single" w:color="auto" w:sz="4" w:space="0"/>
                </w:tcBorders>
                <w:vAlign w:val="center"/>
              </w:tcPr>
              <w:p w14:paraId="13DA8002">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上期发生额</w:t>
                </w:r>
              </w:p>
            </w:tc>
          </w:sdtContent>
        </w:sdt>
      </w:tr>
      <w:tr w14:paraId="0BE435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2804C36">
            <w:r>
              <w:t>宝鸡吉利汽车部件有限公司</w:t>
            </w:r>
          </w:p>
        </w:tc>
        <w:tc>
          <w:tcPr>
            <w:tcW w:w="855" w:type="pct"/>
            <w:tcBorders>
              <w:top w:val="single" w:color="auto" w:sz="4" w:space="0"/>
              <w:left w:val="single" w:color="auto" w:sz="4" w:space="0"/>
              <w:bottom w:val="single" w:color="auto" w:sz="4" w:space="0"/>
              <w:right w:val="single" w:color="auto" w:sz="4" w:space="0"/>
            </w:tcBorders>
          </w:tcPr>
          <w:p w14:paraId="4EF88CEE">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30437415">
            <w:pPr>
              <w:jc w:val="right"/>
            </w:pPr>
            <w:r>
              <w:t>3,266.13</w:t>
            </w:r>
          </w:p>
        </w:tc>
        <w:tc>
          <w:tcPr>
            <w:tcW w:w="1122" w:type="pct"/>
            <w:tcBorders>
              <w:top w:val="single" w:color="auto" w:sz="4" w:space="0"/>
              <w:left w:val="single" w:color="auto" w:sz="4" w:space="0"/>
              <w:bottom w:val="single" w:color="auto" w:sz="4" w:space="0"/>
              <w:right w:val="single" w:color="auto" w:sz="4" w:space="0"/>
            </w:tcBorders>
          </w:tcPr>
          <w:p w14:paraId="26C91981">
            <w:pPr>
              <w:jc w:val="right"/>
            </w:pPr>
          </w:p>
        </w:tc>
      </w:tr>
      <w:tr w14:paraId="7DD92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CE3FAA2">
            <w:r>
              <w:t>枫盛汽车（江苏）有限公司</w:t>
            </w:r>
          </w:p>
        </w:tc>
        <w:tc>
          <w:tcPr>
            <w:tcW w:w="855" w:type="pct"/>
            <w:tcBorders>
              <w:top w:val="single" w:color="auto" w:sz="4" w:space="0"/>
              <w:left w:val="single" w:color="auto" w:sz="4" w:space="0"/>
              <w:bottom w:val="single" w:color="auto" w:sz="4" w:space="0"/>
              <w:right w:val="single" w:color="auto" w:sz="4" w:space="0"/>
            </w:tcBorders>
          </w:tcPr>
          <w:p w14:paraId="611301F9">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313FA797">
            <w:pPr>
              <w:jc w:val="right"/>
            </w:pPr>
            <w:r>
              <w:t>105,676,185.01</w:t>
            </w:r>
          </w:p>
        </w:tc>
        <w:tc>
          <w:tcPr>
            <w:tcW w:w="1122" w:type="pct"/>
            <w:tcBorders>
              <w:top w:val="single" w:color="auto" w:sz="4" w:space="0"/>
              <w:left w:val="single" w:color="auto" w:sz="4" w:space="0"/>
              <w:bottom w:val="single" w:color="auto" w:sz="4" w:space="0"/>
              <w:right w:val="single" w:color="auto" w:sz="4" w:space="0"/>
            </w:tcBorders>
          </w:tcPr>
          <w:p w14:paraId="720D288A">
            <w:pPr>
              <w:jc w:val="right"/>
            </w:pPr>
          </w:p>
        </w:tc>
      </w:tr>
      <w:tr w14:paraId="33972C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F3D477B">
            <w:r>
              <w:t>贵州吉利发动机有限公司</w:t>
            </w:r>
          </w:p>
        </w:tc>
        <w:tc>
          <w:tcPr>
            <w:tcW w:w="855" w:type="pct"/>
            <w:tcBorders>
              <w:top w:val="single" w:color="auto" w:sz="4" w:space="0"/>
              <w:left w:val="single" w:color="auto" w:sz="4" w:space="0"/>
              <w:bottom w:val="single" w:color="auto" w:sz="4" w:space="0"/>
              <w:right w:val="single" w:color="auto" w:sz="4" w:space="0"/>
            </w:tcBorders>
          </w:tcPr>
          <w:p w14:paraId="3CEBEFDB">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425D8AE9">
            <w:pPr>
              <w:jc w:val="right"/>
            </w:pPr>
            <w:r>
              <w:t>219,062.14</w:t>
            </w:r>
          </w:p>
        </w:tc>
        <w:tc>
          <w:tcPr>
            <w:tcW w:w="1122" w:type="pct"/>
            <w:tcBorders>
              <w:top w:val="single" w:color="auto" w:sz="4" w:space="0"/>
              <w:left w:val="single" w:color="auto" w:sz="4" w:space="0"/>
              <w:bottom w:val="single" w:color="auto" w:sz="4" w:space="0"/>
              <w:right w:val="single" w:color="auto" w:sz="4" w:space="0"/>
            </w:tcBorders>
          </w:tcPr>
          <w:p w14:paraId="19A6EB22">
            <w:pPr>
              <w:jc w:val="right"/>
            </w:pPr>
          </w:p>
        </w:tc>
      </w:tr>
      <w:tr w14:paraId="25D6D3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99AB574">
            <w:r>
              <w:t>贵州吉利汽车制造有限公司</w:t>
            </w:r>
          </w:p>
        </w:tc>
        <w:tc>
          <w:tcPr>
            <w:tcW w:w="855" w:type="pct"/>
            <w:tcBorders>
              <w:top w:val="single" w:color="auto" w:sz="4" w:space="0"/>
              <w:left w:val="single" w:color="auto" w:sz="4" w:space="0"/>
              <w:bottom w:val="single" w:color="auto" w:sz="4" w:space="0"/>
              <w:right w:val="single" w:color="auto" w:sz="4" w:space="0"/>
            </w:tcBorders>
          </w:tcPr>
          <w:p w14:paraId="4F300898">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0C686D0">
            <w:pPr>
              <w:jc w:val="right"/>
            </w:pPr>
            <w:r>
              <w:t>56,870,155.44</w:t>
            </w:r>
          </w:p>
        </w:tc>
        <w:tc>
          <w:tcPr>
            <w:tcW w:w="1122" w:type="pct"/>
            <w:tcBorders>
              <w:top w:val="single" w:color="auto" w:sz="4" w:space="0"/>
              <w:left w:val="single" w:color="auto" w:sz="4" w:space="0"/>
              <w:bottom w:val="single" w:color="auto" w:sz="4" w:space="0"/>
              <w:right w:val="single" w:color="auto" w:sz="4" w:space="0"/>
            </w:tcBorders>
          </w:tcPr>
          <w:p w14:paraId="5B2E9A00">
            <w:pPr>
              <w:jc w:val="right"/>
            </w:pPr>
            <w:r>
              <w:t>22,658,339.50</w:t>
            </w:r>
          </w:p>
        </w:tc>
      </w:tr>
      <w:tr w14:paraId="475260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D8D4646">
            <w:r>
              <w:t>贵州吉利汽车制造有限公司</w:t>
            </w:r>
          </w:p>
        </w:tc>
        <w:tc>
          <w:tcPr>
            <w:tcW w:w="855" w:type="pct"/>
            <w:tcBorders>
              <w:top w:val="single" w:color="auto" w:sz="4" w:space="0"/>
              <w:left w:val="single" w:color="auto" w:sz="4" w:space="0"/>
              <w:bottom w:val="single" w:color="auto" w:sz="4" w:space="0"/>
              <w:right w:val="single" w:color="auto" w:sz="4" w:space="0"/>
            </w:tcBorders>
          </w:tcPr>
          <w:p w14:paraId="6FCDCC16">
            <w:pPr>
              <w:jc w:val="center"/>
            </w:pPr>
            <w:r>
              <w:t>研发</w:t>
            </w:r>
          </w:p>
        </w:tc>
        <w:tc>
          <w:tcPr>
            <w:tcW w:w="925" w:type="pct"/>
            <w:tcBorders>
              <w:top w:val="single" w:color="auto" w:sz="4" w:space="0"/>
              <w:left w:val="single" w:color="auto" w:sz="4" w:space="0"/>
              <w:bottom w:val="single" w:color="auto" w:sz="4" w:space="0"/>
              <w:right w:val="single" w:color="auto" w:sz="4" w:space="0"/>
            </w:tcBorders>
          </w:tcPr>
          <w:p w14:paraId="451B4DF8">
            <w:pPr>
              <w:jc w:val="right"/>
            </w:pPr>
            <w:r>
              <w:t>3,252,849.46</w:t>
            </w:r>
          </w:p>
        </w:tc>
        <w:tc>
          <w:tcPr>
            <w:tcW w:w="1122" w:type="pct"/>
            <w:tcBorders>
              <w:top w:val="single" w:color="auto" w:sz="4" w:space="0"/>
              <w:left w:val="single" w:color="auto" w:sz="4" w:space="0"/>
              <w:bottom w:val="single" w:color="auto" w:sz="4" w:space="0"/>
              <w:right w:val="single" w:color="auto" w:sz="4" w:space="0"/>
            </w:tcBorders>
          </w:tcPr>
          <w:p w14:paraId="438B052D">
            <w:pPr>
              <w:jc w:val="right"/>
            </w:pPr>
          </w:p>
        </w:tc>
      </w:tr>
      <w:tr w14:paraId="70FD7C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E441780">
            <w:r>
              <w:t>杭州吉利汽车有限公司</w:t>
            </w:r>
          </w:p>
        </w:tc>
        <w:tc>
          <w:tcPr>
            <w:tcW w:w="855" w:type="pct"/>
            <w:tcBorders>
              <w:top w:val="single" w:color="auto" w:sz="4" w:space="0"/>
              <w:left w:val="single" w:color="auto" w:sz="4" w:space="0"/>
              <w:bottom w:val="single" w:color="auto" w:sz="4" w:space="0"/>
              <w:right w:val="single" w:color="auto" w:sz="4" w:space="0"/>
            </w:tcBorders>
          </w:tcPr>
          <w:p w14:paraId="55465A92">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70D816A">
            <w:pPr>
              <w:jc w:val="right"/>
            </w:pPr>
            <w:r>
              <w:t>25,932,553.12</w:t>
            </w:r>
          </w:p>
        </w:tc>
        <w:tc>
          <w:tcPr>
            <w:tcW w:w="1122" w:type="pct"/>
            <w:tcBorders>
              <w:top w:val="single" w:color="auto" w:sz="4" w:space="0"/>
              <w:left w:val="single" w:color="auto" w:sz="4" w:space="0"/>
              <w:bottom w:val="single" w:color="auto" w:sz="4" w:space="0"/>
              <w:right w:val="single" w:color="auto" w:sz="4" w:space="0"/>
            </w:tcBorders>
          </w:tcPr>
          <w:p w14:paraId="2C2A61FA">
            <w:pPr>
              <w:jc w:val="right"/>
            </w:pPr>
            <w:r>
              <w:t>124,788,417.96</w:t>
            </w:r>
          </w:p>
        </w:tc>
      </w:tr>
      <w:tr w14:paraId="698340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7A0FB8D">
            <w:r>
              <w:t>杭州吉利汽车有限公司</w:t>
            </w:r>
          </w:p>
        </w:tc>
        <w:tc>
          <w:tcPr>
            <w:tcW w:w="855" w:type="pct"/>
            <w:tcBorders>
              <w:top w:val="single" w:color="auto" w:sz="4" w:space="0"/>
              <w:left w:val="single" w:color="auto" w:sz="4" w:space="0"/>
              <w:bottom w:val="single" w:color="auto" w:sz="4" w:space="0"/>
              <w:right w:val="single" w:color="auto" w:sz="4" w:space="0"/>
            </w:tcBorders>
          </w:tcPr>
          <w:p w14:paraId="05DF3CA6">
            <w:pPr>
              <w:jc w:val="center"/>
            </w:pPr>
            <w:r>
              <w:t>研发</w:t>
            </w:r>
          </w:p>
        </w:tc>
        <w:tc>
          <w:tcPr>
            <w:tcW w:w="925" w:type="pct"/>
            <w:tcBorders>
              <w:top w:val="single" w:color="auto" w:sz="4" w:space="0"/>
              <w:left w:val="single" w:color="auto" w:sz="4" w:space="0"/>
              <w:bottom w:val="single" w:color="auto" w:sz="4" w:space="0"/>
              <w:right w:val="single" w:color="auto" w:sz="4" w:space="0"/>
            </w:tcBorders>
          </w:tcPr>
          <w:p w14:paraId="60265969">
            <w:pPr>
              <w:jc w:val="right"/>
            </w:pPr>
            <w:r>
              <w:t>700,341.76</w:t>
            </w:r>
          </w:p>
        </w:tc>
        <w:tc>
          <w:tcPr>
            <w:tcW w:w="1122" w:type="pct"/>
            <w:tcBorders>
              <w:top w:val="single" w:color="auto" w:sz="4" w:space="0"/>
              <w:left w:val="single" w:color="auto" w:sz="4" w:space="0"/>
              <w:bottom w:val="single" w:color="auto" w:sz="4" w:space="0"/>
              <w:right w:val="single" w:color="auto" w:sz="4" w:space="0"/>
            </w:tcBorders>
          </w:tcPr>
          <w:p w14:paraId="3A40F852">
            <w:pPr>
              <w:jc w:val="right"/>
            </w:pPr>
          </w:p>
        </w:tc>
      </w:tr>
      <w:tr w14:paraId="710009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B42B945">
            <w:r>
              <w:t>湖南吉利汽车部件有限公司</w:t>
            </w:r>
          </w:p>
        </w:tc>
        <w:tc>
          <w:tcPr>
            <w:tcW w:w="855" w:type="pct"/>
            <w:tcBorders>
              <w:top w:val="single" w:color="auto" w:sz="4" w:space="0"/>
              <w:left w:val="single" w:color="auto" w:sz="4" w:space="0"/>
              <w:bottom w:val="single" w:color="auto" w:sz="4" w:space="0"/>
              <w:right w:val="single" w:color="auto" w:sz="4" w:space="0"/>
            </w:tcBorders>
          </w:tcPr>
          <w:p w14:paraId="79CA769C">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67354A43">
            <w:pPr>
              <w:jc w:val="right"/>
            </w:pPr>
            <w:r>
              <w:t>5,117.73</w:t>
            </w:r>
          </w:p>
        </w:tc>
        <w:tc>
          <w:tcPr>
            <w:tcW w:w="1122" w:type="pct"/>
            <w:tcBorders>
              <w:top w:val="single" w:color="auto" w:sz="4" w:space="0"/>
              <w:left w:val="single" w:color="auto" w:sz="4" w:space="0"/>
              <w:bottom w:val="single" w:color="auto" w:sz="4" w:space="0"/>
              <w:right w:val="single" w:color="auto" w:sz="4" w:space="0"/>
            </w:tcBorders>
          </w:tcPr>
          <w:p w14:paraId="026ED578">
            <w:pPr>
              <w:jc w:val="right"/>
            </w:pPr>
          </w:p>
        </w:tc>
      </w:tr>
      <w:tr w14:paraId="109D10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298C7EB1">
            <w:r>
              <w:t>吉利长兴自动变速器有限公司</w:t>
            </w:r>
          </w:p>
        </w:tc>
        <w:tc>
          <w:tcPr>
            <w:tcW w:w="855" w:type="pct"/>
            <w:tcBorders>
              <w:top w:val="single" w:color="auto" w:sz="4" w:space="0"/>
              <w:left w:val="single" w:color="auto" w:sz="4" w:space="0"/>
              <w:bottom w:val="single" w:color="auto" w:sz="4" w:space="0"/>
              <w:right w:val="single" w:color="auto" w:sz="4" w:space="0"/>
            </w:tcBorders>
          </w:tcPr>
          <w:p w14:paraId="0DE50ADF">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26DEB3D4">
            <w:pPr>
              <w:jc w:val="right"/>
            </w:pPr>
            <w:r>
              <w:t>52,088.03</w:t>
            </w:r>
          </w:p>
        </w:tc>
        <w:tc>
          <w:tcPr>
            <w:tcW w:w="1122" w:type="pct"/>
            <w:tcBorders>
              <w:top w:val="single" w:color="auto" w:sz="4" w:space="0"/>
              <w:left w:val="single" w:color="auto" w:sz="4" w:space="0"/>
              <w:bottom w:val="single" w:color="auto" w:sz="4" w:space="0"/>
              <w:right w:val="single" w:color="auto" w:sz="4" w:space="0"/>
            </w:tcBorders>
          </w:tcPr>
          <w:p w14:paraId="48A582F0">
            <w:pPr>
              <w:jc w:val="right"/>
            </w:pPr>
          </w:p>
        </w:tc>
      </w:tr>
      <w:tr w14:paraId="5A5036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48EB3C5">
            <w:r>
              <w:t>江西安驰新能源科技有限公司</w:t>
            </w:r>
          </w:p>
        </w:tc>
        <w:tc>
          <w:tcPr>
            <w:tcW w:w="855" w:type="pct"/>
            <w:tcBorders>
              <w:top w:val="single" w:color="auto" w:sz="4" w:space="0"/>
              <w:left w:val="single" w:color="auto" w:sz="4" w:space="0"/>
              <w:bottom w:val="single" w:color="auto" w:sz="4" w:space="0"/>
              <w:right w:val="single" w:color="auto" w:sz="4" w:space="0"/>
            </w:tcBorders>
          </w:tcPr>
          <w:p w14:paraId="21939264">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3563C9B1">
            <w:pPr>
              <w:jc w:val="right"/>
            </w:pPr>
            <w:r>
              <w:t>144,787,804.82</w:t>
            </w:r>
          </w:p>
        </w:tc>
        <w:tc>
          <w:tcPr>
            <w:tcW w:w="1122" w:type="pct"/>
            <w:tcBorders>
              <w:top w:val="single" w:color="auto" w:sz="4" w:space="0"/>
              <w:left w:val="single" w:color="auto" w:sz="4" w:space="0"/>
              <w:bottom w:val="single" w:color="auto" w:sz="4" w:space="0"/>
              <w:right w:val="single" w:color="auto" w:sz="4" w:space="0"/>
            </w:tcBorders>
          </w:tcPr>
          <w:p w14:paraId="503D4A17">
            <w:pPr>
              <w:jc w:val="right"/>
            </w:pPr>
          </w:p>
        </w:tc>
      </w:tr>
      <w:tr w14:paraId="0F7031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245379C">
            <w:r>
              <w:t>领悟汽车技术（重庆）有限公司</w:t>
            </w:r>
          </w:p>
        </w:tc>
        <w:tc>
          <w:tcPr>
            <w:tcW w:w="855" w:type="pct"/>
            <w:tcBorders>
              <w:top w:val="single" w:color="auto" w:sz="4" w:space="0"/>
              <w:left w:val="single" w:color="auto" w:sz="4" w:space="0"/>
              <w:bottom w:val="single" w:color="auto" w:sz="4" w:space="0"/>
              <w:right w:val="single" w:color="auto" w:sz="4" w:space="0"/>
            </w:tcBorders>
          </w:tcPr>
          <w:p w14:paraId="44733C1B">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13D5A8E2">
            <w:pPr>
              <w:jc w:val="right"/>
            </w:pPr>
            <w:r>
              <w:t>395.48</w:t>
            </w:r>
          </w:p>
        </w:tc>
        <w:tc>
          <w:tcPr>
            <w:tcW w:w="1122" w:type="pct"/>
            <w:tcBorders>
              <w:top w:val="single" w:color="auto" w:sz="4" w:space="0"/>
              <w:left w:val="single" w:color="auto" w:sz="4" w:space="0"/>
              <w:bottom w:val="single" w:color="auto" w:sz="4" w:space="0"/>
              <w:right w:val="single" w:color="auto" w:sz="4" w:space="0"/>
            </w:tcBorders>
          </w:tcPr>
          <w:p w14:paraId="06BCAE1D">
            <w:pPr>
              <w:jc w:val="right"/>
            </w:pPr>
          </w:p>
        </w:tc>
      </w:tr>
      <w:tr w14:paraId="071FF2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E14BC1E">
            <w:r>
              <w:t>领悟汽车技术（重庆）有限公司</w:t>
            </w:r>
          </w:p>
        </w:tc>
        <w:tc>
          <w:tcPr>
            <w:tcW w:w="855" w:type="pct"/>
            <w:tcBorders>
              <w:top w:val="single" w:color="auto" w:sz="4" w:space="0"/>
              <w:left w:val="single" w:color="auto" w:sz="4" w:space="0"/>
              <w:bottom w:val="single" w:color="auto" w:sz="4" w:space="0"/>
              <w:right w:val="single" w:color="auto" w:sz="4" w:space="0"/>
            </w:tcBorders>
          </w:tcPr>
          <w:p w14:paraId="5C81B30C">
            <w:pPr>
              <w:jc w:val="center"/>
            </w:pPr>
            <w:r>
              <w:t>研发</w:t>
            </w:r>
          </w:p>
        </w:tc>
        <w:tc>
          <w:tcPr>
            <w:tcW w:w="925" w:type="pct"/>
            <w:tcBorders>
              <w:top w:val="single" w:color="auto" w:sz="4" w:space="0"/>
              <w:left w:val="single" w:color="auto" w:sz="4" w:space="0"/>
              <w:bottom w:val="single" w:color="auto" w:sz="4" w:space="0"/>
              <w:right w:val="single" w:color="auto" w:sz="4" w:space="0"/>
            </w:tcBorders>
          </w:tcPr>
          <w:p w14:paraId="76BEBFA1">
            <w:pPr>
              <w:jc w:val="right"/>
            </w:pPr>
            <w:r>
              <w:t>201,800.00</w:t>
            </w:r>
          </w:p>
        </w:tc>
        <w:tc>
          <w:tcPr>
            <w:tcW w:w="1122" w:type="pct"/>
            <w:tcBorders>
              <w:top w:val="single" w:color="auto" w:sz="4" w:space="0"/>
              <w:left w:val="single" w:color="auto" w:sz="4" w:space="0"/>
              <w:bottom w:val="single" w:color="auto" w:sz="4" w:space="0"/>
              <w:right w:val="single" w:color="auto" w:sz="4" w:space="0"/>
            </w:tcBorders>
          </w:tcPr>
          <w:p w14:paraId="0ECA6F63">
            <w:pPr>
              <w:jc w:val="right"/>
            </w:pPr>
          </w:p>
        </w:tc>
      </w:tr>
      <w:tr w14:paraId="42DDB4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F948779">
            <w:r>
              <w:t>启征新能源汽车（济南）有限公司</w:t>
            </w:r>
          </w:p>
        </w:tc>
        <w:tc>
          <w:tcPr>
            <w:tcW w:w="855" w:type="pct"/>
            <w:tcBorders>
              <w:top w:val="single" w:color="auto" w:sz="4" w:space="0"/>
              <w:left w:val="single" w:color="auto" w:sz="4" w:space="0"/>
              <w:bottom w:val="single" w:color="auto" w:sz="4" w:space="0"/>
              <w:right w:val="single" w:color="auto" w:sz="4" w:space="0"/>
            </w:tcBorders>
          </w:tcPr>
          <w:p w14:paraId="301E2F1C">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11020C48">
            <w:pPr>
              <w:jc w:val="right"/>
            </w:pPr>
            <w:r>
              <w:t>9,215,118.61</w:t>
            </w:r>
          </w:p>
        </w:tc>
        <w:tc>
          <w:tcPr>
            <w:tcW w:w="1122" w:type="pct"/>
            <w:tcBorders>
              <w:top w:val="single" w:color="auto" w:sz="4" w:space="0"/>
              <w:left w:val="single" w:color="auto" w:sz="4" w:space="0"/>
              <w:bottom w:val="single" w:color="auto" w:sz="4" w:space="0"/>
              <w:right w:val="single" w:color="auto" w:sz="4" w:space="0"/>
            </w:tcBorders>
          </w:tcPr>
          <w:p w14:paraId="169DE819">
            <w:pPr>
              <w:jc w:val="right"/>
            </w:pPr>
            <w:r>
              <w:t>12,562,612.83</w:t>
            </w:r>
          </w:p>
        </w:tc>
      </w:tr>
      <w:tr w14:paraId="15DFC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E64DBF7">
            <w:r>
              <w:t>启征新能源汽车（济南）有限公司</w:t>
            </w:r>
          </w:p>
        </w:tc>
        <w:tc>
          <w:tcPr>
            <w:tcW w:w="855" w:type="pct"/>
            <w:tcBorders>
              <w:top w:val="single" w:color="auto" w:sz="4" w:space="0"/>
              <w:left w:val="single" w:color="auto" w:sz="4" w:space="0"/>
              <w:bottom w:val="single" w:color="auto" w:sz="4" w:space="0"/>
              <w:right w:val="single" w:color="auto" w:sz="4" w:space="0"/>
            </w:tcBorders>
          </w:tcPr>
          <w:p w14:paraId="0E5782E7">
            <w:pPr>
              <w:jc w:val="center"/>
            </w:pPr>
            <w:r>
              <w:t>研发</w:t>
            </w:r>
          </w:p>
        </w:tc>
        <w:tc>
          <w:tcPr>
            <w:tcW w:w="925" w:type="pct"/>
            <w:tcBorders>
              <w:top w:val="single" w:color="auto" w:sz="4" w:space="0"/>
              <w:left w:val="single" w:color="auto" w:sz="4" w:space="0"/>
              <w:bottom w:val="single" w:color="auto" w:sz="4" w:space="0"/>
              <w:right w:val="single" w:color="auto" w:sz="4" w:space="0"/>
            </w:tcBorders>
          </w:tcPr>
          <w:p w14:paraId="4E45882C">
            <w:pPr>
              <w:jc w:val="right"/>
            </w:pPr>
            <w:r>
              <w:t>321,156.97</w:t>
            </w:r>
          </w:p>
        </w:tc>
        <w:tc>
          <w:tcPr>
            <w:tcW w:w="1122" w:type="pct"/>
            <w:tcBorders>
              <w:top w:val="single" w:color="auto" w:sz="4" w:space="0"/>
              <w:left w:val="single" w:color="auto" w:sz="4" w:space="0"/>
              <w:bottom w:val="single" w:color="auto" w:sz="4" w:space="0"/>
              <w:right w:val="single" w:color="auto" w:sz="4" w:space="0"/>
            </w:tcBorders>
          </w:tcPr>
          <w:p w14:paraId="5C85D8EC">
            <w:pPr>
              <w:jc w:val="right"/>
            </w:pPr>
          </w:p>
        </w:tc>
      </w:tr>
      <w:tr w14:paraId="7F899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4DD63DB">
            <w:r>
              <w:t>启征新能源汽车（济南）有限公司</w:t>
            </w:r>
          </w:p>
        </w:tc>
        <w:tc>
          <w:tcPr>
            <w:tcW w:w="855" w:type="pct"/>
            <w:tcBorders>
              <w:top w:val="single" w:color="auto" w:sz="4" w:space="0"/>
              <w:left w:val="single" w:color="auto" w:sz="4" w:space="0"/>
              <w:bottom w:val="single" w:color="auto" w:sz="4" w:space="0"/>
              <w:right w:val="single" w:color="auto" w:sz="4" w:space="0"/>
            </w:tcBorders>
          </w:tcPr>
          <w:p w14:paraId="7C4C9249">
            <w:pPr>
              <w:jc w:val="center"/>
            </w:pPr>
            <w:r>
              <w:rPr>
                <w:rFonts w:hint="eastAsia"/>
              </w:rPr>
              <w:t>接受服务</w:t>
            </w:r>
          </w:p>
        </w:tc>
        <w:tc>
          <w:tcPr>
            <w:tcW w:w="925" w:type="pct"/>
            <w:tcBorders>
              <w:top w:val="single" w:color="auto" w:sz="4" w:space="0"/>
              <w:left w:val="single" w:color="auto" w:sz="4" w:space="0"/>
              <w:bottom w:val="single" w:color="auto" w:sz="4" w:space="0"/>
              <w:right w:val="single" w:color="auto" w:sz="4" w:space="0"/>
            </w:tcBorders>
          </w:tcPr>
          <w:p w14:paraId="2094F089">
            <w:pPr>
              <w:jc w:val="right"/>
            </w:pPr>
          </w:p>
        </w:tc>
        <w:tc>
          <w:tcPr>
            <w:tcW w:w="1122" w:type="pct"/>
            <w:tcBorders>
              <w:top w:val="single" w:color="auto" w:sz="4" w:space="0"/>
              <w:left w:val="single" w:color="auto" w:sz="4" w:space="0"/>
              <w:bottom w:val="single" w:color="auto" w:sz="4" w:space="0"/>
              <w:right w:val="single" w:color="auto" w:sz="4" w:space="0"/>
            </w:tcBorders>
          </w:tcPr>
          <w:p w14:paraId="0CDC6E8C">
            <w:pPr>
              <w:jc w:val="right"/>
            </w:pPr>
            <w:r>
              <w:t>5,290,095.00</w:t>
            </w:r>
          </w:p>
        </w:tc>
      </w:tr>
      <w:tr w14:paraId="1B1508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D2D7787">
            <w:r>
              <w:t>钱江雷霆（北京）科技有限公司</w:t>
            </w:r>
          </w:p>
        </w:tc>
        <w:tc>
          <w:tcPr>
            <w:tcW w:w="855" w:type="pct"/>
            <w:tcBorders>
              <w:top w:val="single" w:color="auto" w:sz="4" w:space="0"/>
              <w:left w:val="single" w:color="auto" w:sz="4" w:space="0"/>
              <w:bottom w:val="single" w:color="auto" w:sz="4" w:space="0"/>
              <w:right w:val="single" w:color="auto" w:sz="4" w:space="0"/>
            </w:tcBorders>
          </w:tcPr>
          <w:p w14:paraId="344F54D4">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62761A3C">
            <w:pPr>
              <w:jc w:val="right"/>
            </w:pPr>
            <w:r>
              <w:t>98,645.68</w:t>
            </w:r>
          </w:p>
        </w:tc>
        <w:tc>
          <w:tcPr>
            <w:tcW w:w="1122" w:type="pct"/>
            <w:tcBorders>
              <w:top w:val="single" w:color="auto" w:sz="4" w:space="0"/>
              <w:left w:val="single" w:color="auto" w:sz="4" w:space="0"/>
              <w:bottom w:val="single" w:color="auto" w:sz="4" w:space="0"/>
              <w:right w:val="single" w:color="auto" w:sz="4" w:space="0"/>
            </w:tcBorders>
          </w:tcPr>
          <w:p w14:paraId="67D96C1A">
            <w:pPr>
              <w:jc w:val="right"/>
            </w:pPr>
          </w:p>
        </w:tc>
      </w:tr>
      <w:tr w14:paraId="2AD7F0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10EFFA90">
            <w:r>
              <w:t>山东吉利新能源商用车有限公司</w:t>
            </w:r>
          </w:p>
        </w:tc>
        <w:tc>
          <w:tcPr>
            <w:tcW w:w="855" w:type="pct"/>
            <w:tcBorders>
              <w:top w:val="single" w:color="auto" w:sz="4" w:space="0"/>
              <w:left w:val="single" w:color="auto" w:sz="4" w:space="0"/>
              <w:bottom w:val="single" w:color="auto" w:sz="4" w:space="0"/>
              <w:right w:val="single" w:color="auto" w:sz="4" w:space="0"/>
            </w:tcBorders>
          </w:tcPr>
          <w:p w14:paraId="616C210E">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C3CFF83">
            <w:pPr>
              <w:jc w:val="right"/>
            </w:pPr>
            <w:r>
              <w:t>2,179.32</w:t>
            </w:r>
          </w:p>
        </w:tc>
        <w:tc>
          <w:tcPr>
            <w:tcW w:w="1122" w:type="pct"/>
            <w:tcBorders>
              <w:top w:val="single" w:color="auto" w:sz="4" w:space="0"/>
              <w:left w:val="single" w:color="auto" w:sz="4" w:space="0"/>
              <w:bottom w:val="single" w:color="auto" w:sz="4" w:space="0"/>
              <w:right w:val="single" w:color="auto" w:sz="4" w:space="0"/>
            </w:tcBorders>
          </w:tcPr>
          <w:p w14:paraId="1B230DDF">
            <w:pPr>
              <w:jc w:val="right"/>
            </w:pPr>
          </w:p>
        </w:tc>
      </w:tr>
      <w:tr w14:paraId="11367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9273D68">
            <w:r>
              <w:t>山西吉利汽车部件有限公司</w:t>
            </w:r>
          </w:p>
        </w:tc>
        <w:tc>
          <w:tcPr>
            <w:tcW w:w="855" w:type="pct"/>
            <w:tcBorders>
              <w:top w:val="single" w:color="auto" w:sz="4" w:space="0"/>
              <w:left w:val="single" w:color="auto" w:sz="4" w:space="0"/>
              <w:bottom w:val="single" w:color="auto" w:sz="4" w:space="0"/>
              <w:right w:val="single" w:color="auto" w:sz="4" w:space="0"/>
            </w:tcBorders>
          </w:tcPr>
          <w:p w14:paraId="316B86F0">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5247BF5">
            <w:pPr>
              <w:jc w:val="right"/>
            </w:pPr>
            <w:r>
              <w:t>4,988.68</w:t>
            </w:r>
          </w:p>
        </w:tc>
        <w:tc>
          <w:tcPr>
            <w:tcW w:w="1122" w:type="pct"/>
            <w:tcBorders>
              <w:top w:val="single" w:color="auto" w:sz="4" w:space="0"/>
              <w:left w:val="single" w:color="auto" w:sz="4" w:space="0"/>
              <w:bottom w:val="single" w:color="auto" w:sz="4" w:space="0"/>
              <w:right w:val="single" w:color="auto" w:sz="4" w:space="0"/>
            </w:tcBorders>
          </w:tcPr>
          <w:p w14:paraId="63B42684">
            <w:pPr>
              <w:jc w:val="right"/>
            </w:pPr>
          </w:p>
        </w:tc>
      </w:tr>
      <w:tr w14:paraId="02AEC3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2AD566C">
            <w:r>
              <w:t>四川领克汽车制造有限公司</w:t>
            </w:r>
          </w:p>
        </w:tc>
        <w:tc>
          <w:tcPr>
            <w:tcW w:w="855" w:type="pct"/>
            <w:tcBorders>
              <w:top w:val="single" w:color="auto" w:sz="4" w:space="0"/>
              <w:left w:val="single" w:color="auto" w:sz="4" w:space="0"/>
              <w:bottom w:val="single" w:color="auto" w:sz="4" w:space="0"/>
              <w:right w:val="single" w:color="auto" w:sz="4" w:space="0"/>
            </w:tcBorders>
          </w:tcPr>
          <w:p w14:paraId="7ED95648">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72CFFB78">
            <w:pPr>
              <w:jc w:val="right"/>
            </w:pPr>
            <w:r>
              <w:t>59,173.35</w:t>
            </w:r>
          </w:p>
        </w:tc>
        <w:tc>
          <w:tcPr>
            <w:tcW w:w="1122" w:type="pct"/>
            <w:tcBorders>
              <w:top w:val="single" w:color="auto" w:sz="4" w:space="0"/>
              <w:left w:val="single" w:color="auto" w:sz="4" w:space="0"/>
              <w:bottom w:val="single" w:color="auto" w:sz="4" w:space="0"/>
              <w:right w:val="single" w:color="auto" w:sz="4" w:space="0"/>
            </w:tcBorders>
          </w:tcPr>
          <w:p w14:paraId="2FEF196A">
            <w:pPr>
              <w:jc w:val="right"/>
            </w:pPr>
            <w:r>
              <w:t>15,608,323.27</w:t>
            </w:r>
          </w:p>
        </w:tc>
      </w:tr>
      <w:tr w14:paraId="672F30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59CAC49">
            <w:r>
              <w:t>四川领克汽车制造有限公司</w:t>
            </w:r>
          </w:p>
        </w:tc>
        <w:tc>
          <w:tcPr>
            <w:tcW w:w="855" w:type="pct"/>
            <w:tcBorders>
              <w:top w:val="single" w:color="auto" w:sz="4" w:space="0"/>
              <w:left w:val="single" w:color="auto" w:sz="4" w:space="0"/>
              <w:bottom w:val="single" w:color="auto" w:sz="4" w:space="0"/>
              <w:right w:val="single" w:color="auto" w:sz="4" w:space="0"/>
            </w:tcBorders>
          </w:tcPr>
          <w:p w14:paraId="668A2C6F">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5DD78CD5">
            <w:pPr>
              <w:jc w:val="right"/>
            </w:pPr>
            <w:r>
              <w:t>300</w:t>
            </w:r>
          </w:p>
        </w:tc>
        <w:tc>
          <w:tcPr>
            <w:tcW w:w="1122" w:type="pct"/>
            <w:tcBorders>
              <w:top w:val="single" w:color="auto" w:sz="4" w:space="0"/>
              <w:left w:val="single" w:color="auto" w:sz="4" w:space="0"/>
              <w:bottom w:val="single" w:color="auto" w:sz="4" w:space="0"/>
              <w:right w:val="single" w:color="auto" w:sz="4" w:space="0"/>
            </w:tcBorders>
          </w:tcPr>
          <w:p w14:paraId="3142B53A">
            <w:pPr>
              <w:jc w:val="right"/>
            </w:pPr>
            <w:r>
              <w:t>16,100.00</w:t>
            </w:r>
          </w:p>
        </w:tc>
      </w:tr>
      <w:tr w14:paraId="5F0EAF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1863EAA7">
            <w:r>
              <w:t>西安吉利汽车有限公司</w:t>
            </w:r>
          </w:p>
        </w:tc>
        <w:tc>
          <w:tcPr>
            <w:tcW w:w="855" w:type="pct"/>
            <w:tcBorders>
              <w:top w:val="single" w:color="auto" w:sz="4" w:space="0"/>
              <w:left w:val="single" w:color="auto" w:sz="4" w:space="0"/>
              <w:bottom w:val="single" w:color="auto" w:sz="4" w:space="0"/>
              <w:right w:val="single" w:color="auto" w:sz="4" w:space="0"/>
            </w:tcBorders>
          </w:tcPr>
          <w:p w14:paraId="4C2DC7D5">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135814F1">
            <w:pPr>
              <w:jc w:val="right"/>
            </w:pPr>
            <w:r>
              <w:t>31,421.06</w:t>
            </w:r>
          </w:p>
        </w:tc>
        <w:tc>
          <w:tcPr>
            <w:tcW w:w="1122" w:type="pct"/>
            <w:tcBorders>
              <w:top w:val="single" w:color="auto" w:sz="4" w:space="0"/>
              <w:left w:val="single" w:color="auto" w:sz="4" w:space="0"/>
              <w:bottom w:val="single" w:color="auto" w:sz="4" w:space="0"/>
              <w:right w:val="single" w:color="auto" w:sz="4" w:space="0"/>
            </w:tcBorders>
          </w:tcPr>
          <w:p w14:paraId="35281DDE">
            <w:pPr>
              <w:jc w:val="right"/>
            </w:pPr>
            <w:r>
              <w:t>925.47</w:t>
            </w:r>
          </w:p>
        </w:tc>
      </w:tr>
      <w:tr w14:paraId="2A0658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1810978">
            <w:r>
              <w:t>义乌吉利动力总成有限公司</w:t>
            </w:r>
          </w:p>
        </w:tc>
        <w:tc>
          <w:tcPr>
            <w:tcW w:w="855" w:type="pct"/>
            <w:tcBorders>
              <w:top w:val="single" w:color="auto" w:sz="4" w:space="0"/>
              <w:left w:val="single" w:color="auto" w:sz="4" w:space="0"/>
              <w:bottom w:val="single" w:color="auto" w:sz="4" w:space="0"/>
              <w:right w:val="single" w:color="auto" w:sz="4" w:space="0"/>
            </w:tcBorders>
          </w:tcPr>
          <w:p w14:paraId="5E5514A9">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1068FF5">
            <w:pPr>
              <w:jc w:val="right"/>
            </w:pPr>
            <w:r>
              <w:t>368,842.60</w:t>
            </w:r>
          </w:p>
        </w:tc>
        <w:tc>
          <w:tcPr>
            <w:tcW w:w="1122" w:type="pct"/>
            <w:tcBorders>
              <w:top w:val="single" w:color="auto" w:sz="4" w:space="0"/>
              <w:left w:val="single" w:color="auto" w:sz="4" w:space="0"/>
              <w:bottom w:val="single" w:color="auto" w:sz="4" w:space="0"/>
              <w:right w:val="single" w:color="auto" w:sz="4" w:space="0"/>
            </w:tcBorders>
          </w:tcPr>
          <w:p w14:paraId="73CD6771">
            <w:pPr>
              <w:jc w:val="right"/>
            </w:pPr>
            <w:r>
              <w:t>14.58</w:t>
            </w:r>
          </w:p>
        </w:tc>
      </w:tr>
      <w:tr w14:paraId="60E65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070D085">
            <w:r>
              <w:t>余姚领克汽车部件有限公司</w:t>
            </w:r>
          </w:p>
        </w:tc>
        <w:tc>
          <w:tcPr>
            <w:tcW w:w="855" w:type="pct"/>
            <w:tcBorders>
              <w:top w:val="single" w:color="auto" w:sz="4" w:space="0"/>
              <w:left w:val="single" w:color="auto" w:sz="4" w:space="0"/>
              <w:bottom w:val="single" w:color="auto" w:sz="4" w:space="0"/>
              <w:right w:val="single" w:color="auto" w:sz="4" w:space="0"/>
            </w:tcBorders>
          </w:tcPr>
          <w:p w14:paraId="12FC5DEE">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76AC1E3E">
            <w:pPr>
              <w:jc w:val="right"/>
            </w:pPr>
            <w:r>
              <w:t>16,873.32</w:t>
            </w:r>
          </w:p>
        </w:tc>
        <w:tc>
          <w:tcPr>
            <w:tcW w:w="1122" w:type="pct"/>
            <w:tcBorders>
              <w:top w:val="single" w:color="auto" w:sz="4" w:space="0"/>
              <w:left w:val="single" w:color="auto" w:sz="4" w:space="0"/>
              <w:bottom w:val="single" w:color="auto" w:sz="4" w:space="0"/>
              <w:right w:val="single" w:color="auto" w:sz="4" w:space="0"/>
            </w:tcBorders>
          </w:tcPr>
          <w:p w14:paraId="441125DC">
            <w:pPr>
              <w:jc w:val="right"/>
            </w:pPr>
          </w:p>
        </w:tc>
      </w:tr>
      <w:tr w14:paraId="1A0EE3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F36E681">
            <w:r>
              <w:t>浙江锋锐发动机有限公司</w:t>
            </w:r>
          </w:p>
        </w:tc>
        <w:tc>
          <w:tcPr>
            <w:tcW w:w="855" w:type="pct"/>
            <w:tcBorders>
              <w:top w:val="single" w:color="auto" w:sz="4" w:space="0"/>
              <w:left w:val="single" w:color="auto" w:sz="4" w:space="0"/>
              <w:bottom w:val="single" w:color="auto" w:sz="4" w:space="0"/>
              <w:right w:val="single" w:color="auto" w:sz="4" w:space="0"/>
            </w:tcBorders>
          </w:tcPr>
          <w:p w14:paraId="7835E59C">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46B69087">
            <w:pPr>
              <w:jc w:val="right"/>
            </w:pPr>
            <w:r>
              <w:t>134,995,516.67</w:t>
            </w:r>
          </w:p>
        </w:tc>
        <w:tc>
          <w:tcPr>
            <w:tcW w:w="1122" w:type="pct"/>
            <w:tcBorders>
              <w:top w:val="single" w:color="auto" w:sz="4" w:space="0"/>
              <w:left w:val="single" w:color="auto" w:sz="4" w:space="0"/>
              <w:bottom w:val="single" w:color="auto" w:sz="4" w:space="0"/>
              <w:right w:val="single" w:color="auto" w:sz="4" w:space="0"/>
            </w:tcBorders>
          </w:tcPr>
          <w:p w14:paraId="64D35273">
            <w:pPr>
              <w:jc w:val="right"/>
            </w:pPr>
            <w:r>
              <w:t>89,657,126.67</w:t>
            </w:r>
          </w:p>
        </w:tc>
      </w:tr>
      <w:tr w14:paraId="01E8D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83DDB37">
            <w:r>
              <w:t>浙江豪情汽车制造有限公司</w:t>
            </w:r>
          </w:p>
        </w:tc>
        <w:tc>
          <w:tcPr>
            <w:tcW w:w="855" w:type="pct"/>
            <w:tcBorders>
              <w:top w:val="single" w:color="auto" w:sz="4" w:space="0"/>
              <w:left w:val="single" w:color="auto" w:sz="4" w:space="0"/>
              <w:bottom w:val="single" w:color="auto" w:sz="4" w:space="0"/>
              <w:right w:val="single" w:color="auto" w:sz="4" w:space="0"/>
            </w:tcBorders>
          </w:tcPr>
          <w:p w14:paraId="080FB223">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5D31A46E">
            <w:pPr>
              <w:jc w:val="right"/>
            </w:pPr>
            <w:r>
              <w:t>451,804,664.22</w:t>
            </w:r>
          </w:p>
        </w:tc>
        <w:tc>
          <w:tcPr>
            <w:tcW w:w="1122" w:type="pct"/>
            <w:tcBorders>
              <w:top w:val="single" w:color="auto" w:sz="4" w:space="0"/>
              <w:left w:val="single" w:color="auto" w:sz="4" w:space="0"/>
              <w:bottom w:val="single" w:color="auto" w:sz="4" w:space="0"/>
              <w:right w:val="single" w:color="auto" w:sz="4" w:space="0"/>
            </w:tcBorders>
          </w:tcPr>
          <w:p w14:paraId="547E073F">
            <w:pPr>
              <w:jc w:val="right"/>
            </w:pPr>
            <w:r>
              <w:t>379,118,645.39</w:t>
            </w:r>
          </w:p>
        </w:tc>
      </w:tr>
      <w:tr w14:paraId="3EE266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D5906DC">
            <w:r>
              <w:t>浙江寰福科技有限公司</w:t>
            </w:r>
          </w:p>
        </w:tc>
        <w:tc>
          <w:tcPr>
            <w:tcW w:w="855" w:type="pct"/>
            <w:tcBorders>
              <w:top w:val="single" w:color="auto" w:sz="4" w:space="0"/>
              <w:left w:val="single" w:color="auto" w:sz="4" w:space="0"/>
              <w:bottom w:val="single" w:color="auto" w:sz="4" w:space="0"/>
              <w:right w:val="single" w:color="auto" w:sz="4" w:space="0"/>
            </w:tcBorders>
          </w:tcPr>
          <w:p w14:paraId="3B69144B">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493C6114">
            <w:pPr>
              <w:jc w:val="right"/>
            </w:pPr>
            <w:r>
              <w:t>8,882.15</w:t>
            </w:r>
          </w:p>
        </w:tc>
        <w:tc>
          <w:tcPr>
            <w:tcW w:w="1122" w:type="pct"/>
            <w:tcBorders>
              <w:top w:val="single" w:color="auto" w:sz="4" w:space="0"/>
              <w:left w:val="single" w:color="auto" w:sz="4" w:space="0"/>
              <w:bottom w:val="single" w:color="auto" w:sz="4" w:space="0"/>
              <w:right w:val="single" w:color="auto" w:sz="4" w:space="0"/>
            </w:tcBorders>
          </w:tcPr>
          <w:p w14:paraId="2C652252">
            <w:pPr>
              <w:jc w:val="right"/>
            </w:pPr>
            <w:r>
              <w:t>1,236,966.04</w:t>
            </w:r>
          </w:p>
        </w:tc>
      </w:tr>
      <w:tr w14:paraId="01E57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E7F4341">
            <w:r>
              <w:t>浙江吉利汽车备件有限公司</w:t>
            </w:r>
          </w:p>
        </w:tc>
        <w:tc>
          <w:tcPr>
            <w:tcW w:w="855" w:type="pct"/>
            <w:tcBorders>
              <w:top w:val="single" w:color="auto" w:sz="4" w:space="0"/>
              <w:left w:val="single" w:color="auto" w:sz="4" w:space="0"/>
              <w:bottom w:val="single" w:color="auto" w:sz="4" w:space="0"/>
              <w:right w:val="single" w:color="auto" w:sz="4" w:space="0"/>
            </w:tcBorders>
          </w:tcPr>
          <w:p w14:paraId="4343D32E">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1C0958E4">
            <w:pPr>
              <w:jc w:val="right"/>
            </w:pPr>
            <w:r>
              <w:t>30,523,822.14</w:t>
            </w:r>
          </w:p>
        </w:tc>
        <w:tc>
          <w:tcPr>
            <w:tcW w:w="1122" w:type="pct"/>
            <w:tcBorders>
              <w:top w:val="single" w:color="auto" w:sz="4" w:space="0"/>
              <w:left w:val="single" w:color="auto" w:sz="4" w:space="0"/>
              <w:bottom w:val="single" w:color="auto" w:sz="4" w:space="0"/>
              <w:right w:val="single" w:color="auto" w:sz="4" w:space="0"/>
            </w:tcBorders>
          </w:tcPr>
          <w:p w14:paraId="2DA3D9C1">
            <w:pPr>
              <w:jc w:val="right"/>
            </w:pPr>
            <w:r>
              <w:t>30,215,720.91</w:t>
            </w:r>
          </w:p>
        </w:tc>
      </w:tr>
      <w:tr w14:paraId="19A3D9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B886D16">
            <w:r>
              <w:t>浙江吉利汽车有限公司</w:t>
            </w:r>
          </w:p>
        </w:tc>
        <w:tc>
          <w:tcPr>
            <w:tcW w:w="855" w:type="pct"/>
            <w:tcBorders>
              <w:top w:val="single" w:color="auto" w:sz="4" w:space="0"/>
              <w:left w:val="single" w:color="auto" w:sz="4" w:space="0"/>
              <w:bottom w:val="single" w:color="auto" w:sz="4" w:space="0"/>
              <w:right w:val="single" w:color="auto" w:sz="4" w:space="0"/>
            </w:tcBorders>
          </w:tcPr>
          <w:p w14:paraId="1BCDC475">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3FF6705B">
            <w:pPr>
              <w:jc w:val="right"/>
            </w:pPr>
            <w:r>
              <w:t>152,902,912.93</w:t>
            </w:r>
          </w:p>
        </w:tc>
        <w:tc>
          <w:tcPr>
            <w:tcW w:w="1122" w:type="pct"/>
            <w:tcBorders>
              <w:top w:val="single" w:color="auto" w:sz="4" w:space="0"/>
              <w:left w:val="single" w:color="auto" w:sz="4" w:space="0"/>
              <w:bottom w:val="single" w:color="auto" w:sz="4" w:space="0"/>
              <w:right w:val="single" w:color="auto" w:sz="4" w:space="0"/>
            </w:tcBorders>
          </w:tcPr>
          <w:p w14:paraId="6C412135">
            <w:pPr>
              <w:jc w:val="right"/>
            </w:pPr>
            <w:r>
              <w:t>78,942,046.16</w:t>
            </w:r>
          </w:p>
        </w:tc>
      </w:tr>
      <w:tr w14:paraId="5AC5E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DD814AB">
            <w:r>
              <w:t>浙江陆虎汽车有限公司</w:t>
            </w:r>
          </w:p>
        </w:tc>
        <w:tc>
          <w:tcPr>
            <w:tcW w:w="855" w:type="pct"/>
            <w:tcBorders>
              <w:top w:val="single" w:color="auto" w:sz="4" w:space="0"/>
              <w:left w:val="single" w:color="auto" w:sz="4" w:space="0"/>
              <w:bottom w:val="single" w:color="auto" w:sz="4" w:space="0"/>
              <w:right w:val="single" w:color="auto" w:sz="4" w:space="0"/>
            </w:tcBorders>
          </w:tcPr>
          <w:p w14:paraId="259DAC34">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2CE416B1">
            <w:pPr>
              <w:jc w:val="right"/>
            </w:pPr>
            <w:r>
              <w:t>149,188.70</w:t>
            </w:r>
          </w:p>
        </w:tc>
        <w:tc>
          <w:tcPr>
            <w:tcW w:w="1122" w:type="pct"/>
            <w:tcBorders>
              <w:top w:val="single" w:color="auto" w:sz="4" w:space="0"/>
              <w:left w:val="single" w:color="auto" w:sz="4" w:space="0"/>
              <w:bottom w:val="single" w:color="auto" w:sz="4" w:space="0"/>
              <w:right w:val="single" w:color="auto" w:sz="4" w:space="0"/>
            </w:tcBorders>
          </w:tcPr>
          <w:p w14:paraId="454748EF">
            <w:pPr>
              <w:jc w:val="right"/>
            </w:pPr>
            <w:r>
              <w:t>2,550,579.14</w:t>
            </w:r>
          </w:p>
        </w:tc>
      </w:tr>
      <w:tr w14:paraId="635277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462FC14">
            <w:r>
              <w:t>浙江美可达摩托车有限公司</w:t>
            </w:r>
          </w:p>
        </w:tc>
        <w:tc>
          <w:tcPr>
            <w:tcW w:w="855" w:type="pct"/>
            <w:tcBorders>
              <w:top w:val="single" w:color="auto" w:sz="4" w:space="0"/>
              <w:left w:val="single" w:color="auto" w:sz="4" w:space="0"/>
              <w:bottom w:val="single" w:color="auto" w:sz="4" w:space="0"/>
              <w:right w:val="single" w:color="auto" w:sz="4" w:space="0"/>
            </w:tcBorders>
          </w:tcPr>
          <w:p w14:paraId="146D88EC">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492A90BD">
            <w:pPr>
              <w:jc w:val="right"/>
            </w:pPr>
            <w:r>
              <w:t>29,522,926.77</w:t>
            </w:r>
          </w:p>
        </w:tc>
        <w:tc>
          <w:tcPr>
            <w:tcW w:w="1122" w:type="pct"/>
            <w:tcBorders>
              <w:top w:val="single" w:color="auto" w:sz="4" w:space="0"/>
              <w:left w:val="single" w:color="auto" w:sz="4" w:space="0"/>
              <w:bottom w:val="single" w:color="auto" w:sz="4" w:space="0"/>
              <w:right w:val="single" w:color="auto" w:sz="4" w:space="0"/>
            </w:tcBorders>
          </w:tcPr>
          <w:p w14:paraId="00FF75AF">
            <w:pPr>
              <w:jc w:val="right"/>
            </w:pPr>
            <w:r>
              <w:t>5,227,258.29</w:t>
            </w:r>
          </w:p>
        </w:tc>
      </w:tr>
      <w:tr w14:paraId="1D36A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DD02952">
            <w:r>
              <w:t>浙江铭岛汽车配件销售有限公司</w:t>
            </w:r>
          </w:p>
        </w:tc>
        <w:tc>
          <w:tcPr>
            <w:tcW w:w="855" w:type="pct"/>
            <w:tcBorders>
              <w:top w:val="single" w:color="auto" w:sz="4" w:space="0"/>
              <w:left w:val="single" w:color="auto" w:sz="4" w:space="0"/>
              <w:bottom w:val="single" w:color="auto" w:sz="4" w:space="0"/>
              <w:right w:val="single" w:color="auto" w:sz="4" w:space="0"/>
            </w:tcBorders>
          </w:tcPr>
          <w:p w14:paraId="65CE331C">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328BB0FC">
            <w:pPr>
              <w:jc w:val="right"/>
            </w:pPr>
            <w:r>
              <w:t>18,408,658.63</w:t>
            </w:r>
          </w:p>
        </w:tc>
        <w:tc>
          <w:tcPr>
            <w:tcW w:w="1122" w:type="pct"/>
            <w:tcBorders>
              <w:top w:val="single" w:color="auto" w:sz="4" w:space="0"/>
              <w:left w:val="single" w:color="auto" w:sz="4" w:space="0"/>
              <w:bottom w:val="single" w:color="auto" w:sz="4" w:space="0"/>
              <w:right w:val="single" w:color="auto" w:sz="4" w:space="0"/>
            </w:tcBorders>
          </w:tcPr>
          <w:p w14:paraId="34117808">
            <w:pPr>
              <w:jc w:val="right"/>
            </w:pPr>
            <w:r>
              <w:t>9,859,763.34</w:t>
            </w:r>
          </w:p>
        </w:tc>
      </w:tr>
      <w:tr w14:paraId="56BF5A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477C3C4">
            <w:r>
              <w:t>浙江铭岛实业有限公司</w:t>
            </w:r>
          </w:p>
        </w:tc>
        <w:tc>
          <w:tcPr>
            <w:tcW w:w="855" w:type="pct"/>
            <w:tcBorders>
              <w:top w:val="single" w:color="auto" w:sz="4" w:space="0"/>
              <w:left w:val="single" w:color="auto" w:sz="4" w:space="0"/>
              <w:bottom w:val="single" w:color="auto" w:sz="4" w:space="0"/>
              <w:right w:val="single" w:color="auto" w:sz="4" w:space="0"/>
            </w:tcBorders>
          </w:tcPr>
          <w:p w14:paraId="119E0CC0">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775BCD5B">
            <w:pPr>
              <w:jc w:val="right"/>
            </w:pPr>
            <w:r>
              <w:t>759,093.47</w:t>
            </w:r>
          </w:p>
        </w:tc>
        <w:tc>
          <w:tcPr>
            <w:tcW w:w="1122" w:type="pct"/>
            <w:tcBorders>
              <w:top w:val="single" w:color="auto" w:sz="4" w:space="0"/>
              <w:left w:val="single" w:color="auto" w:sz="4" w:space="0"/>
              <w:bottom w:val="single" w:color="auto" w:sz="4" w:space="0"/>
              <w:right w:val="single" w:color="auto" w:sz="4" w:space="0"/>
            </w:tcBorders>
          </w:tcPr>
          <w:p w14:paraId="17E21153">
            <w:pPr>
              <w:jc w:val="right"/>
            </w:pPr>
            <w:r>
              <w:t>292,206.48</w:t>
            </w:r>
          </w:p>
        </w:tc>
      </w:tr>
      <w:tr w14:paraId="6143A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611B051">
            <w:r>
              <w:t>浙江轩孚科技有限公司</w:t>
            </w:r>
          </w:p>
        </w:tc>
        <w:tc>
          <w:tcPr>
            <w:tcW w:w="855" w:type="pct"/>
            <w:tcBorders>
              <w:top w:val="single" w:color="auto" w:sz="4" w:space="0"/>
              <w:left w:val="single" w:color="auto" w:sz="4" w:space="0"/>
              <w:bottom w:val="single" w:color="auto" w:sz="4" w:space="0"/>
              <w:right w:val="single" w:color="auto" w:sz="4" w:space="0"/>
            </w:tcBorders>
          </w:tcPr>
          <w:p w14:paraId="6FA5CD31">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46BDD2BA">
            <w:pPr>
              <w:jc w:val="right"/>
            </w:pPr>
            <w:r>
              <w:t>2,135,191.50</w:t>
            </w:r>
          </w:p>
        </w:tc>
        <w:tc>
          <w:tcPr>
            <w:tcW w:w="1122" w:type="pct"/>
            <w:tcBorders>
              <w:top w:val="single" w:color="auto" w:sz="4" w:space="0"/>
              <w:left w:val="single" w:color="auto" w:sz="4" w:space="0"/>
              <w:bottom w:val="single" w:color="auto" w:sz="4" w:space="0"/>
              <w:right w:val="single" w:color="auto" w:sz="4" w:space="0"/>
            </w:tcBorders>
          </w:tcPr>
          <w:p w14:paraId="7B4A0235">
            <w:pPr>
              <w:jc w:val="right"/>
            </w:pPr>
          </w:p>
        </w:tc>
      </w:tr>
      <w:tr w14:paraId="02E22D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B662136">
            <w:r>
              <w:t>浙江轩孚科技有限公司</w:t>
            </w:r>
          </w:p>
        </w:tc>
        <w:tc>
          <w:tcPr>
            <w:tcW w:w="855" w:type="pct"/>
            <w:tcBorders>
              <w:top w:val="single" w:color="auto" w:sz="4" w:space="0"/>
              <w:left w:val="single" w:color="auto" w:sz="4" w:space="0"/>
              <w:bottom w:val="single" w:color="auto" w:sz="4" w:space="0"/>
              <w:right w:val="single" w:color="auto" w:sz="4" w:space="0"/>
            </w:tcBorders>
          </w:tcPr>
          <w:p w14:paraId="18151127">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7B3FB472">
            <w:pPr>
              <w:jc w:val="right"/>
            </w:pPr>
            <w:r>
              <w:t>2,197,871.96</w:t>
            </w:r>
          </w:p>
        </w:tc>
        <w:tc>
          <w:tcPr>
            <w:tcW w:w="1122" w:type="pct"/>
            <w:tcBorders>
              <w:top w:val="single" w:color="auto" w:sz="4" w:space="0"/>
              <w:left w:val="single" w:color="auto" w:sz="4" w:space="0"/>
              <w:bottom w:val="single" w:color="auto" w:sz="4" w:space="0"/>
              <w:right w:val="single" w:color="auto" w:sz="4" w:space="0"/>
            </w:tcBorders>
          </w:tcPr>
          <w:p w14:paraId="55FA6ADB">
            <w:pPr>
              <w:jc w:val="right"/>
            </w:pPr>
            <w:r>
              <w:t>565,000.00</w:t>
            </w:r>
          </w:p>
        </w:tc>
      </w:tr>
      <w:tr w14:paraId="4374EC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9FFF336">
            <w:r>
              <w:t>浙江枫盛汽车科技有限公司</w:t>
            </w:r>
          </w:p>
        </w:tc>
        <w:tc>
          <w:tcPr>
            <w:tcW w:w="855" w:type="pct"/>
            <w:tcBorders>
              <w:top w:val="single" w:color="auto" w:sz="4" w:space="0"/>
              <w:left w:val="single" w:color="auto" w:sz="4" w:space="0"/>
              <w:bottom w:val="single" w:color="auto" w:sz="4" w:space="0"/>
              <w:right w:val="single" w:color="auto" w:sz="4" w:space="0"/>
            </w:tcBorders>
          </w:tcPr>
          <w:p w14:paraId="2B222787">
            <w:pPr>
              <w:jc w:val="center"/>
            </w:pPr>
            <w:r>
              <w:t>无形资产</w:t>
            </w:r>
          </w:p>
        </w:tc>
        <w:tc>
          <w:tcPr>
            <w:tcW w:w="925" w:type="pct"/>
            <w:tcBorders>
              <w:top w:val="single" w:color="auto" w:sz="4" w:space="0"/>
              <w:left w:val="single" w:color="auto" w:sz="4" w:space="0"/>
              <w:bottom w:val="single" w:color="auto" w:sz="4" w:space="0"/>
              <w:right w:val="single" w:color="auto" w:sz="4" w:space="0"/>
            </w:tcBorders>
          </w:tcPr>
          <w:p w14:paraId="58532668">
            <w:pPr>
              <w:jc w:val="right"/>
            </w:pPr>
          </w:p>
        </w:tc>
        <w:tc>
          <w:tcPr>
            <w:tcW w:w="1122" w:type="pct"/>
            <w:tcBorders>
              <w:top w:val="single" w:color="auto" w:sz="4" w:space="0"/>
              <w:left w:val="single" w:color="auto" w:sz="4" w:space="0"/>
              <w:bottom w:val="single" w:color="auto" w:sz="4" w:space="0"/>
              <w:right w:val="single" w:color="auto" w:sz="4" w:space="0"/>
            </w:tcBorders>
          </w:tcPr>
          <w:p w14:paraId="08F53EBF">
            <w:pPr>
              <w:jc w:val="right"/>
            </w:pPr>
            <w:r>
              <w:t>7,500,000.00</w:t>
            </w:r>
          </w:p>
        </w:tc>
      </w:tr>
      <w:tr w14:paraId="29EFE9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7A18612">
            <w:r>
              <w:t>浙江枫盛汽车科技有限公司</w:t>
            </w:r>
          </w:p>
        </w:tc>
        <w:tc>
          <w:tcPr>
            <w:tcW w:w="855" w:type="pct"/>
            <w:tcBorders>
              <w:top w:val="single" w:color="auto" w:sz="4" w:space="0"/>
              <w:left w:val="single" w:color="auto" w:sz="4" w:space="0"/>
              <w:bottom w:val="single" w:color="auto" w:sz="4" w:space="0"/>
              <w:right w:val="single" w:color="auto" w:sz="4" w:space="0"/>
            </w:tcBorders>
          </w:tcPr>
          <w:p w14:paraId="0AA15AC0">
            <w:pPr>
              <w:jc w:val="center"/>
            </w:pPr>
            <w:r>
              <w:t>研发</w:t>
            </w:r>
          </w:p>
        </w:tc>
        <w:tc>
          <w:tcPr>
            <w:tcW w:w="925" w:type="pct"/>
            <w:tcBorders>
              <w:top w:val="single" w:color="auto" w:sz="4" w:space="0"/>
              <w:left w:val="single" w:color="auto" w:sz="4" w:space="0"/>
              <w:bottom w:val="single" w:color="auto" w:sz="4" w:space="0"/>
              <w:right w:val="single" w:color="auto" w:sz="4" w:space="0"/>
            </w:tcBorders>
          </w:tcPr>
          <w:p w14:paraId="6B23351D">
            <w:pPr>
              <w:jc w:val="right"/>
            </w:pPr>
          </w:p>
        </w:tc>
        <w:tc>
          <w:tcPr>
            <w:tcW w:w="1122" w:type="pct"/>
            <w:tcBorders>
              <w:top w:val="single" w:color="auto" w:sz="4" w:space="0"/>
              <w:left w:val="single" w:color="auto" w:sz="4" w:space="0"/>
              <w:bottom w:val="single" w:color="auto" w:sz="4" w:space="0"/>
              <w:right w:val="single" w:color="auto" w:sz="4" w:space="0"/>
            </w:tcBorders>
          </w:tcPr>
          <w:p w14:paraId="40B990AC">
            <w:pPr>
              <w:jc w:val="right"/>
            </w:pPr>
            <w:r>
              <w:t>6,551,647.80</w:t>
            </w:r>
          </w:p>
        </w:tc>
      </w:tr>
      <w:tr w14:paraId="185498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3CF7E3D">
            <w:r>
              <w:t>浙江枫盛汽车科技有限公司</w:t>
            </w:r>
          </w:p>
        </w:tc>
        <w:tc>
          <w:tcPr>
            <w:tcW w:w="855" w:type="pct"/>
            <w:tcBorders>
              <w:top w:val="single" w:color="auto" w:sz="4" w:space="0"/>
              <w:left w:val="single" w:color="auto" w:sz="4" w:space="0"/>
              <w:bottom w:val="single" w:color="auto" w:sz="4" w:space="0"/>
              <w:right w:val="single" w:color="auto" w:sz="4" w:space="0"/>
            </w:tcBorders>
          </w:tcPr>
          <w:p w14:paraId="7A2ACF89">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5768B1D4">
            <w:pPr>
              <w:jc w:val="right"/>
            </w:pPr>
          </w:p>
        </w:tc>
        <w:tc>
          <w:tcPr>
            <w:tcW w:w="1122" w:type="pct"/>
            <w:tcBorders>
              <w:top w:val="single" w:color="auto" w:sz="4" w:space="0"/>
              <w:left w:val="single" w:color="auto" w:sz="4" w:space="0"/>
              <w:bottom w:val="single" w:color="auto" w:sz="4" w:space="0"/>
              <w:right w:val="single" w:color="auto" w:sz="4" w:space="0"/>
            </w:tcBorders>
          </w:tcPr>
          <w:p w14:paraId="667B03FB">
            <w:pPr>
              <w:jc w:val="right"/>
            </w:pPr>
            <w:r>
              <w:t>122,893.70</w:t>
            </w:r>
          </w:p>
        </w:tc>
      </w:tr>
      <w:tr w14:paraId="6C0FEE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06E9B9F">
            <w:r>
              <w:t>浙江枫盛汽车科技有限公司</w:t>
            </w:r>
          </w:p>
        </w:tc>
        <w:tc>
          <w:tcPr>
            <w:tcW w:w="855" w:type="pct"/>
            <w:tcBorders>
              <w:top w:val="single" w:color="auto" w:sz="4" w:space="0"/>
              <w:left w:val="single" w:color="auto" w:sz="4" w:space="0"/>
              <w:bottom w:val="single" w:color="auto" w:sz="4" w:space="0"/>
              <w:right w:val="single" w:color="auto" w:sz="4" w:space="0"/>
            </w:tcBorders>
          </w:tcPr>
          <w:p w14:paraId="2E54D02B">
            <w:pPr>
              <w:jc w:val="center"/>
            </w:pPr>
            <w:r>
              <w:t>固定资产</w:t>
            </w:r>
          </w:p>
        </w:tc>
        <w:tc>
          <w:tcPr>
            <w:tcW w:w="925" w:type="pct"/>
            <w:tcBorders>
              <w:top w:val="single" w:color="auto" w:sz="4" w:space="0"/>
              <w:left w:val="single" w:color="auto" w:sz="4" w:space="0"/>
              <w:bottom w:val="single" w:color="auto" w:sz="4" w:space="0"/>
              <w:right w:val="single" w:color="auto" w:sz="4" w:space="0"/>
            </w:tcBorders>
          </w:tcPr>
          <w:p w14:paraId="06C2DE50">
            <w:pPr>
              <w:jc w:val="right"/>
            </w:pPr>
          </w:p>
        </w:tc>
        <w:tc>
          <w:tcPr>
            <w:tcW w:w="1122" w:type="pct"/>
            <w:tcBorders>
              <w:top w:val="single" w:color="auto" w:sz="4" w:space="0"/>
              <w:left w:val="single" w:color="auto" w:sz="4" w:space="0"/>
              <w:bottom w:val="single" w:color="auto" w:sz="4" w:space="0"/>
              <w:right w:val="single" w:color="auto" w:sz="4" w:space="0"/>
            </w:tcBorders>
          </w:tcPr>
          <w:p w14:paraId="7CD7561F">
            <w:pPr>
              <w:jc w:val="right"/>
            </w:pPr>
            <w:r>
              <w:t>738,158.10</w:t>
            </w:r>
          </w:p>
        </w:tc>
      </w:tr>
      <w:tr w14:paraId="29280E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A3E1AF1">
            <w:r>
              <w:t>杭州枫华科技有限公司</w:t>
            </w:r>
          </w:p>
        </w:tc>
        <w:tc>
          <w:tcPr>
            <w:tcW w:w="855" w:type="pct"/>
            <w:tcBorders>
              <w:top w:val="single" w:color="auto" w:sz="4" w:space="0"/>
              <w:left w:val="single" w:color="auto" w:sz="4" w:space="0"/>
              <w:bottom w:val="single" w:color="auto" w:sz="4" w:space="0"/>
              <w:right w:val="single" w:color="auto" w:sz="4" w:space="0"/>
            </w:tcBorders>
          </w:tcPr>
          <w:p w14:paraId="7B9C530F">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72B598A">
            <w:pPr>
              <w:jc w:val="right"/>
            </w:pPr>
            <w:r>
              <w:t>4,193,805.84</w:t>
            </w:r>
          </w:p>
        </w:tc>
        <w:tc>
          <w:tcPr>
            <w:tcW w:w="1122" w:type="pct"/>
            <w:tcBorders>
              <w:top w:val="single" w:color="auto" w:sz="4" w:space="0"/>
              <w:left w:val="single" w:color="auto" w:sz="4" w:space="0"/>
              <w:bottom w:val="single" w:color="auto" w:sz="4" w:space="0"/>
              <w:right w:val="single" w:color="auto" w:sz="4" w:space="0"/>
            </w:tcBorders>
          </w:tcPr>
          <w:p w14:paraId="1516DCFA">
            <w:pPr>
              <w:jc w:val="right"/>
            </w:pPr>
            <w:r>
              <w:t>455,771.99</w:t>
            </w:r>
          </w:p>
        </w:tc>
      </w:tr>
      <w:tr w14:paraId="09ADB8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0B2E162">
            <w:r>
              <w:t>杭州吉利共享服务有限公司</w:t>
            </w:r>
          </w:p>
        </w:tc>
        <w:tc>
          <w:tcPr>
            <w:tcW w:w="855" w:type="pct"/>
            <w:tcBorders>
              <w:top w:val="single" w:color="auto" w:sz="4" w:space="0"/>
              <w:left w:val="single" w:color="auto" w:sz="4" w:space="0"/>
              <w:bottom w:val="single" w:color="auto" w:sz="4" w:space="0"/>
              <w:right w:val="single" w:color="auto" w:sz="4" w:space="0"/>
            </w:tcBorders>
          </w:tcPr>
          <w:p w14:paraId="697D1476">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7E86E4FB">
            <w:pPr>
              <w:jc w:val="right"/>
            </w:pPr>
            <w:r>
              <w:t>62,183.14</w:t>
            </w:r>
          </w:p>
        </w:tc>
        <w:tc>
          <w:tcPr>
            <w:tcW w:w="1122" w:type="pct"/>
            <w:tcBorders>
              <w:top w:val="single" w:color="auto" w:sz="4" w:space="0"/>
              <w:left w:val="single" w:color="auto" w:sz="4" w:space="0"/>
              <w:bottom w:val="single" w:color="auto" w:sz="4" w:space="0"/>
              <w:right w:val="single" w:color="auto" w:sz="4" w:space="0"/>
            </w:tcBorders>
          </w:tcPr>
          <w:p w14:paraId="180B6EFE">
            <w:pPr>
              <w:jc w:val="right"/>
            </w:pPr>
          </w:p>
        </w:tc>
      </w:tr>
      <w:tr w14:paraId="034EC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8994DF9">
            <w:r>
              <w:t>杭州吉利汽车数字科技有限公司</w:t>
            </w:r>
          </w:p>
        </w:tc>
        <w:tc>
          <w:tcPr>
            <w:tcW w:w="855" w:type="pct"/>
            <w:tcBorders>
              <w:top w:val="single" w:color="auto" w:sz="4" w:space="0"/>
              <w:left w:val="single" w:color="auto" w:sz="4" w:space="0"/>
              <w:bottom w:val="single" w:color="auto" w:sz="4" w:space="0"/>
              <w:right w:val="single" w:color="auto" w:sz="4" w:space="0"/>
            </w:tcBorders>
          </w:tcPr>
          <w:p w14:paraId="5C512DEF">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15C19EB">
            <w:pPr>
              <w:jc w:val="right"/>
            </w:pPr>
            <w:r>
              <w:t>194,607.89</w:t>
            </w:r>
          </w:p>
        </w:tc>
        <w:tc>
          <w:tcPr>
            <w:tcW w:w="1122" w:type="pct"/>
            <w:tcBorders>
              <w:top w:val="single" w:color="auto" w:sz="4" w:space="0"/>
              <w:left w:val="single" w:color="auto" w:sz="4" w:space="0"/>
              <w:bottom w:val="single" w:color="auto" w:sz="4" w:space="0"/>
              <w:right w:val="single" w:color="auto" w:sz="4" w:space="0"/>
            </w:tcBorders>
          </w:tcPr>
          <w:p w14:paraId="355B1C05">
            <w:pPr>
              <w:jc w:val="right"/>
            </w:pPr>
            <w:r>
              <w:t>580,750.07</w:t>
            </w:r>
          </w:p>
        </w:tc>
      </w:tr>
      <w:tr w14:paraId="25A1C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2098" w:type="pct"/>
            <w:tcBorders>
              <w:top w:val="single" w:color="auto" w:sz="4" w:space="0"/>
              <w:left w:val="single" w:color="auto" w:sz="4" w:space="0"/>
              <w:bottom w:val="single" w:color="auto" w:sz="4" w:space="0"/>
              <w:right w:val="single" w:color="auto" w:sz="4" w:space="0"/>
            </w:tcBorders>
          </w:tcPr>
          <w:p w14:paraId="007D2A25">
            <w:r>
              <w:t>杭州吉利易云科技有限公司</w:t>
            </w:r>
          </w:p>
        </w:tc>
        <w:tc>
          <w:tcPr>
            <w:tcW w:w="855" w:type="pct"/>
            <w:tcBorders>
              <w:top w:val="single" w:color="auto" w:sz="4" w:space="0"/>
              <w:left w:val="single" w:color="auto" w:sz="4" w:space="0"/>
              <w:bottom w:val="single" w:color="auto" w:sz="4" w:space="0"/>
              <w:right w:val="single" w:color="auto" w:sz="4" w:space="0"/>
            </w:tcBorders>
          </w:tcPr>
          <w:p w14:paraId="5CC68F14">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486BE799">
            <w:pPr>
              <w:jc w:val="right"/>
            </w:pPr>
            <w:r>
              <w:t>120,000.00</w:t>
            </w:r>
          </w:p>
        </w:tc>
        <w:tc>
          <w:tcPr>
            <w:tcW w:w="1122" w:type="pct"/>
            <w:tcBorders>
              <w:top w:val="single" w:color="auto" w:sz="4" w:space="0"/>
              <w:left w:val="single" w:color="auto" w:sz="4" w:space="0"/>
              <w:bottom w:val="single" w:color="auto" w:sz="4" w:space="0"/>
              <w:right w:val="single" w:color="auto" w:sz="4" w:space="0"/>
            </w:tcBorders>
          </w:tcPr>
          <w:p w14:paraId="6EA0B08C">
            <w:pPr>
              <w:jc w:val="right"/>
            </w:pPr>
            <w:r>
              <w:t>2,863,536.95</w:t>
            </w:r>
          </w:p>
        </w:tc>
      </w:tr>
      <w:tr w14:paraId="4E3248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B6E087B">
            <w:r>
              <w:t>杭州吉桥汽车科技有限公司</w:t>
            </w:r>
          </w:p>
        </w:tc>
        <w:tc>
          <w:tcPr>
            <w:tcW w:w="855" w:type="pct"/>
            <w:tcBorders>
              <w:top w:val="single" w:color="auto" w:sz="4" w:space="0"/>
              <w:left w:val="single" w:color="auto" w:sz="4" w:space="0"/>
              <w:bottom w:val="single" w:color="auto" w:sz="4" w:space="0"/>
              <w:right w:val="single" w:color="auto" w:sz="4" w:space="0"/>
            </w:tcBorders>
          </w:tcPr>
          <w:p w14:paraId="57482283">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0560CE8A">
            <w:pPr>
              <w:jc w:val="right"/>
            </w:pPr>
            <w:r>
              <w:t>500</w:t>
            </w:r>
          </w:p>
        </w:tc>
        <w:tc>
          <w:tcPr>
            <w:tcW w:w="1122" w:type="pct"/>
            <w:tcBorders>
              <w:top w:val="single" w:color="auto" w:sz="4" w:space="0"/>
              <w:left w:val="single" w:color="auto" w:sz="4" w:space="0"/>
              <w:bottom w:val="single" w:color="auto" w:sz="4" w:space="0"/>
              <w:right w:val="single" w:color="auto" w:sz="4" w:space="0"/>
            </w:tcBorders>
          </w:tcPr>
          <w:p w14:paraId="6DE03A87">
            <w:pPr>
              <w:jc w:val="right"/>
            </w:pPr>
          </w:p>
        </w:tc>
      </w:tr>
      <w:tr w14:paraId="0EBD53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2098" w:type="pct"/>
            <w:tcBorders>
              <w:top w:val="single" w:color="auto" w:sz="4" w:space="0"/>
              <w:left w:val="single" w:color="auto" w:sz="4" w:space="0"/>
              <w:bottom w:val="single" w:color="auto" w:sz="4" w:space="0"/>
              <w:right w:val="single" w:color="auto" w:sz="4" w:space="0"/>
            </w:tcBorders>
          </w:tcPr>
          <w:p w14:paraId="7A0C842A">
            <w:r>
              <w:t>杭州幸福千万家健康服务管理有限公司</w:t>
            </w:r>
          </w:p>
        </w:tc>
        <w:tc>
          <w:tcPr>
            <w:tcW w:w="855" w:type="pct"/>
            <w:tcBorders>
              <w:top w:val="single" w:color="auto" w:sz="4" w:space="0"/>
              <w:left w:val="single" w:color="auto" w:sz="4" w:space="0"/>
              <w:bottom w:val="single" w:color="auto" w:sz="4" w:space="0"/>
              <w:right w:val="single" w:color="auto" w:sz="4" w:space="0"/>
            </w:tcBorders>
          </w:tcPr>
          <w:p w14:paraId="4D37496D">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5D08B256">
            <w:pPr>
              <w:jc w:val="right"/>
            </w:pPr>
            <w:r>
              <w:t>3,500.00</w:t>
            </w:r>
          </w:p>
        </w:tc>
        <w:tc>
          <w:tcPr>
            <w:tcW w:w="1122" w:type="pct"/>
            <w:tcBorders>
              <w:top w:val="single" w:color="auto" w:sz="4" w:space="0"/>
              <w:left w:val="single" w:color="auto" w:sz="4" w:space="0"/>
              <w:bottom w:val="single" w:color="auto" w:sz="4" w:space="0"/>
              <w:right w:val="single" w:color="auto" w:sz="4" w:space="0"/>
            </w:tcBorders>
          </w:tcPr>
          <w:p w14:paraId="31AE81FB">
            <w:pPr>
              <w:jc w:val="right"/>
            </w:pPr>
            <w:r>
              <w:t>4,100.00</w:t>
            </w:r>
          </w:p>
        </w:tc>
      </w:tr>
      <w:tr w14:paraId="1D9EA0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10477C1D">
            <w:r>
              <w:t>杭州轩宇企业咨询管理有限公司</w:t>
            </w:r>
          </w:p>
        </w:tc>
        <w:tc>
          <w:tcPr>
            <w:tcW w:w="855" w:type="pct"/>
            <w:tcBorders>
              <w:top w:val="single" w:color="auto" w:sz="4" w:space="0"/>
              <w:left w:val="single" w:color="auto" w:sz="4" w:space="0"/>
              <w:bottom w:val="single" w:color="auto" w:sz="4" w:space="0"/>
              <w:right w:val="single" w:color="auto" w:sz="4" w:space="0"/>
            </w:tcBorders>
          </w:tcPr>
          <w:p w14:paraId="21711FCE">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0BDDEF51">
            <w:pPr>
              <w:jc w:val="right"/>
            </w:pPr>
            <w:r>
              <w:t>98,531.68</w:t>
            </w:r>
          </w:p>
        </w:tc>
        <w:tc>
          <w:tcPr>
            <w:tcW w:w="1122" w:type="pct"/>
            <w:tcBorders>
              <w:top w:val="single" w:color="auto" w:sz="4" w:space="0"/>
              <w:left w:val="single" w:color="auto" w:sz="4" w:space="0"/>
              <w:bottom w:val="single" w:color="auto" w:sz="4" w:space="0"/>
              <w:right w:val="single" w:color="auto" w:sz="4" w:space="0"/>
            </w:tcBorders>
          </w:tcPr>
          <w:p w14:paraId="5C32A2DB">
            <w:pPr>
              <w:jc w:val="right"/>
            </w:pPr>
            <w:r>
              <w:t>271,951.84</w:t>
            </w:r>
          </w:p>
        </w:tc>
      </w:tr>
      <w:tr w14:paraId="7E35C1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9899C85">
            <w:r>
              <w:t>吉利汽车控股（杭州）有限公司</w:t>
            </w:r>
          </w:p>
        </w:tc>
        <w:tc>
          <w:tcPr>
            <w:tcW w:w="855" w:type="pct"/>
            <w:tcBorders>
              <w:top w:val="single" w:color="auto" w:sz="4" w:space="0"/>
              <w:left w:val="single" w:color="auto" w:sz="4" w:space="0"/>
              <w:bottom w:val="single" w:color="auto" w:sz="4" w:space="0"/>
              <w:right w:val="single" w:color="auto" w:sz="4" w:space="0"/>
            </w:tcBorders>
          </w:tcPr>
          <w:p w14:paraId="5F46920D">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15DE09A">
            <w:pPr>
              <w:jc w:val="right"/>
            </w:pPr>
            <w:r>
              <w:t>150,000.00</w:t>
            </w:r>
          </w:p>
        </w:tc>
        <w:tc>
          <w:tcPr>
            <w:tcW w:w="1122" w:type="pct"/>
            <w:tcBorders>
              <w:top w:val="single" w:color="auto" w:sz="4" w:space="0"/>
              <w:left w:val="single" w:color="auto" w:sz="4" w:space="0"/>
              <w:bottom w:val="single" w:color="auto" w:sz="4" w:space="0"/>
              <w:right w:val="single" w:color="auto" w:sz="4" w:space="0"/>
            </w:tcBorders>
          </w:tcPr>
          <w:p w14:paraId="797E52A7">
            <w:pPr>
              <w:jc w:val="right"/>
            </w:pPr>
            <w:r>
              <w:t>3,022.05</w:t>
            </w:r>
          </w:p>
        </w:tc>
      </w:tr>
      <w:tr w14:paraId="76414C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F44E7A8">
            <w:r>
              <w:t>吉利汽车控股（上海）有限公司</w:t>
            </w:r>
          </w:p>
        </w:tc>
        <w:tc>
          <w:tcPr>
            <w:tcW w:w="855" w:type="pct"/>
            <w:tcBorders>
              <w:top w:val="single" w:color="auto" w:sz="4" w:space="0"/>
              <w:left w:val="single" w:color="auto" w:sz="4" w:space="0"/>
              <w:bottom w:val="single" w:color="auto" w:sz="4" w:space="0"/>
              <w:right w:val="single" w:color="auto" w:sz="4" w:space="0"/>
            </w:tcBorders>
          </w:tcPr>
          <w:p w14:paraId="417805A7">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47DA79E">
            <w:pPr>
              <w:jc w:val="right"/>
            </w:pPr>
            <w:r>
              <w:t>146,244.94</w:t>
            </w:r>
          </w:p>
        </w:tc>
        <w:tc>
          <w:tcPr>
            <w:tcW w:w="1122" w:type="pct"/>
            <w:tcBorders>
              <w:top w:val="single" w:color="auto" w:sz="4" w:space="0"/>
              <w:left w:val="single" w:color="auto" w:sz="4" w:space="0"/>
              <w:bottom w:val="single" w:color="auto" w:sz="4" w:space="0"/>
              <w:right w:val="single" w:color="auto" w:sz="4" w:space="0"/>
            </w:tcBorders>
          </w:tcPr>
          <w:p w14:paraId="53942AF8">
            <w:pPr>
              <w:jc w:val="right"/>
            </w:pPr>
            <w:r>
              <w:t>158,585.95</w:t>
            </w:r>
          </w:p>
        </w:tc>
      </w:tr>
      <w:tr w14:paraId="50F1B1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21BE860">
            <w:r>
              <w:t>吉利汽车控股（上海）有限公司</w:t>
            </w:r>
          </w:p>
        </w:tc>
        <w:tc>
          <w:tcPr>
            <w:tcW w:w="855" w:type="pct"/>
            <w:tcBorders>
              <w:top w:val="single" w:color="auto" w:sz="4" w:space="0"/>
              <w:left w:val="single" w:color="auto" w:sz="4" w:space="0"/>
              <w:bottom w:val="single" w:color="auto" w:sz="4" w:space="0"/>
              <w:right w:val="single" w:color="auto" w:sz="4" w:space="0"/>
            </w:tcBorders>
          </w:tcPr>
          <w:p w14:paraId="43AE7B20">
            <w:pPr>
              <w:jc w:val="center"/>
            </w:pPr>
            <w:r>
              <w:t>研发</w:t>
            </w:r>
          </w:p>
        </w:tc>
        <w:tc>
          <w:tcPr>
            <w:tcW w:w="925" w:type="pct"/>
            <w:tcBorders>
              <w:top w:val="single" w:color="auto" w:sz="4" w:space="0"/>
              <w:left w:val="single" w:color="auto" w:sz="4" w:space="0"/>
              <w:bottom w:val="single" w:color="auto" w:sz="4" w:space="0"/>
              <w:right w:val="single" w:color="auto" w:sz="4" w:space="0"/>
            </w:tcBorders>
          </w:tcPr>
          <w:p w14:paraId="17B642B5">
            <w:pPr>
              <w:jc w:val="right"/>
            </w:pPr>
          </w:p>
        </w:tc>
        <w:tc>
          <w:tcPr>
            <w:tcW w:w="1122" w:type="pct"/>
            <w:tcBorders>
              <w:top w:val="single" w:color="auto" w:sz="4" w:space="0"/>
              <w:left w:val="single" w:color="auto" w:sz="4" w:space="0"/>
              <w:bottom w:val="single" w:color="auto" w:sz="4" w:space="0"/>
              <w:right w:val="single" w:color="auto" w:sz="4" w:space="0"/>
            </w:tcBorders>
          </w:tcPr>
          <w:p w14:paraId="4629E98D">
            <w:pPr>
              <w:jc w:val="right"/>
            </w:pPr>
            <w:r>
              <w:t>157,800.82</w:t>
            </w:r>
          </w:p>
        </w:tc>
      </w:tr>
      <w:tr w14:paraId="5CF2B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32899DE">
            <w:r>
              <w:t>吉利汽车研究院（宁波）有限公司</w:t>
            </w:r>
          </w:p>
        </w:tc>
        <w:tc>
          <w:tcPr>
            <w:tcW w:w="855" w:type="pct"/>
            <w:tcBorders>
              <w:top w:val="single" w:color="auto" w:sz="4" w:space="0"/>
              <w:left w:val="single" w:color="auto" w:sz="4" w:space="0"/>
              <w:bottom w:val="single" w:color="auto" w:sz="4" w:space="0"/>
              <w:right w:val="single" w:color="auto" w:sz="4" w:space="0"/>
            </w:tcBorders>
          </w:tcPr>
          <w:p w14:paraId="27A3C266">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50659A58">
            <w:pPr>
              <w:jc w:val="right"/>
            </w:pPr>
            <w:r>
              <w:t>15,014,229.97</w:t>
            </w:r>
          </w:p>
        </w:tc>
        <w:tc>
          <w:tcPr>
            <w:tcW w:w="1122" w:type="pct"/>
            <w:tcBorders>
              <w:top w:val="single" w:color="auto" w:sz="4" w:space="0"/>
              <w:left w:val="single" w:color="auto" w:sz="4" w:space="0"/>
              <w:bottom w:val="single" w:color="auto" w:sz="4" w:space="0"/>
              <w:right w:val="single" w:color="auto" w:sz="4" w:space="0"/>
            </w:tcBorders>
          </w:tcPr>
          <w:p w14:paraId="64DF1342">
            <w:pPr>
              <w:jc w:val="right"/>
            </w:pPr>
            <w:r>
              <w:t>437,137.42</w:t>
            </w:r>
          </w:p>
        </w:tc>
      </w:tr>
      <w:tr w14:paraId="751BB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7588D2D">
            <w:r>
              <w:t>吉利智创科技（北京）有限公司</w:t>
            </w:r>
          </w:p>
        </w:tc>
        <w:tc>
          <w:tcPr>
            <w:tcW w:w="855" w:type="pct"/>
            <w:tcBorders>
              <w:top w:val="single" w:color="auto" w:sz="4" w:space="0"/>
              <w:left w:val="single" w:color="auto" w:sz="4" w:space="0"/>
              <w:bottom w:val="single" w:color="auto" w:sz="4" w:space="0"/>
              <w:right w:val="single" w:color="auto" w:sz="4" w:space="0"/>
            </w:tcBorders>
          </w:tcPr>
          <w:p w14:paraId="4B2CEE1C">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15B77E31">
            <w:pPr>
              <w:jc w:val="right"/>
            </w:pPr>
            <w:r>
              <w:t>53,181.80</w:t>
            </w:r>
          </w:p>
        </w:tc>
        <w:tc>
          <w:tcPr>
            <w:tcW w:w="1122" w:type="pct"/>
            <w:tcBorders>
              <w:top w:val="single" w:color="auto" w:sz="4" w:space="0"/>
              <w:left w:val="single" w:color="auto" w:sz="4" w:space="0"/>
              <w:bottom w:val="single" w:color="auto" w:sz="4" w:space="0"/>
              <w:right w:val="single" w:color="auto" w:sz="4" w:space="0"/>
            </w:tcBorders>
          </w:tcPr>
          <w:p w14:paraId="3B70E55C">
            <w:pPr>
              <w:jc w:val="right"/>
            </w:pPr>
          </w:p>
        </w:tc>
      </w:tr>
      <w:tr w14:paraId="4F523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2098" w:type="pct"/>
            <w:tcBorders>
              <w:top w:val="single" w:color="auto" w:sz="4" w:space="0"/>
              <w:left w:val="single" w:color="auto" w:sz="4" w:space="0"/>
              <w:bottom w:val="single" w:color="auto" w:sz="4" w:space="0"/>
              <w:right w:val="single" w:color="auto" w:sz="4" w:space="0"/>
            </w:tcBorders>
          </w:tcPr>
          <w:p w14:paraId="2852FFDD">
            <w:r>
              <w:t>吉利智联科技（大连）有限公司</w:t>
            </w:r>
          </w:p>
        </w:tc>
        <w:tc>
          <w:tcPr>
            <w:tcW w:w="855" w:type="pct"/>
            <w:tcBorders>
              <w:top w:val="single" w:color="auto" w:sz="4" w:space="0"/>
              <w:left w:val="single" w:color="auto" w:sz="4" w:space="0"/>
              <w:bottom w:val="single" w:color="auto" w:sz="4" w:space="0"/>
              <w:right w:val="single" w:color="auto" w:sz="4" w:space="0"/>
            </w:tcBorders>
          </w:tcPr>
          <w:p w14:paraId="132E88B2">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7B3ECC1C">
            <w:pPr>
              <w:jc w:val="right"/>
            </w:pPr>
            <w:r>
              <w:t>520.30</w:t>
            </w:r>
          </w:p>
        </w:tc>
        <w:tc>
          <w:tcPr>
            <w:tcW w:w="1122" w:type="pct"/>
            <w:tcBorders>
              <w:top w:val="single" w:color="auto" w:sz="4" w:space="0"/>
              <w:left w:val="single" w:color="auto" w:sz="4" w:space="0"/>
              <w:bottom w:val="single" w:color="auto" w:sz="4" w:space="0"/>
              <w:right w:val="single" w:color="auto" w:sz="4" w:space="0"/>
            </w:tcBorders>
          </w:tcPr>
          <w:p w14:paraId="332937E6">
            <w:pPr>
              <w:jc w:val="right"/>
            </w:pPr>
          </w:p>
        </w:tc>
      </w:tr>
      <w:tr w14:paraId="7E7EC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2098" w:type="pct"/>
            <w:tcBorders>
              <w:top w:val="single" w:color="auto" w:sz="4" w:space="0"/>
              <w:left w:val="single" w:color="auto" w:sz="4" w:space="0"/>
              <w:bottom w:val="single" w:color="auto" w:sz="4" w:space="0"/>
              <w:right w:val="single" w:color="auto" w:sz="4" w:space="0"/>
            </w:tcBorders>
          </w:tcPr>
          <w:p w14:paraId="1F3EBEEC">
            <w:r>
              <w:t>吉利智联科技（武汉）有限公司</w:t>
            </w:r>
          </w:p>
        </w:tc>
        <w:tc>
          <w:tcPr>
            <w:tcW w:w="855" w:type="pct"/>
            <w:tcBorders>
              <w:top w:val="single" w:color="auto" w:sz="4" w:space="0"/>
              <w:left w:val="single" w:color="auto" w:sz="4" w:space="0"/>
              <w:bottom w:val="single" w:color="auto" w:sz="4" w:space="0"/>
              <w:right w:val="single" w:color="auto" w:sz="4" w:space="0"/>
            </w:tcBorders>
          </w:tcPr>
          <w:p w14:paraId="452F3089">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E65D894">
            <w:pPr>
              <w:jc w:val="right"/>
            </w:pPr>
            <w:r>
              <w:t>171,127.39</w:t>
            </w:r>
          </w:p>
        </w:tc>
        <w:tc>
          <w:tcPr>
            <w:tcW w:w="1122" w:type="pct"/>
            <w:tcBorders>
              <w:top w:val="single" w:color="auto" w:sz="4" w:space="0"/>
              <w:left w:val="single" w:color="auto" w:sz="4" w:space="0"/>
              <w:bottom w:val="single" w:color="auto" w:sz="4" w:space="0"/>
              <w:right w:val="single" w:color="auto" w:sz="4" w:space="0"/>
            </w:tcBorders>
          </w:tcPr>
          <w:p w14:paraId="64327351">
            <w:pPr>
              <w:jc w:val="right"/>
            </w:pPr>
          </w:p>
        </w:tc>
      </w:tr>
      <w:tr w14:paraId="75F7A5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0395681">
            <w:r>
              <w:t>江苏绿色智行科技有限公司</w:t>
            </w:r>
          </w:p>
        </w:tc>
        <w:tc>
          <w:tcPr>
            <w:tcW w:w="855" w:type="pct"/>
            <w:tcBorders>
              <w:top w:val="single" w:color="auto" w:sz="4" w:space="0"/>
              <w:left w:val="single" w:color="auto" w:sz="4" w:space="0"/>
              <w:bottom w:val="single" w:color="auto" w:sz="4" w:space="0"/>
              <w:right w:val="single" w:color="auto" w:sz="4" w:space="0"/>
            </w:tcBorders>
          </w:tcPr>
          <w:p w14:paraId="12B87074">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48BEC099">
            <w:pPr>
              <w:jc w:val="right"/>
            </w:pPr>
            <w:r>
              <w:t>1,027,929.06</w:t>
            </w:r>
          </w:p>
        </w:tc>
        <w:tc>
          <w:tcPr>
            <w:tcW w:w="1122" w:type="pct"/>
            <w:tcBorders>
              <w:top w:val="single" w:color="auto" w:sz="4" w:space="0"/>
              <w:left w:val="single" w:color="auto" w:sz="4" w:space="0"/>
              <w:bottom w:val="single" w:color="auto" w:sz="4" w:space="0"/>
              <w:right w:val="single" w:color="auto" w:sz="4" w:space="0"/>
            </w:tcBorders>
          </w:tcPr>
          <w:p w14:paraId="58EF78BC">
            <w:pPr>
              <w:jc w:val="right"/>
            </w:pPr>
          </w:p>
        </w:tc>
      </w:tr>
      <w:tr w14:paraId="2BC433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88B8A1A">
            <w:r>
              <w:t>江苏威肯西汽车科技有限公司</w:t>
            </w:r>
          </w:p>
        </w:tc>
        <w:tc>
          <w:tcPr>
            <w:tcW w:w="855" w:type="pct"/>
            <w:tcBorders>
              <w:top w:val="single" w:color="auto" w:sz="4" w:space="0"/>
              <w:left w:val="single" w:color="auto" w:sz="4" w:space="0"/>
              <w:bottom w:val="single" w:color="auto" w:sz="4" w:space="0"/>
              <w:right w:val="single" w:color="auto" w:sz="4" w:space="0"/>
            </w:tcBorders>
          </w:tcPr>
          <w:p w14:paraId="5C3DD90A">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4BBC4D6B">
            <w:pPr>
              <w:jc w:val="right"/>
            </w:pPr>
            <w:r>
              <w:t>317,436.00</w:t>
            </w:r>
          </w:p>
        </w:tc>
        <w:tc>
          <w:tcPr>
            <w:tcW w:w="1122" w:type="pct"/>
            <w:tcBorders>
              <w:top w:val="single" w:color="auto" w:sz="4" w:space="0"/>
              <w:left w:val="single" w:color="auto" w:sz="4" w:space="0"/>
              <w:bottom w:val="single" w:color="auto" w:sz="4" w:space="0"/>
              <w:right w:val="single" w:color="auto" w:sz="4" w:space="0"/>
            </w:tcBorders>
          </w:tcPr>
          <w:p w14:paraId="11F2D438">
            <w:pPr>
              <w:jc w:val="right"/>
            </w:pPr>
          </w:p>
        </w:tc>
      </w:tr>
      <w:tr w14:paraId="58814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21010FB5">
            <w:r>
              <w:t>临沂领吉茂华汽车销售服务有限公司</w:t>
            </w:r>
          </w:p>
        </w:tc>
        <w:tc>
          <w:tcPr>
            <w:tcW w:w="855" w:type="pct"/>
            <w:tcBorders>
              <w:top w:val="single" w:color="auto" w:sz="4" w:space="0"/>
              <w:left w:val="single" w:color="auto" w:sz="4" w:space="0"/>
              <w:bottom w:val="single" w:color="auto" w:sz="4" w:space="0"/>
              <w:right w:val="single" w:color="auto" w:sz="4" w:space="0"/>
            </w:tcBorders>
          </w:tcPr>
          <w:p w14:paraId="40C461E1">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48EBC762">
            <w:pPr>
              <w:jc w:val="right"/>
            </w:pPr>
            <w:r>
              <w:t>5,313.36</w:t>
            </w:r>
          </w:p>
        </w:tc>
        <w:tc>
          <w:tcPr>
            <w:tcW w:w="1122" w:type="pct"/>
            <w:tcBorders>
              <w:top w:val="single" w:color="auto" w:sz="4" w:space="0"/>
              <w:left w:val="single" w:color="auto" w:sz="4" w:space="0"/>
              <w:bottom w:val="single" w:color="auto" w:sz="4" w:space="0"/>
              <w:right w:val="single" w:color="auto" w:sz="4" w:space="0"/>
            </w:tcBorders>
          </w:tcPr>
          <w:p w14:paraId="184CE1DB">
            <w:pPr>
              <w:jc w:val="right"/>
            </w:pPr>
            <w:r>
              <w:t>27,862.61</w:t>
            </w:r>
          </w:p>
        </w:tc>
      </w:tr>
      <w:tr w14:paraId="606D5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389D106">
            <w:r>
              <w:t>宁波吉利罗佑发动机零部件有限公司</w:t>
            </w:r>
          </w:p>
        </w:tc>
        <w:tc>
          <w:tcPr>
            <w:tcW w:w="855" w:type="pct"/>
            <w:tcBorders>
              <w:top w:val="single" w:color="auto" w:sz="4" w:space="0"/>
              <w:left w:val="single" w:color="auto" w:sz="4" w:space="0"/>
              <w:bottom w:val="single" w:color="auto" w:sz="4" w:space="0"/>
              <w:right w:val="single" w:color="auto" w:sz="4" w:space="0"/>
            </w:tcBorders>
          </w:tcPr>
          <w:p w14:paraId="0924BE1B">
            <w:pPr>
              <w:jc w:val="center"/>
            </w:pPr>
            <w:r>
              <w:rPr>
                <w:rFonts w:hint="eastAsia"/>
              </w:rPr>
              <w:t>研发</w:t>
            </w:r>
          </w:p>
        </w:tc>
        <w:tc>
          <w:tcPr>
            <w:tcW w:w="925" w:type="pct"/>
            <w:tcBorders>
              <w:top w:val="single" w:color="auto" w:sz="4" w:space="0"/>
              <w:left w:val="single" w:color="auto" w:sz="4" w:space="0"/>
              <w:bottom w:val="single" w:color="auto" w:sz="4" w:space="0"/>
              <w:right w:val="single" w:color="auto" w:sz="4" w:space="0"/>
            </w:tcBorders>
          </w:tcPr>
          <w:p w14:paraId="619DCD13">
            <w:pPr>
              <w:jc w:val="right"/>
            </w:pPr>
            <w:r>
              <w:t>1,412,777.61</w:t>
            </w:r>
          </w:p>
        </w:tc>
        <w:tc>
          <w:tcPr>
            <w:tcW w:w="1122" w:type="pct"/>
            <w:tcBorders>
              <w:top w:val="single" w:color="auto" w:sz="4" w:space="0"/>
              <w:left w:val="single" w:color="auto" w:sz="4" w:space="0"/>
              <w:bottom w:val="single" w:color="auto" w:sz="4" w:space="0"/>
              <w:right w:val="single" w:color="auto" w:sz="4" w:space="0"/>
            </w:tcBorders>
          </w:tcPr>
          <w:p w14:paraId="7DD145BD">
            <w:pPr>
              <w:jc w:val="right"/>
            </w:pPr>
            <w:r>
              <w:t>952,400.53</w:t>
            </w:r>
          </w:p>
        </w:tc>
      </w:tr>
      <w:tr w14:paraId="6641FA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E8EB330">
            <w:r>
              <w:t>宁波前湾新区吉研后勤服务有限公司</w:t>
            </w:r>
          </w:p>
        </w:tc>
        <w:tc>
          <w:tcPr>
            <w:tcW w:w="855" w:type="pct"/>
            <w:tcBorders>
              <w:top w:val="single" w:color="auto" w:sz="4" w:space="0"/>
              <w:left w:val="single" w:color="auto" w:sz="4" w:space="0"/>
              <w:bottom w:val="single" w:color="auto" w:sz="4" w:space="0"/>
              <w:right w:val="single" w:color="auto" w:sz="4" w:space="0"/>
            </w:tcBorders>
          </w:tcPr>
          <w:p w14:paraId="237D1C8B">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11BCCDC0">
            <w:pPr>
              <w:jc w:val="right"/>
            </w:pPr>
            <w:r>
              <w:t>84,882.00</w:t>
            </w:r>
          </w:p>
        </w:tc>
        <w:tc>
          <w:tcPr>
            <w:tcW w:w="1122" w:type="pct"/>
            <w:tcBorders>
              <w:top w:val="single" w:color="auto" w:sz="4" w:space="0"/>
              <w:left w:val="single" w:color="auto" w:sz="4" w:space="0"/>
              <w:bottom w:val="single" w:color="auto" w:sz="4" w:space="0"/>
              <w:right w:val="single" w:color="auto" w:sz="4" w:space="0"/>
            </w:tcBorders>
          </w:tcPr>
          <w:p w14:paraId="132DFCA5">
            <w:pPr>
              <w:jc w:val="right"/>
            </w:pPr>
          </w:p>
        </w:tc>
      </w:tr>
      <w:tr w14:paraId="44852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C3E0D38">
            <w:r>
              <w:t>上海星矢数海科技有限公司</w:t>
            </w:r>
          </w:p>
        </w:tc>
        <w:tc>
          <w:tcPr>
            <w:tcW w:w="855" w:type="pct"/>
            <w:tcBorders>
              <w:top w:val="single" w:color="auto" w:sz="4" w:space="0"/>
              <w:left w:val="single" w:color="auto" w:sz="4" w:space="0"/>
              <w:bottom w:val="single" w:color="auto" w:sz="4" w:space="0"/>
              <w:right w:val="single" w:color="auto" w:sz="4" w:space="0"/>
            </w:tcBorders>
          </w:tcPr>
          <w:p w14:paraId="438DD2EB">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2E15657">
            <w:pPr>
              <w:jc w:val="right"/>
            </w:pPr>
            <w:r>
              <w:t>120,000.00</w:t>
            </w:r>
          </w:p>
        </w:tc>
        <w:tc>
          <w:tcPr>
            <w:tcW w:w="1122" w:type="pct"/>
            <w:tcBorders>
              <w:top w:val="single" w:color="auto" w:sz="4" w:space="0"/>
              <w:left w:val="single" w:color="auto" w:sz="4" w:space="0"/>
              <w:bottom w:val="single" w:color="auto" w:sz="4" w:space="0"/>
              <w:right w:val="single" w:color="auto" w:sz="4" w:space="0"/>
            </w:tcBorders>
          </w:tcPr>
          <w:p w14:paraId="09BA20B3">
            <w:pPr>
              <w:jc w:val="right"/>
            </w:pPr>
          </w:p>
        </w:tc>
      </w:tr>
      <w:tr w14:paraId="43976A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2F7D67A">
            <w:r>
              <w:t>天津易易唤能科技有限公司</w:t>
            </w:r>
          </w:p>
        </w:tc>
        <w:tc>
          <w:tcPr>
            <w:tcW w:w="855" w:type="pct"/>
            <w:tcBorders>
              <w:top w:val="single" w:color="auto" w:sz="4" w:space="0"/>
              <w:left w:val="single" w:color="auto" w:sz="4" w:space="0"/>
              <w:bottom w:val="single" w:color="auto" w:sz="4" w:space="0"/>
              <w:right w:val="single" w:color="auto" w:sz="4" w:space="0"/>
            </w:tcBorders>
          </w:tcPr>
          <w:p w14:paraId="38EBD0CD">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49B61114">
            <w:pPr>
              <w:jc w:val="right"/>
            </w:pPr>
            <w:r>
              <w:t>61,780.00</w:t>
            </w:r>
          </w:p>
        </w:tc>
        <w:tc>
          <w:tcPr>
            <w:tcW w:w="1122" w:type="pct"/>
            <w:tcBorders>
              <w:top w:val="single" w:color="auto" w:sz="4" w:space="0"/>
              <w:left w:val="single" w:color="auto" w:sz="4" w:space="0"/>
              <w:bottom w:val="single" w:color="auto" w:sz="4" w:space="0"/>
              <w:right w:val="single" w:color="auto" w:sz="4" w:space="0"/>
            </w:tcBorders>
          </w:tcPr>
          <w:p w14:paraId="68BA067A">
            <w:pPr>
              <w:jc w:val="right"/>
            </w:pPr>
          </w:p>
        </w:tc>
      </w:tr>
      <w:tr w14:paraId="226251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22EA5887">
            <w:r>
              <w:t>浙江吉利教育科技有限公司</w:t>
            </w:r>
          </w:p>
        </w:tc>
        <w:tc>
          <w:tcPr>
            <w:tcW w:w="855" w:type="pct"/>
            <w:tcBorders>
              <w:top w:val="single" w:color="auto" w:sz="4" w:space="0"/>
              <w:left w:val="single" w:color="auto" w:sz="4" w:space="0"/>
              <w:bottom w:val="single" w:color="auto" w:sz="4" w:space="0"/>
              <w:right w:val="single" w:color="auto" w:sz="4" w:space="0"/>
            </w:tcBorders>
          </w:tcPr>
          <w:p w14:paraId="13530325">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72AC5C95">
            <w:pPr>
              <w:jc w:val="right"/>
            </w:pPr>
            <w:r>
              <w:t>2,795.39</w:t>
            </w:r>
          </w:p>
        </w:tc>
        <w:tc>
          <w:tcPr>
            <w:tcW w:w="1122" w:type="pct"/>
            <w:tcBorders>
              <w:top w:val="single" w:color="auto" w:sz="4" w:space="0"/>
              <w:left w:val="single" w:color="auto" w:sz="4" w:space="0"/>
              <w:bottom w:val="single" w:color="auto" w:sz="4" w:space="0"/>
              <w:right w:val="single" w:color="auto" w:sz="4" w:space="0"/>
            </w:tcBorders>
          </w:tcPr>
          <w:p w14:paraId="5968BE88">
            <w:pPr>
              <w:jc w:val="right"/>
            </w:pPr>
          </w:p>
        </w:tc>
      </w:tr>
      <w:tr w14:paraId="69F01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0E6431C">
            <w:r>
              <w:t>浙江吉利控股集团汽车销售有限公司</w:t>
            </w:r>
          </w:p>
        </w:tc>
        <w:tc>
          <w:tcPr>
            <w:tcW w:w="855" w:type="pct"/>
            <w:tcBorders>
              <w:top w:val="single" w:color="auto" w:sz="4" w:space="0"/>
              <w:left w:val="single" w:color="auto" w:sz="4" w:space="0"/>
              <w:bottom w:val="single" w:color="auto" w:sz="4" w:space="0"/>
              <w:right w:val="single" w:color="auto" w:sz="4" w:space="0"/>
            </w:tcBorders>
          </w:tcPr>
          <w:p w14:paraId="0CA94A4A">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5593A670">
            <w:pPr>
              <w:jc w:val="right"/>
            </w:pPr>
            <w:r>
              <w:t>14,152,796.51</w:t>
            </w:r>
          </w:p>
        </w:tc>
        <w:tc>
          <w:tcPr>
            <w:tcW w:w="1122" w:type="pct"/>
            <w:tcBorders>
              <w:top w:val="single" w:color="auto" w:sz="4" w:space="0"/>
              <w:left w:val="single" w:color="auto" w:sz="4" w:space="0"/>
              <w:bottom w:val="single" w:color="auto" w:sz="4" w:space="0"/>
              <w:right w:val="single" w:color="auto" w:sz="4" w:space="0"/>
            </w:tcBorders>
          </w:tcPr>
          <w:p w14:paraId="1C650150">
            <w:pPr>
              <w:jc w:val="right"/>
            </w:pPr>
            <w:r>
              <w:t>6,262,758.90</w:t>
            </w:r>
          </w:p>
        </w:tc>
      </w:tr>
      <w:tr w14:paraId="316758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BFEB961">
            <w:r>
              <w:t>浙江吉利汽车工程技术开发有限公司</w:t>
            </w:r>
          </w:p>
        </w:tc>
        <w:tc>
          <w:tcPr>
            <w:tcW w:w="855" w:type="pct"/>
            <w:tcBorders>
              <w:top w:val="single" w:color="auto" w:sz="4" w:space="0"/>
              <w:left w:val="single" w:color="auto" w:sz="4" w:space="0"/>
              <w:bottom w:val="single" w:color="auto" w:sz="4" w:space="0"/>
              <w:right w:val="single" w:color="auto" w:sz="4" w:space="0"/>
            </w:tcBorders>
          </w:tcPr>
          <w:p w14:paraId="361A93A8">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49F7092">
            <w:pPr>
              <w:jc w:val="right"/>
            </w:pPr>
            <w:r>
              <w:t>663,860.00</w:t>
            </w:r>
          </w:p>
        </w:tc>
        <w:tc>
          <w:tcPr>
            <w:tcW w:w="1122" w:type="pct"/>
            <w:tcBorders>
              <w:top w:val="single" w:color="auto" w:sz="4" w:space="0"/>
              <w:left w:val="single" w:color="auto" w:sz="4" w:space="0"/>
              <w:bottom w:val="single" w:color="auto" w:sz="4" w:space="0"/>
              <w:right w:val="single" w:color="auto" w:sz="4" w:space="0"/>
            </w:tcBorders>
          </w:tcPr>
          <w:p w14:paraId="63AE5107">
            <w:pPr>
              <w:jc w:val="right"/>
            </w:pPr>
          </w:p>
        </w:tc>
      </w:tr>
      <w:tr w14:paraId="12A052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4A8E041">
            <w:r>
              <w:t>浙江吉利汽车国际贸易有限公司</w:t>
            </w:r>
          </w:p>
        </w:tc>
        <w:tc>
          <w:tcPr>
            <w:tcW w:w="855" w:type="pct"/>
            <w:tcBorders>
              <w:top w:val="single" w:color="auto" w:sz="4" w:space="0"/>
              <w:left w:val="single" w:color="auto" w:sz="4" w:space="0"/>
              <w:bottom w:val="single" w:color="auto" w:sz="4" w:space="0"/>
              <w:right w:val="single" w:color="auto" w:sz="4" w:space="0"/>
            </w:tcBorders>
          </w:tcPr>
          <w:p w14:paraId="3DB0040A">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2497D916">
            <w:pPr>
              <w:jc w:val="right"/>
            </w:pPr>
            <w:r>
              <w:t>1,419,691.12</w:t>
            </w:r>
          </w:p>
        </w:tc>
        <w:tc>
          <w:tcPr>
            <w:tcW w:w="1122" w:type="pct"/>
            <w:tcBorders>
              <w:top w:val="single" w:color="auto" w:sz="4" w:space="0"/>
              <w:left w:val="single" w:color="auto" w:sz="4" w:space="0"/>
              <w:bottom w:val="single" w:color="auto" w:sz="4" w:space="0"/>
              <w:right w:val="single" w:color="auto" w:sz="4" w:space="0"/>
            </w:tcBorders>
          </w:tcPr>
          <w:p w14:paraId="706FF895">
            <w:pPr>
              <w:jc w:val="right"/>
            </w:pPr>
            <w:r>
              <w:t>277,930.84</w:t>
            </w:r>
          </w:p>
        </w:tc>
      </w:tr>
      <w:tr w14:paraId="42CA12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2B9A5665">
            <w:r>
              <w:t>浙江吉利商务服务有限公司</w:t>
            </w:r>
          </w:p>
        </w:tc>
        <w:tc>
          <w:tcPr>
            <w:tcW w:w="855" w:type="pct"/>
            <w:tcBorders>
              <w:top w:val="single" w:color="auto" w:sz="4" w:space="0"/>
              <w:left w:val="single" w:color="auto" w:sz="4" w:space="0"/>
              <w:bottom w:val="single" w:color="auto" w:sz="4" w:space="0"/>
              <w:right w:val="single" w:color="auto" w:sz="4" w:space="0"/>
            </w:tcBorders>
          </w:tcPr>
          <w:p w14:paraId="5AF123AD">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6FF28C85">
            <w:pPr>
              <w:jc w:val="right"/>
            </w:pPr>
            <w:r>
              <w:t>5,780,500.28</w:t>
            </w:r>
          </w:p>
        </w:tc>
        <w:tc>
          <w:tcPr>
            <w:tcW w:w="1122" w:type="pct"/>
            <w:tcBorders>
              <w:top w:val="single" w:color="auto" w:sz="4" w:space="0"/>
              <w:left w:val="single" w:color="auto" w:sz="4" w:space="0"/>
              <w:bottom w:val="single" w:color="auto" w:sz="4" w:space="0"/>
              <w:right w:val="single" w:color="auto" w:sz="4" w:space="0"/>
            </w:tcBorders>
          </w:tcPr>
          <w:p w14:paraId="4705C101">
            <w:pPr>
              <w:jc w:val="right"/>
            </w:pPr>
            <w:r>
              <w:t>6,195,593.69</w:t>
            </w:r>
          </w:p>
        </w:tc>
      </w:tr>
      <w:tr w14:paraId="73BD8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D31382F">
            <w:r>
              <w:t>浙江吉润汽车有限公司</w:t>
            </w:r>
          </w:p>
        </w:tc>
        <w:tc>
          <w:tcPr>
            <w:tcW w:w="855" w:type="pct"/>
            <w:tcBorders>
              <w:top w:val="single" w:color="auto" w:sz="4" w:space="0"/>
              <w:left w:val="single" w:color="auto" w:sz="4" w:space="0"/>
              <w:bottom w:val="single" w:color="auto" w:sz="4" w:space="0"/>
              <w:right w:val="single" w:color="auto" w:sz="4" w:space="0"/>
            </w:tcBorders>
          </w:tcPr>
          <w:p w14:paraId="44454E72">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1DF506B">
            <w:pPr>
              <w:jc w:val="right"/>
            </w:pPr>
            <w:r>
              <w:t>10,464,943.10</w:t>
            </w:r>
          </w:p>
        </w:tc>
        <w:tc>
          <w:tcPr>
            <w:tcW w:w="1122" w:type="pct"/>
            <w:tcBorders>
              <w:top w:val="single" w:color="auto" w:sz="4" w:space="0"/>
              <w:left w:val="single" w:color="auto" w:sz="4" w:space="0"/>
              <w:bottom w:val="single" w:color="auto" w:sz="4" w:space="0"/>
              <w:right w:val="single" w:color="auto" w:sz="4" w:space="0"/>
            </w:tcBorders>
          </w:tcPr>
          <w:p w14:paraId="5F1CED04">
            <w:pPr>
              <w:jc w:val="right"/>
            </w:pPr>
            <w:r>
              <w:t>10,411,977.33</w:t>
            </w:r>
          </w:p>
        </w:tc>
      </w:tr>
      <w:tr w14:paraId="148BE0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9A20C15">
            <w:r>
              <w:t>浙江吉润汽车有限公司</w:t>
            </w:r>
          </w:p>
        </w:tc>
        <w:tc>
          <w:tcPr>
            <w:tcW w:w="855" w:type="pct"/>
            <w:tcBorders>
              <w:top w:val="single" w:color="auto" w:sz="4" w:space="0"/>
              <w:left w:val="single" w:color="auto" w:sz="4" w:space="0"/>
              <w:bottom w:val="single" w:color="auto" w:sz="4" w:space="0"/>
              <w:right w:val="single" w:color="auto" w:sz="4" w:space="0"/>
            </w:tcBorders>
          </w:tcPr>
          <w:p w14:paraId="68B659D1">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36A09F1D">
            <w:pPr>
              <w:jc w:val="right"/>
            </w:pPr>
          </w:p>
        </w:tc>
        <w:tc>
          <w:tcPr>
            <w:tcW w:w="1122" w:type="pct"/>
            <w:tcBorders>
              <w:top w:val="single" w:color="auto" w:sz="4" w:space="0"/>
              <w:left w:val="single" w:color="auto" w:sz="4" w:space="0"/>
              <w:bottom w:val="single" w:color="auto" w:sz="4" w:space="0"/>
              <w:right w:val="single" w:color="auto" w:sz="4" w:space="0"/>
            </w:tcBorders>
          </w:tcPr>
          <w:p w14:paraId="4B04DC7F">
            <w:pPr>
              <w:jc w:val="right"/>
            </w:pPr>
            <w:r>
              <w:t>152,968.85</w:t>
            </w:r>
          </w:p>
        </w:tc>
      </w:tr>
      <w:tr w14:paraId="62A3CB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52FC18C">
            <w:r>
              <w:t>浙江吉速物流有限公司</w:t>
            </w:r>
          </w:p>
        </w:tc>
        <w:tc>
          <w:tcPr>
            <w:tcW w:w="855" w:type="pct"/>
            <w:tcBorders>
              <w:top w:val="single" w:color="auto" w:sz="4" w:space="0"/>
              <w:left w:val="single" w:color="auto" w:sz="4" w:space="0"/>
              <w:bottom w:val="single" w:color="auto" w:sz="4" w:space="0"/>
              <w:right w:val="single" w:color="auto" w:sz="4" w:space="0"/>
            </w:tcBorders>
          </w:tcPr>
          <w:p w14:paraId="24210329">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2182F392">
            <w:pPr>
              <w:jc w:val="right"/>
            </w:pPr>
            <w:r>
              <w:t>23,074,549.09</w:t>
            </w:r>
          </w:p>
        </w:tc>
        <w:tc>
          <w:tcPr>
            <w:tcW w:w="1122" w:type="pct"/>
            <w:tcBorders>
              <w:top w:val="single" w:color="auto" w:sz="4" w:space="0"/>
              <w:left w:val="single" w:color="auto" w:sz="4" w:space="0"/>
              <w:bottom w:val="single" w:color="auto" w:sz="4" w:space="0"/>
              <w:right w:val="single" w:color="auto" w:sz="4" w:space="0"/>
            </w:tcBorders>
          </w:tcPr>
          <w:p w14:paraId="37C6D9F1">
            <w:pPr>
              <w:jc w:val="right"/>
            </w:pPr>
            <w:r>
              <w:t>20,856,018.43</w:t>
            </w:r>
          </w:p>
        </w:tc>
      </w:tr>
      <w:tr w14:paraId="5379F4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0BCABD0">
            <w:r>
              <w:t>浙江吉信资源循环科技有限公司</w:t>
            </w:r>
          </w:p>
        </w:tc>
        <w:tc>
          <w:tcPr>
            <w:tcW w:w="855" w:type="pct"/>
            <w:tcBorders>
              <w:top w:val="single" w:color="auto" w:sz="4" w:space="0"/>
              <w:left w:val="single" w:color="auto" w:sz="4" w:space="0"/>
              <w:bottom w:val="single" w:color="auto" w:sz="4" w:space="0"/>
              <w:right w:val="single" w:color="auto" w:sz="4" w:space="0"/>
            </w:tcBorders>
          </w:tcPr>
          <w:p w14:paraId="211810EC">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34DF6B7">
            <w:pPr>
              <w:jc w:val="right"/>
            </w:pPr>
            <w:r>
              <w:t>4,847.82</w:t>
            </w:r>
          </w:p>
        </w:tc>
        <w:tc>
          <w:tcPr>
            <w:tcW w:w="1122" w:type="pct"/>
            <w:tcBorders>
              <w:top w:val="single" w:color="auto" w:sz="4" w:space="0"/>
              <w:left w:val="single" w:color="auto" w:sz="4" w:space="0"/>
              <w:bottom w:val="single" w:color="auto" w:sz="4" w:space="0"/>
              <w:right w:val="single" w:color="auto" w:sz="4" w:space="0"/>
            </w:tcBorders>
          </w:tcPr>
          <w:p w14:paraId="50FEA12C">
            <w:pPr>
              <w:jc w:val="right"/>
            </w:pPr>
            <w:r>
              <w:t>19,038.02</w:t>
            </w:r>
          </w:p>
        </w:tc>
      </w:tr>
      <w:tr w14:paraId="7F662D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8B4BBDA">
            <w:r>
              <w:t>浙江利民实业集团有限公司</w:t>
            </w:r>
          </w:p>
        </w:tc>
        <w:tc>
          <w:tcPr>
            <w:tcW w:w="855" w:type="pct"/>
            <w:tcBorders>
              <w:top w:val="single" w:color="auto" w:sz="4" w:space="0"/>
              <w:left w:val="single" w:color="auto" w:sz="4" w:space="0"/>
              <w:bottom w:val="single" w:color="auto" w:sz="4" w:space="0"/>
              <w:right w:val="single" w:color="auto" w:sz="4" w:space="0"/>
            </w:tcBorders>
          </w:tcPr>
          <w:p w14:paraId="189758B0">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01321E26">
            <w:pPr>
              <w:jc w:val="right"/>
            </w:pPr>
            <w:r>
              <w:t>5,080,310.00</w:t>
            </w:r>
          </w:p>
        </w:tc>
        <w:tc>
          <w:tcPr>
            <w:tcW w:w="1122" w:type="pct"/>
            <w:tcBorders>
              <w:top w:val="single" w:color="auto" w:sz="4" w:space="0"/>
              <w:left w:val="single" w:color="auto" w:sz="4" w:space="0"/>
              <w:bottom w:val="single" w:color="auto" w:sz="4" w:space="0"/>
              <w:right w:val="single" w:color="auto" w:sz="4" w:space="0"/>
            </w:tcBorders>
          </w:tcPr>
          <w:p w14:paraId="7ABB52D8">
            <w:pPr>
              <w:jc w:val="right"/>
            </w:pPr>
          </w:p>
        </w:tc>
      </w:tr>
      <w:tr w14:paraId="678E68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DF6A2FB">
            <w:r>
              <w:t>浙江绿色智行科创有限公司</w:t>
            </w:r>
          </w:p>
        </w:tc>
        <w:tc>
          <w:tcPr>
            <w:tcW w:w="855" w:type="pct"/>
            <w:tcBorders>
              <w:top w:val="single" w:color="auto" w:sz="4" w:space="0"/>
              <w:left w:val="single" w:color="auto" w:sz="4" w:space="0"/>
              <w:bottom w:val="single" w:color="auto" w:sz="4" w:space="0"/>
              <w:right w:val="single" w:color="auto" w:sz="4" w:space="0"/>
            </w:tcBorders>
          </w:tcPr>
          <w:p w14:paraId="49D72484">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5DA0B1AB">
            <w:pPr>
              <w:jc w:val="right"/>
            </w:pPr>
            <w:r>
              <w:t>14,976.00</w:t>
            </w:r>
          </w:p>
        </w:tc>
        <w:tc>
          <w:tcPr>
            <w:tcW w:w="1122" w:type="pct"/>
            <w:tcBorders>
              <w:top w:val="single" w:color="auto" w:sz="4" w:space="0"/>
              <w:left w:val="single" w:color="auto" w:sz="4" w:space="0"/>
              <w:bottom w:val="single" w:color="auto" w:sz="4" w:space="0"/>
              <w:right w:val="single" w:color="auto" w:sz="4" w:space="0"/>
            </w:tcBorders>
          </w:tcPr>
          <w:p w14:paraId="78CCE587">
            <w:pPr>
              <w:jc w:val="right"/>
            </w:pPr>
          </w:p>
        </w:tc>
      </w:tr>
      <w:tr w14:paraId="759F2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D432590">
            <w:r>
              <w:t>浙江远景汽配有限公司</w:t>
            </w:r>
          </w:p>
        </w:tc>
        <w:tc>
          <w:tcPr>
            <w:tcW w:w="855" w:type="pct"/>
            <w:tcBorders>
              <w:top w:val="single" w:color="auto" w:sz="4" w:space="0"/>
              <w:left w:val="single" w:color="auto" w:sz="4" w:space="0"/>
              <w:bottom w:val="single" w:color="auto" w:sz="4" w:space="0"/>
              <w:right w:val="single" w:color="auto" w:sz="4" w:space="0"/>
            </w:tcBorders>
          </w:tcPr>
          <w:p w14:paraId="7404E0DF">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7A33C9DD">
            <w:pPr>
              <w:jc w:val="right"/>
            </w:pPr>
            <w:r>
              <w:t>3,901,717.80</w:t>
            </w:r>
          </w:p>
        </w:tc>
        <w:tc>
          <w:tcPr>
            <w:tcW w:w="1122" w:type="pct"/>
            <w:tcBorders>
              <w:top w:val="single" w:color="auto" w:sz="4" w:space="0"/>
              <w:left w:val="single" w:color="auto" w:sz="4" w:space="0"/>
              <w:bottom w:val="single" w:color="auto" w:sz="4" w:space="0"/>
              <w:right w:val="single" w:color="auto" w:sz="4" w:space="0"/>
            </w:tcBorders>
          </w:tcPr>
          <w:p w14:paraId="2FD4110E">
            <w:pPr>
              <w:jc w:val="right"/>
            </w:pPr>
            <w:r>
              <w:t>5,823,357.05</w:t>
            </w:r>
          </w:p>
        </w:tc>
      </w:tr>
      <w:tr w14:paraId="310D1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533D1C8">
            <w:r>
              <w:t>浙江远景汽配有限公司</w:t>
            </w:r>
          </w:p>
        </w:tc>
        <w:tc>
          <w:tcPr>
            <w:tcW w:w="855" w:type="pct"/>
            <w:tcBorders>
              <w:top w:val="single" w:color="auto" w:sz="4" w:space="0"/>
              <w:left w:val="single" w:color="auto" w:sz="4" w:space="0"/>
              <w:bottom w:val="single" w:color="auto" w:sz="4" w:space="0"/>
              <w:right w:val="single" w:color="auto" w:sz="4" w:space="0"/>
            </w:tcBorders>
          </w:tcPr>
          <w:p w14:paraId="6003ED0D">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11A9EE42">
            <w:pPr>
              <w:jc w:val="right"/>
            </w:pPr>
          </w:p>
        </w:tc>
        <w:tc>
          <w:tcPr>
            <w:tcW w:w="1122" w:type="pct"/>
            <w:tcBorders>
              <w:top w:val="single" w:color="auto" w:sz="4" w:space="0"/>
              <w:left w:val="single" w:color="auto" w:sz="4" w:space="0"/>
              <w:bottom w:val="single" w:color="auto" w:sz="4" w:space="0"/>
              <w:right w:val="single" w:color="auto" w:sz="4" w:space="0"/>
            </w:tcBorders>
          </w:tcPr>
          <w:p w14:paraId="3F2607FC">
            <w:pPr>
              <w:jc w:val="right"/>
            </w:pPr>
            <w:r>
              <w:t>4,008,319.05</w:t>
            </w:r>
          </w:p>
        </w:tc>
      </w:tr>
      <w:tr w14:paraId="15D1C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5E1B8EEF">
            <w:r>
              <w:t>重庆力帆红星商业管理有限公司</w:t>
            </w:r>
          </w:p>
        </w:tc>
        <w:tc>
          <w:tcPr>
            <w:tcW w:w="855" w:type="pct"/>
            <w:tcBorders>
              <w:top w:val="single" w:color="auto" w:sz="4" w:space="0"/>
              <w:left w:val="single" w:color="auto" w:sz="4" w:space="0"/>
              <w:bottom w:val="single" w:color="auto" w:sz="4" w:space="0"/>
              <w:right w:val="single" w:color="auto" w:sz="4" w:space="0"/>
            </w:tcBorders>
          </w:tcPr>
          <w:p w14:paraId="62474010">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62718C76">
            <w:pPr>
              <w:jc w:val="right"/>
            </w:pPr>
            <w:r>
              <w:t>1,672,294.65</w:t>
            </w:r>
          </w:p>
        </w:tc>
        <w:tc>
          <w:tcPr>
            <w:tcW w:w="1122" w:type="pct"/>
            <w:tcBorders>
              <w:top w:val="single" w:color="auto" w:sz="4" w:space="0"/>
              <w:left w:val="single" w:color="auto" w:sz="4" w:space="0"/>
              <w:bottom w:val="single" w:color="auto" w:sz="4" w:space="0"/>
              <w:right w:val="single" w:color="auto" w:sz="4" w:space="0"/>
            </w:tcBorders>
          </w:tcPr>
          <w:p w14:paraId="3926853A">
            <w:pPr>
              <w:jc w:val="right"/>
            </w:pPr>
            <w:r>
              <w:t>315,825.24</w:t>
            </w:r>
          </w:p>
        </w:tc>
      </w:tr>
      <w:tr w14:paraId="299CB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2CBDC489">
            <w:r>
              <w:t>重庆新润商业管理有限公司</w:t>
            </w:r>
          </w:p>
        </w:tc>
        <w:tc>
          <w:tcPr>
            <w:tcW w:w="855" w:type="pct"/>
            <w:tcBorders>
              <w:top w:val="single" w:color="auto" w:sz="4" w:space="0"/>
              <w:left w:val="single" w:color="auto" w:sz="4" w:space="0"/>
              <w:bottom w:val="single" w:color="auto" w:sz="4" w:space="0"/>
              <w:right w:val="single" w:color="auto" w:sz="4" w:space="0"/>
            </w:tcBorders>
          </w:tcPr>
          <w:p w14:paraId="07299324">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60FE779C">
            <w:pPr>
              <w:jc w:val="right"/>
            </w:pPr>
            <w:r>
              <w:t>681,524.64</w:t>
            </w:r>
          </w:p>
        </w:tc>
        <w:tc>
          <w:tcPr>
            <w:tcW w:w="1122" w:type="pct"/>
            <w:tcBorders>
              <w:top w:val="single" w:color="auto" w:sz="4" w:space="0"/>
              <w:left w:val="single" w:color="auto" w:sz="4" w:space="0"/>
              <w:bottom w:val="single" w:color="auto" w:sz="4" w:space="0"/>
              <w:right w:val="single" w:color="auto" w:sz="4" w:space="0"/>
            </w:tcBorders>
          </w:tcPr>
          <w:p w14:paraId="1D3F89F8">
            <w:pPr>
              <w:jc w:val="right"/>
            </w:pPr>
          </w:p>
        </w:tc>
      </w:tr>
      <w:tr w14:paraId="36F925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B3D73E1">
            <w:r>
              <w:t>重庆裕弘昇物业管理有限公司</w:t>
            </w:r>
          </w:p>
        </w:tc>
        <w:tc>
          <w:tcPr>
            <w:tcW w:w="855" w:type="pct"/>
            <w:tcBorders>
              <w:top w:val="single" w:color="auto" w:sz="4" w:space="0"/>
              <w:left w:val="single" w:color="auto" w:sz="4" w:space="0"/>
              <w:bottom w:val="single" w:color="auto" w:sz="4" w:space="0"/>
              <w:right w:val="single" w:color="auto" w:sz="4" w:space="0"/>
            </w:tcBorders>
          </w:tcPr>
          <w:p w14:paraId="7F936683">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54D09F75">
            <w:pPr>
              <w:jc w:val="right"/>
            </w:pPr>
            <w:r>
              <w:t>1,951,496.72</w:t>
            </w:r>
          </w:p>
        </w:tc>
        <w:tc>
          <w:tcPr>
            <w:tcW w:w="1122" w:type="pct"/>
            <w:tcBorders>
              <w:top w:val="single" w:color="auto" w:sz="4" w:space="0"/>
              <w:left w:val="single" w:color="auto" w:sz="4" w:space="0"/>
              <w:bottom w:val="single" w:color="auto" w:sz="4" w:space="0"/>
              <w:right w:val="single" w:color="auto" w:sz="4" w:space="0"/>
            </w:tcBorders>
          </w:tcPr>
          <w:p w14:paraId="62822CAF">
            <w:pPr>
              <w:jc w:val="right"/>
            </w:pPr>
            <w:r>
              <w:t>2,221,909.35</w:t>
            </w:r>
          </w:p>
        </w:tc>
      </w:tr>
      <w:tr w14:paraId="2D89BC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F326042">
            <w:r>
              <w:t>吉利汽车集团有限公司</w:t>
            </w:r>
          </w:p>
        </w:tc>
        <w:tc>
          <w:tcPr>
            <w:tcW w:w="855" w:type="pct"/>
            <w:tcBorders>
              <w:top w:val="single" w:color="auto" w:sz="4" w:space="0"/>
              <w:left w:val="single" w:color="auto" w:sz="4" w:space="0"/>
              <w:bottom w:val="single" w:color="auto" w:sz="4" w:space="0"/>
              <w:right w:val="single" w:color="auto" w:sz="4" w:space="0"/>
            </w:tcBorders>
          </w:tcPr>
          <w:p w14:paraId="1AA36A31">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0A2DA5B5">
            <w:pPr>
              <w:jc w:val="right"/>
            </w:pPr>
          </w:p>
        </w:tc>
        <w:tc>
          <w:tcPr>
            <w:tcW w:w="1122" w:type="pct"/>
            <w:tcBorders>
              <w:top w:val="single" w:color="auto" w:sz="4" w:space="0"/>
              <w:left w:val="single" w:color="auto" w:sz="4" w:space="0"/>
              <w:bottom w:val="single" w:color="auto" w:sz="4" w:space="0"/>
              <w:right w:val="single" w:color="auto" w:sz="4" w:space="0"/>
            </w:tcBorders>
          </w:tcPr>
          <w:p w14:paraId="143AC44F">
            <w:pPr>
              <w:jc w:val="right"/>
            </w:pPr>
            <w:r>
              <w:t>2,896,882.11</w:t>
            </w:r>
          </w:p>
        </w:tc>
      </w:tr>
      <w:tr w14:paraId="56BBE2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18239817">
            <w:r>
              <w:t>吉智（杭州）文化创意有限公司</w:t>
            </w:r>
          </w:p>
        </w:tc>
        <w:tc>
          <w:tcPr>
            <w:tcW w:w="855" w:type="pct"/>
            <w:tcBorders>
              <w:top w:val="single" w:color="auto" w:sz="4" w:space="0"/>
              <w:left w:val="single" w:color="auto" w:sz="4" w:space="0"/>
              <w:bottom w:val="single" w:color="auto" w:sz="4" w:space="0"/>
              <w:right w:val="single" w:color="auto" w:sz="4" w:space="0"/>
            </w:tcBorders>
          </w:tcPr>
          <w:p w14:paraId="288E78F5">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7CC3173B">
            <w:pPr>
              <w:jc w:val="right"/>
            </w:pPr>
          </w:p>
        </w:tc>
        <w:tc>
          <w:tcPr>
            <w:tcW w:w="1122" w:type="pct"/>
            <w:tcBorders>
              <w:top w:val="single" w:color="auto" w:sz="4" w:space="0"/>
              <w:left w:val="single" w:color="auto" w:sz="4" w:space="0"/>
              <w:bottom w:val="single" w:color="auto" w:sz="4" w:space="0"/>
              <w:right w:val="single" w:color="auto" w:sz="4" w:space="0"/>
            </w:tcBorders>
          </w:tcPr>
          <w:p w14:paraId="635F3688">
            <w:pPr>
              <w:jc w:val="right"/>
            </w:pPr>
            <w:r>
              <w:t>556,476.74</w:t>
            </w:r>
          </w:p>
        </w:tc>
      </w:tr>
      <w:tr w14:paraId="3648F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0E3080B">
            <w:r>
              <w:t>雷达新能源汽车（浙江）有限公司</w:t>
            </w:r>
          </w:p>
        </w:tc>
        <w:tc>
          <w:tcPr>
            <w:tcW w:w="855" w:type="pct"/>
            <w:tcBorders>
              <w:top w:val="single" w:color="auto" w:sz="4" w:space="0"/>
              <w:left w:val="single" w:color="auto" w:sz="4" w:space="0"/>
              <w:bottom w:val="single" w:color="auto" w:sz="4" w:space="0"/>
              <w:right w:val="single" w:color="auto" w:sz="4" w:space="0"/>
            </w:tcBorders>
          </w:tcPr>
          <w:p w14:paraId="20B84538">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58444A2A">
            <w:pPr>
              <w:jc w:val="right"/>
            </w:pPr>
          </w:p>
        </w:tc>
        <w:tc>
          <w:tcPr>
            <w:tcW w:w="1122" w:type="pct"/>
            <w:tcBorders>
              <w:top w:val="single" w:color="auto" w:sz="4" w:space="0"/>
              <w:left w:val="single" w:color="auto" w:sz="4" w:space="0"/>
              <w:bottom w:val="single" w:color="auto" w:sz="4" w:space="0"/>
              <w:right w:val="single" w:color="auto" w:sz="4" w:space="0"/>
            </w:tcBorders>
          </w:tcPr>
          <w:p w14:paraId="4EDE03E9">
            <w:pPr>
              <w:jc w:val="right"/>
            </w:pPr>
            <w:r>
              <w:t>3,644.42</w:t>
            </w:r>
          </w:p>
        </w:tc>
      </w:tr>
      <w:tr w14:paraId="168444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275D7016">
            <w:r>
              <w:t>领为视觉智能科技（宁波）有限公司</w:t>
            </w:r>
          </w:p>
        </w:tc>
        <w:tc>
          <w:tcPr>
            <w:tcW w:w="855" w:type="pct"/>
            <w:tcBorders>
              <w:top w:val="single" w:color="auto" w:sz="4" w:space="0"/>
              <w:left w:val="single" w:color="auto" w:sz="4" w:space="0"/>
              <w:bottom w:val="single" w:color="auto" w:sz="4" w:space="0"/>
              <w:right w:val="single" w:color="auto" w:sz="4" w:space="0"/>
            </w:tcBorders>
          </w:tcPr>
          <w:p w14:paraId="46A1CB6B">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48059007">
            <w:pPr>
              <w:jc w:val="right"/>
            </w:pPr>
          </w:p>
        </w:tc>
        <w:tc>
          <w:tcPr>
            <w:tcW w:w="1122" w:type="pct"/>
            <w:tcBorders>
              <w:top w:val="single" w:color="auto" w:sz="4" w:space="0"/>
              <w:left w:val="single" w:color="auto" w:sz="4" w:space="0"/>
              <w:bottom w:val="single" w:color="auto" w:sz="4" w:space="0"/>
              <w:right w:val="single" w:color="auto" w:sz="4" w:space="0"/>
            </w:tcBorders>
          </w:tcPr>
          <w:p w14:paraId="18733350">
            <w:pPr>
              <w:jc w:val="right"/>
            </w:pPr>
            <w:r>
              <w:t>3,132,213.02</w:t>
            </w:r>
          </w:p>
        </w:tc>
      </w:tr>
      <w:tr w14:paraId="3C209B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6B47A44D">
            <w:r>
              <w:t>宁波吉润汽车部件有限公司</w:t>
            </w:r>
          </w:p>
        </w:tc>
        <w:tc>
          <w:tcPr>
            <w:tcW w:w="855" w:type="pct"/>
            <w:tcBorders>
              <w:top w:val="single" w:color="auto" w:sz="4" w:space="0"/>
              <w:left w:val="single" w:color="auto" w:sz="4" w:space="0"/>
              <w:bottom w:val="single" w:color="auto" w:sz="4" w:space="0"/>
              <w:right w:val="single" w:color="auto" w:sz="4" w:space="0"/>
            </w:tcBorders>
          </w:tcPr>
          <w:p w14:paraId="36770334">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EC2A4A8">
            <w:pPr>
              <w:jc w:val="right"/>
            </w:pPr>
          </w:p>
        </w:tc>
        <w:tc>
          <w:tcPr>
            <w:tcW w:w="1122" w:type="pct"/>
            <w:tcBorders>
              <w:top w:val="single" w:color="auto" w:sz="4" w:space="0"/>
              <w:left w:val="single" w:color="auto" w:sz="4" w:space="0"/>
              <w:bottom w:val="single" w:color="auto" w:sz="4" w:space="0"/>
              <w:right w:val="single" w:color="auto" w:sz="4" w:space="0"/>
            </w:tcBorders>
          </w:tcPr>
          <w:p w14:paraId="5C336E70">
            <w:pPr>
              <w:jc w:val="right"/>
            </w:pPr>
            <w:r>
              <w:t>33,905.37</w:t>
            </w:r>
          </w:p>
        </w:tc>
      </w:tr>
      <w:tr w14:paraId="297C3C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9F57FCD">
            <w:r>
              <w:t>浙江铭岛新材料股份有限公司</w:t>
            </w:r>
          </w:p>
        </w:tc>
        <w:tc>
          <w:tcPr>
            <w:tcW w:w="855" w:type="pct"/>
            <w:tcBorders>
              <w:top w:val="single" w:color="auto" w:sz="4" w:space="0"/>
              <w:left w:val="single" w:color="auto" w:sz="4" w:space="0"/>
              <w:bottom w:val="single" w:color="auto" w:sz="4" w:space="0"/>
              <w:right w:val="single" w:color="auto" w:sz="4" w:space="0"/>
            </w:tcBorders>
          </w:tcPr>
          <w:p w14:paraId="6A34B1B6">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29295F2">
            <w:pPr>
              <w:jc w:val="right"/>
            </w:pPr>
          </w:p>
        </w:tc>
        <w:tc>
          <w:tcPr>
            <w:tcW w:w="1122" w:type="pct"/>
            <w:tcBorders>
              <w:top w:val="single" w:color="auto" w:sz="4" w:space="0"/>
              <w:left w:val="single" w:color="auto" w:sz="4" w:space="0"/>
              <w:bottom w:val="single" w:color="auto" w:sz="4" w:space="0"/>
              <w:right w:val="single" w:color="auto" w:sz="4" w:space="0"/>
            </w:tcBorders>
          </w:tcPr>
          <w:p w14:paraId="4C8F1DEF">
            <w:pPr>
              <w:jc w:val="right"/>
            </w:pPr>
            <w:r>
              <w:t>20,800.00</w:t>
            </w:r>
          </w:p>
        </w:tc>
      </w:tr>
      <w:tr w14:paraId="4C737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1E273A4E">
            <w:r>
              <w:t>上饶领创汽车检测技术有限公司</w:t>
            </w:r>
          </w:p>
        </w:tc>
        <w:tc>
          <w:tcPr>
            <w:tcW w:w="855" w:type="pct"/>
            <w:tcBorders>
              <w:top w:val="single" w:color="auto" w:sz="4" w:space="0"/>
              <w:left w:val="single" w:color="auto" w:sz="4" w:space="0"/>
              <w:bottom w:val="single" w:color="auto" w:sz="4" w:space="0"/>
              <w:right w:val="single" w:color="auto" w:sz="4" w:space="0"/>
            </w:tcBorders>
          </w:tcPr>
          <w:p w14:paraId="61F47CDA">
            <w:pPr>
              <w:jc w:val="center"/>
            </w:pPr>
            <w:r>
              <w:t>研发</w:t>
            </w:r>
          </w:p>
        </w:tc>
        <w:tc>
          <w:tcPr>
            <w:tcW w:w="925" w:type="pct"/>
            <w:tcBorders>
              <w:top w:val="single" w:color="auto" w:sz="4" w:space="0"/>
              <w:left w:val="single" w:color="auto" w:sz="4" w:space="0"/>
              <w:bottom w:val="single" w:color="auto" w:sz="4" w:space="0"/>
              <w:right w:val="single" w:color="auto" w:sz="4" w:space="0"/>
            </w:tcBorders>
          </w:tcPr>
          <w:p w14:paraId="7B66B213">
            <w:pPr>
              <w:jc w:val="right"/>
            </w:pPr>
          </w:p>
        </w:tc>
        <w:tc>
          <w:tcPr>
            <w:tcW w:w="1122" w:type="pct"/>
            <w:tcBorders>
              <w:top w:val="single" w:color="auto" w:sz="4" w:space="0"/>
              <w:left w:val="single" w:color="auto" w:sz="4" w:space="0"/>
              <w:bottom w:val="single" w:color="auto" w:sz="4" w:space="0"/>
              <w:right w:val="single" w:color="auto" w:sz="4" w:space="0"/>
            </w:tcBorders>
          </w:tcPr>
          <w:p w14:paraId="2DCA7EE9">
            <w:pPr>
              <w:jc w:val="right"/>
            </w:pPr>
            <w:r>
              <w:t>181,450.00</w:t>
            </w:r>
          </w:p>
        </w:tc>
      </w:tr>
      <w:tr w14:paraId="2C0300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5612212">
            <w:r>
              <w:t>杭州福兆朗风科技有限公司</w:t>
            </w:r>
          </w:p>
        </w:tc>
        <w:tc>
          <w:tcPr>
            <w:tcW w:w="855" w:type="pct"/>
            <w:tcBorders>
              <w:top w:val="single" w:color="auto" w:sz="4" w:space="0"/>
              <w:left w:val="single" w:color="auto" w:sz="4" w:space="0"/>
              <w:bottom w:val="single" w:color="auto" w:sz="4" w:space="0"/>
              <w:right w:val="single" w:color="auto" w:sz="4" w:space="0"/>
            </w:tcBorders>
          </w:tcPr>
          <w:p w14:paraId="7A64C1A9">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6666849">
            <w:pPr>
              <w:jc w:val="right"/>
            </w:pPr>
          </w:p>
        </w:tc>
        <w:tc>
          <w:tcPr>
            <w:tcW w:w="1122" w:type="pct"/>
            <w:tcBorders>
              <w:top w:val="single" w:color="auto" w:sz="4" w:space="0"/>
              <w:left w:val="single" w:color="auto" w:sz="4" w:space="0"/>
              <w:bottom w:val="single" w:color="auto" w:sz="4" w:space="0"/>
              <w:right w:val="single" w:color="auto" w:sz="4" w:space="0"/>
            </w:tcBorders>
          </w:tcPr>
          <w:p w14:paraId="21BB5D9C">
            <w:pPr>
              <w:jc w:val="right"/>
            </w:pPr>
            <w:r>
              <w:t>39,625.78</w:t>
            </w:r>
          </w:p>
        </w:tc>
      </w:tr>
      <w:tr w14:paraId="3ECAA6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A293016">
            <w:r>
              <w:t>易易互联科技有限公司</w:t>
            </w:r>
          </w:p>
        </w:tc>
        <w:tc>
          <w:tcPr>
            <w:tcW w:w="855" w:type="pct"/>
            <w:tcBorders>
              <w:top w:val="single" w:color="auto" w:sz="4" w:space="0"/>
              <w:left w:val="single" w:color="auto" w:sz="4" w:space="0"/>
              <w:bottom w:val="single" w:color="auto" w:sz="4" w:space="0"/>
              <w:right w:val="single" w:color="auto" w:sz="4" w:space="0"/>
            </w:tcBorders>
          </w:tcPr>
          <w:p w14:paraId="692668A6">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1898C0A">
            <w:pPr>
              <w:jc w:val="right"/>
            </w:pPr>
          </w:p>
        </w:tc>
        <w:tc>
          <w:tcPr>
            <w:tcW w:w="1122" w:type="pct"/>
            <w:tcBorders>
              <w:top w:val="single" w:color="auto" w:sz="4" w:space="0"/>
              <w:left w:val="single" w:color="auto" w:sz="4" w:space="0"/>
              <w:bottom w:val="single" w:color="auto" w:sz="4" w:space="0"/>
              <w:right w:val="single" w:color="auto" w:sz="4" w:space="0"/>
            </w:tcBorders>
          </w:tcPr>
          <w:p w14:paraId="14CE060C">
            <w:pPr>
              <w:jc w:val="right"/>
            </w:pPr>
            <w:r>
              <w:t>50,000.00</w:t>
            </w:r>
          </w:p>
        </w:tc>
      </w:tr>
      <w:tr w14:paraId="31511D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7F621496">
            <w:r>
              <w:t>易易互联科技有限公司</w:t>
            </w:r>
          </w:p>
        </w:tc>
        <w:tc>
          <w:tcPr>
            <w:tcW w:w="855" w:type="pct"/>
            <w:tcBorders>
              <w:top w:val="single" w:color="auto" w:sz="4" w:space="0"/>
              <w:left w:val="single" w:color="auto" w:sz="4" w:space="0"/>
              <w:bottom w:val="single" w:color="auto" w:sz="4" w:space="0"/>
              <w:right w:val="single" w:color="auto" w:sz="4" w:space="0"/>
            </w:tcBorders>
          </w:tcPr>
          <w:p w14:paraId="70BCBAB8">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13542B58">
            <w:pPr>
              <w:jc w:val="right"/>
            </w:pPr>
          </w:p>
        </w:tc>
        <w:tc>
          <w:tcPr>
            <w:tcW w:w="1122" w:type="pct"/>
            <w:tcBorders>
              <w:top w:val="single" w:color="auto" w:sz="4" w:space="0"/>
              <w:left w:val="single" w:color="auto" w:sz="4" w:space="0"/>
              <w:bottom w:val="single" w:color="auto" w:sz="4" w:space="0"/>
              <w:right w:val="single" w:color="auto" w:sz="4" w:space="0"/>
            </w:tcBorders>
          </w:tcPr>
          <w:p w14:paraId="1F0F843F">
            <w:pPr>
              <w:jc w:val="right"/>
            </w:pPr>
            <w:r>
              <w:t>9,600.00</w:t>
            </w:r>
          </w:p>
        </w:tc>
      </w:tr>
      <w:tr w14:paraId="757F6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0FF80FC3">
            <w:r>
              <w:t>长兴吉利汽车部件有限公司</w:t>
            </w:r>
          </w:p>
        </w:tc>
        <w:tc>
          <w:tcPr>
            <w:tcW w:w="855" w:type="pct"/>
            <w:tcBorders>
              <w:top w:val="single" w:color="auto" w:sz="4" w:space="0"/>
              <w:left w:val="single" w:color="auto" w:sz="4" w:space="0"/>
              <w:bottom w:val="single" w:color="auto" w:sz="4" w:space="0"/>
              <w:right w:val="single" w:color="auto" w:sz="4" w:space="0"/>
            </w:tcBorders>
          </w:tcPr>
          <w:p w14:paraId="3A815CB2">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0FCDDCA1">
            <w:pPr>
              <w:jc w:val="right"/>
            </w:pPr>
          </w:p>
        </w:tc>
        <w:tc>
          <w:tcPr>
            <w:tcW w:w="1122" w:type="pct"/>
            <w:tcBorders>
              <w:top w:val="single" w:color="auto" w:sz="4" w:space="0"/>
              <w:left w:val="single" w:color="auto" w:sz="4" w:space="0"/>
              <w:bottom w:val="single" w:color="auto" w:sz="4" w:space="0"/>
              <w:right w:val="single" w:color="auto" w:sz="4" w:space="0"/>
            </w:tcBorders>
          </w:tcPr>
          <w:p w14:paraId="6795B64C">
            <w:pPr>
              <w:jc w:val="right"/>
            </w:pPr>
            <w:r>
              <w:t>23,583.55</w:t>
            </w:r>
          </w:p>
        </w:tc>
      </w:tr>
      <w:tr w14:paraId="7F4F63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3EF44EA">
            <w:r>
              <w:t>浙江枫盛汽车服务有限公司</w:t>
            </w:r>
          </w:p>
        </w:tc>
        <w:tc>
          <w:tcPr>
            <w:tcW w:w="855" w:type="pct"/>
            <w:tcBorders>
              <w:top w:val="single" w:color="auto" w:sz="4" w:space="0"/>
              <w:left w:val="single" w:color="auto" w:sz="4" w:space="0"/>
              <w:bottom w:val="single" w:color="auto" w:sz="4" w:space="0"/>
              <w:right w:val="single" w:color="auto" w:sz="4" w:space="0"/>
            </w:tcBorders>
          </w:tcPr>
          <w:p w14:paraId="7D338944">
            <w:pPr>
              <w:jc w:val="center"/>
            </w:pPr>
            <w:r>
              <w:t>采购商品</w:t>
            </w:r>
          </w:p>
        </w:tc>
        <w:tc>
          <w:tcPr>
            <w:tcW w:w="925" w:type="pct"/>
            <w:tcBorders>
              <w:top w:val="single" w:color="auto" w:sz="4" w:space="0"/>
              <w:left w:val="single" w:color="auto" w:sz="4" w:space="0"/>
              <w:bottom w:val="single" w:color="auto" w:sz="4" w:space="0"/>
              <w:right w:val="single" w:color="auto" w:sz="4" w:space="0"/>
            </w:tcBorders>
          </w:tcPr>
          <w:p w14:paraId="3D25E1C0">
            <w:pPr>
              <w:jc w:val="right"/>
            </w:pPr>
          </w:p>
        </w:tc>
        <w:tc>
          <w:tcPr>
            <w:tcW w:w="1122" w:type="pct"/>
            <w:tcBorders>
              <w:top w:val="single" w:color="auto" w:sz="4" w:space="0"/>
              <w:left w:val="single" w:color="auto" w:sz="4" w:space="0"/>
              <w:bottom w:val="single" w:color="auto" w:sz="4" w:space="0"/>
              <w:right w:val="single" w:color="auto" w:sz="4" w:space="0"/>
            </w:tcBorders>
          </w:tcPr>
          <w:p w14:paraId="715259E4">
            <w:pPr>
              <w:jc w:val="right"/>
            </w:pPr>
            <w:r>
              <w:t>14,876.93</w:t>
            </w:r>
          </w:p>
        </w:tc>
      </w:tr>
      <w:tr w14:paraId="582EB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239CD685">
            <w:r>
              <w:t>浙江吉利控股集团有限公司</w:t>
            </w:r>
          </w:p>
        </w:tc>
        <w:tc>
          <w:tcPr>
            <w:tcW w:w="855" w:type="pct"/>
            <w:tcBorders>
              <w:top w:val="single" w:color="auto" w:sz="4" w:space="0"/>
              <w:left w:val="single" w:color="auto" w:sz="4" w:space="0"/>
              <w:bottom w:val="single" w:color="auto" w:sz="4" w:space="0"/>
              <w:right w:val="single" w:color="auto" w:sz="4" w:space="0"/>
            </w:tcBorders>
          </w:tcPr>
          <w:p w14:paraId="52DE7B11">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3C241158">
            <w:pPr>
              <w:jc w:val="right"/>
            </w:pPr>
          </w:p>
        </w:tc>
        <w:tc>
          <w:tcPr>
            <w:tcW w:w="1122" w:type="pct"/>
            <w:tcBorders>
              <w:top w:val="single" w:color="auto" w:sz="4" w:space="0"/>
              <w:left w:val="single" w:color="auto" w:sz="4" w:space="0"/>
              <w:bottom w:val="single" w:color="auto" w:sz="4" w:space="0"/>
              <w:right w:val="single" w:color="auto" w:sz="4" w:space="0"/>
            </w:tcBorders>
          </w:tcPr>
          <w:p w14:paraId="4EBA3276">
            <w:pPr>
              <w:jc w:val="right"/>
            </w:pPr>
            <w:r>
              <w:t>10,605.00</w:t>
            </w:r>
          </w:p>
        </w:tc>
      </w:tr>
      <w:tr w14:paraId="3364E9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13FD6ABF">
            <w:r>
              <w:t>浙江吉利汽车技术有限公司</w:t>
            </w:r>
          </w:p>
        </w:tc>
        <w:tc>
          <w:tcPr>
            <w:tcW w:w="855" w:type="pct"/>
            <w:tcBorders>
              <w:top w:val="single" w:color="auto" w:sz="4" w:space="0"/>
              <w:left w:val="single" w:color="auto" w:sz="4" w:space="0"/>
              <w:bottom w:val="single" w:color="auto" w:sz="4" w:space="0"/>
              <w:right w:val="single" w:color="auto" w:sz="4" w:space="0"/>
            </w:tcBorders>
          </w:tcPr>
          <w:p w14:paraId="7BF4D9E1">
            <w:pPr>
              <w:jc w:val="center"/>
            </w:pPr>
            <w:r>
              <w:t>接受服务</w:t>
            </w:r>
          </w:p>
        </w:tc>
        <w:tc>
          <w:tcPr>
            <w:tcW w:w="925" w:type="pct"/>
            <w:tcBorders>
              <w:top w:val="single" w:color="auto" w:sz="4" w:space="0"/>
              <w:left w:val="single" w:color="auto" w:sz="4" w:space="0"/>
              <w:bottom w:val="single" w:color="auto" w:sz="4" w:space="0"/>
              <w:right w:val="single" w:color="auto" w:sz="4" w:space="0"/>
            </w:tcBorders>
          </w:tcPr>
          <w:p w14:paraId="7B578B4A">
            <w:pPr>
              <w:jc w:val="right"/>
            </w:pPr>
          </w:p>
        </w:tc>
        <w:tc>
          <w:tcPr>
            <w:tcW w:w="1122" w:type="pct"/>
            <w:tcBorders>
              <w:top w:val="single" w:color="auto" w:sz="4" w:space="0"/>
              <w:left w:val="single" w:color="auto" w:sz="4" w:space="0"/>
              <w:bottom w:val="single" w:color="auto" w:sz="4" w:space="0"/>
              <w:right w:val="single" w:color="auto" w:sz="4" w:space="0"/>
            </w:tcBorders>
          </w:tcPr>
          <w:p w14:paraId="68878E24">
            <w:pPr>
              <w:jc w:val="right"/>
            </w:pPr>
            <w:r>
              <w:t>255,735.42</w:t>
            </w:r>
          </w:p>
        </w:tc>
      </w:tr>
      <w:tr w14:paraId="5E3F42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415CA99C">
            <w:r>
              <w:t>浙江吉速供应链管理有限公司</w:t>
            </w:r>
          </w:p>
        </w:tc>
        <w:tc>
          <w:tcPr>
            <w:tcW w:w="855" w:type="pct"/>
            <w:tcBorders>
              <w:top w:val="single" w:color="auto" w:sz="4" w:space="0"/>
              <w:left w:val="single" w:color="auto" w:sz="4" w:space="0"/>
              <w:bottom w:val="single" w:color="auto" w:sz="4" w:space="0"/>
              <w:right w:val="single" w:color="auto" w:sz="4" w:space="0"/>
            </w:tcBorders>
          </w:tcPr>
          <w:p w14:paraId="1AE38E6E">
            <w:pPr>
              <w:jc w:val="center"/>
            </w:pPr>
            <w:r>
              <w:rPr>
                <w:rFonts w:hint="eastAsia"/>
              </w:rPr>
              <w:t>接受服务</w:t>
            </w:r>
          </w:p>
        </w:tc>
        <w:tc>
          <w:tcPr>
            <w:tcW w:w="925" w:type="pct"/>
            <w:tcBorders>
              <w:top w:val="single" w:color="auto" w:sz="4" w:space="0"/>
              <w:left w:val="single" w:color="auto" w:sz="4" w:space="0"/>
              <w:bottom w:val="single" w:color="auto" w:sz="4" w:space="0"/>
              <w:right w:val="single" w:color="auto" w:sz="4" w:space="0"/>
            </w:tcBorders>
          </w:tcPr>
          <w:p w14:paraId="26DBD3C0">
            <w:pPr>
              <w:jc w:val="right"/>
            </w:pPr>
          </w:p>
        </w:tc>
        <w:tc>
          <w:tcPr>
            <w:tcW w:w="1122" w:type="pct"/>
            <w:tcBorders>
              <w:top w:val="single" w:color="auto" w:sz="4" w:space="0"/>
              <w:left w:val="single" w:color="auto" w:sz="4" w:space="0"/>
              <w:bottom w:val="single" w:color="auto" w:sz="4" w:space="0"/>
              <w:right w:val="single" w:color="auto" w:sz="4" w:space="0"/>
            </w:tcBorders>
          </w:tcPr>
          <w:p w14:paraId="5A5732A8">
            <w:pPr>
              <w:jc w:val="right"/>
            </w:pPr>
            <w:r>
              <w:t>95,397.90</w:t>
            </w:r>
          </w:p>
        </w:tc>
      </w:tr>
      <w:tr w14:paraId="0496F3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98" w:type="pct"/>
            <w:tcBorders>
              <w:top w:val="single" w:color="auto" w:sz="4" w:space="0"/>
              <w:left w:val="single" w:color="auto" w:sz="4" w:space="0"/>
              <w:bottom w:val="single" w:color="auto" w:sz="4" w:space="0"/>
              <w:right w:val="single" w:color="auto" w:sz="4" w:space="0"/>
            </w:tcBorders>
          </w:tcPr>
          <w:p w14:paraId="3BF76D84">
            <w:pPr>
              <w:jc w:val="center"/>
            </w:pPr>
            <w:r>
              <w:t>合计</w:t>
            </w:r>
          </w:p>
        </w:tc>
        <w:tc>
          <w:tcPr>
            <w:tcW w:w="855" w:type="pct"/>
            <w:tcBorders>
              <w:top w:val="single" w:color="auto" w:sz="4" w:space="0"/>
              <w:left w:val="single" w:color="auto" w:sz="4" w:space="0"/>
              <w:bottom w:val="single" w:color="auto" w:sz="4" w:space="0"/>
              <w:right w:val="single" w:color="auto" w:sz="4" w:space="0"/>
            </w:tcBorders>
          </w:tcPr>
          <w:p w14:paraId="1E313E9E">
            <w:pPr>
              <w:jc w:val="center"/>
            </w:pPr>
          </w:p>
        </w:tc>
        <w:tc>
          <w:tcPr>
            <w:tcW w:w="925" w:type="pct"/>
            <w:tcBorders>
              <w:top w:val="single" w:color="auto" w:sz="4" w:space="0"/>
              <w:left w:val="single" w:color="auto" w:sz="4" w:space="0"/>
              <w:bottom w:val="single" w:color="auto" w:sz="4" w:space="0"/>
              <w:right w:val="single" w:color="auto" w:sz="4" w:space="0"/>
            </w:tcBorders>
          </w:tcPr>
          <w:p w14:paraId="623BE8D2">
            <w:pPr>
              <w:jc w:val="right"/>
            </w:pPr>
            <w:r>
              <w:t>1,263,333,901.95</w:t>
            </w:r>
          </w:p>
        </w:tc>
        <w:tc>
          <w:tcPr>
            <w:tcW w:w="1122" w:type="pct"/>
            <w:tcBorders>
              <w:top w:val="single" w:color="auto" w:sz="4" w:space="0"/>
              <w:left w:val="single" w:color="auto" w:sz="4" w:space="0"/>
              <w:bottom w:val="single" w:color="auto" w:sz="4" w:space="0"/>
              <w:right w:val="single" w:color="auto" w:sz="4" w:space="0"/>
            </w:tcBorders>
          </w:tcPr>
          <w:p w14:paraId="2F5FADB0">
            <w:pPr>
              <w:jc w:val="right"/>
            </w:pPr>
            <w:r>
              <w:t>863,286,253.85</w:t>
            </w:r>
          </w:p>
        </w:tc>
      </w:tr>
    </w:tbl>
    <w:p w14:paraId="74FDDF0D"/>
    <w:p w14:paraId="50892847">
      <w:pPr>
        <w:ind w:right="-775" w:rightChars="-369"/>
        <w:rPr>
          <w:color w:val="000000" w:themeColor="text1"/>
          <w14:textFill>
            <w14:solidFill>
              <w14:schemeClr w14:val="tx1"/>
            </w14:solidFill>
          </w14:textFill>
        </w:rPr>
      </w:pPr>
      <w:r>
        <w:rPr>
          <w:rFonts w:hint="eastAsia"/>
          <w:color w:val="000000" w:themeColor="text1"/>
          <w14:textFill>
            <w14:solidFill>
              <w14:schemeClr w14:val="tx1"/>
            </w14:solidFill>
          </w14:textFill>
        </w:rPr>
        <w:t>出售商品/提供劳务情况表</w:t>
      </w:r>
    </w:p>
    <w:sdt>
      <w:sdtPr>
        <w:rPr>
          <w:color w:val="000000" w:themeColor="text1"/>
          <w14:textFill>
            <w14:solidFill>
              <w14:schemeClr w14:val="tx1"/>
            </w14:solidFill>
          </w14:textFill>
        </w:rPr>
        <w:alias w:val="是否适用：出售商品或提供劳务情况表[双击切换]"/>
        <w:tag w:val="_GBC_18ae630e2f3641959d3a9fc1a3f3ccf3"/>
        <w:id w:val="949278415"/>
        <w:placeholder>
          <w:docPart w:val="GBC22222222222222222222222222222"/>
        </w:placeholder>
      </w:sdtPr>
      <w:sdtEndPr>
        <w:rPr>
          <w:color w:val="000000" w:themeColor="text1"/>
          <w14:textFill>
            <w14:solidFill>
              <w14:schemeClr w14:val="tx1"/>
            </w14:solidFill>
          </w14:textFill>
        </w:rPr>
      </w:sdtEndPr>
      <w:sdtContent>
        <w:p w14:paraId="40F2054A">
          <w:pPr>
            <w:ind w:right="-775" w:rightChars="-369"/>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312EE94">
      <w:pPr>
        <w:tabs>
          <w:tab w:val="left" w:pos="3870"/>
        </w:tabs>
        <w:jc w:val="right"/>
        <w:rPr>
          <w:rFonts w:cs="Cambria"/>
          <w:color w:val="000000" w:themeColor="text1"/>
          <w14:textFill>
            <w14:solidFill>
              <w14:schemeClr w14:val="tx1"/>
            </w14:solidFill>
          </w14:textFill>
        </w:rPr>
      </w:pPr>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w:t>
      </w:r>
      <w:sdt>
        <w:sdtPr>
          <w:rPr>
            <w:color w:val="000000" w:themeColor="text1"/>
            <w14:textFill>
              <w14:solidFill>
                <w14:schemeClr w14:val="tx1"/>
              </w14:solidFill>
            </w14:textFill>
          </w:rPr>
          <w:alias w:val="单位：出售商品提供劳务情况表"/>
          <w:tag w:val="_GBC_d53494f853ed4767a511f9c2c780c566"/>
          <w:id w:val="974651962"/>
          <w:comboBox>
            <w:listItem w:displayText="元" w:value="1"/>
            <w:listItem w:displayText="千元" w:value="1000"/>
            <w:listItem w:displayText="万元" w:value="10000"/>
            <w:listItem w:displayText="百万元" w:value="1000000"/>
            <w:listItem w:displayText="亿元" w:value="100000000"/>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sdt>
        <w:sdtPr>
          <w:rPr>
            <w:color w:val="000000" w:themeColor="text1"/>
            <w14:textFill>
              <w14:solidFill>
                <w14:schemeClr w14:val="tx1"/>
              </w14:solidFill>
            </w14:textFill>
          </w:rPr>
          <w:alias w:val="币种：出售商品提供劳务情况表"/>
          <w:tag w:val="_GBC_d298f57687684d2eafef1d8c13d51722"/>
          <w:id w:val="-117973288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color w:val="000000" w:themeColor="text1"/>
            <w14:textFill>
              <w14:solidFill>
                <w14:schemeClr w14:val="tx1"/>
              </w14:solidFill>
            </w14:textFill>
          </w:rPr>
        </w:sdtEndPr>
        <w:sdtContent>
          <w:r>
            <w:rPr>
              <w:color w:val="000000" w:themeColor="text1"/>
              <w14:textFill>
                <w14:solidFill>
                  <w14:schemeClr w14:val="tx1"/>
                </w14:solidFill>
              </w14:textFill>
            </w:rPr>
            <w:t>人民币</w:t>
          </w:r>
        </w:sdtContent>
      </w:sdt>
    </w:p>
    <w:tbl>
      <w:tblPr>
        <w:tblStyle w:val="37"/>
        <w:tblW w:w="508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567"/>
        <w:gridCol w:w="1572"/>
        <w:gridCol w:w="1856"/>
        <w:gridCol w:w="2040"/>
      </w:tblGrid>
      <w:tr w14:paraId="5608C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Height w:val="273" w:hRule="atLeast"/>
        </w:trPr>
        <w:sdt>
          <w:sdtPr>
            <w:tag w:val="_PLD_70510986aab647e99b00ba57c32e64cd"/>
            <w:id w:val="-220212603"/>
          </w:sdtPr>
          <w:sdtContent>
            <w:tc>
              <w:tcPr>
                <w:tcW w:w="1974" w:type="pct"/>
                <w:tcBorders>
                  <w:top w:val="single" w:color="auto" w:sz="4" w:space="0"/>
                  <w:left w:val="single" w:color="auto" w:sz="4" w:space="0"/>
                  <w:bottom w:val="single" w:color="auto" w:sz="4" w:space="0"/>
                  <w:right w:val="single" w:color="auto" w:sz="4" w:space="0"/>
                </w:tcBorders>
                <w:vAlign w:val="center"/>
              </w:tcPr>
              <w:p w14:paraId="1C40AFFE">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关联方</w:t>
                </w:r>
              </w:p>
            </w:tc>
          </w:sdtContent>
        </w:sdt>
        <w:sdt>
          <w:sdtPr>
            <w:tag w:val="_PLD_66da90262f3d401c8151235b4c6f5e93"/>
            <w:id w:val="-1441606468"/>
          </w:sdtPr>
          <w:sdtContent>
            <w:tc>
              <w:tcPr>
                <w:tcW w:w="870" w:type="pct"/>
                <w:tcBorders>
                  <w:top w:val="single" w:color="auto" w:sz="4" w:space="0"/>
                  <w:left w:val="single" w:color="auto" w:sz="4" w:space="0"/>
                  <w:bottom w:val="single" w:color="auto" w:sz="4" w:space="0"/>
                  <w:right w:val="single" w:color="auto" w:sz="4" w:space="0"/>
                </w:tcBorders>
                <w:vAlign w:val="center"/>
              </w:tcPr>
              <w:p w14:paraId="78AC6834">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关联交易内容</w:t>
                </w:r>
              </w:p>
            </w:tc>
          </w:sdtContent>
        </w:sdt>
        <w:sdt>
          <w:sdtPr>
            <w:tag w:val="_PLD_09c424bd80324eb49dafea569ce1931b"/>
            <w:id w:val="-1510440274"/>
          </w:sdtPr>
          <w:sdtContent>
            <w:tc>
              <w:tcPr>
                <w:tcW w:w="1027" w:type="pct"/>
                <w:tcBorders>
                  <w:top w:val="single" w:color="auto" w:sz="4" w:space="0"/>
                  <w:left w:val="single" w:color="auto" w:sz="4" w:space="0"/>
                  <w:right w:val="single" w:color="auto" w:sz="4" w:space="0"/>
                </w:tcBorders>
                <w:vAlign w:val="center"/>
              </w:tcPr>
              <w:p w14:paraId="0926974B">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本期发生额</w:t>
                </w:r>
              </w:p>
            </w:tc>
          </w:sdtContent>
        </w:sdt>
        <w:sdt>
          <w:sdtPr>
            <w:tag w:val="_PLD_fd0f9e0691744db49d5ceaf95d42197c"/>
            <w:id w:val="-1672563049"/>
          </w:sdtPr>
          <w:sdtContent>
            <w:tc>
              <w:tcPr>
                <w:tcW w:w="1129" w:type="pct"/>
                <w:tcBorders>
                  <w:top w:val="single" w:color="auto" w:sz="4" w:space="0"/>
                  <w:left w:val="single" w:color="auto" w:sz="4" w:space="0"/>
                  <w:right w:val="single" w:color="auto" w:sz="4" w:space="0"/>
                </w:tcBorders>
                <w:vAlign w:val="center"/>
              </w:tcPr>
              <w:p w14:paraId="2886CA3A">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上期发生额</w:t>
                </w:r>
              </w:p>
            </w:tc>
          </w:sdtContent>
        </w:sdt>
      </w:tr>
      <w:tr w14:paraId="4C013A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2A98D051">
            <w:r>
              <w:t>重庆幸福千万家汽车销售有限公司</w:t>
            </w:r>
          </w:p>
        </w:tc>
        <w:tc>
          <w:tcPr>
            <w:tcW w:w="870" w:type="pct"/>
            <w:tcBorders>
              <w:top w:val="single" w:color="auto" w:sz="4" w:space="0"/>
              <w:left w:val="single" w:color="auto" w:sz="4" w:space="0"/>
              <w:bottom w:val="single" w:color="auto" w:sz="4" w:space="0"/>
              <w:right w:val="single" w:color="auto" w:sz="4" w:space="0"/>
            </w:tcBorders>
          </w:tcPr>
          <w:p w14:paraId="437C7A29">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19673C5B">
            <w:pPr>
              <w:jc w:val="right"/>
            </w:pPr>
            <w:r>
              <w:t>146,149,188.10</w:t>
            </w:r>
          </w:p>
        </w:tc>
        <w:tc>
          <w:tcPr>
            <w:tcW w:w="1129" w:type="pct"/>
            <w:tcBorders>
              <w:top w:val="single" w:color="auto" w:sz="4" w:space="0"/>
              <w:left w:val="single" w:color="auto" w:sz="4" w:space="0"/>
              <w:bottom w:val="single" w:color="auto" w:sz="4" w:space="0"/>
              <w:right w:val="single" w:color="auto" w:sz="4" w:space="0"/>
            </w:tcBorders>
          </w:tcPr>
          <w:p w14:paraId="28833126">
            <w:pPr>
              <w:jc w:val="right"/>
            </w:pPr>
          </w:p>
        </w:tc>
      </w:tr>
      <w:tr w14:paraId="0AB1D5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623781E">
            <w:r>
              <w:t>浙江翼真汽车研究开发有限公司</w:t>
            </w:r>
          </w:p>
        </w:tc>
        <w:tc>
          <w:tcPr>
            <w:tcW w:w="870" w:type="pct"/>
            <w:tcBorders>
              <w:top w:val="single" w:color="auto" w:sz="4" w:space="0"/>
              <w:left w:val="single" w:color="auto" w:sz="4" w:space="0"/>
              <w:bottom w:val="single" w:color="auto" w:sz="4" w:space="0"/>
              <w:right w:val="single" w:color="auto" w:sz="4" w:space="0"/>
            </w:tcBorders>
          </w:tcPr>
          <w:p w14:paraId="79C407D0">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706CAC7F">
            <w:pPr>
              <w:jc w:val="right"/>
            </w:pPr>
            <w:r>
              <w:t>32,430.20</w:t>
            </w:r>
          </w:p>
        </w:tc>
        <w:tc>
          <w:tcPr>
            <w:tcW w:w="1129" w:type="pct"/>
            <w:tcBorders>
              <w:top w:val="single" w:color="auto" w:sz="4" w:space="0"/>
              <w:left w:val="single" w:color="auto" w:sz="4" w:space="0"/>
              <w:bottom w:val="single" w:color="auto" w:sz="4" w:space="0"/>
              <w:right w:val="single" w:color="auto" w:sz="4" w:space="0"/>
            </w:tcBorders>
          </w:tcPr>
          <w:p w14:paraId="142280BF">
            <w:pPr>
              <w:jc w:val="right"/>
            </w:pPr>
          </w:p>
        </w:tc>
      </w:tr>
      <w:tr w14:paraId="786DE0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35AB54D">
            <w:r>
              <w:t>浙江钱江摩托股份有限公司</w:t>
            </w:r>
          </w:p>
        </w:tc>
        <w:tc>
          <w:tcPr>
            <w:tcW w:w="870" w:type="pct"/>
            <w:tcBorders>
              <w:top w:val="single" w:color="auto" w:sz="4" w:space="0"/>
              <w:left w:val="single" w:color="auto" w:sz="4" w:space="0"/>
              <w:bottom w:val="single" w:color="auto" w:sz="4" w:space="0"/>
              <w:right w:val="single" w:color="auto" w:sz="4" w:space="0"/>
            </w:tcBorders>
          </w:tcPr>
          <w:p w14:paraId="29EA2975">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17454938">
            <w:pPr>
              <w:jc w:val="right"/>
            </w:pPr>
            <w:r>
              <w:t>187.50</w:t>
            </w:r>
          </w:p>
        </w:tc>
        <w:tc>
          <w:tcPr>
            <w:tcW w:w="1129" w:type="pct"/>
            <w:tcBorders>
              <w:top w:val="single" w:color="auto" w:sz="4" w:space="0"/>
              <w:left w:val="single" w:color="auto" w:sz="4" w:space="0"/>
              <w:bottom w:val="single" w:color="auto" w:sz="4" w:space="0"/>
              <w:right w:val="single" w:color="auto" w:sz="4" w:space="0"/>
            </w:tcBorders>
          </w:tcPr>
          <w:p w14:paraId="5816A968">
            <w:pPr>
              <w:jc w:val="right"/>
            </w:pPr>
          </w:p>
        </w:tc>
      </w:tr>
      <w:tr w14:paraId="3F776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2A403564">
            <w:r>
              <w:t>浙江铭岛汽车配件销售有限公司</w:t>
            </w:r>
          </w:p>
        </w:tc>
        <w:tc>
          <w:tcPr>
            <w:tcW w:w="870" w:type="pct"/>
            <w:tcBorders>
              <w:top w:val="single" w:color="auto" w:sz="4" w:space="0"/>
              <w:left w:val="single" w:color="auto" w:sz="4" w:space="0"/>
              <w:bottom w:val="single" w:color="auto" w:sz="4" w:space="0"/>
              <w:right w:val="single" w:color="auto" w:sz="4" w:space="0"/>
            </w:tcBorders>
          </w:tcPr>
          <w:p w14:paraId="7C4CFDD7">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30B30A02">
            <w:pPr>
              <w:jc w:val="right"/>
            </w:pPr>
            <w:r>
              <w:t>43,255.57</w:t>
            </w:r>
          </w:p>
        </w:tc>
        <w:tc>
          <w:tcPr>
            <w:tcW w:w="1129" w:type="pct"/>
            <w:tcBorders>
              <w:top w:val="single" w:color="auto" w:sz="4" w:space="0"/>
              <w:left w:val="single" w:color="auto" w:sz="4" w:space="0"/>
              <w:bottom w:val="single" w:color="auto" w:sz="4" w:space="0"/>
              <w:right w:val="single" w:color="auto" w:sz="4" w:space="0"/>
            </w:tcBorders>
          </w:tcPr>
          <w:p w14:paraId="5F93AD97">
            <w:pPr>
              <w:jc w:val="right"/>
            </w:pPr>
            <w:r>
              <w:t>17,779.08</w:t>
            </w:r>
          </w:p>
        </w:tc>
      </w:tr>
      <w:tr w14:paraId="3E5E36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21A2B15">
            <w:r>
              <w:t>浙江美可达摩托车有限公司</w:t>
            </w:r>
          </w:p>
        </w:tc>
        <w:tc>
          <w:tcPr>
            <w:tcW w:w="870" w:type="pct"/>
            <w:tcBorders>
              <w:top w:val="single" w:color="auto" w:sz="4" w:space="0"/>
              <w:left w:val="single" w:color="auto" w:sz="4" w:space="0"/>
              <w:bottom w:val="single" w:color="auto" w:sz="4" w:space="0"/>
              <w:right w:val="single" w:color="auto" w:sz="4" w:space="0"/>
            </w:tcBorders>
          </w:tcPr>
          <w:p w14:paraId="20F3A570">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3E1E873D">
            <w:pPr>
              <w:jc w:val="right"/>
            </w:pPr>
            <w:r>
              <w:t>1,405,630.34</w:t>
            </w:r>
          </w:p>
        </w:tc>
        <w:tc>
          <w:tcPr>
            <w:tcW w:w="1129" w:type="pct"/>
            <w:tcBorders>
              <w:top w:val="single" w:color="auto" w:sz="4" w:space="0"/>
              <w:left w:val="single" w:color="auto" w:sz="4" w:space="0"/>
              <w:bottom w:val="single" w:color="auto" w:sz="4" w:space="0"/>
              <w:right w:val="single" w:color="auto" w:sz="4" w:space="0"/>
            </w:tcBorders>
          </w:tcPr>
          <w:p w14:paraId="343708ED">
            <w:pPr>
              <w:jc w:val="right"/>
            </w:pPr>
            <w:r>
              <w:t>5,270.51</w:t>
            </w:r>
          </w:p>
        </w:tc>
      </w:tr>
      <w:tr w14:paraId="2E6E29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3F6933FC">
            <w:r>
              <w:t>浙江吉信资源循环科技有限公司</w:t>
            </w:r>
          </w:p>
        </w:tc>
        <w:tc>
          <w:tcPr>
            <w:tcW w:w="870" w:type="pct"/>
            <w:tcBorders>
              <w:top w:val="single" w:color="auto" w:sz="4" w:space="0"/>
              <w:left w:val="single" w:color="auto" w:sz="4" w:space="0"/>
              <w:bottom w:val="single" w:color="auto" w:sz="4" w:space="0"/>
              <w:right w:val="single" w:color="auto" w:sz="4" w:space="0"/>
            </w:tcBorders>
          </w:tcPr>
          <w:p w14:paraId="41FC1866">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7F40D053">
            <w:pPr>
              <w:jc w:val="right"/>
            </w:pPr>
            <w:r>
              <w:t>240,258.60</w:t>
            </w:r>
          </w:p>
        </w:tc>
        <w:tc>
          <w:tcPr>
            <w:tcW w:w="1129" w:type="pct"/>
            <w:tcBorders>
              <w:top w:val="single" w:color="auto" w:sz="4" w:space="0"/>
              <w:left w:val="single" w:color="auto" w:sz="4" w:space="0"/>
              <w:bottom w:val="single" w:color="auto" w:sz="4" w:space="0"/>
              <w:right w:val="single" w:color="auto" w:sz="4" w:space="0"/>
            </w:tcBorders>
          </w:tcPr>
          <w:p w14:paraId="74850718">
            <w:pPr>
              <w:jc w:val="right"/>
            </w:pPr>
            <w:r>
              <w:t>12,800.00</w:t>
            </w:r>
          </w:p>
        </w:tc>
      </w:tr>
      <w:tr w14:paraId="64B3A94F">
        <w:tblPrEx>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532E1D6D">
            <w:r>
              <w:t>浙江吉速物流有限公司</w:t>
            </w:r>
          </w:p>
        </w:tc>
        <w:tc>
          <w:tcPr>
            <w:tcW w:w="870" w:type="pct"/>
            <w:tcBorders>
              <w:top w:val="single" w:color="auto" w:sz="4" w:space="0"/>
              <w:left w:val="single" w:color="auto" w:sz="4" w:space="0"/>
              <w:bottom w:val="single" w:color="auto" w:sz="4" w:space="0"/>
              <w:right w:val="single" w:color="auto" w:sz="4" w:space="0"/>
            </w:tcBorders>
          </w:tcPr>
          <w:p w14:paraId="2B2BD164">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4B0CA74B">
            <w:pPr>
              <w:jc w:val="right"/>
            </w:pPr>
            <w:r>
              <w:t>1,839.64</w:t>
            </w:r>
          </w:p>
        </w:tc>
        <w:tc>
          <w:tcPr>
            <w:tcW w:w="1129" w:type="pct"/>
            <w:tcBorders>
              <w:top w:val="single" w:color="auto" w:sz="4" w:space="0"/>
              <w:left w:val="single" w:color="auto" w:sz="4" w:space="0"/>
              <w:bottom w:val="single" w:color="auto" w:sz="4" w:space="0"/>
              <w:right w:val="single" w:color="auto" w:sz="4" w:space="0"/>
            </w:tcBorders>
          </w:tcPr>
          <w:p w14:paraId="3F7ACA67">
            <w:pPr>
              <w:jc w:val="right"/>
            </w:pPr>
          </w:p>
        </w:tc>
      </w:tr>
      <w:tr w14:paraId="57EF2D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5B731802">
            <w:r>
              <w:t>浙江吉利商务服务有限公司</w:t>
            </w:r>
          </w:p>
        </w:tc>
        <w:tc>
          <w:tcPr>
            <w:tcW w:w="870" w:type="pct"/>
            <w:tcBorders>
              <w:top w:val="single" w:color="auto" w:sz="4" w:space="0"/>
              <w:left w:val="single" w:color="auto" w:sz="4" w:space="0"/>
              <w:bottom w:val="single" w:color="auto" w:sz="4" w:space="0"/>
              <w:right w:val="single" w:color="auto" w:sz="4" w:space="0"/>
            </w:tcBorders>
          </w:tcPr>
          <w:p w14:paraId="696CFC89">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1520FE9F">
            <w:pPr>
              <w:jc w:val="right"/>
            </w:pPr>
            <w:r>
              <w:t>6,520.16</w:t>
            </w:r>
          </w:p>
        </w:tc>
        <w:tc>
          <w:tcPr>
            <w:tcW w:w="1129" w:type="pct"/>
            <w:tcBorders>
              <w:top w:val="single" w:color="auto" w:sz="4" w:space="0"/>
              <w:left w:val="single" w:color="auto" w:sz="4" w:space="0"/>
              <w:bottom w:val="single" w:color="auto" w:sz="4" w:space="0"/>
              <w:right w:val="single" w:color="auto" w:sz="4" w:space="0"/>
            </w:tcBorders>
          </w:tcPr>
          <w:p w14:paraId="2DD4CDFD">
            <w:pPr>
              <w:jc w:val="right"/>
            </w:pPr>
          </w:p>
        </w:tc>
      </w:tr>
      <w:tr w14:paraId="17DD24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0DB2DDAE">
            <w:r>
              <w:t>浙江吉利汽车有限公司</w:t>
            </w:r>
          </w:p>
        </w:tc>
        <w:tc>
          <w:tcPr>
            <w:tcW w:w="870" w:type="pct"/>
            <w:tcBorders>
              <w:top w:val="single" w:color="auto" w:sz="4" w:space="0"/>
              <w:left w:val="single" w:color="auto" w:sz="4" w:space="0"/>
              <w:bottom w:val="single" w:color="auto" w:sz="4" w:space="0"/>
              <w:right w:val="single" w:color="auto" w:sz="4" w:space="0"/>
            </w:tcBorders>
          </w:tcPr>
          <w:p w14:paraId="21EF07D2">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6A0BD230">
            <w:pPr>
              <w:jc w:val="right"/>
            </w:pPr>
            <w:r>
              <w:t>1,024,316.19</w:t>
            </w:r>
          </w:p>
        </w:tc>
        <w:tc>
          <w:tcPr>
            <w:tcW w:w="1129" w:type="pct"/>
            <w:tcBorders>
              <w:top w:val="single" w:color="auto" w:sz="4" w:space="0"/>
              <w:left w:val="single" w:color="auto" w:sz="4" w:space="0"/>
              <w:bottom w:val="single" w:color="auto" w:sz="4" w:space="0"/>
              <w:right w:val="single" w:color="auto" w:sz="4" w:space="0"/>
            </w:tcBorders>
          </w:tcPr>
          <w:p w14:paraId="628B5F8A">
            <w:pPr>
              <w:jc w:val="right"/>
            </w:pPr>
            <w:r>
              <w:t>3,159,089.87</w:t>
            </w:r>
          </w:p>
        </w:tc>
      </w:tr>
      <w:tr w14:paraId="40B5E1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19D797A5">
            <w:r>
              <w:t>浙江吉利汽车国际贸易有限公司</w:t>
            </w:r>
          </w:p>
        </w:tc>
        <w:tc>
          <w:tcPr>
            <w:tcW w:w="870" w:type="pct"/>
            <w:tcBorders>
              <w:top w:val="single" w:color="auto" w:sz="4" w:space="0"/>
              <w:left w:val="single" w:color="auto" w:sz="4" w:space="0"/>
              <w:bottom w:val="single" w:color="auto" w:sz="4" w:space="0"/>
              <w:right w:val="single" w:color="auto" w:sz="4" w:space="0"/>
            </w:tcBorders>
          </w:tcPr>
          <w:p w14:paraId="7EE149C3">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23D7C038">
            <w:pPr>
              <w:jc w:val="right"/>
            </w:pPr>
            <w:r>
              <w:t>288,291,278.26</w:t>
            </w:r>
          </w:p>
        </w:tc>
        <w:tc>
          <w:tcPr>
            <w:tcW w:w="1129" w:type="pct"/>
            <w:tcBorders>
              <w:top w:val="single" w:color="auto" w:sz="4" w:space="0"/>
              <w:left w:val="single" w:color="auto" w:sz="4" w:space="0"/>
              <w:bottom w:val="single" w:color="auto" w:sz="4" w:space="0"/>
              <w:right w:val="single" w:color="auto" w:sz="4" w:space="0"/>
            </w:tcBorders>
          </w:tcPr>
          <w:p w14:paraId="26F5D9EB">
            <w:pPr>
              <w:jc w:val="right"/>
            </w:pPr>
            <w:r>
              <w:t>643,244,132.15</w:t>
            </w:r>
          </w:p>
        </w:tc>
      </w:tr>
      <w:tr w14:paraId="278EC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1C929FB3">
            <w:r>
              <w:t>浙江吉利汽车国际贸易有限公司</w:t>
            </w:r>
          </w:p>
        </w:tc>
        <w:tc>
          <w:tcPr>
            <w:tcW w:w="870" w:type="pct"/>
            <w:tcBorders>
              <w:top w:val="single" w:color="auto" w:sz="4" w:space="0"/>
              <w:left w:val="single" w:color="auto" w:sz="4" w:space="0"/>
              <w:bottom w:val="single" w:color="auto" w:sz="4" w:space="0"/>
              <w:right w:val="single" w:color="auto" w:sz="4" w:space="0"/>
            </w:tcBorders>
          </w:tcPr>
          <w:p w14:paraId="40054861">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25B68D7A">
            <w:pPr>
              <w:jc w:val="right"/>
            </w:pPr>
            <w:r>
              <w:t>600</w:t>
            </w:r>
          </w:p>
        </w:tc>
        <w:tc>
          <w:tcPr>
            <w:tcW w:w="1129" w:type="pct"/>
            <w:tcBorders>
              <w:top w:val="single" w:color="auto" w:sz="4" w:space="0"/>
              <w:left w:val="single" w:color="auto" w:sz="4" w:space="0"/>
              <w:bottom w:val="single" w:color="auto" w:sz="4" w:space="0"/>
              <w:right w:val="single" w:color="auto" w:sz="4" w:space="0"/>
            </w:tcBorders>
          </w:tcPr>
          <w:p w14:paraId="675E4BCC">
            <w:pPr>
              <w:jc w:val="right"/>
            </w:pPr>
          </w:p>
        </w:tc>
      </w:tr>
      <w:tr w14:paraId="66D01F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2A6B997B">
            <w:r>
              <w:t>浙江吉利汽车工程技术开发有限公司</w:t>
            </w:r>
          </w:p>
        </w:tc>
        <w:tc>
          <w:tcPr>
            <w:tcW w:w="870" w:type="pct"/>
            <w:tcBorders>
              <w:top w:val="single" w:color="auto" w:sz="4" w:space="0"/>
              <w:left w:val="single" w:color="auto" w:sz="4" w:space="0"/>
              <w:bottom w:val="single" w:color="auto" w:sz="4" w:space="0"/>
              <w:right w:val="single" w:color="auto" w:sz="4" w:space="0"/>
            </w:tcBorders>
          </w:tcPr>
          <w:p w14:paraId="7CEBD1D5">
            <w:pPr>
              <w:jc w:val="center"/>
            </w:pPr>
            <w:r>
              <w:rPr>
                <w:rFonts w:hint="eastAsia"/>
              </w:rPr>
              <w:t>提供服务</w:t>
            </w:r>
          </w:p>
        </w:tc>
        <w:tc>
          <w:tcPr>
            <w:tcW w:w="1027" w:type="pct"/>
            <w:tcBorders>
              <w:top w:val="single" w:color="auto" w:sz="4" w:space="0"/>
              <w:left w:val="single" w:color="auto" w:sz="4" w:space="0"/>
              <w:bottom w:val="single" w:color="auto" w:sz="4" w:space="0"/>
              <w:right w:val="single" w:color="auto" w:sz="4" w:space="0"/>
            </w:tcBorders>
          </w:tcPr>
          <w:p w14:paraId="7DDDC386">
            <w:pPr>
              <w:jc w:val="right"/>
            </w:pPr>
            <w:r>
              <w:rPr>
                <w:rFonts w:hint="eastAsia"/>
              </w:rPr>
              <w:t>3,920,738.95</w:t>
            </w:r>
          </w:p>
        </w:tc>
        <w:tc>
          <w:tcPr>
            <w:tcW w:w="1129" w:type="pct"/>
            <w:tcBorders>
              <w:top w:val="single" w:color="auto" w:sz="4" w:space="0"/>
              <w:left w:val="single" w:color="auto" w:sz="4" w:space="0"/>
              <w:bottom w:val="single" w:color="auto" w:sz="4" w:space="0"/>
              <w:right w:val="single" w:color="auto" w:sz="4" w:space="0"/>
            </w:tcBorders>
          </w:tcPr>
          <w:p w14:paraId="3FA2E24B">
            <w:pPr>
              <w:jc w:val="right"/>
            </w:pPr>
          </w:p>
        </w:tc>
      </w:tr>
      <w:tr w14:paraId="24D3E0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5951892F">
            <w:r>
              <w:t>浙江吉利汽车备件有限公司</w:t>
            </w:r>
          </w:p>
        </w:tc>
        <w:tc>
          <w:tcPr>
            <w:tcW w:w="870" w:type="pct"/>
            <w:tcBorders>
              <w:top w:val="single" w:color="auto" w:sz="4" w:space="0"/>
              <w:left w:val="single" w:color="auto" w:sz="4" w:space="0"/>
              <w:bottom w:val="single" w:color="auto" w:sz="4" w:space="0"/>
              <w:right w:val="single" w:color="auto" w:sz="4" w:space="0"/>
            </w:tcBorders>
          </w:tcPr>
          <w:p w14:paraId="2808B6F4">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715F712D">
            <w:pPr>
              <w:jc w:val="right"/>
            </w:pPr>
            <w:r>
              <w:t>4,828,906.98</w:t>
            </w:r>
          </w:p>
        </w:tc>
        <w:tc>
          <w:tcPr>
            <w:tcW w:w="1129" w:type="pct"/>
            <w:tcBorders>
              <w:top w:val="single" w:color="auto" w:sz="4" w:space="0"/>
              <w:left w:val="single" w:color="auto" w:sz="4" w:space="0"/>
              <w:bottom w:val="single" w:color="auto" w:sz="4" w:space="0"/>
              <w:right w:val="single" w:color="auto" w:sz="4" w:space="0"/>
            </w:tcBorders>
          </w:tcPr>
          <w:p w14:paraId="7585B093">
            <w:pPr>
              <w:jc w:val="right"/>
            </w:pPr>
            <w:r>
              <w:t>3,737,543.47</w:t>
            </w:r>
          </w:p>
        </w:tc>
      </w:tr>
      <w:tr w14:paraId="0DED2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F596EE3">
            <w:r>
              <w:t>浙江吉利控股集团有限公司</w:t>
            </w:r>
          </w:p>
        </w:tc>
        <w:tc>
          <w:tcPr>
            <w:tcW w:w="870" w:type="pct"/>
            <w:tcBorders>
              <w:top w:val="single" w:color="auto" w:sz="4" w:space="0"/>
              <w:left w:val="single" w:color="auto" w:sz="4" w:space="0"/>
              <w:bottom w:val="single" w:color="auto" w:sz="4" w:space="0"/>
              <w:right w:val="single" w:color="auto" w:sz="4" w:space="0"/>
            </w:tcBorders>
          </w:tcPr>
          <w:p w14:paraId="54FFDE1E">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76F91537">
            <w:pPr>
              <w:jc w:val="right"/>
            </w:pPr>
            <w:r>
              <w:t>1,620.50</w:t>
            </w:r>
          </w:p>
        </w:tc>
        <w:tc>
          <w:tcPr>
            <w:tcW w:w="1129" w:type="pct"/>
            <w:tcBorders>
              <w:top w:val="single" w:color="auto" w:sz="4" w:space="0"/>
              <w:left w:val="single" w:color="auto" w:sz="4" w:space="0"/>
              <w:bottom w:val="single" w:color="auto" w:sz="4" w:space="0"/>
              <w:right w:val="single" w:color="auto" w:sz="4" w:space="0"/>
            </w:tcBorders>
          </w:tcPr>
          <w:p w14:paraId="4CAFC389">
            <w:pPr>
              <w:jc w:val="right"/>
            </w:pPr>
          </w:p>
        </w:tc>
      </w:tr>
      <w:tr w14:paraId="1DA490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5F4899DC">
            <w:r>
              <w:t>浙江豪情汽车制造有限公司</w:t>
            </w:r>
          </w:p>
        </w:tc>
        <w:tc>
          <w:tcPr>
            <w:tcW w:w="870" w:type="pct"/>
            <w:tcBorders>
              <w:top w:val="single" w:color="auto" w:sz="4" w:space="0"/>
              <w:left w:val="single" w:color="auto" w:sz="4" w:space="0"/>
              <w:bottom w:val="single" w:color="auto" w:sz="4" w:space="0"/>
              <w:right w:val="single" w:color="auto" w:sz="4" w:space="0"/>
            </w:tcBorders>
          </w:tcPr>
          <w:p w14:paraId="7F43887A">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5CD79E50">
            <w:pPr>
              <w:jc w:val="right"/>
            </w:pPr>
            <w:r>
              <w:t>2,392,544.53</w:t>
            </w:r>
          </w:p>
        </w:tc>
        <w:tc>
          <w:tcPr>
            <w:tcW w:w="1129" w:type="pct"/>
            <w:tcBorders>
              <w:top w:val="single" w:color="auto" w:sz="4" w:space="0"/>
              <w:left w:val="single" w:color="auto" w:sz="4" w:space="0"/>
              <w:bottom w:val="single" w:color="auto" w:sz="4" w:space="0"/>
              <w:right w:val="single" w:color="auto" w:sz="4" w:space="0"/>
            </w:tcBorders>
          </w:tcPr>
          <w:p w14:paraId="56E155C7">
            <w:pPr>
              <w:jc w:val="right"/>
            </w:pPr>
            <w:r>
              <w:t>3,136,609.01</w:t>
            </w:r>
          </w:p>
        </w:tc>
      </w:tr>
      <w:tr w14:paraId="0039DE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4D4E3CF2">
            <w:r>
              <w:t>浙江锋锐发动机有限公司</w:t>
            </w:r>
          </w:p>
        </w:tc>
        <w:tc>
          <w:tcPr>
            <w:tcW w:w="870" w:type="pct"/>
            <w:tcBorders>
              <w:top w:val="single" w:color="auto" w:sz="4" w:space="0"/>
              <w:left w:val="single" w:color="auto" w:sz="4" w:space="0"/>
              <w:bottom w:val="single" w:color="auto" w:sz="4" w:space="0"/>
              <w:right w:val="single" w:color="auto" w:sz="4" w:space="0"/>
            </w:tcBorders>
          </w:tcPr>
          <w:p w14:paraId="4D84E76E">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7EAF46CA">
            <w:pPr>
              <w:jc w:val="right"/>
            </w:pPr>
            <w:r>
              <w:t>19,366.96</w:t>
            </w:r>
          </w:p>
        </w:tc>
        <w:tc>
          <w:tcPr>
            <w:tcW w:w="1129" w:type="pct"/>
            <w:tcBorders>
              <w:top w:val="single" w:color="auto" w:sz="4" w:space="0"/>
              <w:left w:val="single" w:color="auto" w:sz="4" w:space="0"/>
              <w:bottom w:val="single" w:color="auto" w:sz="4" w:space="0"/>
              <w:right w:val="single" w:color="auto" w:sz="4" w:space="0"/>
            </w:tcBorders>
          </w:tcPr>
          <w:p w14:paraId="253BBFCD">
            <w:pPr>
              <w:jc w:val="right"/>
            </w:pPr>
            <w:r>
              <w:t>11,052.56</w:t>
            </w:r>
          </w:p>
        </w:tc>
      </w:tr>
      <w:tr w14:paraId="4951BB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470F7791">
            <w:r>
              <w:t>武汉路特斯科技有限公司</w:t>
            </w:r>
          </w:p>
        </w:tc>
        <w:tc>
          <w:tcPr>
            <w:tcW w:w="870" w:type="pct"/>
            <w:tcBorders>
              <w:top w:val="single" w:color="auto" w:sz="4" w:space="0"/>
              <w:left w:val="single" w:color="auto" w:sz="4" w:space="0"/>
              <w:bottom w:val="single" w:color="auto" w:sz="4" w:space="0"/>
              <w:right w:val="single" w:color="auto" w:sz="4" w:space="0"/>
            </w:tcBorders>
          </w:tcPr>
          <w:p w14:paraId="376AD25D">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18151619">
            <w:pPr>
              <w:jc w:val="right"/>
            </w:pPr>
            <w:r>
              <w:t>125,000.01</w:t>
            </w:r>
          </w:p>
        </w:tc>
        <w:tc>
          <w:tcPr>
            <w:tcW w:w="1129" w:type="pct"/>
            <w:tcBorders>
              <w:top w:val="single" w:color="auto" w:sz="4" w:space="0"/>
              <w:left w:val="single" w:color="auto" w:sz="4" w:space="0"/>
              <w:bottom w:val="single" w:color="auto" w:sz="4" w:space="0"/>
              <w:right w:val="single" w:color="auto" w:sz="4" w:space="0"/>
            </w:tcBorders>
          </w:tcPr>
          <w:p w14:paraId="7BFD8E87">
            <w:pPr>
              <w:jc w:val="right"/>
            </w:pPr>
            <w:r>
              <w:t>1,000,000.00</w:t>
            </w:r>
          </w:p>
        </w:tc>
      </w:tr>
      <w:tr w14:paraId="7F0022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5FA1F491">
            <w:r>
              <w:t>苏州曹智汽车有限公司</w:t>
            </w:r>
          </w:p>
        </w:tc>
        <w:tc>
          <w:tcPr>
            <w:tcW w:w="870" w:type="pct"/>
            <w:tcBorders>
              <w:top w:val="single" w:color="auto" w:sz="4" w:space="0"/>
              <w:left w:val="single" w:color="auto" w:sz="4" w:space="0"/>
              <w:bottom w:val="single" w:color="auto" w:sz="4" w:space="0"/>
              <w:right w:val="single" w:color="auto" w:sz="4" w:space="0"/>
            </w:tcBorders>
          </w:tcPr>
          <w:p w14:paraId="6330373D">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4BC413D3">
            <w:pPr>
              <w:jc w:val="right"/>
            </w:pPr>
            <w:r>
              <w:t>1,049,001,646.67</w:t>
            </w:r>
          </w:p>
        </w:tc>
        <w:tc>
          <w:tcPr>
            <w:tcW w:w="1129" w:type="pct"/>
            <w:tcBorders>
              <w:top w:val="single" w:color="auto" w:sz="4" w:space="0"/>
              <w:left w:val="single" w:color="auto" w:sz="4" w:space="0"/>
              <w:bottom w:val="single" w:color="auto" w:sz="4" w:space="0"/>
              <w:right w:val="single" w:color="auto" w:sz="4" w:space="0"/>
            </w:tcBorders>
          </w:tcPr>
          <w:p w14:paraId="3C395860">
            <w:pPr>
              <w:jc w:val="right"/>
            </w:pPr>
            <w:r>
              <w:t>520,782,376.01</w:t>
            </w:r>
          </w:p>
        </w:tc>
      </w:tr>
      <w:tr w14:paraId="095F0D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43414131">
            <w:r>
              <w:t>苏州曹智汽车有限公司</w:t>
            </w:r>
          </w:p>
        </w:tc>
        <w:tc>
          <w:tcPr>
            <w:tcW w:w="870" w:type="pct"/>
            <w:tcBorders>
              <w:top w:val="single" w:color="auto" w:sz="4" w:space="0"/>
              <w:left w:val="single" w:color="auto" w:sz="4" w:space="0"/>
              <w:bottom w:val="single" w:color="auto" w:sz="4" w:space="0"/>
              <w:right w:val="single" w:color="auto" w:sz="4" w:space="0"/>
            </w:tcBorders>
          </w:tcPr>
          <w:p w14:paraId="396EC5F3">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69ACCA40">
            <w:pPr>
              <w:jc w:val="right"/>
            </w:pPr>
            <w:r>
              <w:t>1,321,800.00</w:t>
            </w:r>
          </w:p>
        </w:tc>
        <w:tc>
          <w:tcPr>
            <w:tcW w:w="1129" w:type="pct"/>
            <w:tcBorders>
              <w:top w:val="single" w:color="auto" w:sz="4" w:space="0"/>
              <w:left w:val="single" w:color="auto" w:sz="4" w:space="0"/>
              <w:bottom w:val="single" w:color="auto" w:sz="4" w:space="0"/>
              <w:right w:val="single" w:color="auto" w:sz="4" w:space="0"/>
            </w:tcBorders>
          </w:tcPr>
          <w:p w14:paraId="24D7E453">
            <w:pPr>
              <w:jc w:val="right"/>
            </w:pPr>
            <w:r>
              <w:t>47,995,610.00</w:t>
            </w:r>
          </w:p>
        </w:tc>
      </w:tr>
      <w:tr w14:paraId="3400F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1E8D67CA">
            <w:r>
              <w:t>四川领克汽车制造有限公司</w:t>
            </w:r>
          </w:p>
        </w:tc>
        <w:tc>
          <w:tcPr>
            <w:tcW w:w="870" w:type="pct"/>
            <w:tcBorders>
              <w:top w:val="single" w:color="auto" w:sz="4" w:space="0"/>
              <w:left w:val="single" w:color="auto" w:sz="4" w:space="0"/>
              <w:bottom w:val="single" w:color="auto" w:sz="4" w:space="0"/>
              <w:right w:val="single" w:color="auto" w:sz="4" w:space="0"/>
            </w:tcBorders>
          </w:tcPr>
          <w:p w14:paraId="31D361B0">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15576459">
            <w:pPr>
              <w:jc w:val="right"/>
            </w:pPr>
            <w:r>
              <w:t>17,611.34</w:t>
            </w:r>
          </w:p>
        </w:tc>
        <w:tc>
          <w:tcPr>
            <w:tcW w:w="1129" w:type="pct"/>
            <w:tcBorders>
              <w:top w:val="single" w:color="auto" w:sz="4" w:space="0"/>
              <w:left w:val="single" w:color="auto" w:sz="4" w:space="0"/>
              <w:bottom w:val="single" w:color="auto" w:sz="4" w:space="0"/>
              <w:right w:val="single" w:color="auto" w:sz="4" w:space="0"/>
            </w:tcBorders>
          </w:tcPr>
          <w:p w14:paraId="54B161C7">
            <w:pPr>
              <w:jc w:val="right"/>
            </w:pPr>
          </w:p>
        </w:tc>
      </w:tr>
      <w:tr w14:paraId="39342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245DF39C">
            <w:r>
              <w:t>青岛领吉星汽车销售服务有限公司</w:t>
            </w:r>
          </w:p>
        </w:tc>
        <w:tc>
          <w:tcPr>
            <w:tcW w:w="870" w:type="pct"/>
            <w:tcBorders>
              <w:top w:val="single" w:color="auto" w:sz="4" w:space="0"/>
              <w:left w:val="single" w:color="auto" w:sz="4" w:space="0"/>
              <w:bottom w:val="single" w:color="auto" w:sz="4" w:space="0"/>
              <w:right w:val="single" w:color="auto" w:sz="4" w:space="0"/>
            </w:tcBorders>
          </w:tcPr>
          <w:p w14:paraId="43576364">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0A8CC441">
            <w:pPr>
              <w:jc w:val="right"/>
            </w:pPr>
            <w:r>
              <w:t>48,251.70</w:t>
            </w:r>
          </w:p>
        </w:tc>
        <w:tc>
          <w:tcPr>
            <w:tcW w:w="1129" w:type="pct"/>
            <w:tcBorders>
              <w:top w:val="single" w:color="auto" w:sz="4" w:space="0"/>
              <w:left w:val="single" w:color="auto" w:sz="4" w:space="0"/>
              <w:bottom w:val="single" w:color="auto" w:sz="4" w:space="0"/>
              <w:right w:val="single" w:color="auto" w:sz="4" w:space="0"/>
            </w:tcBorders>
          </w:tcPr>
          <w:p w14:paraId="5551ABAF">
            <w:pPr>
              <w:jc w:val="right"/>
            </w:pPr>
            <w:r>
              <w:t>84,079.66</w:t>
            </w:r>
          </w:p>
        </w:tc>
      </w:tr>
      <w:tr w14:paraId="3F03E5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212E8D50">
            <w:r>
              <w:t>启征新能源汽车（济南）有限公司</w:t>
            </w:r>
          </w:p>
        </w:tc>
        <w:tc>
          <w:tcPr>
            <w:tcW w:w="870" w:type="pct"/>
            <w:tcBorders>
              <w:top w:val="single" w:color="auto" w:sz="4" w:space="0"/>
              <w:left w:val="single" w:color="auto" w:sz="4" w:space="0"/>
              <w:bottom w:val="single" w:color="auto" w:sz="4" w:space="0"/>
              <w:right w:val="single" w:color="auto" w:sz="4" w:space="0"/>
            </w:tcBorders>
          </w:tcPr>
          <w:p w14:paraId="11EFFEE5">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3F125FF2">
            <w:pPr>
              <w:jc w:val="right"/>
            </w:pPr>
            <w:r>
              <w:t>5,110,787.31</w:t>
            </w:r>
          </w:p>
        </w:tc>
        <w:tc>
          <w:tcPr>
            <w:tcW w:w="1129" w:type="pct"/>
            <w:tcBorders>
              <w:top w:val="single" w:color="auto" w:sz="4" w:space="0"/>
              <w:left w:val="single" w:color="auto" w:sz="4" w:space="0"/>
              <w:bottom w:val="single" w:color="auto" w:sz="4" w:space="0"/>
              <w:right w:val="single" w:color="auto" w:sz="4" w:space="0"/>
            </w:tcBorders>
          </w:tcPr>
          <w:p w14:paraId="3EF7AF11">
            <w:pPr>
              <w:jc w:val="right"/>
            </w:pPr>
          </w:p>
        </w:tc>
      </w:tr>
      <w:tr w14:paraId="295EE8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13784287">
            <w:r>
              <w:t>宁波吉利汽车研究开发有限公司</w:t>
            </w:r>
          </w:p>
        </w:tc>
        <w:tc>
          <w:tcPr>
            <w:tcW w:w="870" w:type="pct"/>
            <w:tcBorders>
              <w:top w:val="single" w:color="auto" w:sz="4" w:space="0"/>
              <w:left w:val="single" w:color="auto" w:sz="4" w:space="0"/>
              <w:bottom w:val="single" w:color="auto" w:sz="4" w:space="0"/>
              <w:right w:val="single" w:color="auto" w:sz="4" w:space="0"/>
            </w:tcBorders>
          </w:tcPr>
          <w:p w14:paraId="079CFE1A">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2CCCE2BE">
            <w:pPr>
              <w:jc w:val="right"/>
            </w:pPr>
            <w:r>
              <w:t>5,290.79</w:t>
            </w:r>
          </w:p>
        </w:tc>
        <w:tc>
          <w:tcPr>
            <w:tcW w:w="1129" w:type="pct"/>
            <w:tcBorders>
              <w:top w:val="single" w:color="auto" w:sz="4" w:space="0"/>
              <w:left w:val="single" w:color="auto" w:sz="4" w:space="0"/>
              <w:bottom w:val="single" w:color="auto" w:sz="4" w:space="0"/>
              <w:right w:val="single" w:color="auto" w:sz="4" w:space="0"/>
            </w:tcBorders>
          </w:tcPr>
          <w:p w14:paraId="4B236ECF">
            <w:pPr>
              <w:jc w:val="right"/>
            </w:pPr>
          </w:p>
        </w:tc>
      </w:tr>
      <w:tr w14:paraId="75A8B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390DF08D">
            <w:r>
              <w:t>领克汽车科技有限公司</w:t>
            </w:r>
          </w:p>
        </w:tc>
        <w:tc>
          <w:tcPr>
            <w:tcW w:w="870" w:type="pct"/>
            <w:tcBorders>
              <w:top w:val="single" w:color="auto" w:sz="4" w:space="0"/>
              <w:left w:val="single" w:color="auto" w:sz="4" w:space="0"/>
              <w:bottom w:val="single" w:color="auto" w:sz="4" w:space="0"/>
              <w:right w:val="single" w:color="auto" w:sz="4" w:space="0"/>
            </w:tcBorders>
          </w:tcPr>
          <w:p w14:paraId="66D22930">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2782F9B8">
            <w:pPr>
              <w:jc w:val="right"/>
            </w:pPr>
            <w:r>
              <w:t>2,495,808.43</w:t>
            </w:r>
          </w:p>
        </w:tc>
        <w:tc>
          <w:tcPr>
            <w:tcW w:w="1129" w:type="pct"/>
            <w:tcBorders>
              <w:top w:val="single" w:color="auto" w:sz="4" w:space="0"/>
              <w:left w:val="single" w:color="auto" w:sz="4" w:space="0"/>
              <w:bottom w:val="single" w:color="auto" w:sz="4" w:space="0"/>
              <w:right w:val="single" w:color="auto" w:sz="4" w:space="0"/>
            </w:tcBorders>
          </w:tcPr>
          <w:p w14:paraId="66B2D52B">
            <w:pPr>
              <w:jc w:val="right"/>
            </w:pPr>
          </w:p>
        </w:tc>
      </w:tr>
      <w:tr w14:paraId="7AA388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587DE89">
            <w:r>
              <w:t>领吉汽车商贸有限公司</w:t>
            </w:r>
          </w:p>
        </w:tc>
        <w:tc>
          <w:tcPr>
            <w:tcW w:w="870" w:type="pct"/>
            <w:tcBorders>
              <w:top w:val="single" w:color="auto" w:sz="4" w:space="0"/>
              <w:left w:val="single" w:color="auto" w:sz="4" w:space="0"/>
              <w:bottom w:val="single" w:color="auto" w:sz="4" w:space="0"/>
              <w:right w:val="single" w:color="auto" w:sz="4" w:space="0"/>
            </w:tcBorders>
          </w:tcPr>
          <w:p w14:paraId="28710A4F">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13A538B1">
            <w:pPr>
              <w:jc w:val="right"/>
            </w:pPr>
            <w:r>
              <w:t>219,000.00</w:t>
            </w:r>
          </w:p>
        </w:tc>
        <w:tc>
          <w:tcPr>
            <w:tcW w:w="1129" w:type="pct"/>
            <w:tcBorders>
              <w:top w:val="single" w:color="auto" w:sz="4" w:space="0"/>
              <w:left w:val="single" w:color="auto" w:sz="4" w:space="0"/>
              <w:bottom w:val="single" w:color="auto" w:sz="4" w:space="0"/>
              <w:right w:val="single" w:color="auto" w:sz="4" w:space="0"/>
            </w:tcBorders>
          </w:tcPr>
          <w:p w14:paraId="447C966C">
            <w:pPr>
              <w:jc w:val="right"/>
            </w:pPr>
          </w:p>
        </w:tc>
      </w:tr>
      <w:tr w14:paraId="236B38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EC99257">
            <w:r>
              <w:t>临沂领吉茂华汽车销售服务有限公司</w:t>
            </w:r>
          </w:p>
        </w:tc>
        <w:tc>
          <w:tcPr>
            <w:tcW w:w="870" w:type="pct"/>
            <w:tcBorders>
              <w:top w:val="single" w:color="auto" w:sz="4" w:space="0"/>
              <w:left w:val="single" w:color="auto" w:sz="4" w:space="0"/>
              <w:bottom w:val="single" w:color="auto" w:sz="4" w:space="0"/>
              <w:right w:val="single" w:color="auto" w:sz="4" w:space="0"/>
            </w:tcBorders>
          </w:tcPr>
          <w:p w14:paraId="45FFF922">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08056BFD">
            <w:pPr>
              <w:jc w:val="right"/>
            </w:pPr>
            <w:r>
              <w:t>40,139.70</w:t>
            </w:r>
          </w:p>
        </w:tc>
        <w:tc>
          <w:tcPr>
            <w:tcW w:w="1129" w:type="pct"/>
            <w:tcBorders>
              <w:top w:val="single" w:color="auto" w:sz="4" w:space="0"/>
              <w:left w:val="single" w:color="auto" w:sz="4" w:space="0"/>
              <w:bottom w:val="single" w:color="auto" w:sz="4" w:space="0"/>
              <w:right w:val="single" w:color="auto" w:sz="4" w:space="0"/>
            </w:tcBorders>
          </w:tcPr>
          <w:p w14:paraId="530C8C32">
            <w:pPr>
              <w:jc w:val="right"/>
            </w:pPr>
            <w:r>
              <w:t>43,096.70</w:t>
            </w:r>
          </w:p>
        </w:tc>
      </w:tr>
      <w:tr w14:paraId="62A4FE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35D9488">
            <w:r>
              <w:t>雷达新能源汽车（浙江）有限公司</w:t>
            </w:r>
          </w:p>
        </w:tc>
        <w:tc>
          <w:tcPr>
            <w:tcW w:w="870" w:type="pct"/>
            <w:tcBorders>
              <w:top w:val="single" w:color="auto" w:sz="4" w:space="0"/>
              <w:left w:val="single" w:color="auto" w:sz="4" w:space="0"/>
              <w:bottom w:val="single" w:color="auto" w:sz="4" w:space="0"/>
              <w:right w:val="single" w:color="auto" w:sz="4" w:space="0"/>
            </w:tcBorders>
          </w:tcPr>
          <w:p w14:paraId="18181C52">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70033361">
            <w:pPr>
              <w:jc w:val="right"/>
            </w:pPr>
            <w:r>
              <w:t>9,758.26</w:t>
            </w:r>
          </w:p>
        </w:tc>
        <w:tc>
          <w:tcPr>
            <w:tcW w:w="1129" w:type="pct"/>
            <w:tcBorders>
              <w:top w:val="single" w:color="auto" w:sz="4" w:space="0"/>
              <w:left w:val="single" w:color="auto" w:sz="4" w:space="0"/>
              <w:bottom w:val="single" w:color="auto" w:sz="4" w:space="0"/>
              <w:right w:val="single" w:color="auto" w:sz="4" w:space="0"/>
            </w:tcBorders>
          </w:tcPr>
          <w:p w14:paraId="45D6F5EA">
            <w:pPr>
              <w:jc w:val="right"/>
            </w:pPr>
          </w:p>
        </w:tc>
      </w:tr>
      <w:tr w14:paraId="55E249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EC7552B">
            <w:r>
              <w:t>吉利汽车研究院（宁波）有限公司</w:t>
            </w:r>
          </w:p>
        </w:tc>
        <w:tc>
          <w:tcPr>
            <w:tcW w:w="870" w:type="pct"/>
            <w:tcBorders>
              <w:top w:val="single" w:color="auto" w:sz="4" w:space="0"/>
              <w:left w:val="single" w:color="auto" w:sz="4" w:space="0"/>
              <w:bottom w:val="single" w:color="auto" w:sz="4" w:space="0"/>
              <w:right w:val="single" w:color="auto" w:sz="4" w:space="0"/>
            </w:tcBorders>
          </w:tcPr>
          <w:p w14:paraId="701B57EA">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6408B19A">
            <w:pPr>
              <w:jc w:val="right"/>
            </w:pPr>
            <w:r>
              <w:t>67,988.63</w:t>
            </w:r>
          </w:p>
        </w:tc>
        <w:tc>
          <w:tcPr>
            <w:tcW w:w="1129" w:type="pct"/>
            <w:tcBorders>
              <w:top w:val="single" w:color="auto" w:sz="4" w:space="0"/>
              <w:left w:val="single" w:color="auto" w:sz="4" w:space="0"/>
              <w:bottom w:val="single" w:color="auto" w:sz="4" w:space="0"/>
              <w:right w:val="single" w:color="auto" w:sz="4" w:space="0"/>
            </w:tcBorders>
          </w:tcPr>
          <w:p w14:paraId="3C925C0E">
            <w:pPr>
              <w:jc w:val="right"/>
            </w:pPr>
          </w:p>
        </w:tc>
      </w:tr>
      <w:tr w14:paraId="14485A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521C125">
            <w:r>
              <w:t>吉利汽车研究院（宁波）有限公司</w:t>
            </w:r>
          </w:p>
        </w:tc>
        <w:tc>
          <w:tcPr>
            <w:tcW w:w="870" w:type="pct"/>
            <w:tcBorders>
              <w:top w:val="single" w:color="auto" w:sz="4" w:space="0"/>
              <w:left w:val="single" w:color="auto" w:sz="4" w:space="0"/>
              <w:bottom w:val="single" w:color="auto" w:sz="4" w:space="0"/>
              <w:right w:val="single" w:color="auto" w:sz="4" w:space="0"/>
            </w:tcBorders>
          </w:tcPr>
          <w:p w14:paraId="5AFB838E">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7DF2B3A0">
            <w:pPr>
              <w:jc w:val="right"/>
            </w:pPr>
            <w:r>
              <w:t>29,255,336.26</w:t>
            </w:r>
          </w:p>
        </w:tc>
        <w:tc>
          <w:tcPr>
            <w:tcW w:w="1129" w:type="pct"/>
            <w:tcBorders>
              <w:top w:val="single" w:color="auto" w:sz="4" w:space="0"/>
              <w:left w:val="single" w:color="auto" w:sz="4" w:space="0"/>
              <w:bottom w:val="single" w:color="auto" w:sz="4" w:space="0"/>
              <w:right w:val="single" w:color="auto" w:sz="4" w:space="0"/>
            </w:tcBorders>
          </w:tcPr>
          <w:p w14:paraId="62E2078B">
            <w:pPr>
              <w:jc w:val="right"/>
            </w:pPr>
          </w:p>
        </w:tc>
      </w:tr>
      <w:tr w14:paraId="0E243C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36C8B07F">
            <w:r>
              <w:rPr>
                <w:rFonts w:hint="eastAsia"/>
              </w:rPr>
              <w:t>吉利汽车控股（杭州）有限公司</w:t>
            </w:r>
          </w:p>
        </w:tc>
        <w:tc>
          <w:tcPr>
            <w:tcW w:w="870" w:type="pct"/>
            <w:tcBorders>
              <w:top w:val="single" w:color="auto" w:sz="4" w:space="0"/>
              <w:left w:val="single" w:color="auto" w:sz="4" w:space="0"/>
              <w:bottom w:val="single" w:color="auto" w:sz="4" w:space="0"/>
              <w:right w:val="single" w:color="auto" w:sz="4" w:space="0"/>
            </w:tcBorders>
          </w:tcPr>
          <w:p w14:paraId="4C27B6DA">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2A9EA44F">
            <w:pPr>
              <w:jc w:val="right"/>
            </w:pPr>
            <w:r>
              <w:t>5,951.97</w:t>
            </w:r>
          </w:p>
        </w:tc>
        <w:tc>
          <w:tcPr>
            <w:tcW w:w="1129" w:type="pct"/>
            <w:tcBorders>
              <w:top w:val="single" w:color="auto" w:sz="4" w:space="0"/>
              <w:left w:val="single" w:color="auto" w:sz="4" w:space="0"/>
              <w:bottom w:val="single" w:color="auto" w:sz="4" w:space="0"/>
              <w:right w:val="single" w:color="auto" w:sz="4" w:space="0"/>
            </w:tcBorders>
          </w:tcPr>
          <w:p w14:paraId="23123FBF">
            <w:pPr>
              <w:jc w:val="right"/>
            </w:pPr>
          </w:p>
        </w:tc>
      </w:tr>
      <w:tr w14:paraId="3ED0A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1F21C63A">
            <w:r>
              <w:t>吉利汽车控股（杭州）有限公司</w:t>
            </w:r>
          </w:p>
        </w:tc>
        <w:tc>
          <w:tcPr>
            <w:tcW w:w="870" w:type="pct"/>
            <w:tcBorders>
              <w:top w:val="single" w:color="auto" w:sz="4" w:space="0"/>
              <w:left w:val="single" w:color="auto" w:sz="4" w:space="0"/>
              <w:bottom w:val="single" w:color="auto" w:sz="4" w:space="0"/>
              <w:right w:val="single" w:color="auto" w:sz="4" w:space="0"/>
            </w:tcBorders>
          </w:tcPr>
          <w:p w14:paraId="6DBE5551">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39DBF1BF">
            <w:pPr>
              <w:jc w:val="right"/>
            </w:pPr>
            <w:r>
              <w:t>6,399.46</w:t>
            </w:r>
          </w:p>
        </w:tc>
        <w:tc>
          <w:tcPr>
            <w:tcW w:w="1129" w:type="pct"/>
            <w:tcBorders>
              <w:top w:val="single" w:color="auto" w:sz="4" w:space="0"/>
              <w:left w:val="single" w:color="auto" w:sz="4" w:space="0"/>
              <w:bottom w:val="single" w:color="auto" w:sz="4" w:space="0"/>
              <w:right w:val="single" w:color="auto" w:sz="4" w:space="0"/>
            </w:tcBorders>
          </w:tcPr>
          <w:p w14:paraId="45D606D3">
            <w:pPr>
              <w:jc w:val="right"/>
            </w:pPr>
            <w:r>
              <w:t>9,076.84</w:t>
            </w:r>
          </w:p>
        </w:tc>
      </w:tr>
      <w:tr w14:paraId="2F90C5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6F19189">
            <w:r>
              <w:t>杭州众悦出行科技有限公司</w:t>
            </w:r>
          </w:p>
        </w:tc>
        <w:tc>
          <w:tcPr>
            <w:tcW w:w="870" w:type="pct"/>
            <w:tcBorders>
              <w:top w:val="single" w:color="auto" w:sz="4" w:space="0"/>
              <w:left w:val="single" w:color="auto" w:sz="4" w:space="0"/>
              <w:bottom w:val="single" w:color="auto" w:sz="4" w:space="0"/>
              <w:right w:val="single" w:color="auto" w:sz="4" w:space="0"/>
            </w:tcBorders>
          </w:tcPr>
          <w:p w14:paraId="5C692C5B">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49D77500">
            <w:pPr>
              <w:jc w:val="right"/>
            </w:pPr>
            <w:r>
              <w:t>445,300.00</w:t>
            </w:r>
          </w:p>
        </w:tc>
        <w:tc>
          <w:tcPr>
            <w:tcW w:w="1129" w:type="pct"/>
            <w:tcBorders>
              <w:top w:val="single" w:color="auto" w:sz="4" w:space="0"/>
              <w:left w:val="single" w:color="auto" w:sz="4" w:space="0"/>
              <w:bottom w:val="single" w:color="auto" w:sz="4" w:space="0"/>
              <w:right w:val="single" w:color="auto" w:sz="4" w:space="0"/>
            </w:tcBorders>
          </w:tcPr>
          <w:p w14:paraId="69B067F3">
            <w:pPr>
              <w:jc w:val="right"/>
            </w:pPr>
          </w:p>
        </w:tc>
      </w:tr>
      <w:tr w14:paraId="70BCF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5FE7FD8C">
            <w:r>
              <w:t>杭州易能电池管理技术有限公司</w:t>
            </w:r>
          </w:p>
        </w:tc>
        <w:tc>
          <w:tcPr>
            <w:tcW w:w="870" w:type="pct"/>
            <w:tcBorders>
              <w:top w:val="single" w:color="auto" w:sz="4" w:space="0"/>
              <w:left w:val="single" w:color="auto" w:sz="4" w:space="0"/>
              <w:bottom w:val="single" w:color="auto" w:sz="4" w:space="0"/>
              <w:right w:val="single" w:color="auto" w:sz="4" w:space="0"/>
            </w:tcBorders>
          </w:tcPr>
          <w:p w14:paraId="61F6CD48">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542E32CC">
            <w:pPr>
              <w:jc w:val="right"/>
            </w:pPr>
            <w:r>
              <w:t>8,785,000.00</w:t>
            </w:r>
          </w:p>
        </w:tc>
        <w:tc>
          <w:tcPr>
            <w:tcW w:w="1129" w:type="pct"/>
            <w:tcBorders>
              <w:top w:val="single" w:color="auto" w:sz="4" w:space="0"/>
              <w:left w:val="single" w:color="auto" w:sz="4" w:space="0"/>
              <w:bottom w:val="single" w:color="auto" w:sz="4" w:space="0"/>
              <w:right w:val="single" w:color="auto" w:sz="4" w:space="0"/>
            </w:tcBorders>
          </w:tcPr>
          <w:p w14:paraId="0B5FAEAE">
            <w:pPr>
              <w:jc w:val="right"/>
            </w:pPr>
          </w:p>
        </w:tc>
      </w:tr>
      <w:tr w14:paraId="294EDF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1BA72F97">
            <w:r>
              <w:t>杭州吉利汽车有限公司</w:t>
            </w:r>
          </w:p>
        </w:tc>
        <w:tc>
          <w:tcPr>
            <w:tcW w:w="870" w:type="pct"/>
            <w:tcBorders>
              <w:top w:val="single" w:color="auto" w:sz="4" w:space="0"/>
              <w:left w:val="single" w:color="auto" w:sz="4" w:space="0"/>
              <w:bottom w:val="single" w:color="auto" w:sz="4" w:space="0"/>
              <w:right w:val="single" w:color="auto" w:sz="4" w:space="0"/>
            </w:tcBorders>
          </w:tcPr>
          <w:p w14:paraId="77D96455">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69EAFEB9">
            <w:pPr>
              <w:jc w:val="right"/>
            </w:pPr>
          </w:p>
        </w:tc>
        <w:tc>
          <w:tcPr>
            <w:tcW w:w="1129" w:type="pct"/>
            <w:tcBorders>
              <w:top w:val="single" w:color="auto" w:sz="4" w:space="0"/>
              <w:left w:val="single" w:color="auto" w:sz="4" w:space="0"/>
              <w:bottom w:val="single" w:color="auto" w:sz="4" w:space="0"/>
              <w:right w:val="single" w:color="auto" w:sz="4" w:space="0"/>
            </w:tcBorders>
          </w:tcPr>
          <w:p w14:paraId="773AE422">
            <w:pPr>
              <w:jc w:val="right"/>
            </w:pPr>
            <w:r>
              <w:t>10,707,652.17</w:t>
            </w:r>
          </w:p>
        </w:tc>
      </w:tr>
      <w:tr w14:paraId="2968CB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51F00B43">
            <w:r>
              <w:t>贵州吉利汽车制造有限公司</w:t>
            </w:r>
          </w:p>
        </w:tc>
        <w:tc>
          <w:tcPr>
            <w:tcW w:w="870" w:type="pct"/>
            <w:tcBorders>
              <w:top w:val="single" w:color="auto" w:sz="4" w:space="0"/>
              <w:left w:val="single" w:color="auto" w:sz="4" w:space="0"/>
              <w:bottom w:val="single" w:color="auto" w:sz="4" w:space="0"/>
              <w:right w:val="single" w:color="auto" w:sz="4" w:space="0"/>
            </w:tcBorders>
          </w:tcPr>
          <w:p w14:paraId="00ECF697">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1DBCABE4">
            <w:pPr>
              <w:jc w:val="right"/>
            </w:pPr>
            <w:r>
              <w:t>396,362.29</w:t>
            </w:r>
          </w:p>
        </w:tc>
        <w:tc>
          <w:tcPr>
            <w:tcW w:w="1129" w:type="pct"/>
            <w:tcBorders>
              <w:top w:val="single" w:color="auto" w:sz="4" w:space="0"/>
              <w:left w:val="single" w:color="auto" w:sz="4" w:space="0"/>
              <w:bottom w:val="single" w:color="auto" w:sz="4" w:space="0"/>
              <w:right w:val="single" w:color="auto" w:sz="4" w:space="0"/>
            </w:tcBorders>
          </w:tcPr>
          <w:p w14:paraId="6A1B03AC">
            <w:pPr>
              <w:jc w:val="right"/>
            </w:pPr>
          </w:p>
        </w:tc>
      </w:tr>
      <w:tr w14:paraId="02507B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34546A02">
            <w:r>
              <w:t>贵州吉利汽车制造有限公司</w:t>
            </w:r>
          </w:p>
        </w:tc>
        <w:tc>
          <w:tcPr>
            <w:tcW w:w="870" w:type="pct"/>
            <w:tcBorders>
              <w:top w:val="single" w:color="auto" w:sz="4" w:space="0"/>
              <w:left w:val="single" w:color="auto" w:sz="4" w:space="0"/>
              <w:bottom w:val="single" w:color="auto" w:sz="4" w:space="0"/>
              <w:right w:val="single" w:color="auto" w:sz="4" w:space="0"/>
            </w:tcBorders>
          </w:tcPr>
          <w:p w14:paraId="2573AD83">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61D44BCF">
            <w:pPr>
              <w:jc w:val="right"/>
            </w:pPr>
            <w:r>
              <w:t>7,069,813.65</w:t>
            </w:r>
          </w:p>
        </w:tc>
        <w:tc>
          <w:tcPr>
            <w:tcW w:w="1129" w:type="pct"/>
            <w:tcBorders>
              <w:top w:val="single" w:color="auto" w:sz="4" w:space="0"/>
              <w:left w:val="single" w:color="auto" w:sz="4" w:space="0"/>
              <w:bottom w:val="single" w:color="auto" w:sz="4" w:space="0"/>
              <w:right w:val="single" w:color="auto" w:sz="4" w:space="0"/>
            </w:tcBorders>
          </w:tcPr>
          <w:p w14:paraId="286D4082">
            <w:pPr>
              <w:jc w:val="right"/>
            </w:pPr>
            <w:r>
              <w:t>3,642,879.75</w:t>
            </w:r>
          </w:p>
        </w:tc>
      </w:tr>
      <w:tr w14:paraId="41CF5A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4AACA6E">
            <w:r>
              <w:t>枫盛汽车(江苏)有限公司</w:t>
            </w:r>
          </w:p>
        </w:tc>
        <w:tc>
          <w:tcPr>
            <w:tcW w:w="870" w:type="pct"/>
            <w:tcBorders>
              <w:top w:val="single" w:color="auto" w:sz="4" w:space="0"/>
              <w:left w:val="single" w:color="auto" w:sz="4" w:space="0"/>
              <w:bottom w:val="single" w:color="auto" w:sz="4" w:space="0"/>
              <w:right w:val="single" w:color="auto" w:sz="4" w:space="0"/>
            </w:tcBorders>
          </w:tcPr>
          <w:p w14:paraId="0724BF13">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27C2EF9B">
            <w:pPr>
              <w:jc w:val="right"/>
            </w:pPr>
            <w:r>
              <w:t>444,888.00</w:t>
            </w:r>
          </w:p>
        </w:tc>
        <w:tc>
          <w:tcPr>
            <w:tcW w:w="1129" w:type="pct"/>
            <w:tcBorders>
              <w:top w:val="single" w:color="auto" w:sz="4" w:space="0"/>
              <w:left w:val="single" w:color="auto" w:sz="4" w:space="0"/>
              <w:bottom w:val="single" w:color="auto" w:sz="4" w:space="0"/>
              <w:right w:val="single" w:color="auto" w:sz="4" w:space="0"/>
            </w:tcBorders>
          </w:tcPr>
          <w:p w14:paraId="7C6ECD85">
            <w:pPr>
              <w:jc w:val="right"/>
            </w:pPr>
            <w:r>
              <w:t>688,230.00</w:t>
            </w:r>
          </w:p>
        </w:tc>
      </w:tr>
      <w:tr w14:paraId="5F7BC6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4AD7A11A">
            <w:r>
              <w:t>DREAMSMART   INFINITY HK</w:t>
            </w:r>
          </w:p>
        </w:tc>
        <w:tc>
          <w:tcPr>
            <w:tcW w:w="870" w:type="pct"/>
            <w:tcBorders>
              <w:top w:val="single" w:color="auto" w:sz="4" w:space="0"/>
              <w:left w:val="single" w:color="auto" w:sz="4" w:space="0"/>
              <w:bottom w:val="single" w:color="auto" w:sz="4" w:space="0"/>
              <w:right w:val="single" w:color="auto" w:sz="4" w:space="0"/>
            </w:tcBorders>
          </w:tcPr>
          <w:p w14:paraId="4D4C49FF">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02BF9687">
            <w:pPr>
              <w:jc w:val="right"/>
            </w:pPr>
            <w:r>
              <w:t>373,266.40</w:t>
            </w:r>
          </w:p>
        </w:tc>
        <w:tc>
          <w:tcPr>
            <w:tcW w:w="1129" w:type="pct"/>
            <w:tcBorders>
              <w:top w:val="single" w:color="auto" w:sz="4" w:space="0"/>
              <w:left w:val="single" w:color="auto" w:sz="4" w:space="0"/>
              <w:bottom w:val="single" w:color="auto" w:sz="4" w:space="0"/>
              <w:right w:val="single" w:color="auto" w:sz="4" w:space="0"/>
            </w:tcBorders>
          </w:tcPr>
          <w:p w14:paraId="0AFE792F">
            <w:pPr>
              <w:jc w:val="right"/>
            </w:pPr>
          </w:p>
        </w:tc>
      </w:tr>
      <w:tr w14:paraId="35751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2A6CF0D1">
            <w:r>
              <w:t>成都吉利汽车制造有限公司</w:t>
            </w:r>
          </w:p>
        </w:tc>
        <w:tc>
          <w:tcPr>
            <w:tcW w:w="870" w:type="pct"/>
            <w:tcBorders>
              <w:top w:val="single" w:color="auto" w:sz="4" w:space="0"/>
              <w:left w:val="single" w:color="auto" w:sz="4" w:space="0"/>
              <w:bottom w:val="single" w:color="auto" w:sz="4" w:space="0"/>
              <w:right w:val="single" w:color="auto" w:sz="4" w:space="0"/>
            </w:tcBorders>
          </w:tcPr>
          <w:p w14:paraId="305F50C0">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53A9B2E3">
            <w:pPr>
              <w:jc w:val="right"/>
            </w:pPr>
          </w:p>
        </w:tc>
        <w:tc>
          <w:tcPr>
            <w:tcW w:w="1129" w:type="pct"/>
            <w:tcBorders>
              <w:top w:val="single" w:color="auto" w:sz="4" w:space="0"/>
              <w:left w:val="single" w:color="auto" w:sz="4" w:space="0"/>
              <w:bottom w:val="single" w:color="auto" w:sz="4" w:space="0"/>
              <w:right w:val="single" w:color="auto" w:sz="4" w:space="0"/>
            </w:tcBorders>
          </w:tcPr>
          <w:p w14:paraId="30407FD7">
            <w:pPr>
              <w:jc w:val="right"/>
            </w:pPr>
            <w:r>
              <w:t>230,390.03</w:t>
            </w:r>
          </w:p>
        </w:tc>
      </w:tr>
      <w:tr w14:paraId="753CE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83E6A78">
            <w:r>
              <w:t>广西百矿铝业有限公司</w:t>
            </w:r>
          </w:p>
        </w:tc>
        <w:tc>
          <w:tcPr>
            <w:tcW w:w="870" w:type="pct"/>
            <w:tcBorders>
              <w:top w:val="single" w:color="auto" w:sz="4" w:space="0"/>
              <w:left w:val="single" w:color="auto" w:sz="4" w:space="0"/>
              <w:bottom w:val="single" w:color="auto" w:sz="4" w:space="0"/>
              <w:right w:val="single" w:color="auto" w:sz="4" w:space="0"/>
            </w:tcBorders>
          </w:tcPr>
          <w:p w14:paraId="3D876E36">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0F9BE7AF">
            <w:pPr>
              <w:jc w:val="right"/>
            </w:pPr>
          </w:p>
        </w:tc>
        <w:tc>
          <w:tcPr>
            <w:tcW w:w="1129" w:type="pct"/>
            <w:tcBorders>
              <w:top w:val="single" w:color="auto" w:sz="4" w:space="0"/>
              <w:left w:val="single" w:color="auto" w:sz="4" w:space="0"/>
              <w:bottom w:val="single" w:color="auto" w:sz="4" w:space="0"/>
              <w:right w:val="single" w:color="auto" w:sz="4" w:space="0"/>
            </w:tcBorders>
          </w:tcPr>
          <w:p w14:paraId="6B13E4C9">
            <w:pPr>
              <w:jc w:val="right"/>
            </w:pPr>
            <w:r>
              <w:t>52,620.00</w:t>
            </w:r>
          </w:p>
        </w:tc>
      </w:tr>
      <w:tr w14:paraId="1A229B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3C60197F">
            <w:r>
              <w:t>广西德保百矿发电有限公司</w:t>
            </w:r>
          </w:p>
        </w:tc>
        <w:tc>
          <w:tcPr>
            <w:tcW w:w="870" w:type="pct"/>
            <w:tcBorders>
              <w:top w:val="single" w:color="auto" w:sz="4" w:space="0"/>
              <w:left w:val="single" w:color="auto" w:sz="4" w:space="0"/>
              <w:bottom w:val="single" w:color="auto" w:sz="4" w:space="0"/>
              <w:right w:val="single" w:color="auto" w:sz="4" w:space="0"/>
            </w:tcBorders>
          </w:tcPr>
          <w:p w14:paraId="4DBEDE66">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2E66D0EA">
            <w:pPr>
              <w:jc w:val="right"/>
            </w:pPr>
          </w:p>
        </w:tc>
        <w:tc>
          <w:tcPr>
            <w:tcW w:w="1129" w:type="pct"/>
            <w:tcBorders>
              <w:top w:val="single" w:color="auto" w:sz="4" w:space="0"/>
              <w:left w:val="single" w:color="auto" w:sz="4" w:space="0"/>
              <w:bottom w:val="single" w:color="auto" w:sz="4" w:space="0"/>
              <w:right w:val="single" w:color="auto" w:sz="4" w:space="0"/>
            </w:tcBorders>
          </w:tcPr>
          <w:p w14:paraId="39695D07">
            <w:pPr>
              <w:jc w:val="right"/>
            </w:pPr>
            <w:r>
              <w:t>83,690.00</w:t>
            </w:r>
          </w:p>
        </w:tc>
      </w:tr>
      <w:tr w14:paraId="5F6A99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3CC695C5">
            <w:r>
              <w:t>广西德保百矿铝业有限公司</w:t>
            </w:r>
          </w:p>
        </w:tc>
        <w:tc>
          <w:tcPr>
            <w:tcW w:w="870" w:type="pct"/>
            <w:tcBorders>
              <w:top w:val="single" w:color="auto" w:sz="4" w:space="0"/>
              <w:left w:val="single" w:color="auto" w:sz="4" w:space="0"/>
              <w:bottom w:val="single" w:color="auto" w:sz="4" w:space="0"/>
              <w:right w:val="single" w:color="auto" w:sz="4" w:space="0"/>
            </w:tcBorders>
          </w:tcPr>
          <w:p w14:paraId="296C7924">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417013FF">
            <w:pPr>
              <w:jc w:val="right"/>
            </w:pPr>
          </w:p>
        </w:tc>
        <w:tc>
          <w:tcPr>
            <w:tcW w:w="1129" w:type="pct"/>
            <w:tcBorders>
              <w:top w:val="single" w:color="auto" w:sz="4" w:space="0"/>
              <w:left w:val="single" w:color="auto" w:sz="4" w:space="0"/>
              <w:bottom w:val="single" w:color="auto" w:sz="4" w:space="0"/>
              <w:right w:val="single" w:color="auto" w:sz="4" w:space="0"/>
            </w:tcBorders>
          </w:tcPr>
          <w:p w14:paraId="03BC0724">
            <w:pPr>
              <w:jc w:val="right"/>
            </w:pPr>
            <w:r>
              <w:t>16,500.00</w:t>
            </w:r>
          </w:p>
        </w:tc>
      </w:tr>
      <w:tr w14:paraId="089433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17A160D0">
            <w:r>
              <w:t>广西田林百矿铝业有限公司</w:t>
            </w:r>
          </w:p>
        </w:tc>
        <w:tc>
          <w:tcPr>
            <w:tcW w:w="870" w:type="pct"/>
            <w:tcBorders>
              <w:top w:val="single" w:color="auto" w:sz="4" w:space="0"/>
              <w:left w:val="single" w:color="auto" w:sz="4" w:space="0"/>
              <w:bottom w:val="single" w:color="auto" w:sz="4" w:space="0"/>
              <w:right w:val="single" w:color="auto" w:sz="4" w:space="0"/>
            </w:tcBorders>
          </w:tcPr>
          <w:p w14:paraId="250BDB5D">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52EB436B">
            <w:pPr>
              <w:jc w:val="right"/>
            </w:pPr>
          </w:p>
        </w:tc>
        <w:tc>
          <w:tcPr>
            <w:tcW w:w="1129" w:type="pct"/>
            <w:tcBorders>
              <w:top w:val="single" w:color="auto" w:sz="4" w:space="0"/>
              <w:left w:val="single" w:color="auto" w:sz="4" w:space="0"/>
              <w:bottom w:val="single" w:color="auto" w:sz="4" w:space="0"/>
              <w:right w:val="single" w:color="auto" w:sz="4" w:space="0"/>
            </w:tcBorders>
          </w:tcPr>
          <w:p w14:paraId="26864866">
            <w:pPr>
              <w:jc w:val="right"/>
            </w:pPr>
            <w:r>
              <w:t>83,690.00</w:t>
            </w:r>
          </w:p>
        </w:tc>
      </w:tr>
      <w:tr w14:paraId="3D43A9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38864D58">
            <w:r>
              <w:t>杭州吉利易云科技有限公司</w:t>
            </w:r>
          </w:p>
        </w:tc>
        <w:tc>
          <w:tcPr>
            <w:tcW w:w="870" w:type="pct"/>
            <w:tcBorders>
              <w:top w:val="single" w:color="auto" w:sz="4" w:space="0"/>
              <w:left w:val="single" w:color="auto" w:sz="4" w:space="0"/>
              <w:bottom w:val="single" w:color="auto" w:sz="4" w:space="0"/>
              <w:right w:val="single" w:color="auto" w:sz="4" w:space="0"/>
            </w:tcBorders>
          </w:tcPr>
          <w:p w14:paraId="1351F3E6">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4A068A9B">
            <w:pPr>
              <w:jc w:val="right"/>
            </w:pPr>
          </w:p>
        </w:tc>
        <w:tc>
          <w:tcPr>
            <w:tcW w:w="1129" w:type="pct"/>
            <w:tcBorders>
              <w:top w:val="single" w:color="auto" w:sz="4" w:space="0"/>
              <w:left w:val="single" w:color="auto" w:sz="4" w:space="0"/>
              <w:bottom w:val="single" w:color="auto" w:sz="4" w:space="0"/>
              <w:right w:val="single" w:color="auto" w:sz="4" w:space="0"/>
            </w:tcBorders>
          </w:tcPr>
          <w:p w14:paraId="78004428">
            <w:pPr>
              <w:jc w:val="right"/>
            </w:pPr>
            <w:r>
              <w:t>6,460.63</w:t>
            </w:r>
          </w:p>
        </w:tc>
      </w:tr>
      <w:tr w14:paraId="685E6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7C27856">
            <w:r>
              <w:t>领克汽车科技（宁波梅山保税港区）有限公司</w:t>
            </w:r>
          </w:p>
        </w:tc>
        <w:tc>
          <w:tcPr>
            <w:tcW w:w="870" w:type="pct"/>
            <w:tcBorders>
              <w:top w:val="single" w:color="auto" w:sz="4" w:space="0"/>
              <w:left w:val="single" w:color="auto" w:sz="4" w:space="0"/>
              <w:bottom w:val="single" w:color="auto" w:sz="4" w:space="0"/>
              <w:right w:val="single" w:color="auto" w:sz="4" w:space="0"/>
            </w:tcBorders>
          </w:tcPr>
          <w:p w14:paraId="2A8F7022">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5BCD899D">
            <w:pPr>
              <w:jc w:val="right"/>
            </w:pPr>
          </w:p>
        </w:tc>
        <w:tc>
          <w:tcPr>
            <w:tcW w:w="1129" w:type="pct"/>
            <w:tcBorders>
              <w:top w:val="single" w:color="auto" w:sz="4" w:space="0"/>
              <w:left w:val="single" w:color="auto" w:sz="4" w:space="0"/>
              <w:bottom w:val="single" w:color="auto" w:sz="4" w:space="0"/>
              <w:right w:val="single" w:color="auto" w:sz="4" w:space="0"/>
            </w:tcBorders>
          </w:tcPr>
          <w:p w14:paraId="77252DE3">
            <w:pPr>
              <w:jc w:val="right"/>
            </w:pPr>
            <w:r>
              <w:t>2,660.78</w:t>
            </w:r>
          </w:p>
        </w:tc>
      </w:tr>
      <w:tr w14:paraId="22E6E3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0883EC21">
            <w:r>
              <w:t>领克投资有限公司</w:t>
            </w:r>
          </w:p>
        </w:tc>
        <w:tc>
          <w:tcPr>
            <w:tcW w:w="870" w:type="pct"/>
            <w:tcBorders>
              <w:top w:val="single" w:color="auto" w:sz="4" w:space="0"/>
              <w:left w:val="single" w:color="auto" w:sz="4" w:space="0"/>
              <w:bottom w:val="single" w:color="auto" w:sz="4" w:space="0"/>
              <w:right w:val="single" w:color="auto" w:sz="4" w:space="0"/>
            </w:tcBorders>
          </w:tcPr>
          <w:p w14:paraId="48065E8B">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3765C8F2">
            <w:pPr>
              <w:jc w:val="right"/>
            </w:pPr>
          </w:p>
        </w:tc>
        <w:tc>
          <w:tcPr>
            <w:tcW w:w="1129" w:type="pct"/>
            <w:tcBorders>
              <w:top w:val="single" w:color="auto" w:sz="4" w:space="0"/>
              <w:left w:val="single" w:color="auto" w:sz="4" w:space="0"/>
              <w:bottom w:val="single" w:color="auto" w:sz="4" w:space="0"/>
              <w:right w:val="single" w:color="auto" w:sz="4" w:space="0"/>
            </w:tcBorders>
          </w:tcPr>
          <w:p w14:paraId="56DACC92">
            <w:pPr>
              <w:jc w:val="right"/>
            </w:pPr>
            <w:r>
              <w:t>5,647.04</w:t>
            </w:r>
          </w:p>
        </w:tc>
      </w:tr>
      <w:tr w14:paraId="31827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0E9FF276">
            <w:r>
              <w:t>宁波吉润汽车部件有限公司</w:t>
            </w:r>
          </w:p>
        </w:tc>
        <w:tc>
          <w:tcPr>
            <w:tcW w:w="870" w:type="pct"/>
            <w:tcBorders>
              <w:top w:val="single" w:color="auto" w:sz="4" w:space="0"/>
              <w:left w:val="single" w:color="auto" w:sz="4" w:space="0"/>
              <w:bottom w:val="single" w:color="auto" w:sz="4" w:space="0"/>
              <w:right w:val="single" w:color="auto" w:sz="4" w:space="0"/>
            </w:tcBorders>
          </w:tcPr>
          <w:p w14:paraId="292562D3">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1A4CF6D8">
            <w:pPr>
              <w:jc w:val="right"/>
            </w:pPr>
          </w:p>
        </w:tc>
        <w:tc>
          <w:tcPr>
            <w:tcW w:w="1129" w:type="pct"/>
            <w:tcBorders>
              <w:top w:val="single" w:color="auto" w:sz="4" w:space="0"/>
              <w:left w:val="single" w:color="auto" w:sz="4" w:space="0"/>
              <w:bottom w:val="single" w:color="auto" w:sz="4" w:space="0"/>
              <w:right w:val="single" w:color="auto" w:sz="4" w:space="0"/>
            </w:tcBorders>
          </w:tcPr>
          <w:p w14:paraId="15A68D2B">
            <w:pPr>
              <w:jc w:val="right"/>
            </w:pPr>
            <w:r>
              <w:t>37,415.08</w:t>
            </w:r>
          </w:p>
        </w:tc>
      </w:tr>
      <w:tr w14:paraId="62EF06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74FB6D3D">
            <w:r>
              <w:t>浙江枫盛汽车销售有限公司</w:t>
            </w:r>
          </w:p>
        </w:tc>
        <w:tc>
          <w:tcPr>
            <w:tcW w:w="870" w:type="pct"/>
            <w:tcBorders>
              <w:top w:val="single" w:color="auto" w:sz="4" w:space="0"/>
              <w:left w:val="single" w:color="auto" w:sz="4" w:space="0"/>
              <w:bottom w:val="single" w:color="auto" w:sz="4" w:space="0"/>
              <w:right w:val="single" w:color="auto" w:sz="4" w:space="0"/>
            </w:tcBorders>
          </w:tcPr>
          <w:p w14:paraId="6C9AAA67">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04882B55">
            <w:pPr>
              <w:jc w:val="right"/>
            </w:pPr>
          </w:p>
        </w:tc>
        <w:tc>
          <w:tcPr>
            <w:tcW w:w="1129" w:type="pct"/>
            <w:tcBorders>
              <w:top w:val="single" w:color="auto" w:sz="4" w:space="0"/>
              <w:left w:val="single" w:color="auto" w:sz="4" w:space="0"/>
              <w:bottom w:val="single" w:color="auto" w:sz="4" w:space="0"/>
              <w:right w:val="single" w:color="auto" w:sz="4" w:space="0"/>
            </w:tcBorders>
          </w:tcPr>
          <w:p w14:paraId="76F2FD5E">
            <w:pPr>
              <w:jc w:val="right"/>
            </w:pPr>
            <w:r>
              <w:t>21,439.08</w:t>
            </w:r>
          </w:p>
        </w:tc>
      </w:tr>
      <w:tr w14:paraId="6E1E01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06E384B8">
            <w:r>
              <w:t>浙江吉利控股集团汽车销售有限公司</w:t>
            </w:r>
          </w:p>
        </w:tc>
        <w:tc>
          <w:tcPr>
            <w:tcW w:w="870" w:type="pct"/>
            <w:tcBorders>
              <w:top w:val="single" w:color="auto" w:sz="4" w:space="0"/>
              <w:left w:val="single" w:color="auto" w:sz="4" w:space="0"/>
              <w:bottom w:val="single" w:color="auto" w:sz="4" w:space="0"/>
              <w:right w:val="single" w:color="auto" w:sz="4" w:space="0"/>
            </w:tcBorders>
          </w:tcPr>
          <w:p w14:paraId="61672F74">
            <w:pPr>
              <w:jc w:val="center"/>
            </w:pPr>
            <w:r>
              <w:t>固定资产</w:t>
            </w:r>
          </w:p>
        </w:tc>
        <w:tc>
          <w:tcPr>
            <w:tcW w:w="1027" w:type="pct"/>
            <w:tcBorders>
              <w:top w:val="single" w:color="auto" w:sz="4" w:space="0"/>
              <w:left w:val="single" w:color="auto" w:sz="4" w:space="0"/>
              <w:bottom w:val="single" w:color="auto" w:sz="4" w:space="0"/>
              <w:right w:val="single" w:color="auto" w:sz="4" w:space="0"/>
            </w:tcBorders>
          </w:tcPr>
          <w:p w14:paraId="4E946036">
            <w:pPr>
              <w:jc w:val="right"/>
            </w:pPr>
          </w:p>
        </w:tc>
        <w:tc>
          <w:tcPr>
            <w:tcW w:w="1129" w:type="pct"/>
            <w:tcBorders>
              <w:top w:val="single" w:color="auto" w:sz="4" w:space="0"/>
              <w:left w:val="single" w:color="auto" w:sz="4" w:space="0"/>
              <w:bottom w:val="single" w:color="auto" w:sz="4" w:space="0"/>
              <w:right w:val="single" w:color="auto" w:sz="4" w:space="0"/>
            </w:tcBorders>
          </w:tcPr>
          <w:p w14:paraId="2D3BE71D">
            <w:pPr>
              <w:jc w:val="right"/>
            </w:pPr>
            <w:r>
              <w:t>50,445.69</w:t>
            </w:r>
          </w:p>
        </w:tc>
      </w:tr>
      <w:tr w14:paraId="37A81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1037ED24">
            <w:r>
              <w:t>浙江吉润汽车有限公司</w:t>
            </w:r>
          </w:p>
        </w:tc>
        <w:tc>
          <w:tcPr>
            <w:tcW w:w="870" w:type="pct"/>
            <w:tcBorders>
              <w:top w:val="single" w:color="auto" w:sz="4" w:space="0"/>
              <w:left w:val="single" w:color="auto" w:sz="4" w:space="0"/>
              <w:bottom w:val="single" w:color="auto" w:sz="4" w:space="0"/>
              <w:right w:val="single" w:color="auto" w:sz="4" w:space="0"/>
            </w:tcBorders>
          </w:tcPr>
          <w:p w14:paraId="4C9145A2">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7C294398">
            <w:pPr>
              <w:jc w:val="right"/>
            </w:pPr>
          </w:p>
        </w:tc>
        <w:tc>
          <w:tcPr>
            <w:tcW w:w="1129" w:type="pct"/>
            <w:tcBorders>
              <w:top w:val="single" w:color="auto" w:sz="4" w:space="0"/>
              <w:left w:val="single" w:color="auto" w:sz="4" w:space="0"/>
              <w:bottom w:val="single" w:color="auto" w:sz="4" w:space="0"/>
              <w:right w:val="single" w:color="auto" w:sz="4" w:space="0"/>
            </w:tcBorders>
          </w:tcPr>
          <w:p w14:paraId="56132610">
            <w:pPr>
              <w:jc w:val="right"/>
            </w:pPr>
            <w:r>
              <w:t>63,362.89</w:t>
            </w:r>
          </w:p>
        </w:tc>
      </w:tr>
      <w:tr w14:paraId="4D2F93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46F23C64">
            <w:r>
              <w:t>浙江吉速供应链管理有限公司</w:t>
            </w:r>
          </w:p>
        </w:tc>
        <w:tc>
          <w:tcPr>
            <w:tcW w:w="870" w:type="pct"/>
            <w:tcBorders>
              <w:top w:val="single" w:color="auto" w:sz="4" w:space="0"/>
              <w:left w:val="single" w:color="auto" w:sz="4" w:space="0"/>
              <w:bottom w:val="single" w:color="auto" w:sz="4" w:space="0"/>
              <w:right w:val="single" w:color="auto" w:sz="4" w:space="0"/>
            </w:tcBorders>
          </w:tcPr>
          <w:p w14:paraId="56039248">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620FB8B5">
            <w:pPr>
              <w:jc w:val="right"/>
            </w:pPr>
          </w:p>
        </w:tc>
        <w:tc>
          <w:tcPr>
            <w:tcW w:w="1129" w:type="pct"/>
            <w:tcBorders>
              <w:top w:val="single" w:color="auto" w:sz="4" w:space="0"/>
              <w:left w:val="single" w:color="auto" w:sz="4" w:space="0"/>
              <w:bottom w:val="single" w:color="auto" w:sz="4" w:space="0"/>
              <w:right w:val="single" w:color="auto" w:sz="4" w:space="0"/>
            </w:tcBorders>
          </w:tcPr>
          <w:p w14:paraId="102DEED1">
            <w:pPr>
              <w:jc w:val="right"/>
            </w:pPr>
            <w:r>
              <w:t>497.30</w:t>
            </w:r>
          </w:p>
        </w:tc>
      </w:tr>
      <w:tr w14:paraId="002CB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3538A694">
            <w:r>
              <w:t>浙江吉智新能源汽车科技有限公司</w:t>
            </w:r>
          </w:p>
        </w:tc>
        <w:tc>
          <w:tcPr>
            <w:tcW w:w="870" w:type="pct"/>
            <w:tcBorders>
              <w:top w:val="single" w:color="auto" w:sz="4" w:space="0"/>
              <w:left w:val="single" w:color="auto" w:sz="4" w:space="0"/>
              <w:bottom w:val="single" w:color="auto" w:sz="4" w:space="0"/>
              <w:right w:val="single" w:color="auto" w:sz="4" w:space="0"/>
            </w:tcBorders>
          </w:tcPr>
          <w:p w14:paraId="595B42A6">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1D18ADB4">
            <w:pPr>
              <w:jc w:val="right"/>
            </w:pPr>
          </w:p>
        </w:tc>
        <w:tc>
          <w:tcPr>
            <w:tcW w:w="1129" w:type="pct"/>
            <w:tcBorders>
              <w:top w:val="single" w:color="auto" w:sz="4" w:space="0"/>
              <w:left w:val="single" w:color="auto" w:sz="4" w:space="0"/>
              <w:bottom w:val="single" w:color="auto" w:sz="4" w:space="0"/>
              <w:right w:val="single" w:color="auto" w:sz="4" w:space="0"/>
            </w:tcBorders>
          </w:tcPr>
          <w:p w14:paraId="56CC8C3C">
            <w:pPr>
              <w:jc w:val="right"/>
            </w:pPr>
            <w:r>
              <w:t>69,258.42</w:t>
            </w:r>
          </w:p>
        </w:tc>
      </w:tr>
      <w:tr w14:paraId="5999B3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4F41B6E2">
            <w:r>
              <w:t>浙江吉智新能源汽车科技有限公司</w:t>
            </w:r>
          </w:p>
        </w:tc>
        <w:tc>
          <w:tcPr>
            <w:tcW w:w="870" w:type="pct"/>
            <w:tcBorders>
              <w:top w:val="single" w:color="auto" w:sz="4" w:space="0"/>
              <w:left w:val="single" w:color="auto" w:sz="4" w:space="0"/>
              <w:bottom w:val="single" w:color="auto" w:sz="4" w:space="0"/>
              <w:right w:val="single" w:color="auto" w:sz="4" w:space="0"/>
            </w:tcBorders>
          </w:tcPr>
          <w:p w14:paraId="2711EA2D">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75517BB0">
            <w:pPr>
              <w:jc w:val="right"/>
            </w:pPr>
          </w:p>
        </w:tc>
        <w:tc>
          <w:tcPr>
            <w:tcW w:w="1129" w:type="pct"/>
            <w:tcBorders>
              <w:top w:val="single" w:color="auto" w:sz="4" w:space="0"/>
              <w:left w:val="single" w:color="auto" w:sz="4" w:space="0"/>
              <w:bottom w:val="single" w:color="auto" w:sz="4" w:space="0"/>
              <w:right w:val="single" w:color="auto" w:sz="4" w:space="0"/>
            </w:tcBorders>
          </w:tcPr>
          <w:p w14:paraId="520309BF">
            <w:pPr>
              <w:jc w:val="right"/>
            </w:pPr>
            <w:r>
              <w:t>176,285.03</w:t>
            </w:r>
          </w:p>
        </w:tc>
      </w:tr>
      <w:tr w14:paraId="50FA44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787A1BE1">
            <w:r>
              <w:t>浙江陆虎汽车有限公司</w:t>
            </w:r>
          </w:p>
        </w:tc>
        <w:tc>
          <w:tcPr>
            <w:tcW w:w="870" w:type="pct"/>
            <w:tcBorders>
              <w:top w:val="single" w:color="auto" w:sz="4" w:space="0"/>
              <w:left w:val="single" w:color="auto" w:sz="4" w:space="0"/>
              <w:bottom w:val="single" w:color="auto" w:sz="4" w:space="0"/>
              <w:right w:val="single" w:color="auto" w:sz="4" w:space="0"/>
            </w:tcBorders>
          </w:tcPr>
          <w:p w14:paraId="7F8C8297">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4C7AE4CC">
            <w:pPr>
              <w:jc w:val="right"/>
            </w:pPr>
          </w:p>
        </w:tc>
        <w:tc>
          <w:tcPr>
            <w:tcW w:w="1129" w:type="pct"/>
            <w:tcBorders>
              <w:top w:val="single" w:color="auto" w:sz="4" w:space="0"/>
              <w:left w:val="single" w:color="auto" w:sz="4" w:space="0"/>
              <w:bottom w:val="single" w:color="auto" w:sz="4" w:space="0"/>
              <w:right w:val="single" w:color="auto" w:sz="4" w:space="0"/>
            </w:tcBorders>
          </w:tcPr>
          <w:p w14:paraId="21A84F63">
            <w:pPr>
              <w:jc w:val="right"/>
            </w:pPr>
            <w:r>
              <w:t>6,795.74</w:t>
            </w:r>
          </w:p>
        </w:tc>
      </w:tr>
      <w:tr w14:paraId="11285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2C1B5F25">
            <w:r>
              <w:t>浙江铭岛实业有限公司</w:t>
            </w:r>
          </w:p>
        </w:tc>
        <w:tc>
          <w:tcPr>
            <w:tcW w:w="870" w:type="pct"/>
            <w:tcBorders>
              <w:top w:val="single" w:color="auto" w:sz="4" w:space="0"/>
              <w:left w:val="single" w:color="auto" w:sz="4" w:space="0"/>
              <w:bottom w:val="single" w:color="auto" w:sz="4" w:space="0"/>
              <w:right w:val="single" w:color="auto" w:sz="4" w:space="0"/>
            </w:tcBorders>
          </w:tcPr>
          <w:p w14:paraId="311DDD1E">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61B89719">
            <w:pPr>
              <w:jc w:val="right"/>
            </w:pPr>
          </w:p>
        </w:tc>
        <w:tc>
          <w:tcPr>
            <w:tcW w:w="1129" w:type="pct"/>
            <w:tcBorders>
              <w:top w:val="single" w:color="auto" w:sz="4" w:space="0"/>
              <w:left w:val="single" w:color="auto" w:sz="4" w:space="0"/>
              <w:bottom w:val="single" w:color="auto" w:sz="4" w:space="0"/>
              <w:right w:val="single" w:color="auto" w:sz="4" w:space="0"/>
            </w:tcBorders>
          </w:tcPr>
          <w:p w14:paraId="018973B3">
            <w:pPr>
              <w:jc w:val="right"/>
            </w:pPr>
            <w:r>
              <w:t>21,078.59</w:t>
            </w:r>
          </w:p>
        </w:tc>
      </w:tr>
      <w:tr w14:paraId="4A3225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53968F80">
            <w:r>
              <w:t>浙江远程商用车研发有限公司</w:t>
            </w:r>
          </w:p>
        </w:tc>
        <w:tc>
          <w:tcPr>
            <w:tcW w:w="870" w:type="pct"/>
            <w:tcBorders>
              <w:top w:val="single" w:color="auto" w:sz="4" w:space="0"/>
              <w:left w:val="single" w:color="auto" w:sz="4" w:space="0"/>
              <w:bottom w:val="single" w:color="auto" w:sz="4" w:space="0"/>
              <w:right w:val="single" w:color="auto" w:sz="4" w:space="0"/>
            </w:tcBorders>
          </w:tcPr>
          <w:p w14:paraId="520BFA1A">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30869C73">
            <w:pPr>
              <w:jc w:val="right"/>
            </w:pPr>
          </w:p>
        </w:tc>
        <w:tc>
          <w:tcPr>
            <w:tcW w:w="1129" w:type="pct"/>
            <w:tcBorders>
              <w:top w:val="single" w:color="auto" w:sz="4" w:space="0"/>
              <w:left w:val="single" w:color="auto" w:sz="4" w:space="0"/>
              <w:bottom w:val="single" w:color="auto" w:sz="4" w:space="0"/>
              <w:right w:val="single" w:color="auto" w:sz="4" w:space="0"/>
            </w:tcBorders>
          </w:tcPr>
          <w:p w14:paraId="372CBBEC">
            <w:pPr>
              <w:jc w:val="right"/>
            </w:pPr>
            <w:r>
              <w:t>96,974.20</w:t>
            </w:r>
          </w:p>
        </w:tc>
      </w:tr>
      <w:tr w14:paraId="632711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00E4C83E">
            <w:r>
              <w:t>浙江远程智能交通技术有限公司</w:t>
            </w:r>
          </w:p>
        </w:tc>
        <w:tc>
          <w:tcPr>
            <w:tcW w:w="870" w:type="pct"/>
            <w:tcBorders>
              <w:top w:val="single" w:color="auto" w:sz="4" w:space="0"/>
              <w:left w:val="single" w:color="auto" w:sz="4" w:space="0"/>
              <w:bottom w:val="single" w:color="auto" w:sz="4" w:space="0"/>
              <w:right w:val="single" w:color="auto" w:sz="4" w:space="0"/>
            </w:tcBorders>
          </w:tcPr>
          <w:p w14:paraId="63E2A446">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08C502A7">
            <w:pPr>
              <w:jc w:val="right"/>
            </w:pPr>
          </w:p>
        </w:tc>
        <w:tc>
          <w:tcPr>
            <w:tcW w:w="1129" w:type="pct"/>
            <w:tcBorders>
              <w:top w:val="single" w:color="auto" w:sz="4" w:space="0"/>
              <w:left w:val="single" w:color="auto" w:sz="4" w:space="0"/>
              <w:bottom w:val="single" w:color="auto" w:sz="4" w:space="0"/>
              <w:right w:val="single" w:color="auto" w:sz="4" w:space="0"/>
            </w:tcBorders>
          </w:tcPr>
          <w:p w14:paraId="09036ADB">
            <w:pPr>
              <w:jc w:val="right"/>
            </w:pPr>
            <w:r>
              <w:t>6,795.75</w:t>
            </w:r>
          </w:p>
        </w:tc>
      </w:tr>
      <w:tr w14:paraId="10B35C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6CC9C47B">
            <w:r>
              <w:t>重庆新润商业管理有限公司</w:t>
            </w:r>
          </w:p>
        </w:tc>
        <w:tc>
          <w:tcPr>
            <w:tcW w:w="870" w:type="pct"/>
            <w:tcBorders>
              <w:top w:val="single" w:color="auto" w:sz="4" w:space="0"/>
              <w:left w:val="single" w:color="auto" w:sz="4" w:space="0"/>
              <w:bottom w:val="single" w:color="auto" w:sz="4" w:space="0"/>
              <w:right w:val="single" w:color="auto" w:sz="4" w:space="0"/>
            </w:tcBorders>
          </w:tcPr>
          <w:p w14:paraId="13838F2F">
            <w:pPr>
              <w:jc w:val="center"/>
            </w:pPr>
            <w:r>
              <w:t>提供服务</w:t>
            </w:r>
          </w:p>
        </w:tc>
        <w:tc>
          <w:tcPr>
            <w:tcW w:w="1027" w:type="pct"/>
            <w:tcBorders>
              <w:top w:val="single" w:color="auto" w:sz="4" w:space="0"/>
              <w:left w:val="single" w:color="auto" w:sz="4" w:space="0"/>
              <w:bottom w:val="single" w:color="auto" w:sz="4" w:space="0"/>
              <w:right w:val="single" w:color="auto" w:sz="4" w:space="0"/>
            </w:tcBorders>
          </w:tcPr>
          <w:p w14:paraId="3918B226">
            <w:pPr>
              <w:jc w:val="right"/>
            </w:pPr>
          </w:p>
        </w:tc>
        <w:tc>
          <w:tcPr>
            <w:tcW w:w="1129" w:type="pct"/>
            <w:tcBorders>
              <w:top w:val="single" w:color="auto" w:sz="4" w:space="0"/>
              <w:left w:val="single" w:color="auto" w:sz="4" w:space="0"/>
              <w:bottom w:val="single" w:color="auto" w:sz="4" w:space="0"/>
              <w:right w:val="single" w:color="auto" w:sz="4" w:space="0"/>
            </w:tcBorders>
          </w:tcPr>
          <w:p w14:paraId="03773EDD">
            <w:pPr>
              <w:jc w:val="right"/>
            </w:pPr>
            <w:r>
              <w:t>45,600.00</w:t>
            </w:r>
          </w:p>
        </w:tc>
      </w:tr>
      <w:tr w14:paraId="5BBEA8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4BF85CFA">
            <w:r>
              <w:t>雷达汽车销售（山东）有限公司</w:t>
            </w:r>
          </w:p>
        </w:tc>
        <w:tc>
          <w:tcPr>
            <w:tcW w:w="870" w:type="pct"/>
            <w:tcBorders>
              <w:top w:val="single" w:color="auto" w:sz="4" w:space="0"/>
              <w:left w:val="single" w:color="auto" w:sz="4" w:space="0"/>
              <w:bottom w:val="single" w:color="auto" w:sz="4" w:space="0"/>
              <w:right w:val="single" w:color="auto" w:sz="4" w:space="0"/>
            </w:tcBorders>
          </w:tcPr>
          <w:p w14:paraId="1213B8C4">
            <w:pPr>
              <w:jc w:val="center"/>
            </w:pPr>
            <w:r>
              <w:t>销售商品</w:t>
            </w:r>
          </w:p>
        </w:tc>
        <w:tc>
          <w:tcPr>
            <w:tcW w:w="1027" w:type="pct"/>
            <w:tcBorders>
              <w:top w:val="single" w:color="auto" w:sz="4" w:space="0"/>
              <w:left w:val="single" w:color="auto" w:sz="4" w:space="0"/>
              <w:bottom w:val="single" w:color="auto" w:sz="4" w:space="0"/>
              <w:right w:val="single" w:color="auto" w:sz="4" w:space="0"/>
            </w:tcBorders>
          </w:tcPr>
          <w:p w14:paraId="19A3F7CB">
            <w:pPr>
              <w:jc w:val="right"/>
            </w:pPr>
          </w:p>
        </w:tc>
        <w:tc>
          <w:tcPr>
            <w:tcW w:w="1129" w:type="pct"/>
            <w:tcBorders>
              <w:top w:val="single" w:color="auto" w:sz="4" w:space="0"/>
              <w:left w:val="single" w:color="auto" w:sz="4" w:space="0"/>
              <w:bottom w:val="single" w:color="auto" w:sz="4" w:space="0"/>
              <w:right w:val="single" w:color="auto" w:sz="4" w:space="0"/>
            </w:tcBorders>
          </w:tcPr>
          <w:p w14:paraId="4265F040">
            <w:pPr>
              <w:jc w:val="right"/>
            </w:pPr>
            <w:r>
              <w:t>20,500.00</w:t>
            </w:r>
          </w:p>
        </w:tc>
      </w:tr>
      <w:tr w14:paraId="0E8555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974" w:type="pct"/>
            <w:tcBorders>
              <w:top w:val="single" w:color="auto" w:sz="4" w:space="0"/>
              <w:left w:val="single" w:color="auto" w:sz="4" w:space="0"/>
              <w:bottom w:val="single" w:color="auto" w:sz="4" w:space="0"/>
              <w:right w:val="single" w:color="auto" w:sz="4" w:space="0"/>
            </w:tcBorders>
          </w:tcPr>
          <w:p w14:paraId="3C4D947C">
            <w:pPr>
              <w:jc w:val="center"/>
            </w:pPr>
            <w:r>
              <w:t>合计</w:t>
            </w:r>
          </w:p>
        </w:tc>
        <w:tc>
          <w:tcPr>
            <w:tcW w:w="870" w:type="pct"/>
            <w:tcBorders>
              <w:top w:val="single" w:color="auto" w:sz="4" w:space="0"/>
              <w:left w:val="single" w:color="auto" w:sz="4" w:space="0"/>
              <w:bottom w:val="single" w:color="auto" w:sz="4" w:space="0"/>
              <w:right w:val="single" w:color="auto" w:sz="4" w:space="0"/>
            </w:tcBorders>
          </w:tcPr>
          <w:p w14:paraId="07462255">
            <w:pPr>
              <w:jc w:val="center"/>
            </w:pPr>
          </w:p>
        </w:tc>
        <w:tc>
          <w:tcPr>
            <w:tcW w:w="1027" w:type="pct"/>
            <w:tcBorders>
              <w:top w:val="single" w:color="auto" w:sz="4" w:space="0"/>
              <w:left w:val="single" w:color="auto" w:sz="4" w:space="0"/>
              <w:bottom w:val="single" w:color="auto" w:sz="4" w:space="0"/>
              <w:right w:val="single" w:color="auto" w:sz="4" w:space="0"/>
            </w:tcBorders>
          </w:tcPr>
          <w:p w14:paraId="289FBCB8">
            <w:pPr>
              <w:jc w:val="right"/>
            </w:pPr>
            <w:r>
              <w:t>1,553,604,083.35</w:t>
            </w:r>
          </w:p>
        </w:tc>
        <w:tc>
          <w:tcPr>
            <w:tcW w:w="1129" w:type="pct"/>
            <w:tcBorders>
              <w:top w:val="single" w:color="auto" w:sz="4" w:space="0"/>
              <w:left w:val="single" w:color="auto" w:sz="4" w:space="0"/>
              <w:bottom w:val="single" w:color="auto" w:sz="4" w:space="0"/>
              <w:right w:val="single" w:color="auto" w:sz="4" w:space="0"/>
            </w:tcBorders>
          </w:tcPr>
          <w:p w14:paraId="1317AE45">
            <w:pPr>
              <w:jc w:val="right"/>
            </w:pPr>
            <w:r>
              <w:t>1,239,375,384.03</w:t>
            </w:r>
          </w:p>
        </w:tc>
      </w:tr>
    </w:tbl>
    <w:p w14:paraId="0FC1C78E">
      <w:pPr>
        <w:ind w:right="-775" w:rightChars="-369"/>
      </w:pPr>
    </w:p>
    <w:p w14:paraId="740549D0">
      <w:pP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购销商品、提供和接受劳务的关联交易说明</w:t>
      </w:r>
    </w:p>
    <w:sdt>
      <w:sdtPr>
        <w:rPr>
          <w:rFonts w:cs="Cambria"/>
          <w:color w:val="000000" w:themeColor="text1"/>
          <w14:textFill>
            <w14:solidFill>
              <w14:schemeClr w14:val="tx1"/>
            </w14:solidFill>
          </w14:textFill>
        </w:rPr>
        <w:alias w:val="是否适用：购销商品、提供和接受劳务的关联交易说明[双击切换]"/>
        <w:tag w:val="_GBC_9ec9e1b38e7f48d89bb7f6441bed1bd1"/>
        <w:id w:val="1673681190"/>
        <w:placeholder>
          <w:docPart w:val="GBC22222222222222222222222222222"/>
        </w:placeholder>
      </w:sdtPr>
      <w:sdtEndPr>
        <w:rPr>
          <w:rFonts w:cs="Cambria"/>
          <w:color w:val="000000" w:themeColor="text1"/>
          <w14:textFill>
            <w14:solidFill>
              <w14:schemeClr w14:val="tx1"/>
            </w14:solidFill>
          </w14:textFill>
        </w:rPr>
      </w:sdtEndPr>
      <w:sdtContent>
        <w:p w14:paraId="099C1D6F">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16245DCB">
      <w:pPr>
        <w:rPr>
          <w:rFonts w:cs="Cambria"/>
          <w:color w:val="000000" w:themeColor="text1"/>
          <w14:textFill>
            <w14:solidFill>
              <w14:schemeClr w14:val="tx1"/>
            </w14:solidFill>
          </w14:textFill>
        </w:rPr>
      </w:pPr>
    </w:p>
    <w:p w14:paraId="126CB05B">
      <w:pPr>
        <w:pStyle w:val="5"/>
        <w:numPr>
          <w:ilvl w:val="0"/>
          <w:numId w:val="92"/>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关联受托管理/承包及委托管理/出包情况</w:t>
      </w:r>
    </w:p>
    <w:p w14:paraId="01CFF07B">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本公司受托管理/承包情况表：</w:t>
      </w:r>
    </w:p>
    <w:sdt>
      <w:sdtPr>
        <w:rPr>
          <w:rFonts w:cs="Cambria"/>
          <w:color w:val="000000" w:themeColor="text1"/>
          <w14:textFill>
            <w14:solidFill>
              <w14:schemeClr w14:val="tx1"/>
            </w14:solidFill>
          </w14:textFill>
        </w:rPr>
        <w:alias w:val="是否适用：本公司受托管理或承包情况表[双击切换]"/>
        <w:tag w:val="_GBC_3810b3cad54c4b2f9754e7d6be3e9480"/>
        <w:id w:val="1600827649"/>
        <w:placeholder>
          <w:docPart w:val="GBC22222222222222222222222222222"/>
        </w:placeholder>
      </w:sdtPr>
      <w:sdtEndPr>
        <w:rPr>
          <w:rFonts w:cs="Cambria"/>
          <w:color w:val="000000" w:themeColor="text1"/>
          <w14:textFill>
            <w14:solidFill>
              <w14:schemeClr w14:val="tx1"/>
            </w14:solidFill>
          </w14:textFill>
        </w:rPr>
      </w:sdtEndPr>
      <w:sdtContent>
        <w:p w14:paraId="7E2F9CFC">
          <w:pPr>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03447AFE">
      <w:pPr>
        <w:rPr>
          <w:rFonts w:cs="Cambria"/>
          <w:color w:val="000000" w:themeColor="text1"/>
          <w14:textFill>
            <w14:solidFill>
              <w14:schemeClr w14:val="tx1"/>
            </w14:solidFill>
          </w14:textFill>
        </w:rPr>
      </w:pPr>
    </w:p>
    <w:p w14:paraId="4026FAB4">
      <w:pP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关联托管/承包情况说明</w:t>
      </w:r>
    </w:p>
    <w:sdt>
      <w:sdtPr>
        <w:rPr>
          <w:rFonts w:cs="Cambria"/>
          <w:color w:val="000000" w:themeColor="text1"/>
          <w14:textFill>
            <w14:solidFill>
              <w14:schemeClr w14:val="tx1"/>
            </w14:solidFill>
          </w14:textFill>
        </w:rPr>
        <w:alias w:val="是否适用：关联托管或承包情况说明[双击切换]"/>
        <w:tag w:val="_GBC_42ec6e3170b04610899c528ce7bda003"/>
        <w:id w:val="-602033888"/>
        <w:placeholder>
          <w:docPart w:val="GBC22222222222222222222222222222"/>
        </w:placeholder>
      </w:sdtPr>
      <w:sdtEndPr>
        <w:rPr>
          <w:rFonts w:cs="Cambria"/>
          <w:color w:val="000000" w:themeColor="text1"/>
          <w14:textFill>
            <w14:solidFill>
              <w14:schemeClr w14:val="tx1"/>
            </w14:solidFill>
          </w14:textFill>
        </w:rPr>
      </w:sdtEndPr>
      <w:sdtContent>
        <w:p w14:paraId="66BA1E66">
          <w:pPr>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49B7E82E">
      <w:pPr>
        <w:rPr>
          <w:rFonts w:cs="Cambria"/>
          <w:color w:val="000000" w:themeColor="text1"/>
          <w14:textFill>
            <w14:solidFill>
              <w14:schemeClr w14:val="tx1"/>
            </w14:solidFill>
          </w14:textFill>
        </w:rPr>
      </w:pPr>
    </w:p>
    <w:p w14:paraId="0FE1A114">
      <w:pPr>
        <w:rPr>
          <w:rFonts w:cs="Cambria"/>
          <w:bCs/>
          <w:color w:val="000000" w:themeColor="text1"/>
          <w14:textFill>
            <w14:solidFill>
              <w14:schemeClr w14:val="tx1"/>
            </w14:solidFill>
          </w14:textFill>
        </w:rPr>
      </w:pPr>
      <w:r>
        <w:rPr>
          <w:rFonts w:hint="eastAsia"/>
          <w:color w:val="000000" w:themeColor="text1"/>
          <w14:textFill>
            <w14:solidFill>
              <w14:schemeClr w14:val="tx1"/>
            </w14:solidFill>
          </w14:textFill>
        </w:rPr>
        <w:t>本公司委托管理/出包情况表：</w:t>
      </w:r>
    </w:p>
    <w:sdt>
      <w:sdtPr>
        <w:rPr>
          <w:rFonts w:cs="Cambria"/>
          <w:bCs/>
          <w:color w:val="000000" w:themeColor="text1"/>
          <w14:textFill>
            <w14:solidFill>
              <w14:schemeClr w14:val="tx1"/>
            </w14:solidFill>
          </w14:textFill>
        </w:rPr>
        <w:alias w:val="是否适用：本公司委托管理或出包情况表[双击切换]"/>
        <w:tag w:val="_GBC_37bf111a27194665b76f71bb5418d53c"/>
        <w:id w:val="-1996641195"/>
        <w:placeholder>
          <w:docPart w:val="GBC22222222222222222222222222222"/>
        </w:placeholder>
      </w:sdtPr>
      <w:sdtEndPr>
        <w:rPr>
          <w:rFonts w:cs="Cambria"/>
          <w:bCs/>
          <w:color w:val="000000" w:themeColor="text1"/>
          <w14:textFill>
            <w14:solidFill>
              <w14:schemeClr w14:val="tx1"/>
            </w14:solidFill>
          </w14:textFill>
        </w:rPr>
      </w:sdtEndPr>
      <w:sdtContent>
        <w:p w14:paraId="7D908DEA">
          <w:pPr>
            <w:rPr>
              <w:rFonts w:cs="Cambria"/>
              <w:bCs/>
              <w:color w:val="000000" w:themeColor="text1"/>
              <w14:textFill>
                <w14:solidFill>
                  <w14:schemeClr w14:val="tx1"/>
                </w14:solidFill>
              </w14:textFill>
            </w:rPr>
          </w:pPr>
          <w:r>
            <w:rPr>
              <w:rFonts w:ascii="宋体" w:hAnsi="宋体" w:cs="Cambria"/>
              <w:bCs/>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bCs/>
              <w:color w:val="000000" w:themeColor="text1"/>
              <w14:textFill>
                <w14:solidFill>
                  <w14:schemeClr w14:val="tx1"/>
                </w14:solidFill>
              </w14:textFill>
            </w:rPr>
            <w:fldChar w:fldCharType="end"/>
          </w:r>
          <w:r>
            <w:rPr>
              <w:rFonts w:ascii="宋体" w:hAnsi="宋体" w:cs="Cambria"/>
              <w:bCs/>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bCs/>
              <w:color w:val="000000" w:themeColor="text1"/>
              <w14:textFill>
                <w14:solidFill>
                  <w14:schemeClr w14:val="tx1"/>
                </w14:solidFill>
              </w14:textFill>
            </w:rPr>
            <w:fldChar w:fldCharType="end"/>
          </w:r>
        </w:p>
      </w:sdtContent>
    </w:sdt>
    <w:p w14:paraId="25A3B540">
      <w:pPr>
        <w:rPr>
          <w:rFonts w:cs="Cambria"/>
          <w:bCs/>
          <w:color w:val="000000" w:themeColor="text1"/>
          <w14:textFill>
            <w14:solidFill>
              <w14:schemeClr w14:val="tx1"/>
            </w14:solidFill>
          </w14:textFill>
        </w:rPr>
      </w:pPr>
    </w:p>
    <w:p w14:paraId="25C383B5">
      <w:pPr>
        <w:rPr>
          <w:rFonts w:cs="Cambria"/>
          <w:bCs/>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关联管理/出包情况说明</w:t>
      </w:r>
    </w:p>
    <w:sdt>
      <w:sdtPr>
        <w:rPr>
          <w:rFonts w:cs="Cambria"/>
          <w:bCs/>
          <w:color w:val="000000" w:themeColor="text1"/>
          <w14:textFill>
            <w14:solidFill>
              <w14:schemeClr w14:val="tx1"/>
            </w14:solidFill>
          </w14:textFill>
        </w:rPr>
        <w:alias w:val="是否适用：关联管理或出包情况说明[双击切换]"/>
        <w:tag w:val="_GBC_0b0339c118c542eb8a6e3a68fab8e375"/>
        <w:id w:val="-1550449036"/>
        <w:placeholder>
          <w:docPart w:val="GBC22222222222222222222222222222"/>
        </w:placeholder>
      </w:sdtPr>
      <w:sdtEndPr>
        <w:rPr>
          <w:rFonts w:cs="Cambria"/>
          <w:bCs/>
          <w:color w:val="000000" w:themeColor="text1"/>
          <w14:textFill>
            <w14:solidFill>
              <w14:schemeClr w14:val="tx1"/>
            </w14:solidFill>
          </w14:textFill>
        </w:rPr>
      </w:sdtEndPr>
      <w:sdtContent>
        <w:p w14:paraId="3995010F">
          <w:pPr>
            <w:rPr>
              <w:rFonts w:cs="Cambria"/>
              <w:bCs/>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r>
            <w:rPr>
              <w:rFonts w:ascii="宋体" w:hAnsi="宋体" w:cs="Cambria"/>
              <w:bCs/>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bCs/>
              <w:color w:val="000000" w:themeColor="text1"/>
              <w14:textFill>
                <w14:solidFill>
                  <w14:schemeClr w14:val="tx1"/>
                </w14:solidFill>
              </w14:textFill>
            </w:rPr>
            <w:fldChar w:fldCharType="end"/>
          </w:r>
          <w:r>
            <w:rPr>
              <w:rFonts w:ascii="宋体" w:hAnsi="宋体" w:cs="Cambria"/>
              <w:bCs/>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bCs/>
              <w:color w:val="000000" w:themeColor="text1"/>
              <w14:textFill>
                <w14:solidFill>
                  <w14:schemeClr w14:val="tx1"/>
                </w14:solidFill>
              </w14:textFill>
            </w:rPr>
            <w:fldChar w:fldCharType="end"/>
          </w:r>
        </w:p>
      </w:sdtContent>
    </w:sdt>
    <w:p w14:paraId="46E388F3">
      <w:pPr>
        <w:rPr>
          <w:rFonts w:cs="Cambria"/>
          <w:color w:val="000000" w:themeColor="text1"/>
          <w14:textFill>
            <w14:solidFill>
              <w14:schemeClr w14:val="tx1"/>
            </w14:solidFill>
          </w14:textFill>
        </w:rPr>
      </w:pPr>
    </w:p>
    <w:p w14:paraId="15CF2E04">
      <w:pPr>
        <w:pStyle w:val="5"/>
        <w:numPr>
          <w:ilvl w:val="0"/>
          <w:numId w:val="92"/>
        </w:numPr>
        <w:tabs>
          <w:tab w:val="left" w:pos="616"/>
        </w:tabs>
        <w:rPr>
          <w:rFonts w:ascii="宋体" w:hAnsi="宋体"/>
          <w:color w:val="000000" w:themeColor="text1"/>
          <w14:textFill>
            <w14:solidFill>
              <w14:schemeClr w14:val="tx1"/>
            </w14:solidFill>
          </w14:textFill>
        </w:rPr>
      </w:pPr>
      <w:bookmarkStart w:id="373" w:name="_Hlk105747475"/>
      <w:r>
        <w:rPr>
          <w:rFonts w:hint="eastAsia" w:ascii="宋体" w:hAnsi="宋体"/>
          <w:color w:val="000000" w:themeColor="text1"/>
          <w14:textFill>
            <w14:solidFill>
              <w14:schemeClr w14:val="tx1"/>
            </w14:solidFill>
          </w14:textFill>
        </w:rPr>
        <w:t>关联租赁情况</w:t>
      </w:r>
    </w:p>
    <w:p w14:paraId="2FF674A3">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本公司作为出租方：</w:t>
      </w:r>
    </w:p>
    <w:p w14:paraId="13BCA513">
      <w:sdt>
        <w:sdtPr>
          <w:rPr>
            <w:color w:val="000000" w:themeColor="text1"/>
            <w14:textFill>
              <w14:solidFill>
                <w14:schemeClr w14:val="tx1"/>
              </w14:solidFill>
            </w14:textFill>
          </w:rPr>
          <w:alias w:val="是否适用：本公司作为出租方的租赁情况表[双击切换]"/>
          <w:tag w:val="_GBC_f12cb8266cbd482b93c6a4bba1b05fb7"/>
          <w:id w:val="-738333403"/>
          <w:placeholder>
            <w:docPart w:val="GBC22222222222222222222222222222"/>
          </w:placeholder>
        </w:sdtPr>
        <w:sdtEndPr>
          <w:rPr>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76B59274">
      <w:pPr>
        <w:ind w:right="84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关联租赁情况"/>
          <w:tag w:val="_GBC_b6ac4f0274e84bf2bac59898fb55e11d"/>
          <w:id w:val="4865930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关联租赁情况"/>
          <w:tag w:val="_GBC_268dafb121cf40fdbb2bbe55df2badf0"/>
          <w:id w:val="8782120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46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4311"/>
        <w:gridCol w:w="2301"/>
        <w:gridCol w:w="3024"/>
        <w:gridCol w:w="3453"/>
      </w:tblGrid>
      <w:tr w14:paraId="22D9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53" w:hRule="atLeast"/>
        </w:trPr>
        <w:sdt>
          <w:sdtPr>
            <w:tag w:val="_PLD_d0bc662d818f4cea8a5953be241f0994"/>
            <w:id w:val="820766602"/>
          </w:sdtPr>
          <w:sdtContent>
            <w:tc>
              <w:tcPr>
                <w:tcW w:w="1647" w:type="pct"/>
                <w:tcBorders>
                  <w:top w:val="single" w:color="auto" w:sz="4" w:space="0"/>
                  <w:left w:val="single" w:color="auto" w:sz="4" w:space="0"/>
                  <w:right w:val="single" w:color="auto" w:sz="4" w:space="0"/>
                </w:tcBorders>
                <w:vAlign w:val="center"/>
              </w:tcPr>
              <w:p w14:paraId="0EC7C7A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承租方名称</w:t>
                </w:r>
              </w:p>
            </w:tc>
          </w:sdtContent>
        </w:sdt>
        <w:sdt>
          <w:sdtPr>
            <w:tag w:val="_PLD_b201e1ba80ff4620b34885e088e03080"/>
            <w:id w:val="160357886"/>
          </w:sdtPr>
          <w:sdtContent>
            <w:tc>
              <w:tcPr>
                <w:tcW w:w="879" w:type="pct"/>
                <w:tcBorders>
                  <w:top w:val="single" w:color="auto" w:sz="4" w:space="0"/>
                  <w:left w:val="single" w:color="auto" w:sz="4" w:space="0"/>
                  <w:right w:val="single" w:color="auto" w:sz="4" w:space="0"/>
                </w:tcBorders>
                <w:vAlign w:val="center"/>
              </w:tcPr>
              <w:p w14:paraId="353DEDF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租赁资产种类</w:t>
                </w:r>
              </w:p>
            </w:tc>
          </w:sdtContent>
        </w:sdt>
        <w:sdt>
          <w:sdtPr>
            <w:tag w:val="_PLD_2247dbd372c64f6bb229457f3849c03a"/>
            <w:id w:val="-1156990469"/>
          </w:sdtPr>
          <w:sdtContent>
            <w:tc>
              <w:tcPr>
                <w:tcW w:w="1155" w:type="pct"/>
                <w:tcBorders>
                  <w:top w:val="single" w:color="auto" w:sz="4" w:space="0"/>
                  <w:left w:val="single" w:color="auto" w:sz="4" w:space="0"/>
                  <w:right w:val="single" w:color="auto" w:sz="4" w:space="0"/>
                </w:tcBorders>
                <w:vAlign w:val="center"/>
              </w:tcPr>
              <w:p w14:paraId="0D4AF5F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本期确认的租赁收入</w:t>
                </w:r>
              </w:p>
            </w:tc>
          </w:sdtContent>
        </w:sdt>
        <w:sdt>
          <w:sdtPr>
            <w:tag w:val="_PLD_94eb47eaf858403e8c39eab08f54efb9"/>
            <w:id w:val="1004787761"/>
          </w:sdtPr>
          <w:sdtContent>
            <w:tc>
              <w:tcPr>
                <w:tcW w:w="1319" w:type="pct"/>
                <w:tcBorders>
                  <w:top w:val="single" w:color="auto" w:sz="4" w:space="0"/>
                  <w:left w:val="single" w:color="auto" w:sz="4" w:space="0"/>
                  <w:right w:val="single" w:color="auto" w:sz="4" w:space="0"/>
                </w:tcBorders>
                <w:vAlign w:val="center"/>
              </w:tcPr>
              <w:p w14:paraId="7F9759D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上期确认的租赁收入</w:t>
                </w:r>
              </w:p>
            </w:tc>
          </w:sdtContent>
        </w:sdt>
      </w:tr>
      <w:tr w14:paraId="3D89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82" w:hRule="atLeast"/>
        </w:trPr>
        <w:tc>
          <w:tcPr>
            <w:tcW w:w="1647" w:type="pct"/>
            <w:tcBorders>
              <w:top w:val="single" w:color="auto" w:sz="4" w:space="0"/>
              <w:left w:val="single" w:color="auto" w:sz="4" w:space="0"/>
              <w:bottom w:val="single" w:color="auto" w:sz="4" w:space="0"/>
              <w:right w:val="single" w:color="auto" w:sz="4" w:space="0"/>
            </w:tcBorders>
          </w:tcPr>
          <w:p w14:paraId="03F45193">
            <w:pPr>
              <w:jc w:val="center"/>
            </w:pPr>
            <w:r>
              <w:t>苏州市吉利优行电子科技有限公司</w:t>
            </w:r>
          </w:p>
        </w:tc>
        <w:tc>
          <w:tcPr>
            <w:tcW w:w="879" w:type="pct"/>
            <w:tcBorders>
              <w:top w:val="single" w:color="auto" w:sz="4" w:space="0"/>
              <w:left w:val="single" w:color="auto" w:sz="4" w:space="0"/>
              <w:bottom w:val="single" w:color="auto" w:sz="4" w:space="0"/>
              <w:right w:val="single" w:color="auto" w:sz="4" w:space="0"/>
            </w:tcBorders>
          </w:tcPr>
          <w:p w14:paraId="0C243FBF">
            <w:pPr>
              <w:jc w:val="center"/>
            </w:pPr>
            <w:r>
              <w:t>动力设备</w:t>
            </w:r>
          </w:p>
        </w:tc>
        <w:tc>
          <w:tcPr>
            <w:tcW w:w="1155" w:type="pct"/>
            <w:tcBorders>
              <w:top w:val="single" w:color="auto" w:sz="4" w:space="0"/>
              <w:left w:val="single" w:color="auto" w:sz="4" w:space="0"/>
              <w:bottom w:val="single" w:color="auto" w:sz="4" w:space="0"/>
              <w:right w:val="single" w:color="auto" w:sz="4" w:space="0"/>
            </w:tcBorders>
          </w:tcPr>
          <w:p w14:paraId="75B4E36D">
            <w:pPr>
              <w:jc w:val="right"/>
            </w:pPr>
            <w:r>
              <w:t>4,955,580.00</w:t>
            </w:r>
          </w:p>
        </w:tc>
        <w:tc>
          <w:tcPr>
            <w:tcW w:w="1319" w:type="pct"/>
            <w:tcBorders>
              <w:top w:val="single" w:color="auto" w:sz="4" w:space="0"/>
              <w:left w:val="single" w:color="auto" w:sz="4" w:space="0"/>
              <w:bottom w:val="single" w:color="auto" w:sz="4" w:space="0"/>
              <w:right w:val="single" w:color="auto" w:sz="4" w:space="0"/>
            </w:tcBorders>
          </w:tcPr>
          <w:p w14:paraId="3A166D29">
            <w:pPr>
              <w:jc w:val="right"/>
            </w:pPr>
            <w:r>
              <w:t>8,301,849.72</w:t>
            </w:r>
          </w:p>
        </w:tc>
      </w:tr>
      <w:tr w14:paraId="1994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82" w:hRule="atLeast"/>
        </w:trPr>
        <w:tc>
          <w:tcPr>
            <w:tcW w:w="1647" w:type="pct"/>
            <w:tcBorders>
              <w:top w:val="single" w:color="auto" w:sz="4" w:space="0"/>
              <w:left w:val="single" w:color="auto" w:sz="4" w:space="0"/>
              <w:bottom w:val="single" w:color="auto" w:sz="4" w:space="0"/>
              <w:right w:val="single" w:color="auto" w:sz="4" w:space="0"/>
            </w:tcBorders>
          </w:tcPr>
          <w:p w14:paraId="5202206C">
            <w:pPr>
              <w:jc w:val="center"/>
            </w:pPr>
            <w:r>
              <w:rPr>
                <w:rFonts w:hint="eastAsia"/>
              </w:rPr>
              <w:t>原力数能（重庆）科技有限公司</w:t>
            </w:r>
          </w:p>
        </w:tc>
        <w:tc>
          <w:tcPr>
            <w:tcW w:w="879" w:type="pct"/>
            <w:tcBorders>
              <w:top w:val="single" w:color="auto" w:sz="4" w:space="0"/>
              <w:left w:val="single" w:color="auto" w:sz="4" w:space="0"/>
              <w:bottom w:val="single" w:color="auto" w:sz="4" w:space="0"/>
              <w:right w:val="single" w:color="auto" w:sz="4" w:space="0"/>
            </w:tcBorders>
          </w:tcPr>
          <w:p w14:paraId="36A2B9C9">
            <w:pPr>
              <w:jc w:val="center"/>
            </w:pPr>
            <w:r>
              <w:rPr>
                <w:rFonts w:hint="eastAsia"/>
              </w:rPr>
              <w:t>房屋租赁</w:t>
            </w:r>
          </w:p>
        </w:tc>
        <w:tc>
          <w:tcPr>
            <w:tcW w:w="1155" w:type="pct"/>
            <w:tcBorders>
              <w:top w:val="single" w:color="auto" w:sz="4" w:space="0"/>
              <w:left w:val="single" w:color="auto" w:sz="4" w:space="0"/>
              <w:bottom w:val="single" w:color="auto" w:sz="4" w:space="0"/>
              <w:right w:val="single" w:color="auto" w:sz="4" w:space="0"/>
            </w:tcBorders>
          </w:tcPr>
          <w:p w14:paraId="1BBE12BD">
            <w:pPr>
              <w:jc w:val="right"/>
            </w:pPr>
            <w:r>
              <w:t>215,028</w:t>
            </w:r>
            <w:r>
              <w:rPr>
                <w:rFonts w:hint="eastAsia"/>
              </w:rPr>
              <w:t>.</w:t>
            </w:r>
            <w:r>
              <w:t>00</w:t>
            </w:r>
          </w:p>
        </w:tc>
        <w:tc>
          <w:tcPr>
            <w:tcW w:w="1319" w:type="pct"/>
            <w:tcBorders>
              <w:top w:val="single" w:color="auto" w:sz="4" w:space="0"/>
              <w:left w:val="single" w:color="auto" w:sz="4" w:space="0"/>
              <w:bottom w:val="single" w:color="auto" w:sz="4" w:space="0"/>
              <w:right w:val="single" w:color="auto" w:sz="4" w:space="0"/>
            </w:tcBorders>
          </w:tcPr>
          <w:p w14:paraId="65E19168">
            <w:pPr>
              <w:jc w:val="right"/>
            </w:pPr>
          </w:p>
        </w:tc>
      </w:tr>
      <w:tr w14:paraId="2021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92" w:hRule="atLeast"/>
        </w:trPr>
        <w:tc>
          <w:tcPr>
            <w:tcW w:w="1647" w:type="pct"/>
            <w:tcBorders>
              <w:top w:val="single" w:color="auto" w:sz="4" w:space="0"/>
              <w:left w:val="single" w:color="auto" w:sz="4" w:space="0"/>
              <w:bottom w:val="single" w:color="auto" w:sz="4" w:space="0"/>
              <w:right w:val="single" w:color="auto" w:sz="4" w:space="0"/>
            </w:tcBorders>
          </w:tcPr>
          <w:p w14:paraId="253D9D62">
            <w:pPr>
              <w:jc w:val="center"/>
            </w:pPr>
            <w:r>
              <w:t>浙江美可达摩托车有限公司</w:t>
            </w:r>
          </w:p>
        </w:tc>
        <w:tc>
          <w:tcPr>
            <w:tcW w:w="879" w:type="pct"/>
            <w:tcBorders>
              <w:top w:val="single" w:color="auto" w:sz="4" w:space="0"/>
              <w:left w:val="single" w:color="auto" w:sz="4" w:space="0"/>
              <w:bottom w:val="single" w:color="auto" w:sz="4" w:space="0"/>
              <w:right w:val="single" w:color="auto" w:sz="4" w:space="0"/>
            </w:tcBorders>
          </w:tcPr>
          <w:p w14:paraId="520C0C7C">
            <w:pPr>
              <w:jc w:val="center"/>
            </w:pPr>
            <w:r>
              <w:t>房屋租赁</w:t>
            </w:r>
          </w:p>
        </w:tc>
        <w:tc>
          <w:tcPr>
            <w:tcW w:w="1155" w:type="pct"/>
            <w:tcBorders>
              <w:top w:val="single" w:color="auto" w:sz="4" w:space="0"/>
              <w:left w:val="single" w:color="auto" w:sz="4" w:space="0"/>
              <w:bottom w:val="single" w:color="auto" w:sz="4" w:space="0"/>
              <w:right w:val="single" w:color="auto" w:sz="4" w:space="0"/>
            </w:tcBorders>
          </w:tcPr>
          <w:p w14:paraId="6E2CB803">
            <w:pPr>
              <w:jc w:val="right"/>
            </w:pPr>
            <w:r>
              <w:t>74,454.40</w:t>
            </w:r>
          </w:p>
        </w:tc>
        <w:tc>
          <w:tcPr>
            <w:tcW w:w="1319" w:type="pct"/>
            <w:tcBorders>
              <w:top w:val="single" w:color="auto" w:sz="4" w:space="0"/>
              <w:left w:val="single" w:color="auto" w:sz="4" w:space="0"/>
              <w:bottom w:val="single" w:color="auto" w:sz="4" w:space="0"/>
              <w:right w:val="single" w:color="auto" w:sz="4" w:space="0"/>
            </w:tcBorders>
          </w:tcPr>
          <w:p w14:paraId="06D71884">
            <w:pPr>
              <w:jc w:val="right"/>
            </w:pPr>
          </w:p>
        </w:tc>
      </w:tr>
      <w:tr w14:paraId="4166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82" w:hRule="atLeast"/>
        </w:trPr>
        <w:tc>
          <w:tcPr>
            <w:tcW w:w="1647" w:type="pct"/>
            <w:tcBorders>
              <w:top w:val="single" w:color="auto" w:sz="4" w:space="0"/>
              <w:left w:val="single" w:color="auto" w:sz="4" w:space="0"/>
              <w:bottom w:val="single" w:color="auto" w:sz="4" w:space="0"/>
              <w:right w:val="single" w:color="auto" w:sz="4" w:space="0"/>
            </w:tcBorders>
          </w:tcPr>
          <w:p w14:paraId="613EFDAF">
            <w:pPr>
              <w:jc w:val="center"/>
            </w:pPr>
            <w:r>
              <w:t>浙江钱江摩托股份有限公司</w:t>
            </w:r>
          </w:p>
        </w:tc>
        <w:tc>
          <w:tcPr>
            <w:tcW w:w="879" w:type="pct"/>
            <w:tcBorders>
              <w:top w:val="single" w:color="auto" w:sz="4" w:space="0"/>
              <w:left w:val="single" w:color="auto" w:sz="4" w:space="0"/>
              <w:bottom w:val="single" w:color="auto" w:sz="4" w:space="0"/>
              <w:right w:val="single" w:color="auto" w:sz="4" w:space="0"/>
            </w:tcBorders>
          </w:tcPr>
          <w:p w14:paraId="40196BDA">
            <w:pPr>
              <w:jc w:val="center"/>
            </w:pPr>
            <w:r>
              <w:t>房屋租赁</w:t>
            </w:r>
          </w:p>
        </w:tc>
        <w:tc>
          <w:tcPr>
            <w:tcW w:w="1155" w:type="pct"/>
            <w:tcBorders>
              <w:top w:val="single" w:color="auto" w:sz="4" w:space="0"/>
              <w:left w:val="single" w:color="auto" w:sz="4" w:space="0"/>
              <w:bottom w:val="single" w:color="auto" w:sz="4" w:space="0"/>
              <w:right w:val="single" w:color="auto" w:sz="4" w:space="0"/>
            </w:tcBorders>
          </w:tcPr>
          <w:p w14:paraId="0743EB48">
            <w:pPr>
              <w:jc w:val="right"/>
            </w:pPr>
            <w:r>
              <w:t>140,508.82</w:t>
            </w:r>
          </w:p>
        </w:tc>
        <w:tc>
          <w:tcPr>
            <w:tcW w:w="1319" w:type="pct"/>
            <w:tcBorders>
              <w:top w:val="single" w:color="auto" w:sz="4" w:space="0"/>
              <w:left w:val="single" w:color="auto" w:sz="4" w:space="0"/>
              <w:bottom w:val="single" w:color="auto" w:sz="4" w:space="0"/>
              <w:right w:val="single" w:color="auto" w:sz="4" w:space="0"/>
            </w:tcBorders>
          </w:tcPr>
          <w:p w14:paraId="1CBB8075">
            <w:pPr>
              <w:jc w:val="right"/>
            </w:pPr>
          </w:p>
        </w:tc>
      </w:tr>
      <w:tr w14:paraId="0FDC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82" w:hRule="atLeast"/>
        </w:trPr>
        <w:tc>
          <w:tcPr>
            <w:tcW w:w="1647" w:type="pct"/>
            <w:tcBorders>
              <w:top w:val="single" w:color="auto" w:sz="4" w:space="0"/>
              <w:left w:val="single" w:color="auto" w:sz="4" w:space="0"/>
              <w:bottom w:val="single" w:color="auto" w:sz="4" w:space="0"/>
              <w:right w:val="single" w:color="auto" w:sz="4" w:space="0"/>
            </w:tcBorders>
          </w:tcPr>
          <w:p w14:paraId="744CBCB5">
            <w:pPr>
              <w:jc w:val="center"/>
            </w:pPr>
            <w:r>
              <w:t>合计</w:t>
            </w:r>
          </w:p>
        </w:tc>
        <w:tc>
          <w:tcPr>
            <w:tcW w:w="879" w:type="pct"/>
            <w:tcBorders>
              <w:top w:val="single" w:color="auto" w:sz="4" w:space="0"/>
              <w:left w:val="single" w:color="auto" w:sz="4" w:space="0"/>
              <w:bottom w:val="single" w:color="auto" w:sz="4" w:space="0"/>
              <w:right w:val="single" w:color="auto" w:sz="4" w:space="0"/>
            </w:tcBorders>
          </w:tcPr>
          <w:p w14:paraId="0EAFB9CB"/>
        </w:tc>
        <w:tc>
          <w:tcPr>
            <w:tcW w:w="1155" w:type="pct"/>
            <w:tcBorders>
              <w:top w:val="single" w:color="auto" w:sz="4" w:space="0"/>
              <w:left w:val="single" w:color="auto" w:sz="4" w:space="0"/>
              <w:bottom w:val="single" w:color="auto" w:sz="4" w:space="0"/>
              <w:right w:val="single" w:color="auto" w:sz="4" w:space="0"/>
            </w:tcBorders>
          </w:tcPr>
          <w:p w14:paraId="6F54D56F">
            <w:pPr>
              <w:jc w:val="right"/>
            </w:pPr>
            <w:r>
              <w:t>5,385,571.22</w:t>
            </w:r>
          </w:p>
        </w:tc>
        <w:tc>
          <w:tcPr>
            <w:tcW w:w="1319" w:type="pct"/>
            <w:tcBorders>
              <w:top w:val="single" w:color="auto" w:sz="4" w:space="0"/>
              <w:left w:val="single" w:color="auto" w:sz="4" w:space="0"/>
              <w:bottom w:val="single" w:color="auto" w:sz="4" w:space="0"/>
              <w:right w:val="single" w:color="auto" w:sz="4" w:space="0"/>
            </w:tcBorders>
          </w:tcPr>
          <w:p w14:paraId="39D5542B">
            <w:pPr>
              <w:jc w:val="right"/>
            </w:pPr>
            <w:r>
              <w:t>8,301,849.72</w:t>
            </w:r>
          </w:p>
        </w:tc>
      </w:tr>
    </w:tbl>
    <w:p w14:paraId="7223834A"/>
    <w:p w14:paraId="501648FD">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本公司作为承租方：</w:t>
      </w:r>
    </w:p>
    <w:sdt>
      <w:sdtPr>
        <w:rPr>
          <w:color w:val="000000" w:themeColor="text1"/>
          <w14:textFill>
            <w14:solidFill>
              <w14:schemeClr w14:val="tx1"/>
            </w14:solidFill>
          </w14:textFill>
        </w:rPr>
        <w:alias w:val="是否适用：本公司作为承租方的租赁情况表[双击切换]"/>
        <w:tag w:val="_GBC_e3319fb4cbb04bb0ab5516046d7e77a4"/>
        <w:id w:val="729654728"/>
        <w:placeholder>
          <w:docPart w:val="GBC22222222222222222222222222222"/>
        </w:placeholder>
      </w:sdtPr>
      <w:sdtEndPr>
        <w:rPr>
          <w:color w:val="000000" w:themeColor="text1"/>
          <w14:textFill>
            <w14:solidFill>
              <w14:schemeClr w14:val="tx1"/>
            </w14:solidFill>
          </w14:textFill>
        </w:rPr>
      </w:sdtEndPr>
      <w:sdtContent>
        <w:p w14:paraId="5F1C0A11">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4C22292">
      <w:pPr>
        <w:rPr>
          <w:color w:val="000000" w:themeColor="text1"/>
          <w14:textFill>
            <w14:solidFill>
              <w14:schemeClr w14:val="tx1"/>
            </w14:solidFill>
          </w14:textFill>
        </w:rPr>
      </w:pPr>
    </w:p>
    <w:p w14:paraId="060559A7">
      <w:pPr>
        <w:rPr>
          <w:color w:val="000000" w:themeColor="text1"/>
          <w14:textFill>
            <w14:solidFill>
              <w14:schemeClr w14:val="tx1"/>
            </w14:solidFill>
          </w14:textFill>
        </w:rPr>
      </w:pPr>
      <w:r>
        <w:rPr>
          <w:rFonts w:hint="eastAsia"/>
          <w:color w:val="000000" w:themeColor="text1"/>
          <w14:textFill>
            <w14:solidFill>
              <w14:schemeClr w14:val="tx1"/>
            </w14:solidFill>
          </w14:textFill>
        </w:rPr>
        <w:t>关联租赁情况说明</w:t>
      </w:r>
    </w:p>
    <w:sdt>
      <w:sdtPr>
        <w:rPr>
          <w:color w:val="000000" w:themeColor="text1"/>
          <w14:textFill>
            <w14:solidFill>
              <w14:schemeClr w14:val="tx1"/>
            </w14:solidFill>
          </w14:textFill>
        </w:rPr>
        <w:alias w:val="是否适用：关联租赁情况说明[双击切换]"/>
        <w:tag w:val="_GBC_a8d25c1a27d24bbeb9dd0063be85a310"/>
        <w:id w:val="-123465579"/>
        <w:placeholder>
          <w:docPart w:val="GBC22222222222222222222222222222"/>
        </w:placeholder>
      </w:sdtPr>
      <w:sdtEndPr>
        <w:rPr>
          <w:color w:val="000000" w:themeColor="text1"/>
          <w14:textFill>
            <w14:solidFill>
              <w14:schemeClr w14:val="tx1"/>
            </w14:solidFill>
          </w14:textFill>
        </w:rPr>
      </w:sdtEndPr>
      <w:sdtContent>
        <w:p w14:paraId="4DD40AB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B1711A3">
      <w:pPr>
        <w:rPr>
          <w:color w:val="000000" w:themeColor="text1"/>
          <w14:textFill>
            <w14:solidFill>
              <w14:schemeClr w14:val="tx1"/>
            </w14:solidFill>
          </w14:textFill>
        </w:rPr>
      </w:pPr>
    </w:p>
    <w:bookmarkEnd w:id="373"/>
    <w:p w14:paraId="16ED6139">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7AA13375">
      <w:pPr>
        <w:pStyle w:val="5"/>
        <w:numPr>
          <w:ilvl w:val="0"/>
          <w:numId w:val="92"/>
        </w:numPr>
        <w:tabs>
          <w:tab w:val="left" w:pos="616"/>
        </w:tabs>
        <w:rPr>
          <w:rFonts w:ascii="宋体" w:hAnsi="宋体"/>
          <w:color w:val="000000" w:themeColor="text1"/>
          <w14:textFill>
            <w14:solidFill>
              <w14:schemeClr w14:val="tx1"/>
            </w14:solidFill>
          </w14:textFill>
        </w:rPr>
      </w:pPr>
      <w:bookmarkStart w:id="374" w:name="_Hlk105747684"/>
      <w:r>
        <w:rPr>
          <w:rFonts w:hint="eastAsia" w:ascii="宋体" w:hAnsi="宋体"/>
          <w:color w:val="000000" w:themeColor="text1"/>
          <w14:textFill>
            <w14:solidFill>
              <w14:schemeClr w14:val="tx1"/>
            </w14:solidFill>
          </w14:textFill>
        </w:rPr>
        <w:t>关联担保情况</w:t>
      </w:r>
    </w:p>
    <w:p w14:paraId="7C1F9463">
      <w:pPr>
        <w:rPr>
          <w:color w:val="000000" w:themeColor="text1"/>
          <w14:textFill>
            <w14:solidFill>
              <w14:schemeClr w14:val="tx1"/>
            </w14:solidFill>
          </w14:textFill>
        </w:rPr>
      </w:pPr>
      <w:r>
        <w:rPr>
          <w:rFonts w:hint="eastAsia"/>
          <w:color w:val="000000" w:themeColor="text1"/>
          <w14:textFill>
            <w14:solidFill>
              <w14:schemeClr w14:val="tx1"/>
            </w14:solidFill>
          </w14:textFill>
        </w:rPr>
        <w:t>本公司作为担保方</w:t>
      </w:r>
    </w:p>
    <w:sdt>
      <w:sdtPr>
        <w:rPr>
          <w:color w:val="000000" w:themeColor="text1"/>
          <w14:textFill>
            <w14:solidFill>
              <w14:schemeClr w14:val="tx1"/>
            </w14:solidFill>
          </w14:textFill>
        </w:rPr>
        <w:alias w:val="是否适用：本公司作为担保方的担保情况表[双击切换]"/>
        <w:tag w:val="_GBC_f0150417f8ec4c5281b86683570391cb"/>
        <w:id w:val="-2142408825"/>
        <w:placeholder>
          <w:docPart w:val="GBC22222222222222222222222222222"/>
        </w:placeholder>
      </w:sdtPr>
      <w:sdtEndPr>
        <w:rPr>
          <w:color w:val="000000" w:themeColor="text1"/>
          <w14:textFill>
            <w14:solidFill>
              <w14:schemeClr w14:val="tx1"/>
            </w14:solidFill>
          </w14:textFill>
        </w:rPr>
      </w:sdtEndPr>
      <w:sdtContent>
        <w:p w14:paraId="393BF73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614273E">
      <w:pPr>
        <w:rPr>
          <w:color w:val="000000" w:themeColor="text1"/>
          <w14:textFill>
            <w14:solidFill>
              <w14:schemeClr w14:val="tx1"/>
            </w14:solidFill>
          </w14:textFill>
        </w:rPr>
      </w:pPr>
    </w:p>
    <w:p w14:paraId="61688A0C">
      <w:pP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本公司作为被担保方</w:t>
      </w:r>
    </w:p>
    <w:sdt>
      <w:sdtPr>
        <w:rPr>
          <w:rFonts w:cs="Cambria"/>
          <w:color w:val="000000" w:themeColor="text1"/>
          <w14:textFill>
            <w14:solidFill>
              <w14:schemeClr w14:val="tx1"/>
            </w14:solidFill>
          </w14:textFill>
        </w:rPr>
        <w:alias w:val="是否适用：本公司作为被担保方的担保情况表[双击切换]"/>
        <w:tag w:val="_GBC_3686094d29c941dd91bd168e3ef88833"/>
        <w:id w:val="-1465959375"/>
        <w:placeholder>
          <w:docPart w:val="GBC22222222222222222222222222222"/>
        </w:placeholder>
      </w:sdtPr>
      <w:sdtEndPr>
        <w:rPr>
          <w:rFonts w:cs="Cambria"/>
          <w:color w:val="000000" w:themeColor="text1"/>
          <w14:textFill>
            <w14:solidFill>
              <w14:schemeClr w14:val="tx1"/>
            </w14:solidFill>
          </w14:textFill>
        </w:rPr>
      </w:sdtEndPr>
      <w:sdtContent>
        <w:p w14:paraId="58E05F54">
          <w:pPr>
            <w:rPr>
              <w:rFonts w:cs="Cambria"/>
              <w:color w:val="000000" w:themeColor="text1"/>
              <w14:textFill>
                <w14:solidFill>
                  <w14:schemeClr w14:val="tx1"/>
                </w14:solidFill>
              </w14:textFill>
            </w:rPr>
          </w:pP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05E5728A">
      <w:pPr>
        <w:jc w:val="right"/>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单位：</w:t>
      </w:r>
      <w:sdt>
        <w:sdtPr>
          <w:rPr>
            <w:rFonts w:hint="eastAsia" w:cs="Cambria"/>
            <w:color w:val="000000" w:themeColor="text1"/>
            <w14:textFill>
              <w14:solidFill>
                <w14:schemeClr w14:val="tx1"/>
              </w14:solidFill>
            </w14:textFill>
          </w:rPr>
          <w:alias w:val="单位：财务附注：本公司作为被担保方"/>
          <w:tag w:val="_GBC_af3d3d55d9c648f8b2e94dcdd804c683"/>
          <w:id w:val="-21115052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元</w:t>
          </w:r>
        </w:sdtContent>
      </w:sdt>
      <w:r>
        <w:rPr>
          <w:rFonts w:hint="eastAsia" w:cs="Cambria"/>
          <w:color w:val="000000" w:themeColor="text1"/>
          <w14:textFill>
            <w14:solidFill>
              <w14:schemeClr w14:val="tx1"/>
            </w14:solidFill>
          </w14:textFill>
        </w:rPr>
        <w:t xml:space="preserve">  币种：</w:t>
      </w:r>
      <w:sdt>
        <w:sdtPr>
          <w:rPr>
            <w:rFonts w:hint="eastAsia" w:cs="Cambria"/>
            <w:color w:val="000000" w:themeColor="text1"/>
            <w14:textFill>
              <w14:solidFill>
                <w14:schemeClr w14:val="tx1"/>
              </w14:solidFill>
            </w14:textFill>
          </w:rPr>
          <w:alias w:val="币种：财务附注：本公司作为被担保方"/>
          <w:tag w:val="_GBC_684efbccec674b3abab20e6aa5c20b55"/>
          <w:id w:val="16782995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人民币</w:t>
          </w:r>
        </w:sdtContent>
      </w:sdt>
    </w:p>
    <w:tbl>
      <w:tblPr>
        <w:tblStyle w:val="37"/>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25"/>
        <w:gridCol w:w="1651"/>
        <w:gridCol w:w="1805"/>
        <w:gridCol w:w="1791"/>
        <w:gridCol w:w="2182"/>
      </w:tblGrid>
      <w:tr w14:paraId="5A7C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6088efc2eccd46e6a311f035e3addd31"/>
            <w:id w:val="-1624684461"/>
          </w:sdtPr>
          <w:sdtContent>
            <w:tc>
              <w:tcPr>
                <w:tcW w:w="805" w:type="pct"/>
                <w:tcBorders>
                  <w:top w:val="single" w:color="auto" w:sz="4" w:space="0"/>
                  <w:left w:val="single" w:color="auto" w:sz="4" w:space="0"/>
                  <w:bottom w:val="single" w:color="auto" w:sz="4" w:space="0"/>
                  <w:right w:val="single" w:color="auto" w:sz="4" w:space="0"/>
                </w:tcBorders>
                <w:vAlign w:val="center"/>
              </w:tcPr>
              <w:p w14:paraId="3F770772">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担保方</w:t>
                </w:r>
              </w:p>
            </w:tc>
          </w:sdtContent>
        </w:sdt>
        <w:sdt>
          <w:sdtPr>
            <w:tag w:val="_PLD_e7f78a4ceee3432c87548a75d87de01f"/>
            <w:id w:val="-18942317"/>
          </w:sdtPr>
          <w:sdtContent>
            <w:tc>
              <w:tcPr>
                <w:tcW w:w="932" w:type="pct"/>
                <w:tcBorders>
                  <w:top w:val="single" w:color="auto" w:sz="4" w:space="0"/>
                  <w:left w:val="single" w:color="auto" w:sz="4" w:space="0"/>
                  <w:bottom w:val="single" w:color="auto" w:sz="4" w:space="0"/>
                  <w:right w:val="single" w:color="auto" w:sz="4" w:space="0"/>
                </w:tcBorders>
                <w:vAlign w:val="center"/>
              </w:tcPr>
              <w:p w14:paraId="3AACD9DB">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担保金额</w:t>
                </w:r>
              </w:p>
            </w:tc>
          </w:sdtContent>
        </w:sdt>
        <w:sdt>
          <w:sdtPr>
            <w:tag w:val="_PLD_258ee883a1494cba8aadfb02a67b1d9f"/>
            <w:id w:val="-854345682"/>
          </w:sdtPr>
          <w:sdtContent>
            <w:tc>
              <w:tcPr>
                <w:tcW w:w="1019" w:type="pct"/>
                <w:tcBorders>
                  <w:top w:val="single" w:color="auto" w:sz="4" w:space="0"/>
                  <w:left w:val="single" w:color="auto" w:sz="4" w:space="0"/>
                  <w:bottom w:val="single" w:color="auto" w:sz="4" w:space="0"/>
                  <w:right w:val="single" w:color="auto" w:sz="4" w:space="0"/>
                </w:tcBorders>
                <w:vAlign w:val="center"/>
              </w:tcPr>
              <w:p w14:paraId="025F6C54">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担保起始日</w:t>
                </w:r>
              </w:p>
            </w:tc>
          </w:sdtContent>
        </w:sdt>
        <w:sdt>
          <w:sdtPr>
            <w:tag w:val="_PLD_219bfe3bbd6a4eeab9cd5e00e9bb2477"/>
            <w:id w:val="537015732"/>
          </w:sdtPr>
          <w:sdtContent>
            <w:tc>
              <w:tcPr>
                <w:tcW w:w="1011" w:type="pct"/>
                <w:tcBorders>
                  <w:top w:val="single" w:color="auto" w:sz="4" w:space="0"/>
                  <w:left w:val="single" w:color="auto" w:sz="4" w:space="0"/>
                  <w:bottom w:val="single" w:color="auto" w:sz="4" w:space="0"/>
                  <w:right w:val="single" w:color="auto" w:sz="4" w:space="0"/>
                </w:tcBorders>
                <w:vAlign w:val="center"/>
              </w:tcPr>
              <w:p w14:paraId="3A4C6D38">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担保到期日</w:t>
                </w:r>
              </w:p>
            </w:tc>
          </w:sdtContent>
        </w:sdt>
        <w:sdt>
          <w:sdtPr>
            <w:tag w:val="_PLD_e2efca4906c0464cb3ccf5445b144c22"/>
            <w:id w:val="-1853790416"/>
          </w:sdtPr>
          <w:sdtContent>
            <w:tc>
              <w:tcPr>
                <w:tcW w:w="1232" w:type="pct"/>
                <w:tcBorders>
                  <w:top w:val="single" w:color="auto" w:sz="4" w:space="0"/>
                  <w:left w:val="single" w:color="auto" w:sz="4" w:space="0"/>
                  <w:bottom w:val="single" w:color="auto" w:sz="4" w:space="0"/>
                  <w:right w:val="single" w:color="auto" w:sz="4" w:space="0"/>
                </w:tcBorders>
                <w:vAlign w:val="center"/>
              </w:tcPr>
              <w:p w14:paraId="10F09427">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担保是否已经履行完毕</w:t>
                </w:r>
              </w:p>
            </w:tc>
          </w:sdtContent>
        </w:sdt>
      </w:tr>
      <w:tr w14:paraId="3529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05" w:type="pct"/>
            <w:tcBorders>
              <w:top w:val="single" w:color="auto" w:sz="4" w:space="0"/>
              <w:left w:val="single" w:color="auto" w:sz="4" w:space="0"/>
              <w:bottom w:val="single" w:color="auto" w:sz="4" w:space="0"/>
              <w:right w:val="single" w:color="auto" w:sz="4" w:space="0"/>
            </w:tcBorders>
          </w:tcPr>
          <w:p w14:paraId="27B52FAE">
            <w:pPr>
              <w:rPr>
                <w:rFonts w:cs="Cambria"/>
              </w:rPr>
            </w:pPr>
            <w:r>
              <w:rPr>
                <w:rFonts w:hint="eastAsia" w:cs="Cambria"/>
              </w:rPr>
              <w:t>重庆力帆置业有限公司</w:t>
            </w:r>
          </w:p>
        </w:tc>
        <w:tc>
          <w:tcPr>
            <w:tcW w:w="932" w:type="pct"/>
            <w:tcBorders>
              <w:top w:val="single" w:color="auto" w:sz="4" w:space="0"/>
              <w:left w:val="single" w:color="auto" w:sz="4" w:space="0"/>
              <w:bottom w:val="single" w:color="auto" w:sz="4" w:space="0"/>
              <w:right w:val="single" w:color="auto" w:sz="4" w:space="0"/>
            </w:tcBorders>
            <w:vAlign w:val="center"/>
          </w:tcPr>
          <w:p w14:paraId="0C77554C">
            <w:pPr>
              <w:jc w:val="right"/>
              <w:rPr>
                <w:rFonts w:cs="Cambria"/>
              </w:rPr>
            </w:pPr>
            <w:r>
              <w:rPr>
                <w:rFonts w:cs="Cambria"/>
              </w:rPr>
              <w:t>610,762,500.00</w:t>
            </w:r>
          </w:p>
        </w:tc>
        <w:tc>
          <w:tcPr>
            <w:tcW w:w="1019" w:type="pct"/>
            <w:tcBorders>
              <w:top w:val="single" w:color="auto" w:sz="4" w:space="0"/>
              <w:left w:val="single" w:color="auto" w:sz="4" w:space="0"/>
              <w:bottom w:val="single" w:color="auto" w:sz="4" w:space="0"/>
              <w:right w:val="single" w:color="auto" w:sz="4" w:space="0"/>
            </w:tcBorders>
            <w:vAlign w:val="center"/>
          </w:tcPr>
          <w:p w14:paraId="6F1E4C3F">
            <w:pPr>
              <w:jc w:val="center"/>
              <w:rPr>
                <w:rFonts w:cs="Cambria"/>
              </w:rPr>
            </w:pPr>
            <w:r>
              <w:rPr>
                <w:rFonts w:cs="Cambria"/>
              </w:rPr>
              <w:t>2017-6-19</w:t>
            </w:r>
          </w:p>
        </w:tc>
        <w:tc>
          <w:tcPr>
            <w:tcW w:w="1011" w:type="pct"/>
            <w:tcBorders>
              <w:top w:val="single" w:color="auto" w:sz="4" w:space="0"/>
              <w:left w:val="single" w:color="auto" w:sz="4" w:space="0"/>
              <w:bottom w:val="single" w:color="auto" w:sz="4" w:space="0"/>
              <w:right w:val="single" w:color="auto" w:sz="4" w:space="0"/>
            </w:tcBorders>
            <w:vAlign w:val="center"/>
          </w:tcPr>
          <w:p w14:paraId="7E2186DC">
            <w:pPr>
              <w:jc w:val="center"/>
              <w:rPr>
                <w:rFonts w:cs="Cambria"/>
              </w:rPr>
            </w:pPr>
            <w:r>
              <w:rPr>
                <w:rFonts w:cs="Cambria"/>
              </w:rPr>
              <w:t>2027-6-18</w:t>
            </w:r>
          </w:p>
        </w:tc>
        <w:sdt>
          <w:sdtPr>
            <w:rPr>
              <w:rFonts w:cs="Cambria"/>
              <w:color w:val="000000" w:themeColor="text1"/>
              <w14:textFill>
                <w14:solidFill>
                  <w14:schemeClr w14:val="tx1"/>
                </w14:solidFill>
              </w14:textFill>
            </w:rPr>
            <w:alias w:val="本公司作为被担保方的关联担保情况明细-担保是否已经履行完毕"/>
            <w:tag w:val="_GBC_ece41db563d54c85904336d073d8b352"/>
            <w:id w:val="-463725793"/>
            <w:comboBox>
              <w:listItem w:displayText="是" w:value="true"/>
              <w:listItem w:displayText="否" w:value="false"/>
            </w:comboBox>
          </w:sdtPr>
          <w:sdtEndPr>
            <w:rPr>
              <w:rFonts w:cs="Cambria"/>
              <w:color w:val="000000" w:themeColor="text1"/>
              <w14:textFill>
                <w14:solidFill>
                  <w14:schemeClr w14:val="tx1"/>
                </w14:solidFill>
              </w14:textFill>
            </w:rPr>
          </w:sdtEndPr>
          <w:sdtContent>
            <w:tc>
              <w:tcPr>
                <w:tcW w:w="1232" w:type="pct"/>
                <w:tcBorders>
                  <w:top w:val="single" w:color="auto" w:sz="4" w:space="0"/>
                  <w:left w:val="single" w:color="auto" w:sz="4" w:space="0"/>
                  <w:bottom w:val="single" w:color="auto" w:sz="4" w:space="0"/>
                  <w:right w:val="single" w:color="auto" w:sz="4" w:space="0"/>
                </w:tcBorders>
                <w:vAlign w:val="center"/>
              </w:tcPr>
              <w:p w14:paraId="43C3BF81">
                <w:pPr>
                  <w:jc w:val="center"/>
                  <w:rPr>
                    <w:rFonts w:cs="Cambria"/>
                    <w:color w:val="000000" w:themeColor="text1"/>
                    <w14:textFill>
                      <w14:solidFill>
                        <w14:schemeClr w14:val="tx1"/>
                      </w14:solidFill>
                    </w14:textFill>
                  </w:rPr>
                </w:pPr>
                <w:r>
                  <w:rPr>
                    <w:rFonts w:cs="Cambria"/>
                    <w:color w:val="000000" w:themeColor="text1"/>
                    <w14:textFill>
                      <w14:solidFill>
                        <w14:schemeClr w14:val="tx1"/>
                      </w14:solidFill>
                    </w14:textFill>
                  </w:rPr>
                  <w:t>否</w:t>
                </w:r>
              </w:p>
            </w:tc>
          </w:sdtContent>
        </w:sdt>
      </w:tr>
    </w:tbl>
    <w:p w14:paraId="0C6257F7">
      <w:pPr>
        <w:rPr>
          <w:rFonts w:cs="Cambria"/>
          <w:color w:val="000000" w:themeColor="text1"/>
          <w14:textFill>
            <w14:solidFill>
              <w14:schemeClr w14:val="tx1"/>
            </w14:solidFill>
          </w14:textFill>
        </w:rPr>
      </w:pPr>
    </w:p>
    <w:p w14:paraId="29903697">
      <w:pP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关联担保情况说明</w:t>
      </w:r>
    </w:p>
    <w:sdt>
      <w:sdtPr>
        <w:rPr>
          <w:rFonts w:cs="Cambria"/>
          <w:color w:val="000000" w:themeColor="text1"/>
          <w14:textFill>
            <w14:solidFill>
              <w14:schemeClr w14:val="tx1"/>
            </w14:solidFill>
          </w14:textFill>
        </w:rPr>
        <w:alias w:val="是否适用：关联担保情况说明[双击切换]"/>
        <w:tag w:val="_GBC_9a5a4769e8804b779ae17adb041890d7"/>
        <w:id w:val="-1266990481"/>
        <w:placeholder>
          <w:docPart w:val="GBC22222222222222222222222222222"/>
        </w:placeholder>
      </w:sdtPr>
      <w:sdtEndPr>
        <w:rPr>
          <w:rFonts w:cs="Cambria"/>
          <w:color w:val="000000" w:themeColor="text1"/>
          <w14:textFill>
            <w14:solidFill>
              <w14:schemeClr w14:val="tx1"/>
            </w14:solidFill>
          </w14:textFill>
        </w:rPr>
      </w:sdtEndPr>
      <w:sdtContent>
        <w:p w14:paraId="59026F64">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□适用 </w:instrText>
          </w:r>
          <w:r>
            <w:rPr>
              <w:rFonts w:ascii="宋体" w:hAnsi="宋体" w:cs="Cambria"/>
              <w:color w:val="000000" w:themeColor="text1"/>
              <w14:textFill>
                <w14:solidFill>
                  <w14:schemeClr w14:val="tx1"/>
                </w14:solidFill>
              </w14:textFill>
            </w:rPr>
            <w:fldChar w:fldCharType="end"/>
          </w:r>
          <w:r>
            <w:rPr>
              <w:rFonts w:ascii="宋体" w:hAnsi="宋体" w:cs="Cambria"/>
              <w:color w:val="000000" w:themeColor="text1"/>
              <w14:textFill>
                <w14:solidFill>
                  <w14:schemeClr w14:val="tx1"/>
                </w14:solidFill>
              </w14:textFill>
            </w:rPr>
            <w:fldChar w:fldCharType="begin"/>
          </w:r>
          <w:r>
            <w:rPr>
              <w:rFonts w:ascii="宋体" w:hAnsi="宋体" w:cs="Cambria"/>
              <w:color w:val="000000" w:themeColor="text1"/>
              <w14:textFill>
                <w14:solidFill>
                  <w14:schemeClr w14:val="tx1"/>
                </w14:solidFill>
              </w14:textFill>
            </w:rPr>
            <w:instrText xml:space="preserve"> MACROBUTTON  SnrToggleCheckbox √不适用 </w:instrText>
          </w:r>
          <w:r>
            <w:rPr>
              <w:rFonts w:ascii="宋体" w:hAnsi="宋体" w:cs="Cambria"/>
              <w:color w:val="000000" w:themeColor="text1"/>
              <w14:textFill>
                <w14:solidFill>
                  <w14:schemeClr w14:val="tx1"/>
                </w14:solidFill>
              </w14:textFill>
            </w:rPr>
            <w:fldChar w:fldCharType="end"/>
          </w:r>
        </w:p>
      </w:sdtContent>
    </w:sdt>
    <w:p w14:paraId="2FDD032D">
      <w:pPr>
        <w:rPr>
          <w:rFonts w:cs="Cambria"/>
          <w:color w:val="000000" w:themeColor="text1"/>
          <w:sz w:val="20"/>
          <w:szCs w:val="20"/>
          <w14:textFill>
            <w14:solidFill>
              <w14:schemeClr w14:val="tx1"/>
            </w14:solidFill>
          </w14:textFill>
        </w:rPr>
      </w:pPr>
    </w:p>
    <w:bookmarkEnd w:id="374"/>
    <w:p w14:paraId="68FD97C2">
      <w:pPr>
        <w:pStyle w:val="5"/>
        <w:numPr>
          <w:ilvl w:val="0"/>
          <w:numId w:val="92"/>
        </w:numPr>
        <w:tabs>
          <w:tab w:val="left" w:pos="616"/>
        </w:tabs>
        <w:rPr>
          <w:rFonts w:ascii="宋体" w:hAnsi="宋体"/>
          <w:color w:val="000000" w:themeColor="text1"/>
          <w14:textFill>
            <w14:solidFill>
              <w14:schemeClr w14:val="tx1"/>
            </w14:solidFill>
          </w14:textFill>
        </w:rPr>
      </w:pPr>
      <w:bookmarkStart w:id="375" w:name="_Hlk72829984"/>
      <w:r>
        <w:rPr>
          <w:rFonts w:hint="eastAsia" w:ascii="宋体" w:hAnsi="宋体"/>
          <w:color w:val="000000" w:themeColor="text1"/>
          <w14:textFill>
            <w14:solidFill>
              <w14:schemeClr w14:val="tx1"/>
            </w14:solidFill>
          </w14:textFill>
        </w:rPr>
        <w:t>关联方资金拆借</w:t>
      </w:r>
    </w:p>
    <w:sdt>
      <w:sdtPr>
        <w:rPr>
          <w:color w:val="000000" w:themeColor="text1"/>
          <w14:textFill>
            <w14:solidFill>
              <w14:schemeClr w14:val="tx1"/>
            </w14:solidFill>
          </w14:textFill>
        </w:rPr>
        <w:alias w:val="是否适用：关联方资金拆借[双击切换]"/>
        <w:tag w:val="_GBC_4b2d20ddab104a06a9007945a55a3da5"/>
        <w:id w:val="2001380390"/>
        <w:placeholder>
          <w:docPart w:val="GBC22222222222222222222222222222"/>
        </w:placeholder>
      </w:sdtPr>
      <w:sdtEndPr>
        <w:rPr>
          <w:color w:val="000000" w:themeColor="text1"/>
          <w14:textFill>
            <w14:solidFill>
              <w14:schemeClr w14:val="tx1"/>
            </w14:solidFill>
          </w14:textFill>
        </w:rPr>
      </w:sdtEndPr>
      <w:sdtContent>
        <w:p w14:paraId="6E68C70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384EC1C">
      <w:pPr>
        <w:rPr>
          <w:rFonts w:cstheme="minorBidi"/>
          <w:color w:val="000000" w:themeColor="text1"/>
          <w14:textFill>
            <w14:solidFill>
              <w14:schemeClr w14:val="tx1"/>
            </w14:solidFill>
          </w14:textFill>
        </w:rPr>
      </w:pPr>
    </w:p>
    <w:bookmarkEnd w:id="375"/>
    <w:p w14:paraId="667BB29F">
      <w:pPr>
        <w:pStyle w:val="5"/>
        <w:numPr>
          <w:ilvl w:val="0"/>
          <w:numId w:val="92"/>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关联方资产转让、债务重组情况</w:t>
      </w:r>
    </w:p>
    <w:sdt>
      <w:sdtPr>
        <w:rPr>
          <w:color w:val="000000" w:themeColor="text1"/>
          <w14:textFill>
            <w14:solidFill>
              <w14:schemeClr w14:val="tx1"/>
            </w14:solidFill>
          </w14:textFill>
        </w:rPr>
        <w:alias w:val="是否适用：关联方资产转让、债务重组情况[双击切换]"/>
        <w:tag w:val="_GBC_c590c66abdbe454e89c4c55269fb6adf"/>
        <w:id w:val="-1219511139"/>
        <w:placeholder>
          <w:docPart w:val="GBC22222222222222222222222222222"/>
        </w:placeholder>
      </w:sdtPr>
      <w:sdtEndPr>
        <w:rPr>
          <w:color w:val="000000" w:themeColor="text1"/>
          <w14:textFill>
            <w14:solidFill>
              <w14:schemeClr w14:val="tx1"/>
            </w14:solidFill>
          </w14:textFill>
        </w:rPr>
      </w:sdtEndPr>
      <w:sdtContent>
        <w:p w14:paraId="655F715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E5FABD">
      <w:pPr>
        <w:rPr>
          <w:color w:val="000000" w:themeColor="text1"/>
          <w14:textFill>
            <w14:solidFill>
              <w14:schemeClr w14:val="tx1"/>
            </w14:solidFill>
          </w14:textFill>
        </w:rPr>
      </w:pPr>
    </w:p>
    <w:p w14:paraId="45B16AD2">
      <w:pPr>
        <w:pStyle w:val="5"/>
        <w:numPr>
          <w:ilvl w:val="0"/>
          <w:numId w:val="92"/>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关键管理人员报酬</w:t>
      </w:r>
    </w:p>
    <w:sdt>
      <w:sdtPr>
        <w:rPr>
          <w:color w:val="000000" w:themeColor="text1"/>
          <w14:textFill>
            <w14:solidFill>
              <w14:schemeClr w14:val="tx1"/>
            </w14:solidFill>
          </w14:textFill>
        </w:rPr>
        <w:alias w:val="是否适用：关键管理人员报酬[双击切换]"/>
        <w:tag w:val="_GBC_48379e9c7f5743bb916ac1cb044f4057"/>
        <w:id w:val="886220704"/>
        <w:placeholder>
          <w:docPart w:val="GBC22222222222222222222222222222"/>
        </w:placeholder>
      </w:sdtPr>
      <w:sdtEndPr>
        <w:rPr>
          <w:color w:val="000000" w:themeColor="text1"/>
          <w14:textFill>
            <w14:solidFill>
              <w14:schemeClr w14:val="tx1"/>
            </w14:solidFill>
          </w14:textFill>
        </w:rPr>
      </w:sdtEndPr>
      <w:sdtContent>
        <w:p w14:paraId="5C13AFE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F76EEB5">
      <w:pPr>
        <w:jc w:val="right"/>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单位：</w:t>
      </w:r>
      <w:sdt>
        <w:sdtPr>
          <w:rPr>
            <w:rFonts w:hint="eastAsia" w:cs="Cambria"/>
            <w:color w:val="000000" w:themeColor="text1"/>
            <w14:textFill>
              <w14:solidFill>
                <w14:schemeClr w14:val="tx1"/>
              </w14:solidFill>
            </w14:textFill>
          </w:rPr>
          <w:alias w:val="单位：财务附注：关键管理人员报酬"/>
          <w:tag w:val="_GBC_ce83ed5df8424f9a845da83f15361f10"/>
          <w:id w:val="3257082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万元</w:t>
          </w:r>
        </w:sdtContent>
      </w:sdt>
      <w:r>
        <w:rPr>
          <w:rFonts w:hint="eastAsia" w:cs="Cambria"/>
          <w:color w:val="000000" w:themeColor="text1"/>
          <w14:textFill>
            <w14:solidFill>
              <w14:schemeClr w14:val="tx1"/>
            </w14:solidFill>
          </w14:textFill>
        </w:rPr>
        <w:t xml:space="preserve">  币种：</w:t>
      </w:r>
      <w:sdt>
        <w:sdtPr>
          <w:rPr>
            <w:rFonts w:hint="eastAsia" w:cs="Cambria"/>
            <w:color w:val="000000" w:themeColor="text1"/>
            <w14:textFill>
              <w14:solidFill>
                <w14:schemeClr w14:val="tx1"/>
              </w14:solidFill>
            </w14:textFill>
          </w:rPr>
          <w:alias w:val="币种：财务附注：关键管理人员报酬"/>
          <w:tag w:val="_GBC_f493c9ef199846639115d5bc3032a26e"/>
          <w:id w:val="11388478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color w:val="000000" w:themeColor="text1"/>
            <w14:textFill>
              <w14:solidFill>
                <w14:schemeClr w14:val="tx1"/>
              </w14:solidFill>
            </w14:textFill>
          </w:rPr>
        </w:sdtEndPr>
        <w:sdtContent>
          <w:r>
            <w:rPr>
              <w:rFonts w:hint="eastAsia" w:cs="Cambr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3274"/>
        <w:gridCol w:w="2501"/>
      </w:tblGrid>
      <w:tr w14:paraId="5BEF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7f843efe3664c9fbe7a215b63622ea0"/>
            <w:id w:val="1376817344"/>
          </w:sdtPr>
          <w:sdtContent>
            <w:tc>
              <w:tcPr>
                <w:tcW w:w="1809" w:type="pct"/>
                <w:tcBorders>
                  <w:top w:val="single" w:color="auto" w:sz="4" w:space="0"/>
                  <w:left w:val="single" w:color="auto" w:sz="4" w:space="0"/>
                  <w:bottom w:val="single" w:color="auto" w:sz="4" w:space="0"/>
                  <w:right w:val="single" w:color="auto" w:sz="4" w:space="0"/>
                </w:tcBorders>
                <w:vAlign w:val="center"/>
              </w:tcPr>
              <w:p w14:paraId="79BDE1C7">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项目</w:t>
                </w:r>
              </w:p>
            </w:tc>
          </w:sdtContent>
        </w:sdt>
        <w:sdt>
          <w:sdtPr>
            <w:tag w:val="_PLD_30a169af324e457e93d304c688a55945"/>
            <w:id w:val="1731038897"/>
          </w:sdtPr>
          <w:sdtContent>
            <w:tc>
              <w:tcPr>
                <w:tcW w:w="1809" w:type="pct"/>
                <w:tcBorders>
                  <w:top w:val="single" w:color="auto" w:sz="4" w:space="0"/>
                  <w:left w:val="single" w:color="auto" w:sz="4" w:space="0"/>
                  <w:bottom w:val="single" w:color="auto" w:sz="4" w:space="0"/>
                  <w:right w:val="single" w:color="auto" w:sz="4" w:space="0"/>
                </w:tcBorders>
                <w:vAlign w:val="center"/>
              </w:tcPr>
              <w:p w14:paraId="1A61894F">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本期发生额</w:t>
                </w:r>
              </w:p>
            </w:tc>
          </w:sdtContent>
        </w:sdt>
        <w:sdt>
          <w:sdtPr>
            <w:tag w:val="_PLD_bf5a91780f544d6eade38e70db331a30"/>
            <w:id w:val="-1938822355"/>
          </w:sdtPr>
          <w:sdtContent>
            <w:tc>
              <w:tcPr>
                <w:tcW w:w="1382" w:type="pct"/>
                <w:tcBorders>
                  <w:top w:val="single" w:color="auto" w:sz="4" w:space="0"/>
                  <w:left w:val="single" w:color="auto" w:sz="4" w:space="0"/>
                  <w:bottom w:val="single" w:color="auto" w:sz="4" w:space="0"/>
                  <w:right w:val="single" w:color="auto" w:sz="4" w:space="0"/>
                </w:tcBorders>
                <w:vAlign w:val="center"/>
              </w:tcPr>
              <w:p w14:paraId="350AEB20">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上期发生额</w:t>
                </w:r>
              </w:p>
            </w:tc>
          </w:sdtContent>
        </w:sdt>
      </w:tr>
      <w:tr w14:paraId="2312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Borders>
              <w:top w:val="single" w:color="auto" w:sz="4" w:space="0"/>
              <w:left w:val="single" w:color="auto" w:sz="4" w:space="0"/>
              <w:bottom w:val="single" w:color="auto" w:sz="4" w:space="0"/>
              <w:right w:val="single" w:color="auto" w:sz="4" w:space="0"/>
            </w:tcBorders>
          </w:tcPr>
          <w:p w14:paraId="26809766">
            <w:pPr>
              <w:jc w:val="center"/>
              <w:rPr>
                <w:rFonts w:cs="Cambria"/>
                <w:color w:val="000000" w:themeColor="text1"/>
                <w14:textFill>
                  <w14:solidFill>
                    <w14:schemeClr w14:val="tx1"/>
                  </w14:solidFill>
                </w14:textFill>
              </w:rPr>
            </w:pPr>
            <w:r>
              <w:rPr>
                <w:rFonts w:hint="eastAsia" w:cs="Cambria"/>
                <w:color w:val="000000" w:themeColor="text1"/>
                <w14:textFill>
                  <w14:solidFill>
                    <w14:schemeClr w14:val="tx1"/>
                  </w14:solidFill>
                </w14:textFill>
              </w:rPr>
              <w:t>关键管理人员报酬</w:t>
            </w:r>
          </w:p>
        </w:tc>
        <w:tc>
          <w:tcPr>
            <w:tcW w:w="1809" w:type="pct"/>
            <w:tcBorders>
              <w:top w:val="single" w:color="auto" w:sz="4" w:space="0"/>
              <w:left w:val="single" w:color="auto" w:sz="4" w:space="0"/>
              <w:bottom w:val="single" w:color="auto" w:sz="4" w:space="0"/>
              <w:right w:val="single" w:color="auto" w:sz="4" w:space="0"/>
            </w:tcBorders>
          </w:tcPr>
          <w:p w14:paraId="57C435BF">
            <w:pPr>
              <w:jc w:val="right"/>
              <w:rPr>
                <w:rFonts w:cs="Cambria"/>
              </w:rPr>
            </w:pPr>
            <w:r>
              <w:rPr>
                <w:rFonts w:cs="Cambria"/>
              </w:rPr>
              <w:t>409.78</w:t>
            </w:r>
          </w:p>
        </w:tc>
        <w:tc>
          <w:tcPr>
            <w:tcW w:w="1382" w:type="pct"/>
            <w:tcBorders>
              <w:top w:val="single" w:color="auto" w:sz="4" w:space="0"/>
              <w:left w:val="single" w:color="auto" w:sz="4" w:space="0"/>
              <w:bottom w:val="single" w:color="auto" w:sz="4" w:space="0"/>
              <w:right w:val="single" w:color="auto" w:sz="4" w:space="0"/>
            </w:tcBorders>
          </w:tcPr>
          <w:p w14:paraId="3FF50005">
            <w:pPr>
              <w:jc w:val="right"/>
              <w:rPr>
                <w:rFonts w:cs="Cambria"/>
              </w:rPr>
            </w:pPr>
            <w:r>
              <w:t>294.96</w:t>
            </w:r>
          </w:p>
        </w:tc>
      </w:tr>
    </w:tbl>
    <w:p w14:paraId="22987515">
      <w:pPr>
        <w:rPr>
          <w:color w:val="000000" w:themeColor="text1"/>
          <w14:textFill>
            <w14:solidFill>
              <w14:schemeClr w14:val="tx1"/>
            </w14:solidFill>
          </w14:textFill>
        </w:rPr>
      </w:pPr>
    </w:p>
    <w:p w14:paraId="625C65B3">
      <w:pPr>
        <w:pStyle w:val="5"/>
        <w:numPr>
          <w:ilvl w:val="0"/>
          <w:numId w:val="92"/>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其他关联交易</w:t>
      </w:r>
    </w:p>
    <w:sdt>
      <w:sdtPr>
        <w:rPr>
          <w:color w:val="000000" w:themeColor="text1"/>
          <w14:textFill>
            <w14:solidFill>
              <w14:schemeClr w14:val="tx1"/>
            </w14:solidFill>
          </w14:textFill>
        </w:rPr>
        <w:alias w:val="是否适用：其他关联交易[双击切换]"/>
        <w:tag w:val="_GBC_9768a300838a499089a7b814ff3d817d"/>
        <w:id w:val="-1848546931"/>
        <w:placeholder>
          <w:docPart w:val="GBC22222222222222222222222222222"/>
        </w:placeholder>
      </w:sdtPr>
      <w:sdtEndPr>
        <w:rPr>
          <w:color w:val="000000" w:themeColor="text1"/>
          <w14:textFill>
            <w14:solidFill>
              <w14:schemeClr w14:val="tx1"/>
            </w14:solidFill>
          </w14:textFill>
        </w:rPr>
      </w:sdtEndPr>
      <w:sdtContent>
        <w:p w14:paraId="5FB5451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其他关联交易的情况"/>
        <w:tag w:val="_GBC_6032ff15164341538a97d5ac05a80e23"/>
        <w:id w:val="-1326590620"/>
        <w:placeholder>
          <w:docPart w:val="GBC22222222222222222222222222222"/>
        </w:placeholder>
      </w:sdtPr>
      <w:sdtEndPr>
        <w:rPr>
          <w:color w:val="000000" w:themeColor="text1"/>
          <w14:textFill>
            <w14:solidFill>
              <w14:schemeClr w14:val="tx1"/>
            </w14:solidFill>
          </w14:textFill>
        </w:rPr>
      </w:sdtEndPr>
      <w:sdtContent>
        <w:p w14:paraId="7F02432C">
          <w:pPr>
            <w:rPr>
              <w:color w:val="000000" w:themeColor="text1"/>
              <w14:textFill>
                <w14:solidFill>
                  <w14:schemeClr w14:val="tx1"/>
                </w14:solidFill>
              </w14:textFill>
            </w:rPr>
          </w:pPr>
        </w:p>
        <w:tbl>
          <w:tblPr>
            <w:tblStyle w:val="37"/>
            <w:tblW w:w="8680" w:type="dxa"/>
            <w:tblInd w:w="0" w:type="dxa"/>
            <w:tblLayout w:type="autofit"/>
            <w:tblCellMar>
              <w:top w:w="0" w:type="dxa"/>
              <w:left w:w="108" w:type="dxa"/>
              <w:bottom w:w="0" w:type="dxa"/>
              <w:right w:w="108" w:type="dxa"/>
            </w:tblCellMar>
          </w:tblPr>
          <w:tblGrid>
            <w:gridCol w:w="2020"/>
            <w:gridCol w:w="3620"/>
            <w:gridCol w:w="1520"/>
            <w:gridCol w:w="1520"/>
          </w:tblGrid>
          <w:tr w14:paraId="6426D920">
            <w:tblPrEx>
              <w:tblCellMar>
                <w:top w:w="0" w:type="dxa"/>
                <w:left w:w="108" w:type="dxa"/>
                <w:bottom w:w="0" w:type="dxa"/>
                <w:right w:w="108" w:type="dxa"/>
              </w:tblCellMar>
            </w:tblPrEx>
            <w:trPr>
              <w:trHeight w:val="280" w:hRule="atLeast"/>
            </w:trPr>
            <w:tc>
              <w:tcPr>
                <w:tcW w:w="2020" w:type="dxa"/>
                <w:tcBorders>
                  <w:top w:val="nil"/>
                  <w:left w:val="nil"/>
                  <w:bottom w:val="nil"/>
                  <w:right w:val="nil"/>
                </w:tcBorders>
                <w:noWrap/>
                <w:vAlign w:val="bottom"/>
              </w:tcPr>
              <w:p w14:paraId="05453091">
                <w:pPr>
                  <w:rPr>
                    <w:rFonts w:ascii="宋体" w:hAnsi="宋体"/>
                    <w:sz w:val="24"/>
                    <w:szCs w:val="24"/>
                  </w:rPr>
                </w:pPr>
              </w:p>
            </w:tc>
            <w:tc>
              <w:tcPr>
                <w:tcW w:w="3620" w:type="dxa"/>
                <w:tcBorders>
                  <w:top w:val="nil"/>
                  <w:left w:val="nil"/>
                  <w:bottom w:val="nil"/>
                  <w:right w:val="nil"/>
                </w:tcBorders>
                <w:noWrap/>
                <w:vAlign w:val="center"/>
              </w:tcPr>
              <w:p w14:paraId="1EFE2535">
                <w:pPr>
                  <w:rPr>
                    <w:rFonts w:eastAsia="Times New Roman" w:cs="Times New Roman"/>
                    <w:sz w:val="20"/>
                    <w:szCs w:val="20"/>
                  </w:rPr>
                </w:pPr>
              </w:p>
            </w:tc>
            <w:tc>
              <w:tcPr>
                <w:tcW w:w="3040" w:type="dxa"/>
                <w:gridSpan w:val="2"/>
                <w:tcBorders>
                  <w:top w:val="nil"/>
                  <w:left w:val="nil"/>
                  <w:bottom w:val="nil"/>
                  <w:right w:val="nil"/>
                </w:tcBorders>
                <w:noWrap/>
                <w:vAlign w:val="bottom"/>
              </w:tcPr>
              <w:p w14:paraId="266011F6">
                <w:pPr>
                  <w:jc w:val="right"/>
                  <w:rPr>
                    <w:rFonts w:ascii="宋体" w:hAnsi="宋体"/>
                    <w:color w:val="000000"/>
                  </w:rPr>
                </w:pPr>
                <w:r>
                  <w:rPr>
                    <w:rFonts w:hint="eastAsia" w:ascii="宋体" w:hAnsi="宋体"/>
                    <w:color w:val="000000"/>
                  </w:rPr>
                  <w:t>单位：元 币种：人民币</w:t>
                </w:r>
              </w:p>
            </w:tc>
          </w:tr>
          <w:tr w14:paraId="5D9F6AA2">
            <w:tblPrEx>
              <w:tblCellMar>
                <w:top w:w="0" w:type="dxa"/>
                <w:left w:w="108" w:type="dxa"/>
                <w:bottom w:w="0" w:type="dxa"/>
                <w:right w:w="108" w:type="dxa"/>
              </w:tblCellMar>
            </w:tblPrEx>
            <w:trPr>
              <w:trHeight w:val="280" w:hRule="atLeast"/>
            </w:trPr>
            <w:tc>
              <w:tcPr>
                <w:tcW w:w="2020" w:type="dxa"/>
                <w:tcBorders>
                  <w:top w:val="single" w:color="auto" w:sz="4" w:space="0"/>
                  <w:left w:val="single" w:color="auto" w:sz="4" w:space="0"/>
                  <w:bottom w:val="single" w:color="auto" w:sz="4" w:space="0"/>
                  <w:right w:val="single" w:color="auto" w:sz="4" w:space="0"/>
                </w:tcBorders>
                <w:noWrap/>
                <w:vAlign w:val="center"/>
              </w:tcPr>
              <w:p w14:paraId="329D8B7A">
                <w:pPr>
                  <w:jc w:val="center"/>
                  <w:rPr>
                    <w:rFonts w:ascii="宋体" w:hAnsi="宋体"/>
                    <w:color w:val="000000"/>
                  </w:rPr>
                </w:pPr>
                <w:r>
                  <w:rPr>
                    <w:rFonts w:hint="eastAsia" w:ascii="宋体" w:hAnsi="宋体"/>
                    <w:color w:val="000000"/>
                  </w:rPr>
                  <w:t>交易类型</w:t>
                </w:r>
              </w:p>
            </w:tc>
            <w:tc>
              <w:tcPr>
                <w:tcW w:w="3620" w:type="dxa"/>
                <w:tcBorders>
                  <w:top w:val="single" w:color="auto" w:sz="4" w:space="0"/>
                  <w:left w:val="nil"/>
                  <w:bottom w:val="single" w:color="auto" w:sz="4" w:space="0"/>
                  <w:right w:val="single" w:color="auto" w:sz="4" w:space="0"/>
                </w:tcBorders>
                <w:noWrap/>
                <w:vAlign w:val="center"/>
              </w:tcPr>
              <w:p w14:paraId="39E74388">
                <w:pPr>
                  <w:jc w:val="center"/>
                  <w:rPr>
                    <w:rFonts w:ascii="宋体" w:hAnsi="宋体"/>
                    <w:color w:val="000000"/>
                  </w:rPr>
                </w:pPr>
                <w:r>
                  <w:rPr>
                    <w:rFonts w:hint="eastAsia" w:ascii="宋体" w:hAnsi="宋体"/>
                    <w:color w:val="000000"/>
                  </w:rPr>
                  <w:t>关联方名称</w:t>
                </w:r>
              </w:p>
            </w:tc>
            <w:tc>
              <w:tcPr>
                <w:tcW w:w="1520" w:type="dxa"/>
                <w:tcBorders>
                  <w:top w:val="single" w:color="auto" w:sz="4" w:space="0"/>
                  <w:left w:val="nil"/>
                  <w:bottom w:val="single" w:color="auto" w:sz="4" w:space="0"/>
                  <w:right w:val="single" w:color="auto" w:sz="4" w:space="0"/>
                </w:tcBorders>
                <w:noWrap/>
                <w:vAlign w:val="bottom"/>
              </w:tcPr>
              <w:p w14:paraId="66EA983C">
                <w:pPr>
                  <w:jc w:val="center"/>
                  <w:rPr>
                    <w:rFonts w:ascii="宋体" w:hAnsi="宋体"/>
                    <w:color w:val="000000"/>
                  </w:rPr>
                </w:pPr>
                <w:r>
                  <w:rPr>
                    <w:rFonts w:hint="eastAsia" w:ascii="宋体" w:hAnsi="宋体"/>
                    <w:color w:val="000000"/>
                  </w:rPr>
                  <w:t>本期发生额</w:t>
                </w:r>
              </w:p>
            </w:tc>
            <w:tc>
              <w:tcPr>
                <w:tcW w:w="1520" w:type="dxa"/>
                <w:tcBorders>
                  <w:top w:val="single" w:color="auto" w:sz="4" w:space="0"/>
                  <w:left w:val="nil"/>
                  <w:bottom w:val="single" w:color="auto" w:sz="4" w:space="0"/>
                  <w:right w:val="single" w:color="auto" w:sz="4" w:space="0"/>
                </w:tcBorders>
                <w:noWrap/>
                <w:vAlign w:val="bottom"/>
              </w:tcPr>
              <w:p w14:paraId="51C4D139">
                <w:pPr>
                  <w:jc w:val="center"/>
                  <w:rPr>
                    <w:rFonts w:ascii="宋体" w:hAnsi="宋体"/>
                    <w:color w:val="000000"/>
                  </w:rPr>
                </w:pPr>
                <w:r>
                  <w:rPr>
                    <w:rFonts w:hint="eastAsia" w:ascii="宋体" w:hAnsi="宋体"/>
                    <w:color w:val="000000"/>
                  </w:rPr>
                  <w:t>上期发生额</w:t>
                </w:r>
              </w:p>
            </w:tc>
          </w:tr>
          <w:tr w14:paraId="54D021EA">
            <w:tblPrEx>
              <w:tblCellMar>
                <w:top w:w="0" w:type="dxa"/>
                <w:left w:w="108" w:type="dxa"/>
                <w:bottom w:w="0" w:type="dxa"/>
                <w:right w:w="108" w:type="dxa"/>
              </w:tblCellMar>
            </w:tblPrEx>
            <w:trPr>
              <w:trHeight w:val="280" w:hRule="atLeast"/>
            </w:trPr>
            <w:tc>
              <w:tcPr>
                <w:tcW w:w="2020" w:type="dxa"/>
                <w:tcBorders>
                  <w:top w:val="nil"/>
                  <w:left w:val="single" w:color="auto" w:sz="4" w:space="0"/>
                  <w:bottom w:val="single" w:color="auto" w:sz="4" w:space="0"/>
                  <w:right w:val="single" w:color="auto" w:sz="4" w:space="0"/>
                </w:tcBorders>
                <w:noWrap/>
                <w:vAlign w:val="bottom"/>
              </w:tcPr>
              <w:p w14:paraId="57E6C381">
                <w:pPr>
                  <w:jc w:val="center"/>
                  <w:rPr>
                    <w:rFonts w:ascii="宋体" w:hAnsi="宋体"/>
                    <w:color w:val="000000"/>
                  </w:rPr>
                </w:pPr>
                <w:r>
                  <w:rPr>
                    <w:rFonts w:hint="eastAsia" w:ascii="宋体" w:hAnsi="宋体"/>
                    <w:color w:val="000000"/>
                  </w:rPr>
                  <w:t>留债利息</w:t>
                </w:r>
              </w:p>
            </w:tc>
            <w:tc>
              <w:tcPr>
                <w:tcW w:w="3620" w:type="dxa"/>
                <w:tcBorders>
                  <w:top w:val="nil"/>
                  <w:left w:val="nil"/>
                  <w:bottom w:val="single" w:color="auto" w:sz="4" w:space="0"/>
                  <w:right w:val="single" w:color="auto" w:sz="4" w:space="0"/>
                </w:tcBorders>
                <w:noWrap/>
                <w:vAlign w:val="bottom"/>
              </w:tcPr>
              <w:p w14:paraId="4644BCB3">
                <w:pPr>
                  <w:jc w:val="center"/>
                  <w:rPr>
                    <w:rFonts w:ascii="宋体" w:hAnsi="宋体"/>
                    <w:color w:val="000000"/>
                  </w:rPr>
                </w:pPr>
                <w:r>
                  <w:rPr>
                    <w:rFonts w:hint="eastAsia" w:ascii="宋体" w:hAnsi="宋体"/>
                    <w:color w:val="000000"/>
                  </w:rPr>
                  <w:t>重庆新能源汽车融资租赁有限公司</w:t>
                </w:r>
              </w:p>
            </w:tc>
            <w:tc>
              <w:tcPr>
                <w:tcW w:w="1520" w:type="dxa"/>
                <w:tcBorders>
                  <w:top w:val="nil"/>
                  <w:left w:val="nil"/>
                  <w:bottom w:val="single" w:color="auto" w:sz="4" w:space="0"/>
                  <w:right w:val="single" w:color="auto" w:sz="4" w:space="0"/>
                </w:tcBorders>
                <w:noWrap/>
                <w:vAlign w:val="bottom"/>
              </w:tcPr>
              <w:p w14:paraId="0215D98A">
                <w:pPr>
                  <w:rPr>
                    <w:rFonts w:ascii="宋体" w:hAnsi="宋体"/>
                    <w:color w:val="000000"/>
                  </w:rPr>
                </w:pPr>
                <w:r>
                  <w:rPr>
                    <w:rFonts w:hint="eastAsia" w:ascii="宋体" w:hAnsi="宋体"/>
                    <w:color w:val="000000"/>
                  </w:rPr>
                  <w:t>　</w:t>
                </w:r>
              </w:p>
            </w:tc>
            <w:tc>
              <w:tcPr>
                <w:tcW w:w="1520" w:type="dxa"/>
                <w:tcBorders>
                  <w:top w:val="nil"/>
                  <w:left w:val="nil"/>
                  <w:bottom w:val="single" w:color="auto" w:sz="4" w:space="0"/>
                  <w:right w:val="single" w:color="auto" w:sz="4" w:space="0"/>
                </w:tcBorders>
                <w:noWrap/>
                <w:vAlign w:val="bottom"/>
              </w:tcPr>
              <w:p w14:paraId="09C6391B">
                <w:pPr>
                  <w:jc w:val="right"/>
                  <w:rPr>
                    <w:rFonts w:ascii="宋体" w:hAnsi="宋体"/>
                    <w:color w:val="000000"/>
                  </w:rPr>
                </w:pPr>
                <w:r>
                  <w:rPr>
                    <w:rFonts w:hint="eastAsia" w:ascii="宋体" w:hAnsi="宋体"/>
                    <w:color w:val="000000"/>
                  </w:rPr>
                  <w:t>70,371.02</w:t>
                </w:r>
              </w:p>
            </w:tc>
          </w:tr>
          <w:tr w14:paraId="36013C67">
            <w:tblPrEx>
              <w:tblCellMar>
                <w:top w:w="0" w:type="dxa"/>
                <w:left w:w="108" w:type="dxa"/>
                <w:bottom w:w="0" w:type="dxa"/>
                <w:right w:w="108" w:type="dxa"/>
              </w:tblCellMar>
            </w:tblPrEx>
            <w:trPr>
              <w:trHeight w:val="280" w:hRule="atLeast"/>
            </w:trPr>
            <w:tc>
              <w:tcPr>
                <w:tcW w:w="5640" w:type="dxa"/>
                <w:gridSpan w:val="2"/>
                <w:tcBorders>
                  <w:top w:val="single" w:color="auto" w:sz="4" w:space="0"/>
                  <w:left w:val="single" w:color="auto" w:sz="4" w:space="0"/>
                  <w:bottom w:val="single" w:color="auto" w:sz="4" w:space="0"/>
                  <w:right w:val="single" w:color="000000" w:sz="4" w:space="0"/>
                </w:tcBorders>
                <w:noWrap/>
                <w:vAlign w:val="bottom"/>
              </w:tcPr>
              <w:p w14:paraId="5DDEBE35">
                <w:pPr>
                  <w:jc w:val="center"/>
                  <w:rPr>
                    <w:rFonts w:ascii="宋体" w:hAnsi="宋体"/>
                    <w:color w:val="000000"/>
                  </w:rPr>
                </w:pPr>
                <w:r>
                  <w:rPr>
                    <w:rFonts w:hint="eastAsia" w:ascii="宋体" w:hAnsi="宋体"/>
                    <w:color w:val="000000"/>
                  </w:rPr>
                  <w:t>合计</w:t>
                </w:r>
              </w:p>
            </w:tc>
            <w:tc>
              <w:tcPr>
                <w:tcW w:w="1520" w:type="dxa"/>
                <w:tcBorders>
                  <w:top w:val="nil"/>
                  <w:left w:val="nil"/>
                  <w:bottom w:val="single" w:color="auto" w:sz="4" w:space="0"/>
                  <w:right w:val="single" w:color="auto" w:sz="4" w:space="0"/>
                </w:tcBorders>
                <w:noWrap/>
                <w:vAlign w:val="bottom"/>
              </w:tcPr>
              <w:p w14:paraId="64612452">
                <w:pPr>
                  <w:rPr>
                    <w:rFonts w:ascii="宋体" w:hAnsi="宋体"/>
                    <w:color w:val="000000"/>
                  </w:rPr>
                </w:pPr>
                <w:r>
                  <w:rPr>
                    <w:rFonts w:hint="eastAsia" w:ascii="宋体" w:hAnsi="宋体"/>
                    <w:color w:val="000000"/>
                  </w:rPr>
                  <w:t>　</w:t>
                </w:r>
              </w:p>
            </w:tc>
            <w:tc>
              <w:tcPr>
                <w:tcW w:w="1520" w:type="dxa"/>
                <w:tcBorders>
                  <w:top w:val="nil"/>
                  <w:left w:val="nil"/>
                  <w:bottom w:val="single" w:color="auto" w:sz="4" w:space="0"/>
                  <w:right w:val="single" w:color="auto" w:sz="4" w:space="0"/>
                </w:tcBorders>
                <w:noWrap/>
                <w:vAlign w:val="bottom"/>
              </w:tcPr>
              <w:p w14:paraId="5627E33A">
                <w:pPr>
                  <w:jc w:val="right"/>
                  <w:rPr>
                    <w:rFonts w:ascii="宋体" w:hAnsi="宋体"/>
                    <w:color w:val="000000"/>
                  </w:rPr>
                </w:pPr>
                <w:r>
                  <w:rPr>
                    <w:rFonts w:hint="eastAsia" w:ascii="宋体" w:hAnsi="宋体"/>
                    <w:color w:val="000000"/>
                  </w:rPr>
                  <w:t>70,371.02</w:t>
                </w:r>
              </w:p>
            </w:tc>
          </w:tr>
        </w:tbl>
        <w:p w14:paraId="4784B0F9">
          <w:pPr>
            <w:rPr>
              <w:color w:val="000000" w:themeColor="text1"/>
              <w14:textFill>
                <w14:solidFill>
                  <w14:schemeClr w14:val="tx1"/>
                </w14:solidFill>
              </w14:textFill>
            </w:rPr>
          </w:pPr>
        </w:p>
      </w:sdtContent>
    </w:sdt>
    <w:p w14:paraId="4FDD28A4">
      <w:pPr>
        <w:pStyle w:val="5"/>
      </w:pPr>
      <w:r>
        <w:rPr>
          <w:rFonts w:hint="eastAsia"/>
        </w:rPr>
        <w:t>(</w:t>
      </w:r>
      <w:r>
        <w:t>9)</w:t>
      </w:r>
      <w:r>
        <w:rPr>
          <w:rFonts w:hint="eastAsia"/>
        </w:rPr>
        <w:t>.</w:t>
      </w:r>
      <w:r>
        <w:t xml:space="preserve">  关联金融服务</w:t>
      </w:r>
    </w:p>
    <w:p w14:paraId="069469EE">
      <w:pPr>
        <w:spacing w:line="360" w:lineRule="auto"/>
        <w:ind w:firstLine="420" w:firstLineChars="200"/>
      </w:pPr>
      <w:r>
        <w:rPr>
          <w:rFonts w:hint="eastAsia"/>
        </w:rPr>
        <w:t>1）接受重庆银行股份有限公司的金融服务</w:t>
      </w:r>
    </w:p>
    <w:p w14:paraId="178A2685">
      <w:pPr>
        <w:spacing w:line="360" w:lineRule="auto"/>
        <w:ind w:firstLine="420" w:firstLineChars="200"/>
      </w:pPr>
      <w:r>
        <w:rPr>
          <w:rFonts w:hint="eastAsia"/>
        </w:rPr>
        <w:t>202</w:t>
      </w:r>
      <w:r>
        <w:t>5年</w:t>
      </w:r>
      <w:r>
        <w:rPr>
          <w:rFonts w:hint="eastAsia"/>
        </w:rPr>
        <w:t>1</w:t>
      </w:r>
      <w:r>
        <w:t>-6</w:t>
      </w:r>
      <w:r>
        <w:rPr>
          <w:rFonts w:hint="eastAsia"/>
        </w:rPr>
        <w:t>月重庆银行股份有限公司向本公司提供存款、贷款、结算等金融服务。截至 202</w:t>
      </w:r>
      <w:r>
        <w:t>5</w:t>
      </w:r>
      <w:r>
        <w:rPr>
          <w:rFonts w:hint="eastAsia"/>
        </w:rPr>
        <w:t>年</w:t>
      </w:r>
      <w:r>
        <w:t>6</w:t>
      </w:r>
      <w:r>
        <w:rPr>
          <w:rFonts w:hint="eastAsia"/>
        </w:rPr>
        <w:t>月3</w:t>
      </w:r>
      <w:r>
        <w:t>0</w:t>
      </w:r>
      <w:r>
        <w:rPr>
          <w:rFonts w:hint="eastAsia"/>
        </w:rPr>
        <w:t>日，本公司在该行的银行存款余额为5,</w:t>
      </w:r>
      <w:r>
        <w:t>447,622.99</w:t>
      </w:r>
      <w:r>
        <w:rPr>
          <w:rFonts w:hint="eastAsia"/>
        </w:rPr>
        <w:t>元；应收票据（经销商尚未支付的票据金额）</w:t>
      </w:r>
      <w:r>
        <w:t>50,000.00</w:t>
      </w:r>
      <w:r>
        <w:rPr>
          <w:rFonts w:hint="eastAsia"/>
        </w:rPr>
        <w:t>元；应收利息余额0元；应付利息余额</w:t>
      </w:r>
      <w:r>
        <w:t>0</w:t>
      </w:r>
      <w:r>
        <w:rPr>
          <w:rFonts w:hint="eastAsia"/>
        </w:rPr>
        <w:t>元；借款余额为0元。202</w:t>
      </w:r>
      <w:r>
        <w:t>5</w:t>
      </w:r>
      <w:r>
        <w:rPr>
          <w:rFonts w:hint="eastAsia"/>
        </w:rPr>
        <w:t>年1</w:t>
      </w:r>
      <w:r>
        <w:t>-6</w:t>
      </w:r>
      <w:r>
        <w:rPr>
          <w:rFonts w:hint="eastAsia"/>
        </w:rPr>
        <w:t>月利息收入14</w:t>
      </w:r>
      <w:r>
        <w:t>0</w:t>
      </w:r>
      <w:r>
        <w:rPr>
          <w:rFonts w:hint="eastAsia"/>
        </w:rPr>
        <w:t>,</w:t>
      </w:r>
      <w:r>
        <w:t>792</w:t>
      </w:r>
      <w:r>
        <w:rPr>
          <w:rFonts w:hint="eastAsia"/>
        </w:rPr>
        <w:t>.</w:t>
      </w:r>
      <w:r>
        <w:t>82</w:t>
      </w:r>
      <w:r>
        <w:rPr>
          <w:rFonts w:hint="eastAsia"/>
        </w:rPr>
        <w:t>元、利息支出</w:t>
      </w:r>
      <w:r>
        <w:t>8</w:t>
      </w:r>
      <w:r>
        <w:rPr>
          <w:rFonts w:hint="eastAsia"/>
        </w:rPr>
        <w:t>7</w:t>
      </w:r>
      <w:r>
        <w:t>8</w:t>
      </w:r>
      <w:r>
        <w:rPr>
          <w:rFonts w:hint="eastAsia"/>
        </w:rPr>
        <w:t>,</w:t>
      </w:r>
      <w:r>
        <w:t>029</w:t>
      </w:r>
      <w:r>
        <w:rPr>
          <w:rFonts w:hint="eastAsia"/>
        </w:rPr>
        <w:t>.</w:t>
      </w:r>
      <w:r>
        <w:t>95</w:t>
      </w:r>
      <w:r>
        <w:rPr>
          <w:rFonts w:hint="eastAsia"/>
        </w:rPr>
        <w:t>元、手续费</w:t>
      </w:r>
      <w:r>
        <w:t>6</w:t>
      </w:r>
      <w:r>
        <w:rPr>
          <w:rFonts w:hint="eastAsia"/>
        </w:rPr>
        <w:t>,</w:t>
      </w:r>
      <w:r>
        <w:t>378</w:t>
      </w:r>
      <w:r>
        <w:rPr>
          <w:rFonts w:hint="eastAsia"/>
        </w:rPr>
        <w:t>.</w:t>
      </w:r>
      <w:r>
        <w:t>92</w:t>
      </w:r>
      <w:r>
        <w:rPr>
          <w:rFonts w:hint="eastAsia"/>
        </w:rPr>
        <w:t>元。上述关联交易均属于日常经营业务，系交易双方协商一致，且以不优于该行对非关联方同类交易的条件进行, 其中存款利率均按照中国人民银行颁布的基准利率及浮动区间执行。</w:t>
      </w:r>
    </w:p>
    <w:p w14:paraId="746C98E6">
      <w:pPr>
        <w:spacing w:line="360" w:lineRule="auto"/>
        <w:ind w:firstLine="420" w:firstLineChars="200"/>
      </w:pPr>
      <w:r>
        <w:rPr>
          <w:rFonts w:hint="eastAsia"/>
        </w:rPr>
        <w:t>2）接受吉致汽车金融有限公司、浙江智慧普华融资租赁有限公司的金融服务</w:t>
      </w:r>
    </w:p>
    <w:p w14:paraId="2CE56301">
      <w:pPr>
        <w:spacing w:line="360" w:lineRule="auto"/>
        <w:ind w:firstLine="420" w:firstLineChars="200"/>
      </w:pPr>
      <w:r>
        <w:rPr>
          <w:rFonts w:hint="eastAsia"/>
        </w:rPr>
        <w:t>本公司子公司重庆睿蓝汽车销售有限公司（以下简称“睿蓝销售”）拟分别与吉致汽车金融有限公司（以下简称“吉致金融”）、浙江智慧普华融资租赁有限公司(以下简称“智慧普华”)签订《金融合作协议》，吉致金融和智慧普华将分别提供汽车贷款和融资租赁服务以帮助终端客户从睿蓝销售的经销商处购买汽车产品，睿蓝销售提供总额不超过2亿元的贴息支持，协议有效期为三年。截至202</w:t>
      </w:r>
      <w:r>
        <w:t>5</w:t>
      </w:r>
      <w:r>
        <w:rPr>
          <w:rFonts w:hint="eastAsia"/>
        </w:rPr>
        <w:t>年</w:t>
      </w:r>
      <w:r>
        <w:t>6</w:t>
      </w:r>
      <w:r>
        <w:rPr>
          <w:rFonts w:hint="eastAsia"/>
        </w:rPr>
        <w:t>月3</w:t>
      </w:r>
      <w:r>
        <w:t>0</w:t>
      </w:r>
      <w:r>
        <w:rPr>
          <w:rFonts w:hint="eastAsia"/>
        </w:rPr>
        <w:t>日，累计提供2</w:t>
      </w:r>
      <w:r>
        <w:t>2</w:t>
      </w:r>
      <w:r>
        <w:rPr>
          <w:rFonts w:hint="eastAsia"/>
        </w:rPr>
        <w:t>,</w:t>
      </w:r>
      <w:r>
        <w:t>950</w:t>
      </w:r>
      <w:r>
        <w:rPr>
          <w:rFonts w:hint="eastAsia"/>
        </w:rPr>
        <w:t>,</w:t>
      </w:r>
      <w:r>
        <w:t>906</w:t>
      </w:r>
      <w:r>
        <w:rPr>
          <w:rFonts w:hint="eastAsia"/>
        </w:rPr>
        <w:t>.</w:t>
      </w:r>
      <w:r>
        <w:t>33</w:t>
      </w:r>
      <w:r>
        <w:rPr>
          <w:rFonts w:hint="eastAsia"/>
        </w:rPr>
        <w:t>元贴息支持，其中吉致金融</w:t>
      </w:r>
      <w:r>
        <w:t>21</w:t>
      </w:r>
      <w:r>
        <w:rPr>
          <w:rFonts w:hint="eastAsia"/>
        </w:rPr>
        <w:t>,</w:t>
      </w:r>
      <w:r>
        <w:t>121</w:t>
      </w:r>
      <w:r>
        <w:rPr>
          <w:rFonts w:hint="eastAsia"/>
        </w:rPr>
        <w:t>,</w:t>
      </w:r>
      <w:r>
        <w:t>502</w:t>
      </w:r>
      <w:r>
        <w:rPr>
          <w:rFonts w:hint="eastAsia"/>
        </w:rPr>
        <w:t>.</w:t>
      </w:r>
      <w:r>
        <w:t>02</w:t>
      </w:r>
      <w:r>
        <w:rPr>
          <w:rFonts w:hint="eastAsia"/>
        </w:rPr>
        <w:t>元，智慧普华1,82</w:t>
      </w:r>
      <w:r>
        <w:t>9</w:t>
      </w:r>
      <w:r>
        <w:rPr>
          <w:rFonts w:hint="eastAsia"/>
        </w:rPr>
        <w:t>,404.31元。</w:t>
      </w:r>
    </w:p>
    <w:p w14:paraId="68CB77AF"/>
    <w:p w14:paraId="25FA51EF">
      <w:pPr>
        <w:pStyle w:val="4"/>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应收、应付关联方等未结算项目情况</w:t>
      </w:r>
    </w:p>
    <w:p w14:paraId="517B9C31">
      <w:pPr>
        <w:pStyle w:val="5"/>
        <w:numPr>
          <w:ilvl w:val="0"/>
          <w:numId w:val="93"/>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应收项目</w:t>
      </w:r>
    </w:p>
    <w:sdt>
      <w:sdtPr>
        <w:rPr>
          <w:color w:val="000000" w:themeColor="text1"/>
          <w14:textFill>
            <w14:solidFill>
              <w14:schemeClr w14:val="tx1"/>
            </w14:solidFill>
          </w14:textFill>
        </w:rPr>
        <w:alias w:val="是否适用：应收项目[双击切换]"/>
        <w:tag w:val="_GBC_e5475e28b21641f6895ac4770b2631b5"/>
        <w:id w:val="-998108448"/>
        <w:placeholder>
          <w:docPart w:val="GBC22222222222222222222222222222"/>
        </w:placeholder>
      </w:sdtPr>
      <w:sdtEndPr>
        <w:rPr>
          <w:color w:val="000000" w:themeColor="text1"/>
          <w14:textFill>
            <w14:solidFill>
              <w14:schemeClr w14:val="tx1"/>
            </w14:solidFill>
          </w14:textFill>
        </w:rPr>
      </w:sdtEndPr>
      <w:sdtContent>
        <w:p w14:paraId="086EB35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D07DF9D">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上市公司应收关联方款项"/>
          <w:tag w:val="_GBC_04d0c208b4494e01aba7984c41905093"/>
          <w:id w:val="17024429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上市公司应收关联方款项"/>
          <w:tag w:val="_GBC_b106fdd467084a62837eebe1d06bbbee"/>
          <w:id w:val="2544853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994"/>
        <w:gridCol w:w="2001"/>
        <w:gridCol w:w="1474"/>
        <w:gridCol w:w="1474"/>
        <w:gridCol w:w="1475"/>
        <w:gridCol w:w="1475"/>
      </w:tblGrid>
      <w:tr w14:paraId="79DF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pacing w:val="-10"/>
            </w:rPr>
            <w:tag w:val="_PLD_75750bc8ac464afa98573c85adea097c"/>
            <w:id w:val="1448433161"/>
          </w:sdtPr>
          <w:sdtEndPr>
            <w:rPr>
              <w:spacing w:val="-10"/>
            </w:rPr>
          </w:sdtEndPr>
          <w:sdtContent>
            <w:tc>
              <w:tcPr>
                <w:tcW w:w="559" w:type="pct"/>
                <w:vMerge w:val="restart"/>
                <w:tcBorders>
                  <w:top w:val="single" w:color="auto" w:sz="4" w:space="0"/>
                  <w:left w:val="single" w:color="auto" w:sz="4" w:space="0"/>
                  <w:right w:val="single" w:color="auto" w:sz="4" w:space="0"/>
                </w:tcBorders>
                <w:vAlign w:val="center"/>
              </w:tcPr>
              <w:p w14:paraId="4FBDABDA">
                <w:pPr>
                  <w:ind w:left="-53" w:lef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项目名称</w:t>
                </w:r>
              </w:p>
            </w:tc>
          </w:sdtContent>
        </w:sdt>
        <w:sdt>
          <w:sdtPr>
            <w:rPr>
              <w:spacing w:val="-10"/>
            </w:rPr>
            <w:tag w:val="_PLD_5006be842c534839b3dabcf833329dd5"/>
            <w:id w:val="-470684189"/>
          </w:sdtPr>
          <w:sdtEndPr>
            <w:rPr>
              <w:spacing w:val="-10"/>
            </w:rPr>
          </w:sdtEndPr>
          <w:sdtContent>
            <w:tc>
              <w:tcPr>
                <w:tcW w:w="1125" w:type="pct"/>
                <w:vMerge w:val="restart"/>
                <w:tcBorders>
                  <w:top w:val="single" w:color="auto" w:sz="4" w:space="0"/>
                  <w:left w:val="single" w:color="auto" w:sz="4" w:space="0"/>
                  <w:right w:val="single" w:color="auto" w:sz="4" w:space="0"/>
                </w:tcBorders>
                <w:vAlign w:val="center"/>
              </w:tcPr>
              <w:p w14:paraId="57488350">
                <w:pPr>
                  <w:ind w:left="-53" w:lef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关联方</w:t>
                </w:r>
              </w:p>
            </w:tc>
          </w:sdtContent>
        </w:sdt>
        <w:sdt>
          <w:sdtPr>
            <w:rPr>
              <w:spacing w:val="-10"/>
            </w:rPr>
            <w:tag w:val="_PLD_f8f3c28b2f064090a27f319875eb1b52"/>
            <w:id w:val="-1870056336"/>
          </w:sdtPr>
          <w:sdtEndPr>
            <w:rPr>
              <w:spacing w:val="-10"/>
            </w:rPr>
          </w:sdtEndPr>
          <w:sdtContent>
            <w:tc>
              <w:tcPr>
                <w:tcW w:w="1658" w:type="pct"/>
                <w:gridSpan w:val="2"/>
                <w:tcBorders>
                  <w:top w:val="single" w:color="auto" w:sz="4" w:space="0"/>
                  <w:left w:val="single" w:color="auto" w:sz="4" w:space="0"/>
                  <w:bottom w:val="single" w:color="auto" w:sz="4" w:space="0"/>
                  <w:right w:val="single" w:color="auto" w:sz="4" w:space="0"/>
                </w:tcBorders>
                <w:vAlign w:val="center"/>
              </w:tcPr>
              <w:p w14:paraId="0DC23DCA">
                <w:pPr>
                  <w:ind w:left="-53" w:lef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期末余额</w:t>
                </w:r>
              </w:p>
            </w:tc>
          </w:sdtContent>
        </w:sdt>
        <w:sdt>
          <w:sdtPr>
            <w:rPr>
              <w:spacing w:val="-10"/>
            </w:rPr>
            <w:tag w:val="_PLD_fdab8cbff0b74f19a916d61075f629a0"/>
            <w:id w:val="254025865"/>
          </w:sdtPr>
          <w:sdtEndPr>
            <w:rPr>
              <w:spacing w:val="-10"/>
            </w:rPr>
          </w:sdtEndPr>
          <w:sdtContent>
            <w:tc>
              <w:tcPr>
                <w:tcW w:w="1658" w:type="pct"/>
                <w:gridSpan w:val="2"/>
                <w:tcBorders>
                  <w:top w:val="single" w:color="auto" w:sz="4" w:space="0"/>
                  <w:left w:val="single" w:color="auto" w:sz="4" w:space="0"/>
                  <w:bottom w:val="single" w:color="auto" w:sz="4" w:space="0"/>
                  <w:right w:val="single" w:color="auto" w:sz="4" w:space="0"/>
                </w:tcBorders>
                <w:vAlign w:val="center"/>
              </w:tcPr>
              <w:p w14:paraId="05297519">
                <w:pPr>
                  <w:ind w:left="-53" w:lef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期初余额</w:t>
                </w:r>
              </w:p>
            </w:tc>
          </w:sdtContent>
        </w:sdt>
      </w:tr>
      <w:tr w14:paraId="62C6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bottom w:val="single" w:color="auto" w:sz="4" w:space="0"/>
              <w:right w:val="single" w:color="auto" w:sz="4" w:space="0"/>
            </w:tcBorders>
            <w:vAlign w:val="center"/>
          </w:tcPr>
          <w:p w14:paraId="0BD7801F">
            <w:pPr>
              <w:ind w:left="-53" w:leftChars="-25"/>
              <w:jc w:val="center"/>
              <w:rPr>
                <w:color w:val="000000" w:themeColor="text1"/>
                <w:spacing w:val="-10"/>
                <w14:textFill>
                  <w14:solidFill>
                    <w14:schemeClr w14:val="tx1"/>
                  </w14:solidFill>
                </w14:textFill>
              </w:rPr>
            </w:pPr>
          </w:p>
        </w:tc>
        <w:tc>
          <w:tcPr>
            <w:tcW w:w="1125" w:type="pct"/>
            <w:vMerge w:val="continue"/>
            <w:tcBorders>
              <w:left w:val="single" w:color="auto" w:sz="4" w:space="0"/>
              <w:bottom w:val="single" w:color="auto" w:sz="4" w:space="0"/>
              <w:right w:val="single" w:color="auto" w:sz="4" w:space="0"/>
            </w:tcBorders>
            <w:vAlign w:val="center"/>
          </w:tcPr>
          <w:p w14:paraId="0A3DBEBD">
            <w:pPr>
              <w:ind w:left="-53" w:leftChars="-25"/>
              <w:jc w:val="center"/>
              <w:rPr>
                <w:color w:val="000000" w:themeColor="text1"/>
                <w:spacing w:val="-10"/>
                <w14:textFill>
                  <w14:solidFill>
                    <w14:schemeClr w14:val="tx1"/>
                  </w14:solidFill>
                </w14:textFill>
              </w:rPr>
            </w:pPr>
          </w:p>
        </w:tc>
        <w:sdt>
          <w:sdtPr>
            <w:rPr>
              <w:spacing w:val="-10"/>
            </w:rPr>
            <w:tag w:val="_PLD_5c085d18049644c9860a00b248b7c0ba"/>
            <w:id w:val="2024747166"/>
          </w:sdtPr>
          <w:sdtEndPr>
            <w:rPr>
              <w:spacing w:val="-10"/>
            </w:rPr>
          </w:sdtEndPr>
          <w:sdtContent>
            <w:tc>
              <w:tcPr>
                <w:tcW w:w="829" w:type="pct"/>
                <w:tcBorders>
                  <w:top w:val="single" w:color="auto" w:sz="4" w:space="0"/>
                  <w:left w:val="single" w:color="auto" w:sz="4" w:space="0"/>
                  <w:bottom w:val="single" w:color="auto" w:sz="4" w:space="0"/>
                  <w:right w:val="single" w:color="auto" w:sz="4" w:space="0"/>
                </w:tcBorders>
                <w:vAlign w:val="center"/>
              </w:tcPr>
              <w:p w14:paraId="733C1421">
                <w:pPr>
                  <w:ind w:left="-53" w:lef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账面余额</w:t>
                </w:r>
              </w:p>
            </w:tc>
          </w:sdtContent>
        </w:sdt>
        <w:sdt>
          <w:sdtPr>
            <w:rPr>
              <w:spacing w:val="-10"/>
            </w:rPr>
            <w:tag w:val="_PLD_8262489c05a6417a883e2c877ded6170"/>
            <w:id w:val="1981333625"/>
          </w:sdtPr>
          <w:sdtEndPr>
            <w:rPr>
              <w:spacing w:val="-10"/>
            </w:rPr>
          </w:sdtEndPr>
          <w:sdtContent>
            <w:tc>
              <w:tcPr>
                <w:tcW w:w="829" w:type="pct"/>
                <w:tcBorders>
                  <w:top w:val="single" w:color="auto" w:sz="4" w:space="0"/>
                  <w:left w:val="single" w:color="auto" w:sz="4" w:space="0"/>
                  <w:bottom w:val="single" w:color="auto" w:sz="4" w:space="0"/>
                  <w:right w:val="single" w:color="auto" w:sz="4" w:space="0"/>
                </w:tcBorders>
                <w:vAlign w:val="center"/>
              </w:tcPr>
              <w:p w14:paraId="7338A0A6">
                <w:pPr>
                  <w:ind w:left="-53" w:lef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坏账准备</w:t>
                </w:r>
              </w:p>
            </w:tc>
          </w:sdtContent>
        </w:sdt>
        <w:sdt>
          <w:sdtPr>
            <w:rPr>
              <w:spacing w:val="-10"/>
            </w:rPr>
            <w:tag w:val="_PLD_46c6d827df3f47a3bc83a6dd8718f17e"/>
            <w:id w:val="1161052285"/>
          </w:sdtPr>
          <w:sdtEndPr>
            <w:rPr>
              <w:spacing w:val="-10"/>
            </w:rPr>
          </w:sdtEndPr>
          <w:sdtContent>
            <w:tc>
              <w:tcPr>
                <w:tcW w:w="829" w:type="pct"/>
                <w:tcBorders>
                  <w:top w:val="single" w:color="auto" w:sz="4" w:space="0"/>
                  <w:left w:val="single" w:color="auto" w:sz="4" w:space="0"/>
                  <w:bottom w:val="single" w:color="auto" w:sz="4" w:space="0"/>
                  <w:right w:val="single" w:color="auto" w:sz="4" w:space="0"/>
                </w:tcBorders>
                <w:vAlign w:val="center"/>
              </w:tcPr>
              <w:p w14:paraId="69C60369">
                <w:pPr>
                  <w:ind w:left="-53" w:lef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账面余额</w:t>
                </w:r>
              </w:p>
            </w:tc>
          </w:sdtContent>
        </w:sdt>
        <w:sdt>
          <w:sdtPr>
            <w:rPr>
              <w:spacing w:val="-10"/>
            </w:rPr>
            <w:tag w:val="_PLD_fca2aa8baf8a48a7a4cdc730d7420d47"/>
            <w:id w:val="1188483682"/>
          </w:sdtPr>
          <w:sdtEndPr>
            <w:rPr>
              <w:spacing w:val="-10"/>
            </w:rPr>
          </w:sdtEndPr>
          <w:sdtContent>
            <w:tc>
              <w:tcPr>
                <w:tcW w:w="829" w:type="pct"/>
                <w:tcBorders>
                  <w:top w:val="single" w:color="auto" w:sz="4" w:space="0"/>
                  <w:left w:val="single" w:color="auto" w:sz="4" w:space="0"/>
                  <w:bottom w:val="single" w:color="auto" w:sz="4" w:space="0"/>
                  <w:right w:val="single" w:color="auto" w:sz="4" w:space="0"/>
                </w:tcBorders>
                <w:vAlign w:val="center"/>
              </w:tcPr>
              <w:p w14:paraId="3E90FDC0">
                <w:pPr>
                  <w:ind w:left="-53" w:leftChars="-25"/>
                  <w:jc w:val="center"/>
                  <w:rPr>
                    <w:color w:val="000000" w:themeColor="text1"/>
                    <w:spacing w:val="-10"/>
                    <w14:textFill>
                      <w14:solidFill>
                        <w14:schemeClr w14:val="tx1"/>
                      </w14:solidFill>
                    </w14:textFill>
                  </w:rPr>
                </w:pPr>
                <w:r>
                  <w:rPr>
                    <w:rFonts w:hint="eastAsia"/>
                    <w:color w:val="000000" w:themeColor="text1"/>
                    <w:spacing w:val="-10"/>
                    <w14:textFill>
                      <w14:solidFill>
                        <w14:schemeClr w14:val="tx1"/>
                      </w14:solidFill>
                    </w14:textFill>
                  </w:rPr>
                  <w:t>坏账准备</w:t>
                </w:r>
              </w:p>
            </w:tc>
          </w:sdtContent>
        </w:sdt>
      </w:tr>
      <w:tr w14:paraId="76A0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tcBorders>
              <w:top w:val="single" w:color="auto" w:sz="4" w:space="0"/>
              <w:left w:val="single" w:color="auto" w:sz="4" w:space="0"/>
              <w:bottom w:val="single" w:color="auto" w:sz="4" w:space="0"/>
              <w:right w:val="single" w:color="auto" w:sz="4" w:space="0"/>
            </w:tcBorders>
            <w:vAlign w:val="center"/>
          </w:tcPr>
          <w:p w14:paraId="50ACB719">
            <w:pPr>
              <w:autoSpaceDE w:val="0"/>
              <w:autoSpaceDN w:val="0"/>
              <w:adjustRightInd w:val="0"/>
              <w:ind w:left="-53" w:leftChars="-25"/>
              <w:jc w:val="center"/>
              <w:rPr>
                <w:spacing w:val="-10"/>
              </w:rPr>
            </w:pPr>
            <w:r>
              <w:rPr>
                <w:spacing w:val="-10"/>
              </w:rPr>
              <w:t>银行存款</w:t>
            </w:r>
          </w:p>
        </w:tc>
        <w:tc>
          <w:tcPr>
            <w:tcW w:w="1125" w:type="pct"/>
            <w:tcBorders>
              <w:top w:val="single" w:color="auto" w:sz="4" w:space="0"/>
              <w:left w:val="single" w:color="auto" w:sz="4" w:space="0"/>
              <w:bottom w:val="single" w:color="auto" w:sz="4" w:space="0"/>
              <w:right w:val="single" w:color="auto" w:sz="4" w:space="0"/>
            </w:tcBorders>
            <w:vAlign w:val="center"/>
          </w:tcPr>
          <w:p w14:paraId="60BF9CB7">
            <w:pPr>
              <w:autoSpaceDE w:val="0"/>
              <w:autoSpaceDN w:val="0"/>
              <w:adjustRightInd w:val="0"/>
              <w:ind w:left="-53" w:leftChars="-25"/>
              <w:rPr>
                <w:spacing w:val="-10"/>
              </w:rPr>
            </w:pPr>
            <w:r>
              <w:rPr>
                <w:spacing w:val="-10"/>
              </w:rPr>
              <w:t>重庆银行股份有限公司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59B62D2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5,447,622.99</w:t>
            </w:r>
          </w:p>
        </w:tc>
        <w:tc>
          <w:tcPr>
            <w:tcW w:w="829" w:type="pct"/>
            <w:tcBorders>
              <w:top w:val="single" w:color="auto" w:sz="4" w:space="0"/>
              <w:left w:val="single" w:color="auto" w:sz="4" w:space="0"/>
              <w:bottom w:val="single" w:color="auto" w:sz="4" w:space="0"/>
              <w:right w:val="single" w:color="auto" w:sz="4" w:space="0"/>
            </w:tcBorders>
            <w:vAlign w:val="center"/>
          </w:tcPr>
          <w:p w14:paraId="2D27E6BB">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64086B5">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37,673,320.59</w:t>
            </w:r>
          </w:p>
        </w:tc>
        <w:tc>
          <w:tcPr>
            <w:tcW w:w="829" w:type="pct"/>
            <w:tcBorders>
              <w:top w:val="single" w:color="auto" w:sz="4" w:space="0"/>
              <w:left w:val="single" w:color="auto" w:sz="4" w:space="0"/>
              <w:bottom w:val="single" w:color="auto" w:sz="4" w:space="0"/>
              <w:right w:val="single" w:color="auto" w:sz="4" w:space="0"/>
            </w:tcBorders>
            <w:vAlign w:val="center"/>
          </w:tcPr>
          <w:p w14:paraId="7EAC629B">
            <w:pPr>
              <w:autoSpaceDE w:val="0"/>
              <w:autoSpaceDN w:val="0"/>
              <w:adjustRightInd w:val="0"/>
              <w:ind w:left="-53" w:leftChars="-25"/>
              <w:jc w:val="right"/>
              <w:rPr>
                <w:rFonts w:asciiTheme="minorEastAsia" w:hAnsiTheme="minorEastAsia" w:eastAsiaTheme="minorEastAsia"/>
                <w:spacing w:val="-10"/>
              </w:rPr>
            </w:pPr>
          </w:p>
        </w:tc>
      </w:tr>
      <w:tr w14:paraId="0393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restart"/>
            <w:tcBorders>
              <w:top w:val="single" w:color="auto" w:sz="4" w:space="0"/>
              <w:left w:val="single" w:color="auto" w:sz="4" w:space="0"/>
              <w:right w:val="single" w:color="auto" w:sz="4" w:space="0"/>
            </w:tcBorders>
            <w:vAlign w:val="center"/>
          </w:tcPr>
          <w:p w14:paraId="613244D9">
            <w:pPr>
              <w:autoSpaceDE w:val="0"/>
              <w:autoSpaceDN w:val="0"/>
              <w:adjustRightInd w:val="0"/>
              <w:ind w:left="-53" w:leftChars="-25"/>
              <w:jc w:val="center"/>
              <w:rPr>
                <w:spacing w:val="-10"/>
              </w:rPr>
            </w:pPr>
            <w:r>
              <w:rPr>
                <w:spacing w:val="-10"/>
              </w:rPr>
              <w:t>应收股利</w:t>
            </w:r>
          </w:p>
        </w:tc>
        <w:tc>
          <w:tcPr>
            <w:tcW w:w="1125" w:type="pct"/>
            <w:tcBorders>
              <w:top w:val="single" w:color="auto" w:sz="4" w:space="0"/>
              <w:left w:val="single" w:color="auto" w:sz="4" w:space="0"/>
              <w:bottom w:val="single" w:color="auto" w:sz="4" w:space="0"/>
              <w:right w:val="single" w:color="auto" w:sz="4" w:space="0"/>
            </w:tcBorders>
            <w:vAlign w:val="center"/>
          </w:tcPr>
          <w:p w14:paraId="3A93AEEF">
            <w:pPr>
              <w:autoSpaceDE w:val="0"/>
              <w:autoSpaceDN w:val="0"/>
              <w:adjustRightInd w:val="0"/>
              <w:ind w:left="-53" w:leftChars="-25"/>
              <w:rPr>
                <w:spacing w:val="-10"/>
              </w:rPr>
            </w:pPr>
            <w:r>
              <w:rPr>
                <w:spacing w:val="-10"/>
              </w:rPr>
              <w:t>重庆银行股份有限公司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52B55921">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32C2F84">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56987DD7">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E8D7A11">
            <w:pPr>
              <w:autoSpaceDE w:val="0"/>
              <w:autoSpaceDN w:val="0"/>
              <w:adjustRightInd w:val="0"/>
              <w:ind w:left="-53" w:leftChars="-25"/>
              <w:jc w:val="right"/>
              <w:rPr>
                <w:rFonts w:asciiTheme="minorEastAsia" w:hAnsiTheme="minorEastAsia" w:eastAsiaTheme="minorEastAsia"/>
                <w:spacing w:val="-10"/>
              </w:rPr>
            </w:pPr>
          </w:p>
        </w:tc>
      </w:tr>
      <w:tr w14:paraId="0308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6E540E3F">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00366BAD">
            <w:pPr>
              <w:autoSpaceDE w:val="0"/>
              <w:autoSpaceDN w:val="0"/>
              <w:adjustRightInd w:val="0"/>
              <w:ind w:left="-53" w:leftChars="-25"/>
              <w:rPr>
                <w:spacing w:val="-10"/>
              </w:rPr>
            </w:pPr>
            <w:r>
              <w:rPr>
                <w:spacing w:val="-10"/>
              </w:rPr>
              <w:t>重庆新能源汽车融资租赁有限公司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3FD0481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11,727,677.71</w:t>
            </w:r>
          </w:p>
        </w:tc>
        <w:tc>
          <w:tcPr>
            <w:tcW w:w="829" w:type="pct"/>
            <w:tcBorders>
              <w:top w:val="single" w:color="auto" w:sz="4" w:space="0"/>
              <w:left w:val="single" w:color="auto" w:sz="4" w:space="0"/>
              <w:bottom w:val="single" w:color="auto" w:sz="4" w:space="0"/>
              <w:right w:val="single" w:color="auto" w:sz="4" w:space="0"/>
            </w:tcBorders>
            <w:vAlign w:val="center"/>
          </w:tcPr>
          <w:p w14:paraId="50127A67">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11,727,677.71</w:t>
            </w:r>
          </w:p>
        </w:tc>
        <w:tc>
          <w:tcPr>
            <w:tcW w:w="829" w:type="pct"/>
            <w:tcBorders>
              <w:top w:val="single" w:color="auto" w:sz="4" w:space="0"/>
              <w:left w:val="single" w:color="auto" w:sz="4" w:space="0"/>
              <w:bottom w:val="single" w:color="auto" w:sz="4" w:space="0"/>
              <w:right w:val="single" w:color="auto" w:sz="4" w:space="0"/>
            </w:tcBorders>
            <w:vAlign w:val="center"/>
          </w:tcPr>
          <w:p w14:paraId="3E6BDC89">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11,727,677.71</w:t>
            </w:r>
          </w:p>
        </w:tc>
        <w:tc>
          <w:tcPr>
            <w:tcW w:w="829" w:type="pct"/>
            <w:tcBorders>
              <w:top w:val="single" w:color="auto" w:sz="4" w:space="0"/>
              <w:left w:val="single" w:color="auto" w:sz="4" w:space="0"/>
              <w:bottom w:val="single" w:color="auto" w:sz="4" w:space="0"/>
              <w:right w:val="single" w:color="auto" w:sz="4" w:space="0"/>
            </w:tcBorders>
            <w:vAlign w:val="center"/>
          </w:tcPr>
          <w:p w14:paraId="571F49B8">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11,727,677.71</w:t>
            </w:r>
          </w:p>
        </w:tc>
      </w:tr>
      <w:tr w14:paraId="29B5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bottom w:val="single" w:color="auto" w:sz="4" w:space="0"/>
              <w:right w:val="single" w:color="auto" w:sz="4" w:space="0"/>
            </w:tcBorders>
            <w:vAlign w:val="center"/>
          </w:tcPr>
          <w:p w14:paraId="62CA8DD0">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C072F69">
            <w:pPr>
              <w:autoSpaceDE w:val="0"/>
              <w:autoSpaceDN w:val="0"/>
              <w:adjustRightInd w:val="0"/>
              <w:ind w:left="-53" w:leftChars="-25"/>
              <w:rPr>
                <w:spacing w:val="-10"/>
              </w:rPr>
            </w:pPr>
            <w:r>
              <w:rPr>
                <w:spacing w:val="-10"/>
              </w:rPr>
              <w:t>新能源汽车产业发展（重庆）有限公司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7D729FD3">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1,000,000.00</w:t>
            </w:r>
          </w:p>
        </w:tc>
        <w:tc>
          <w:tcPr>
            <w:tcW w:w="829" w:type="pct"/>
            <w:tcBorders>
              <w:top w:val="single" w:color="auto" w:sz="4" w:space="0"/>
              <w:left w:val="single" w:color="auto" w:sz="4" w:space="0"/>
              <w:bottom w:val="single" w:color="auto" w:sz="4" w:space="0"/>
              <w:right w:val="single" w:color="auto" w:sz="4" w:space="0"/>
            </w:tcBorders>
            <w:vAlign w:val="center"/>
          </w:tcPr>
          <w:p w14:paraId="170AA826">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2B39C01E">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1,000,000.00</w:t>
            </w:r>
          </w:p>
        </w:tc>
        <w:tc>
          <w:tcPr>
            <w:tcW w:w="829" w:type="pct"/>
            <w:tcBorders>
              <w:top w:val="single" w:color="auto" w:sz="4" w:space="0"/>
              <w:left w:val="single" w:color="auto" w:sz="4" w:space="0"/>
              <w:bottom w:val="single" w:color="auto" w:sz="4" w:space="0"/>
              <w:right w:val="single" w:color="auto" w:sz="4" w:space="0"/>
            </w:tcBorders>
            <w:vAlign w:val="center"/>
          </w:tcPr>
          <w:p w14:paraId="709F733B">
            <w:pPr>
              <w:autoSpaceDE w:val="0"/>
              <w:autoSpaceDN w:val="0"/>
              <w:adjustRightInd w:val="0"/>
              <w:ind w:left="-53" w:leftChars="-25"/>
              <w:jc w:val="right"/>
              <w:rPr>
                <w:rFonts w:asciiTheme="minorEastAsia" w:hAnsiTheme="minorEastAsia" w:eastAsiaTheme="minorEastAsia"/>
                <w:spacing w:val="-10"/>
              </w:rPr>
            </w:pPr>
          </w:p>
        </w:tc>
      </w:tr>
      <w:tr w14:paraId="5D37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restart"/>
            <w:tcBorders>
              <w:top w:val="single" w:color="auto" w:sz="4" w:space="0"/>
              <w:left w:val="single" w:color="auto" w:sz="4" w:space="0"/>
              <w:right w:val="single" w:color="auto" w:sz="4" w:space="0"/>
            </w:tcBorders>
            <w:vAlign w:val="center"/>
          </w:tcPr>
          <w:p w14:paraId="1B58D7AD">
            <w:pPr>
              <w:autoSpaceDE w:val="0"/>
              <w:autoSpaceDN w:val="0"/>
              <w:adjustRightInd w:val="0"/>
              <w:ind w:left="-53" w:leftChars="-25"/>
              <w:jc w:val="center"/>
              <w:rPr>
                <w:spacing w:val="-10"/>
              </w:rPr>
            </w:pPr>
            <w:r>
              <w:rPr>
                <w:spacing w:val="-10"/>
              </w:rPr>
              <w:t>应收账款</w:t>
            </w:r>
          </w:p>
        </w:tc>
        <w:tc>
          <w:tcPr>
            <w:tcW w:w="1125" w:type="pct"/>
            <w:tcBorders>
              <w:top w:val="single" w:color="auto" w:sz="4" w:space="0"/>
              <w:left w:val="single" w:color="auto" w:sz="4" w:space="0"/>
              <w:bottom w:val="single" w:color="auto" w:sz="4" w:space="0"/>
              <w:right w:val="single" w:color="auto" w:sz="4" w:space="0"/>
            </w:tcBorders>
            <w:vAlign w:val="center"/>
          </w:tcPr>
          <w:p w14:paraId="6AD49004">
            <w:pPr>
              <w:autoSpaceDE w:val="0"/>
              <w:autoSpaceDN w:val="0"/>
              <w:adjustRightInd w:val="0"/>
              <w:ind w:left="-53" w:leftChars="-25"/>
              <w:rPr>
                <w:spacing w:val="-10"/>
              </w:rPr>
            </w:pPr>
            <w:r>
              <w:rPr>
                <w:spacing w:val="-10"/>
              </w:rPr>
              <w:t>浙江吉利汽车国际贸易有限公司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7B9AF555">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192,871,075.23</w:t>
            </w:r>
          </w:p>
        </w:tc>
        <w:tc>
          <w:tcPr>
            <w:tcW w:w="829" w:type="pct"/>
            <w:tcBorders>
              <w:top w:val="single" w:color="auto" w:sz="4" w:space="0"/>
              <w:left w:val="single" w:color="auto" w:sz="4" w:space="0"/>
              <w:bottom w:val="single" w:color="auto" w:sz="4" w:space="0"/>
              <w:right w:val="single" w:color="auto" w:sz="4" w:space="0"/>
            </w:tcBorders>
            <w:vAlign w:val="center"/>
          </w:tcPr>
          <w:p w14:paraId="4706178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2BD5B85">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282,636,172.48</w:t>
            </w:r>
          </w:p>
        </w:tc>
        <w:tc>
          <w:tcPr>
            <w:tcW w:w="829" w:type="pct"/>
            <w:tcBorders>
              <w:top w:val="single" w:color="auto" w:sz="4" w:space="0"/>
              <w:left w:val="single" w:color="auto" w:sz="4" w:space="0"/>
              <w:bottom w:val="single" w:color="auto" w:sz="4" w:space="0"/>
              <w:right w:val="single" w:color="auto" w:sz="4" w:space="0"/>
            </w:tcBorders>
            <w:vAlign w:val="center"/>
          </w:tcPr>
          <w:p w14:paraId="6F23A276">
            <w:pPr>
              <w:autoSpaceDE w:val="0"/>
              <w:autoSpaceDN w:val="0"/>
              <w:adjustRightInd w:val="0"/>
              <w:ind w:left="-53" w:leftChars="-25"/>
              <w:jc w:val="right"/>
              <w:rPr>
                <w:rFonts w:asciiTheme="minorEastAsia" w:hAnsiTheme="minorEastAsia" w:eastAsiaTheme="minorEastAsia"/>
                <w:spacing w:val="-10"/>
              </w:rPr>
            </w:pPr>
          </w:p>
        </w:tc>
      </w:tr>
      <w:tr w14:paraId="4070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56E30838">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DD3FC87">
            <w:pPr>
              <w:autoSpaceDE w:val="0"/>
              <w:autoSpaceDN w:val="0"/>
              <w:adjustRightInd w:val="0"/>
              <w:ind w:left="-53" w:leftChars="-25"/>
              <w:rPr>
                <w:spacing w:val="-10"/>
              </w:rPr>
            </w:pPr>
            <w:r>
              <w:rPr>
                <w:spacing w:val="-10"/>
              </w:rPr>
              <w:t>苏州曹智汽车有限公司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12E95450">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176,377,212.69</w:t>
            </w:r>
          </w:p>
        </w:tc>
        <w:tc>
          <w:tcPr>
            <w:tcW w:w="829" w:type="pct"/>
            <w:tcBorders>
              <w:top w:val="single" w:color="auto" w:sz="4" w:space="0"/>
              <w:left w:val="single" w:color="auto" w:sz="4" w:space="0"/>
              <w:bottom w:val="single" w:color="auto" w:sz="4" w:space="0"/>
              <w:right w:val="single" w:color="auto" w:sz="4" w:space="0"/>
            </w:tcBorders>
            <w:vAlign w:val="center"/>
          </w:tcPr>
          <w:p w14:paraId="58E61575">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3,011,460.00</w:t>
            </w:r>
          </w:p>
        </w:tc>
        <w:tc>
          <w:tcPr>
            <w:tcW w:w="829" w:type="pct"/>
            <w:tcBorders>
              <w:top w:val="single" w:color="auto" w:sz="4" w:space="0"/>
              <w:left w:val="single" w:color="auto" w:sz="4" w:space="0"/>
              <w:bottom w:val="single" w:color="auto" w:sz="4" w:space="0"/>
              <w:right w:val="single" w:color="auto" w:sz="4" w:space="0"/>
            </w:tcBorders>
            <w:vAlign w:val="center"/>
          </w:tcPr>
          <w:p w14:paraId="4911E8F4">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118,240,293.88</w:t>
            </w:r>
          </w:p>
        </w:tc>
        <w:tc>
          <w:tcPr>
            <w:tcW w:w="829" w:type="pct"/>
            <w:tcBorders>
              <w:top w:val="single" w:color="auto" w:sz="4" w:space="0"/>
              <w:left w:val="single" w:color="auto" w:sz="4" w:space="0"/>
              <w:bottom w:val="single" w:color="auto" w:sz="4" w:space="0"/>
              <w:right w:val="single" w:color="auto" w:sz="4" w:space="0"/>
            </w:tcBorders>
            <w:vAlign w:val="center"/>
          </w:tcPr>
          <w:p w14:paraId="3B773EA8">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1,633,056.25</w:t>
            </w:r>
          </w:p>
        </w:tc>
      </w:tr>
      <w:tr w14:paraId="66FA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670DF997">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11E665EB">
            <w:pPr>
              <w:autoSpaceDE w:val="0"/>
              <w:autoSpaceDN w:val="0"/>
              <w:adjustRightInd w:val="0"/>
              <w:ind w:left="-53" w:leftChars="-25"/>
              <w:rPr>
                <w:spacing w:val="-10"/>
              </w:rPr>
            </w:pPr>
            <w:r>
              <w:rPr>
                <w:spacing w:val="-10"/>
              </w:rPr>
              <w:t>贵州吉利汽车制造有限公司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322C292E">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67,160,202.35</w:t>
            </w:r>
          </w:p>
        </w:tc>
        <w:tc>
          <w:tcPr>
            <w:tcW w:w="829" w:type="pct"/>
            <w:tcBorders>
              <w:top w:val="single" w:color="auto" w:sz="4" w:space="0"/>
              <w:left w:val="single" w:color="auto" w:sz="4" w:space="0"/>
              <w:bottom w:val="single" w:color="auto" w:sz="4" w:space="0"/>
              <w:right w:val="single" w:color="auto" w:sz="4" w:space="0"/>
            </w:tcBorders>
            <w:vAlign w:val="center"/>
          </w:tcPr>
          <w:p w14:paraId="12A854A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B53DC38">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4464EFC">
            <w:pPr>
              <w:autoSpaceDE w:val="0"/>
              <w:autoSpaceDN w:val="0"/>
              <w:adjustRightInd w:val="0"/>
              <w:ind w:left="-53" w:leftChars="-25"/>
              <w:jc w:val="right"/>
              <w:rPr>
                <w:rFonts w:asciiTheme="minorEastAsia" w:hAnsiTheme="minorEastAsia" w:eastAsiaTheme="minorEastAsia"/>
                <w:spacing w:val="-10"/>
              </w:rPr>
            </w:pPr>
          </w:p>
        </w:tc>
      </w:tr>
      <w:tr w14:paraId="22B8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40BEA66D">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807D621">
            <w:pPr>
              <w:autoSpaceDE w:val="0"/>
              <w:autoSpaceDN w:val="0"/>
              <w:adjustRightInd w:val="0"/>
              <w:ind w:left="-53" w:leftChars="-25"/>
              <w:rPr>
                <w:spacing w:val="-10"/>
              </w:rPr>
            </w:pPr>
            <w:r>
              <w:rPr>
                <w:spacing w:val="-10"/>
              </w:rPr>
              <w:t>浙江吉利控股集团汽车销售有限公司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5B4B528A">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63,838,238.90</w:t>
            </w:r>
          </w:p>
        </w:tc>
        <w:tc>
          <w:tcPr>
            <w:tcW w:w="829" w:type="pct"/>
            <w:tcBorders>
              <w:top w:val="single" w:color="auto" w:sz="4" w:space="0"/>
              <w:left w:val="single" w:color="auto" w:sz="4" w:space="0"/>
              <w:bottom w:val="single" w:color="auto" w:sz="4" w:space="0"/>
              <w:right w:val="single" w:color="auto" w:sz="4" w:space="0"/>
            </w:tcBorders>
            <w:vAlign w:val="center"/>
          </w:tcPr>
          <w:p w14:paraId="6514F4B1">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7D864CF">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719B58C">
            <w:pPr>
              <w:autoSpaceDE w:val="0"/>
              <w:autoSpaceDN w:val="0"/>
              <w:adjustRightInd w:val="0"/>
              <w:ind w:left="-53" w:leftChars="-25"/>
              <w:jc w:val="right"/>
              <w:rPr>
                <w:rFonts w:asciiTheme="minorEastAsia" w:hAnsiTheme="minorEastAsia" w:eastAsiaTheme="minorEastAsia"/>
                <w:spacing w:val="-10"/>
              </w:rPr>
            </w:pPr>
          </w:p>
        </w:tc>
      </w:tr>
      <w:tr w14:paraId="1213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46AE145E">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4C1D6200">
            <w:pPr>
              <w:autoSpaceDE w:val="0"/>
              <w:autoSpaceDN w:val="0"/>
              <w:adjustRightInd w:val="0"/>
              <w:ind w:left="-53" w:leftChars="-25"/>
              <w:rPr>
                <w:spacing w:val="-10"/>
              </w:rPr>
            </w:pPr>
            <w:r>
              <w:rPr>
                <w:spacing w:val="-10"/>
              </w:rPr>
              <w:t>重庆幸福千万家汽车销售有限公司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06D26ACD">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21,311,148.62</w:t>
            </w:r>
          </w:p>
        </w:tc>
        <w:tc>
          <w:tcPr>
            <w:tcW w:w="829" w:type="pct"/>
            <w:tcBorders>
              <w:top w:val="single" w:color="auto" w:sz="4" w:space="0"/>
              <w:left w:val="single" w:color="auto" w:sz="4" w:space="0"/>
              <w:bottom w:val="single" w:color="auto" w:sz="4" w:space="0"/>
              <w:right w:val="single" w:color="auto" w:sz="4" w:space="0"/>
            </w:tcBorders>
            <w:vAlign w:val="center"/>
          </w:tcPr>
          <w:p w14:paraId="77885929">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692932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73,994,160.52</w:t>
            </w:r>
          </w:p>
        </w:tc>
        <w:tc>
          <w:tcPr>
            <w:tcW w:w="829" w:type="pct"/>
            <w:tcBorders>
              <w:top w:val="single" w:color="auto" w:sz="4" w:space="0"/>
              <w:left w:val="single" w:color="auto" w:sz="4" w:space="0"/>
              <w:bottom w:val="single" w:color="auto" w:sz="4" w:space="0"/>
              <w:right w:val="single" w:color="auto" w:sz="4" w:space="0"/>
            </w:tcBorders>
            <w:vAlign w:val="center"/>
          </w:tcPr>
          <w:p w14:paraId="0ADC5FD1">
            <w:pPr>
              <w:autoSpaceDE w:val="0"/>
              <w:autoSpaceDN w:val="0"/>
              <w:adjustRightInd w:val="0"/>
              <w:ind w:left="-53" w:leftChars="-25"/>
              <w:jc w:val="right"/>
              <w:rPr>
                <w:rFonts w:asciiTheme="minorEastAsia" w:hAnsiTheme="minorEastAsia" w:eastAsiaTheme="minorEastAsia"/>
                <w:spacing w:val="-10"/>
              </w:rPr>
            </w:pPr>
          </w:p>
        </w:tc>
      </w:tr>
      <w:tr w14:paraId="547E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1478FAB3">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6DB603E0">
            <w:pPr>
              <w:autoSpaceDE w:val="0"/>
              <w:autoSpaceDN w:val="0"/>
              <w:adjustRightInd w:val="0"/>
              <w:ind w:left="-53" w:leftChars="-25"/>
              <w:rPr>
                <w:spacing w:val="-10"/>
              </w:rPr>
            </w:pPr>
            <w:r>
              <w:rPr>
                <w:spacing w:val="-10"/>
              </w:rPr>
              <w:t>杭州优行科技有限公司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37B23B20">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19,557,000.00</w:t>
            </w:r>
          </w:p>
        </w:tc>
        <w:tc>
          <w:tcPr>
            <w:tcW w:w="829" w:type="pct"/>
            <w:tcBorders>
              <w:top w:val="single" w:color="auto" w:sz="4" w:space="0"/>
              <w:left w:val="single" w:color="auto" w:sz="4" w:space="0"/>
              <w:bottom w:val="single" w:color="auto" w:sz="4" w:space="0"/>
              <w:right w:val="single" w:color="auto" w:sz="4" w:space="0"/>
            </w:tcBorders>
            <w:vAlign w:val="center"/>
          </w:tcPr>
          <w:p w14:paraId="24CB0F2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1,955,700.00</w:t>
            </w:r>
          </w:p>
        </w:tc>
        <w:tc>
          <w:tcPr>
            <w:tcW w:w="829" w:type="pct"/>
            <w:tcBorders>
              <w:top w:val="single" w:color="auto" w:sz="4" w:space="0"/>
              <w:left w:val="single" w:color="auto" w:sz="4" w:space="0"/>
              <w:bottom w:val="single" w:color="auto" w:sz="4" w:space="0"/>
              <w:right w:val="single" w:color="auto" w:sz="4" w:space="0"/>
            </w:tcBorders>
            <w:vAlign w:val="center"/>
          </w:tcPr>
          <w:p w14:paraId="6674C249">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19,557,000.00</w:t>
            </w:r>
          </w:p>
        </w:tc>
        <w:tc>
          <w:tcPr>
            <w:tcW w:w="829" w:type="pct"/>
            <w:tcBorders>
              <w:top w:val="single" w:color="auto" w:sz="4" w:space="0"/>
              <w:left w:val="single" w:color="auto" w:sz="4" w:space="0"/>
              <w:bottom w:val="single" w:color="auto" w:sz="4" w:space="0"/>
              <w:right w:val="single" w:color="auto" w:sz="4" w:space="0"/>
            </w:tcBorders>
            <w:vAlign w:val="center"/>
          </w:tcPr>
          <w:p w14:paraId="49FA0C33">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1,947,900.00</w:t>
            </w:r>
          </w:p>
        </w:tc>
      </w:tr>
      <w:tr w14:paraId="1001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4EAD4B02">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6B719E4">
            <w:pPr>
              <w:autoSpaceDE w:val="0"/>
              <w:autoSpaceDN w:val="0"/>
              <w:adjustRightInd w:val="0"/>
              <w:ind w:left="-53" w:leftChars="-25"/>
              <w:rPr>
                <w:spacing w:val="-10"/>
              </w:rPr>
            </w:pPr>
            <w:r>
              <w:rPr>
                <w:spacing w:val="-10"/>
              </w:rPr>
              <w:t>杭州易能电池管理技术有限公司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92C190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13,628,681.21</w:t>
            </w:r>
          </w:p>
        </w:tc>
        <w:tc>
          <w:tcPr>
            <w:tcW w:w="829" w:type="pct"/>
            <w:tcBorders>
              <w:top w:val="single" w:color="auto" w:sz="4" w:space="0"/>
              <w:left w:val="single" w:color="auto" w:sz="4" w:space="0"/>
              <w:bottom w:val="single" w:color="auto" w:sz="4" w:space="0"/>
              <w:right w:val="single" w:color="auto" w:sz="4" w:space="0"/>
            </w:tcBorders>
            <w:vAlign w:val="center"/>
          </w:tcPr>
          <w:p w14:paraId="2A9C543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EB47A89">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4,894,127.08</w:t>
            </w:r>
          </w:p>
        </w:tc>
        <w:tc>
          <w:tcPr>
            <w:tcW w:w="829" w:type="pct"/>
            <w:tcBorders>
              <w:top w:val="single" w:color="auto" w:sz="4" w:space="0"/>
              <w:left w:val="single" w:color="auto" w:sz="4" w:space="0"/>
              <w:bottom w:val="single" w:color="auto" w:sz="4" w:space="0"/>
              <w:right w:val="single" w:color="auto" w:sz="4" w:space="0"/>
            </w:tcBorders>
            <w:vAlign w:val="center"/>
          </w:tcPr>
          <w:p w14:paraId="5E0C0947">
            <w:pPr>
              <w:autoSpaceDE w:val="0"/>
              <w:autoSpaceDN w:val="0"/>
              <w:adjustRightInd w:val="0"/>
              <w:ind w:left="-53" w:leftChars="-25"/>
              <w:jc w:val="right"/>
              <w:rPr>
                <w:rFonts w:asciiTheme="minorEastAsia" w:hAnsiTheme="minorEastAsia" w:eastAsiaTheme="minorEastAsia"/>
                <w:spacing w:val="-10"/>
              </w:rPr>
            </w:pPr>
          </w:p>
        </w:tc>
      </w:tr>
      <w:tr w14:paraId="4026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4AD9717F">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69606E1D">
            <w:pPr>
              <w:autoSpaceDE w:val="0"/>
              <w:autoSpaceDN w:val="0"/>
              <w:adjustRightInd w:val="0"/>
              <w:ind w:left="-53" w:leftChars="-25"/>
              <w:rPr>
                <w:spacing w:val="-10"/>
              </w:rPr>
            </w:pPr>
            <w:r>
              <w:rPr>
                <w:spacing w:val="-10"/>
              </w:rPr>
              <w:t>浙江豪情汽车制造有限公司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1EA011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8,170,000.00</w:t>
            </w:r>
          </w:p>
        </w:tc>
        <w:tc>
          <w:tcPr>
            <w:tcW w:w="829" w:type="pct"/>
            <w:tcBorders>
              <w:top w:val="single" w:color="auto" w:sz="4" w:space="0"/>
              <w:left w:val="single" w:color="auto" w:sz="4" w:space="0"/>
              <w:bottom w:val="single" w:color="auto" w:sz="4" w:space="0"/>
              <w:right w:val="single" w:color="auto" w:sz="4" w:space="0"/>
            </w:tcBorders>
            <w:vAlign w:val="center"/>
          </w:tcPr>
          <w:p w14:paraId="76A7E688">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817,000.00</w:t>
            </w:r>
          </w:p>
        </w:tc>
        <w:tc>
          <w:tcPr>
            <w:tcW w:w="829" w:type="pct"/>
            <w:tcBorders>
              <w:top w:val="single" w:color="auto" w:sz="4" w:space="0"/>
              <w:left w:val="single" w:color="auto" w:sz="4" w:space="0"/>
              <w:bottom w:val="single" w:color="auto" w:sz="4" w:space="0"/>
              <w:right w:val="single" w:color="auto" w:sz="4" w:space="0"/>
            </w:tcBorders>
            <w:vAlign w:val="center"/>
          </w:tcPr>
          <w:p w14:paraId="14478A16">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4D53F2E">
            <w:pPr>
              <w:autoSpaceDE w:val="0"/>
              <w:autoSpaceDN w:val="0"/>
              <w:adjustRightInd w:val="0"/>
              <w:ind w:left="-53" w:leftChars="-25"/>
              <w:jc w:val="right"/>
              <w:rPr>
                <w:rFonts w:asciiTheme="minorEastAsia" w:hAnsiTheme="minorEastAsia" w:eastAsiaTheme="minorEastAsia"/>
                <w:spacing w:val="-10"/>
              </w:rPr>
            </w:pPr>
          </w:p>
        </w:tc>
      </w:tr>
      <w:tr w14:paraId="057D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6A9B7195">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18814617">
            <w:pPr>
              <w:autoSpaceDE w:val="0"/>
              <w:autoSpaceDN w:val="0"/>
              <w:adjustRightInd w:val="0"/>
              <w:ind w:left="-53" w:leftChars="-25"/>
              <w:rPr>
                <w:spacing w:val="-10"/>
              </w:rPr>
            </w:pPr>
            <w:r>
              <w:rPr>
                <w:spacing w:val="-10"/>
              </w:rPr>
              <w:t>吉利汽车研究院（宁波）有限公司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8FE8AF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7,993,758.67</w:t>
            </w:r>
          </w:p>
        </w:tc>
        <w:tc>
          <w:tcPr>
            <w:tcW w:w="829" w:type="pct"/>
            <w:tcBorders>
              <w:top w:val="single" w:color="auto" w:sz="4" w:space="0"/>
              <w:left w:val="single" w:color="auto" w:sz="4" w:space="0"/>
              <w:bottom w:val="single" w:color="auto" w:sz="4" w:space="0"/>
              <w:right w:val="single" w:color="auto" w:sz="4" w:space="0"/>
            </w:tcBorders>
            <w:vAlign w:val="center"/>
          </w:tcPr>
          <w:p w14:paraId="1B2D4D2F">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A3A0577">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088F168">
            <w:pPr>
              <w:autoSpaceDE w:val="0"/>
              <w:autoSpaceDN w:val="0"/>
              <w:adjustRightInd w:val="0"/>
              <w:ind w:left="-53" w:leftChars="-25"/>
              <w:jc w:val="right"/>
              <w:rPr>
                <w:rFonts w:asciiTheme="minorEastAsia" w:hAnsiTheme="minorEastAsia" w:eastAsiaTheme="minorEastAsia"/>
                <w:spacing w:val="-10"/>
              </w:rPr>
            </w:pPr>
          </w:p>
        </w:tc>
      </w:tr>
      <w:tr w14:paraId="4F5D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6258EB83">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13ADD699">
            <w:pPr>
              <w:autoSpaceDE w:val="0"/>
              <w:autoSpaceDN w:val="0"/>
              <w:adjustRightInd w:val="0"/>
              <w:ind w:left="-53" w:leftChars="-25"/>
              <w:rPr>
                <w:spacing w:val="-10"/>
              </w:rPr>
            </w:pPr>
            <w:r>
              <w:rPr>
                <w:spacing w:val="-10"/>
              </w:rPr>
              <w:t>山东吉利新能源商用车有限公司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5FB85046">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1,815,530.31</w:t>
            </w:r>
          </w:p>
        </w:tc>
        <w:tc>
          <w:tcPr>
            <w:tcW w:w="829" w:type="pct"/>
            <w:tcBorders>
              <w:top w:val="single" w:color="auto" w:sz="4" w:space="0"/>
              <w:left w:val="single" w:color="auto" w:sz="4" w:space="0"/>
              <w:bottom w:val="single" w:color="auto" w:sz="4" w:space="0"/>
              <w:right w:val="single" w:color="auto" w:sz="4" w:space="0"/>
            </w:tcBorders>
            <w:vAlign w:val="center"/>
          </w:tcPr>
          <w:p w14:paraId="69F60609">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6B5C8201">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26214623">
            <w:pPr>
              <w:autoSpaceDE w:val="0"/>
              <w:autoSpaceDN w:val="0"/>
              <w:adjustRightInd w:val="0"/>
              <w:ind w:left="-53" w:leftChars="-25"/>
              <w:jc w:val="right"/>
              <w:rPr>
                <w:rFonts w:asciiTheme="minorEastAsia" w:hAnsiTheme="minorEastAsia" w:eastAsiaTheme="minorEastAsia"/>
                <w:spacing w:val="-10"/>
              </w:rPr>
            </w:pPr>
          </w:p>
        </w:tc>
      </w:tr>
      <w:tr w14:paraId="0E23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3F3978CD">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57F87D1">
            <w:pPr>
              <w:autoSpaceDE w:val="0"/>
              <w:autoSpaceDN w:val="0"/>
              <w:adjustRightInd w:val="0"/>
              <w:ind w:left="-53" w:leftChars="-25"/>
              <w:rPr>
                <w:spacing w:val="-10"/>
              </w:rPr>
            </w:pPr>
            <w:r>
              <w:rPr>
                <w:spacing w:val="-10"/>
              </w:rPr>
              <w:t>浙江吉利汽车工程技术开发有限公司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6F9BA2CC">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1,602,567.90</w:t>
            </w:r>
          </w:p>
        </w:tc>
        <w:tc>
          <w:tcPr>
            <w:tcW w:w="829" w:type="pct"/>
            <w:tcBorders>
              <w:top w:val="single" w:color="auto" w:sz="4" w:space="0"/>
              <w:left w:val="single" w:color="auto" w:sz="4" w:space="0"/>
              <w:bottom w:val="single" w:color="auto" w:sz="4" w:space="0"/>
              <w:right w:val="single" w:color="auto" w:sz="4" w:space="0"/>
            </w:tcBorders>
            <w:vAlign w:val="center"/>
          </w:tcPr>
          <w:p w14:paraId="159856B8">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B841630">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5B2B67BC">
            <w:pPr>
              <w:autoSpaceDE w:val="0"/>
              <w:autoSpaceDN w:val="0"/>
              <w:adjustRightInd w:val="0"/>
              <w:ind w:left="-53" w:leftChars="-25"/>
              <w:jc w:val="right"/>
              <w:rPr>
                <w:rFonts w:asciiTheme="minorEastAsia" w:hAnsiTheme="minorEastAsia" w:eastAsiaTheme="minorEastAsia"/>
                <w:spacing w:val="-10"/>
              </w:rPr>
            </w:pPr>
          </w:p>
        </w:tc>
      </w:tr>
      <w:tr w14:paraId="4CC1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0E15EF4D">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1EFC4214">
            <w:pPr>
              <w:autoSpaceDE w:val="0"/>
              <w:autoSpaceDN w:val="0"/>
              <w:adjustRightInd w:val="0"/>
              <w:ind w:left="-53" w:leftChars="-25"/>
              <w:rPr>
                <w:spacing w:val="-10"/>
              </w:rPr>
            </w:pPr>
            <w:r>
              <w:rPr>
                <w:spacing w:val="-10"/>
              </w:rPr>
              <w:t>浙江吉利汽车备件有限公司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63BAC7CE">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910,295.96</w:t>
            </w:r>
          </w:p>
        </w:tc>
        <w:tc>
          <w:tcPr>
            <w:tcW w:w="829" w:type="pct"/>
            <w:tcBorders>
              <w:top w:val="single" w:color="auto" w:sz="4" w:space="0"/>
              <w:left w:val="single" w:color="auto" w:sz="4" w:space="0"/>
              <w:bottom w:val="single" w:color="auto" w:sz="4" w:space="0"/>
              <w:right w:val="single" w:color="auto" w:sz="4" w:space="0"/>
            </w:tcBorders>
            <w:vAlign w:val="center"/>
          </w:tcPr>
          <w:p w14:paraId="41AAB7DF">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0633922">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752,383.25</w:t>
            </w:r>
          </w:p>
        </w:tc>
        <w:tc>
          <w:tcPr>
            <w:tcW w:w="829" w:type="pct"/>
            <w:tcBorders>
              <w:top w:val="single" w:color="auto" w:sz="4" w:space="0"/>
              <w:left w:val="single" w:color="auto" w:sz="4" w:space="0"/>
              <w:bottom w:val="single" w:color="auto" w:sz="4" w:space="0"/>
              <w:right w:val="single" w:color="auto" w:sz="4" w:space="0"/>
            </w:tcBorders>
            <w:vAlign w:val="center"/>
          </w:tcPr>
          <w:p w14:paraId="25816B04">
            <w:pPr>
              <w:autoSpaceDE w:val="0"/>
              <w:autoSpaceDN w:val="0"/>
              <w:adjustRightInd w:val="0"/>
              <w:ind w:left="-53" w:leftChars="-25"/>
              <w:jc w:val="right"/>
              <w:rPr>
                <w:rFonts w:asciiTheme="minorEastAsia" w:hAnsiTheme="minorEastAsia" w:eastAsiaTheme="minorEastAsia"/>
                <w:spacing w:val="-10"/>
              </w:rPr>
            </w:pPr>
          </w:p>
        </w:tc>
      </w:tr>
      <w:tr w14:paraId="5BCF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7A5C360F">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13DED89A">
            <w:pPr>
              <w:autoSpaceDE w:val="0"/>
              <w:autoSpaceDN w:val="0"/>
              <w:adjustRightInd w:val="0"/>
              <w:ind w:left="-53" w:leftChars="-25"/>
              <w:rPr>
                <w:spacing w:val="-10"/>
              </w:rPr>
            </w:pPr>
            <w:r>
              <w:rPr>
                <w:spacing w:val="-10"/>
              </w:rPr>
              <w:t>重庆盼达汽车租赁有限公司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57A58B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855,792.58</w:t>
            </w:r>
          </w:p>
        </w:tc>
        <w:tc>
          <w:tcPr>
            <w:tcW w:w="829" w:type="pct"/>
            <w:tcBorders>
              <w:top w:val="single" w:color="auto" w:sz="4" w:space="0"/>
              <w:left w:val="single" w:color="auto" w:sz="4" w:space="0"/>
              <w:bottom w:val="single" w:color="auto" w:sz="4" w:space="0"/>
              <w:right w:val="single" w:color="auto" w:sz="4" w:space="0"/>
            </w:tcBorders>
            <w:vAlign w:val="center"/>
          </w:tcPr>
          <w:p w14:paraId="2748768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855,792.58</w:t>
            </w:r>
          </w:p>
        </w:tc>
        <w:tc>
          <w:tcPr>
            <w:tcW w:w="829" w:type="pct"/>
            <w:tcBorders>
              <w:top w:val="single" w:color="auto" w:sz="4" w:space="0"/>
              <w:left w:val="single" w:color="auto" w:sz="4" w:space="0"/>
              <w:bottom w:val="single" w:color="auto" w:sz="4" w:space="0"/>
              <w:right w:val="single" w:color="auto" w:sz="4" w:space="0"/>
            </w:tcBorders>
            <w:vAlign w:val="center"/>
          </w:tcPr>
          <w:p w14:paraId="57035A97">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855,792.58</w:t>
            </w:r>
          </w:p>
        </w:tc>
        <w:tc>
          <w:tcPr>
            <w:tcW w:w="829" w:type="pct"/>
            <w:tcBorders>
              <w:top w:val="single" w:color="auto" w:sz="4" w:space="0"/>
              <w:left w:val="single" w:color="auto" w:sz="4" w:space="0"/>
              <w:bottom w:val="single" w:color="auto" w:sz="4" w:space="0"/>
              <w:right w:val="single" w:color="auto" w:sz="4" w:space="0"/>
            </w:tcBorders>
            <w:vAlign w:val="center"/>
          </w:tcPr>
          <w:p w14:paraId="188EE90D">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855,792.58</w:t>
            </w:r>
          </w:p>
        </w:tc>
      </w:tr>
      <w:tr w14:paraId="0E23B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3C88DA7C">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374CF32C">
            <w:pPr>
              <w:autoSpaceDE w:val="0"/>
              <w:autoSpaceDN w:val="0"/>
              <w:adjustRightInd w:val="0"/>
              <w:ind w:left="-53" w:leftChars="-25"/>
              <w:rPr>
                <w:spacing w:val="-10"/>
              </w:rPr>
            </w:pPr>
            <w:r>
              <w:rPr>
                <w:spacing w:val="-10"/>
              </w:rPr>
              <w:t>苏州市吉利优行电子科技有限公司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636824CD">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825,930.00</w:t>
            </w:r>
          </w:p>
        </w:tc>
        <w:tc>
          <w:tcPr>
            <w:tcW w:w="829" w:type="pct"/>
            <w:tcBorders>
              <w:top w:val="single" w:color="auto" w:sz="4" w:space="0"/>
              <w:left w:val="single" w:color="auto" w:sz="4" w:space="0"/>
              <w:bottom w:val="single" w:color="auto" w:sz="4" w:space="0"/>
              <w:right w:val="single" w:color="auto" w:sz="4" w:space="0"/>
            </w:tcBorders>
            <w:vAlign w:val="center"/>
          </w:tcPr>
          <w:p w14:paraId="6EC99636">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21A845F6">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825,930.00</w:t>
            </w:r>
          </w:p>
        </w:tc>
        <w:tc>
          <w:tcPr>
            <w:tcW w:w="829" w:type="pct"/>
            <w:tcBorders>
              <w:top w:val="single" w:color="auto" w:sz="4" w:space="0"/>
              <w:left w:val="single" w:color="auto" w:sz="4" w:space="0"/>
              <w:bottom w:val="single" w:color="auto" w:sz="4" w:space="0"/>
              <w:right w:val="single" w:color="auto" w:sz="4" w:space="0"/>
            </w:tcBorders>
            <w:vAlign w:val="center"/>
          </w:tcPr>
          <w:p w14:paraId="3EF17FDB">
            <w:pPr>
              <w:autoSpaceDE w:val="0"/>
              <w:autoSpaceDN w:val="0"/>
              <w:adjustRightInd w:val="0"/>
              <w:ind w:left="-53" w:leftChars="-25"/>
              <w:jc w:val="right"/>
              <w:rPr>
                <w:rFonts w:asciiTheme="minorEastAsia" w:hAnsiTheme="minorEastAsia" w:eastAsiaTheme="minorEastAsia"/>
                <w:spacing w:val="-10"/>
              </w:rPr>
            </w:pPr>
          </w:p>
        </w:tc>
      </w:tr>
      <w:tr w14:paraId="2CB0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015D023C">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BD114BC">
            <w:pPr>
              <w:autoSpaceDE w:val="0"/>
              <w:autoSpaceDN w:val="0"/>
              <w:adjustRightInd w:val="0"/>
              <w:ind w:left="-53" w:leftChars="-25"/>
              <w:rPr>
                <w:spacing w:val="-10"/>
              </w:rPr>
            </w:pPr>
            <w:r>
              <w:rPr>
                <w:spacing w:val="-10"/>
              </w:rPr>
              <w:t>枫盛汽车（江苏）有限公司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3EB317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471,581.28</w:t>
            </w:r>
          </w:p>
        </w:tc>
        <w:tc>
          <w:tcPr>
            <w:tcW w:w="829" w:type="pct"/>
            <w:tcBorders>
              <w:top w:val="single" w:color="auto" w:sz="4" w:space="0"/>
              <w:left w:val="single" w:color="auto" w:sz="4" w:space="0"/>
              <w:bottom w:val="single" w:color="auto" w:sz="4" w:space="0"/>
              <w:right w:val="single" w:color="auto" w:sz="4" w:space="0"/>
            </w:tcBorders>
            <w:vAlign w:val="center"/>
          </w:tcPr>
          <w:p w14:paraId="4905A164">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D1FB5CA">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1,417,322.14</w:t>
            </w:r>
          </w:p>
        </w:tc>
        <w:tc>
          <w:tcPr>
            <w:tcW w:w="829" w:type="pct"/>
            <w:tcBorders>
              <w:top w:val="single" w:color="auto" w:sz="4" w:space="0"/>
              <w:left w:val="single" w:color="auto" w:sz="4" w:space="0"/>
              <w:bottom w:val="single" w:color="auto" w:sz="4" w:space="0"/>
              <w:right w:val="single" w:color="auto" w:sz="4" w:space="0"/>
            </w:tcBorders>
            <w:vAlign w:val="center"/>
          </w:tcPr>
          <w:p w14:paraId="69F43BD3">
            <w:pPr>
              <w:autoSpaceDE w:val="0"/>
              <w:autoSpaceDN w:val="0"/>
              <w:adjustRightInd w:val="0"/>
              <w:ind w:left="-53" w:leftChars="-25"/>
              <w:jc w:val="right"/>
              <w:rPr>
                <w:rFonts w:asciiTheme="minorEastAsia" w:hAnsiTheme="minorEastAsia" w:eastAsiaTheme="minorEastAsia"/>
                <w:spacing w:val="-10"/>
              </w:rPr>
            </w:pPr>
          </w:p>
        </w:tc>
      </w:tr>
      <w:tr w14:paraId="3BE0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7561323B">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1E90004">
            <w:pPr>
              <w:autoSpaceDE w:val="0"/>
              <w:autoSpaceDN w:val="0"/>
              <w:adjustRightInd w:val="0"/>
              <w:ind w:left="-53" w:leftChars="-25"/>
              <w:rPr>
                <w:spacing w:val="-10"/>
              </w:rPr>
            </w:pPr>
            <w:r>
              <w:rPr>
                <w:spacing w:val="-10"/>
              </w:rPr>
              <w:t>杭州众悦出行科技有限公司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69A61BD0">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261,000.00</w:t>
            </w:r>
          </w:p>
        </w:tc>
        <w:tc>
          <w:tcPr>
            <w:tcW w:w="829" w:type="pct"/>
            <w:tcBorders>
              <w:top w:val="single" w:color="auto" w:sz="4" w:space="0"/>
              <w:left w:val="single" w:color="auto" w:sz="4" w:space="0"/>
              <w:bottom w:val="single" w:color="auto" w:sz="4" w:space="0"/>
              <w:right w:val="single" w:color="auto" w:sz="4" w:space="0"/>
            </w:tcBorders>
            <w:vAlign w:val="center"/>
          </w:tcPr>
          <w:p w14:paraId="52FC5A7F">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A93D7DD">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18,969,909.43</w:t>
            </w:r>
          </w:p>
        </w:tc>
        <w:tc>
          <w:tcPr>
            <w:tcW w:w="829" w:type="pct"/>
            <w:tcBorders>
              <w:top w:val="single" w:color="auto" w:sz="4" w:space="0"/>
              <w:left w:val="single" w:color="auto" w:sz="4" w:space="0"/>
              <w:bottom w:val="single" w:color="auto" w:sz="4" w:space="0"/>
              <w:right w:val="single" w:color="auto" w:sz="4" w:space="0"/>
            </w:tcBorders>
            <w:vAlign w:val="center"/>
          </w:tcPr>
          <w:p w14:paraId="1FF2353F">
            <w:pPr>
              <w:autoSpaceDE w:val="0"/>
              <w:autoSpaceDN w:val="0"/>
              <w:adjustRightInd w:val="0"/>
              <w:ind w:left="-53" w:leftChars="-25"/>
              <w:jc w:val="right"/>
              <w:rPr>
                <w:rFonts w:asciiTheme="minorEastAsia" w:hAnsiTheme="minorEastAsia" w:eastAsiaTheme="minorEastAsia"/>
                <w:spacing w:val="-10"/>
              </w:rPr>
            </w:pPr>
          </w:p>
        </w:tc>
      </w:tr>
      <w:tr w14:paraId="54AD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4D8A19B9">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7A43DD7">
            <w:pPr>
              <w:autoSpaceDE w:val="0"/>
              <w:autoSpaceDN w:val="0"/>
              <w:adjustRightInd w:val="0"/>
              <w:ind w:left="-53" w:leftChars="-25"/>
              <w:rPr>
                <w:spacing w:val="-10"/>
              </w:rPr>
            </w:pPr>
            <w:r>
              <w:rPr>
                <w:spacing w:val="-10"/>
              </w:rPr>
              <w:t>浙江美可达摩托车有限公司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0ECFDAB7">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218,788.20</w:t>
            </w:r>
          </w:p>
        </w:tc>
        <w:tc>
          <w:tcPr>
            <w:tcW w:w="829" w:type="pct"/>
            <w:tcBorders>
              <w:top w:val="single" w:color="auto" w:sz="4" w:space="0"/>
              <w:left w:val="single" w:color="auto" w:sz="4" w:space="0"/>
              <w:bottom w:val="single" w:color="auto" w:sz="4" w:space="0"/>
              <w:right w:val="single" w:color="auto" w:sz="4" w:space="0"/>
            </w:tcBorders>
            <w:vAlign w:val="center"/>
          </w:tcPr>
          <w:p w14:paraId="66C271AA">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BBD901E">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508A2533">
            <w:pPr>
              <w:autoSpaceDE w:val="0"/>
              <w:autoSpaceDN w:val="0"/>
              <w:adjustRightInd w:val="0"/>
              <w:ind w:left="-53" w:leftChars="-25"/>
              <w:jc w:val="right"/>
              <w:rPr>
                <w:rFonts w:asciiTheme="minorEastAsia" w:hAnsiTheme="minorEastAsia" w:eastAsiaTheme="minorEastAsia"/>
                <w:spacing w:val="-10"/>
              </w:rPr>
            </w:pPr>
          </w:p>
        </w:tc>
      </w:tr>
      <w:tr w14:paraId="5C1F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66F7BF4E">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411F41C1">
            <w:pPr>
              <w:autoSpaceDE w:val="0"/>
              <w:autoSpaceDN w:val="0"/>
              <w:adjustRightInd w:val="0"/>
              <w:ind w:left="-53" w:leftChars="-25"/>
              <w:rPr>
                <w:spacing w:val="-10"/>
              </w:rPr>
            </w:pPr>
            <w:r>
              <w:rPr>
                <w:spacing w:val="-10"/>
              </w:rPr>
              <w:t>浙江翼真汽车研究开发有限公司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4C95FBC0">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107,741.86</w:t>
            </w:r>
          </w:p>
        </w:tc>
        <w:tc>
          <w:tcPr>
            <w:tcW w:w="829" w:type="pct"/>
            <w:tcBorders>
              <w:top w:val="single" w:color="auto" w:sz="4" w:space="0"/>
              <w:left w:val="single" w:color="auto" w:sz="4" w:space="0"/>
              <w:bottom w:val="single" w:color="auto" w:sz="4" w:space="0"/>
              <w:right w:val="single" w:color="auto" w:sz="4" w:space="0"/>
            </w:tcBorders>
            <w:vAlign w:val="center"/>
          </w:tcPr>
          <w:p w14:paraId="281CC388">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5564639A">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62FEE2A6">
            <w:pPr>
              <w:autoSpaceDE w:val="0"/>
              <w:autoSpaceDN w:val="0"/>
              <w:adjustRightInd w:val="0"/>
              <w:ind w:left="-53" w:leftChars="-25"/>
              <w:jc w:val="right"/>
              <w:rPr>
                <w:rFonts w:asciiTheme="minorEastAsia" w:hAnsiTheme="minorEastAsia" w:eastAsiaTheme="minorEastAsia"/>
                <w:spacing w:val="-10"/>
              </w:rPr>
            </w:pPr>
          </w:p>
        </w:tc>
      </w:tr>
      <w:tr w14:paraId="4B10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10AB2A3D">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6DDB4FB6">
            <w:pPr>
              <w:autoSpaceDE w:val="0"/>
              <w:autoSpaceDN w:val="0"/>
              <w:adjustRightInd w:val="0"/>
              <w:ind w:left="-53" w:leftChars="-25"/>
              <w:rPr>
                <w:spacing w:val="-10"/>
              </w:rPr>
            </w:pPr>
            <w:r>
              <w:rPr>
                <w:spacing w:val="-10"/>
              </w:rPr>
              <w:t>浙江枫盛汽车销售有限公司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0447EAB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20,000.00</w:t>
            </w:r>
          </w:p>
        </w:tc>
        <w:tc>
          <w:tcPr>
            <w:tcW w:w="829" w:type="pct"/>
            <w:tcBorders>
              <w:top w:val="single" w:color="auto" w:sz="4" w:space="0"/>
              <w:left w:val="single" w:color="auto" w:sz="4" w:space="0"/>
              <w:bottom w:val="single" w:color="auto" w:sz="4" w:space="0"/>
              <w:right w:val="single" w:color="auto" w:sz="4" w:space="0"/>
            </w:tcBorders>
            <w:vAlign w:val="center"/>
          </w:tcPr>
          <w:p w14:paraId="03A4EB3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F5AE038">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6A4F04CC">
            <w:pPr>
              <w:autoSpaceDE w:val="0"/>
              <w:autoSpaceDN w:val="0"/>
              <w:adjustRightInd w:val="0"/>
              <w:ind w:left="-53" w:leftChars="-25"/>
              <w:jc w:val="right"/>
              <w:rPr>
                <w:rFonts w:asciiTheme="minorEastAsia" w:hAnsiTheme="minorEastAsia" w:eastAsiaTheme="minorEastAsia"/>
                <w:spacing w:val="-10"/>
              </w:rPr>
            </w:pPr>
          </w:p>
        </w:tc>
      </w:tr>
      <w:tr w14:paraId="7390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1AFF6C51">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F57F7F9">
            <w:pPr>
              <w:autoSpaceDE w:val="0"/>
              <w:autoSpaceDN w:val="0"/>
              <w:adjustRightInd w:val="0"/>
              <w:ind w:left="-53" w:leftChars="-25"/>
              <w:rPr>
                <w:spacing w:val="-10"/>
              </w:rPr>
            </w:pPr>
            <w:r>
              <w:rPr>
                <w:spacing w:val="-10"/>
              </w:rPr>
              <w:t>浙江吉信资源循环科技有限公司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37117A53">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15,568.20</w:t>
            </w:r>
          </w:p>
        </w:tc>
        <w:tc>
          <w:tcPr>
            <w:tcW w:w="829" w:type="pct"/>
            <w:tcBorders>
              <w:top w:val="single" w:color="auto" w:sz="4" w:space="0"/>
              <w:left w:val="single" w:color="auto" w:sz="4" w:space="0"/>
              <w:bottom w:val="single" w:color="auto" w:sz="4" w:space="0"/>
              <w:right w:val="single" w:color="auto" w:sz="4" w:space="0"/>
            </w:tcBorders>
            <w:vAlign w:val="center"/>
          </w:tcPr>
          <w:p w14:paraId="2B582DD1">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EAB4CA0">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9C2A7BA">
            <w:pPr>
              <w:autoSpaceDE w:val="0"/>
              <w:autoSpaceDN w:val="0"/>
              <w:adjustRightInd w:val="0"/>
              <w:ind w:left="-53" w:leftChars="-25"/>
              <w:jc w:val="right"/>
              <w:rPr>
                <w:rFonts w:asciiTheme="minorEastAsia" w:hAnsiTheme="minorEastAsia" w:eastAsiaTheme="minorEastAsia"/>
                <w:spacing w:val="-10"/>
              </w:rPr>
            </w:pPr>
          </w:p>
        </w:tc>
      </w:tr>
      <w:tr w14:paraId="71DF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56733C1D">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4F63C0E4">
            <w:pPr>
              <w:autoSpaceDE w:val="0"/>
              <w:autoSpaceDN w:val="0"/>
              <w:adjustRightInd w:val="0"/>
              <w:ind w:left="-53" w:leftChars="-25"/>
              <w:rPr>
                <w:spacing w:val="-10"/>
              </w:rPr>
            </w:pPr>
            <w:r>
              <w:rPr>
                <w:spacing w:val="-10"/>
              </w:rPr>
              <w:t>雷达新能源汽车（浙江）有限公司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550A90DC">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9,758.26</w:t>
            </w:r>
          </w:p>
        </w:tc>
        <w:tc>
          <w:tcPr>
            <w:tcW w:w="829" w:type="pct"/>
            <w:tcBorders>
              <w:top w:val="single" w:color="auto" w:sz="4" w:space="0"/>
              <w:left w:val="single" w:color="auto" w:sz="4" w:space="0"/>
              <w:bottom w:val="single" w:color="auto" w:sz="4" w:space="0"/>
              <w:right w:val="single" w:color="auto" w:sz="4" w:space="0"/>
            </w:tcBorders>
            <w:vAlign w:val="center"/>
          </w:tcPr>
          <w:p w14:paraId="7DD807CF">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21DE150">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57AB705C">
            <w:pPr>
              <w:autoSpaceDE w:val="0"/>
              <w:autoSpaceDN w:val="0"/>
              <w:adjustRightInd w:val="0"/>
              <w:ind w:left="-53" w:leftChars="-25"/>
              <w:jc w:val="right"/>
              <w:rPr>
                <w:rFonts w:asciiTheme="minorEastAsia" w:hAnsiTheme="minorEastAsia" w:eastAsiaTheme="minorEastAsia"/>
                <w:spacing w:val="-10"/>
              </w:rPr>
            </w:pPr>
          </w:p>
        </w:tc>
      </w:tr>
      <w:tr w14:paraId="0BCB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731B8903">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48DEEA7E">
            <w:pPr>
              <w:autoSpaceDE w:val="0"/>
              <w:autoSpaceDN w:val="0"/>
              <w:adjustRightInd w:val="0"/>
              <w:ind w:left="-53" w:leftChars="-25"/>
              <w:rPr>
                <w:spacing w:val="-10"/>
              </w:rPr>
            </w:pPr>
            <w:r>
              <w:rPr>
                <w:spacing w:val="-10"/>
              </w:rPr>
              <w:t>浙江翼真汽车销售有限公司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1FE3D23B">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2,727.00</w:t>
            </w:r>
          </w:p>
        </w:tc>
        <w:tc>
          <w:tcPr>
            <w:tcW w:w="829" w:type="pct"/>
            <w:tcBorders>
              <w:top w:val="single" w:color="auto" w:sz="4" w:space="0"/>
              <w:left w:val="single" w:color="auto" w:sz="4" w:space="0"/>
              <w:bottom w:val="single" w:color="auto" w:sz="4" w:space="0"/>
              <w:right w:val="single" w:color="auto" w:sz="4" w:space="0"/>
            </w:tcBorders>
            <w:vAlign w:val="center"/>
          </w:tcPr>
          <w:p w14:paraId="150C03D4">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136.35</w:t>
            </w:r>
          </w:p>
        </w:tc>
        <w:tc>
          <w:tcPr>
            <w:tcW w:w="829" w:type="pct"/>
            <w:tcBorders>
              <w:top w:val="single" w:color="auto" w:sz="4" w:space="0"/>
              <w:left w:val="single" w:color="auto" w:sz="4" w:space="0"/>
              <w:bottom w:val="single" w:color="auto" w:sz="4" w:space="0"/>
              <w:right w:val="single" w:color="auto" w:sz="4" w:space="0"/>
            </w:tcBorders>
            <w:vAlign w:val="center"/>
          </w:tcPr>
          <w:p w14:paraId="4049364E">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2,727.00</w:t>
            </w:r>
          </w:p>
        </w:tc>
        <w:tc>
          <w:tcPr>
            <w:tcW w:w="829" w:type="pct"/>
            <w:tcBorders>
              <w:top w:val="single" w:color="auto" w:sz="4" w:space="0"/>
              <w:left w:val="single" w:color="auto" w:sz="4" w:space="0"/>
              <w:bottom w:val="single" w:color="auto" w:sz="4" w:space="0"/>
              <w:right w:val="single" w:color="auto" w:sz="4" w:space="0"/>
            </w:tcBorders>
            <w:vAlign w:val="center"/>
          </w:tcPr>
          <w:p w14:paraId="3A108E84">
            <w:pPr>
              <w:autoSpaceDE w:val="0"/>
              <w:autoSpaceDN w:val="0"/>
              <w:adjustRightInd w:val="0"/>
              <w:ind w:left="-53" w:leftChars="-25"/>
              <w:jc w:val="right"/>
              <w:rPr>
                <w:rFonts w:asciiTheme="minorEastAsia" w:hAnsiTheme="minorEastAsia" w:eastAsiaTheme="minorEastAsia"/>
                <w:spacing w:val="-10"/>
              </w:rPr>
            </w:pPr>
          </w:p>
        </w:tc>
      </w:tr>
      <w:tr w14:paraId="0DCD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372E0D25">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1D7D5EA3">
            <w:pPr>
              <w:autoSpaceDE w:val="0"/>
              <w:autoSpaceDN w:val="0"/>
              <w:adjustRightInd w:val="0"/>
              <w:ind w:left="-53" w:leftChars="-25"/>
              <w:rPr>
                <w:spacing w:val="-10"/>
              </w:rPr>
            </w:pPr>
            <w:r>
              <w:rPr>
                <w:spacing w:val="-10"/>
              </w:rPr>
              <w:t>启征新能源汽车销售（济南）有限公司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5949DD11">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2FF71D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F8B7545">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8,170,000.00</w:t>
            </w:r>
          </w:p>
        </w:tc>
        <w:tc>
          <w:tcPr>
            <w:tcW w:w="829" w:type="pct"/>
            <w:tcBorders>
              <w:top w:val="single" w:color="auto" w:sz="4" w:space="0"/>
              <w:left w:val="single" w:color="auto" w:sz="4" w:space="0"/>
              <w:bottom w:val="single" w:color="auto" w:sz="4" w:space="0"/>
              <w:right w:val="single" w:color="auto" w:sz="4" w:space="0"/>
            </w:tcBorders>
            <w:vAlign w:val="center"/>
          </w:tcPr>
          <w:p w14:paraId="0334DB82">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817,000.00</w:t>
            </w:r>
          </w:p>
        </w:tc>
      </w:tr>
      <w:tr w14:paraId="3AF9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1A759E4C">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51AC358C">
            <w:pPr>
              <w:autoSpaceDE w:val="0"/>
              <w:autoSpaceDN w:val="0"/>
              <w:adjustRightInd w:val="0"/>
              <w:ind w:left="-53" w:leftChars="-25"/>
              <w:rPr>
                <w:spacing w:val="-10"/>
              </w:rPr>
            </w:pPr>
            <w:r>
              <w:rPr>
                <w:spacing w:val="-10"/>
              </w:rPr>
              <w:t>广西田林百矿铝业有限公司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7D768508">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C6895D4">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52513D6">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8,369.00</w:t>
            </w:r>
          </w:p>
        </w:tc>
        <w:tc>
          <w:tcPr>
            <w:tcW w:w="829" w:type="pct"/>
            <w:tcBorders>
              <w:top w:val="single" w:color="auto" w:sz="4" w:space="0"/>
              <w:left w:val="single" w:color="auto" w:sz="4" w:space="0"/>
              <w:bottom w:val="single" w:color="auto" w:sz="4" w:space="0"/>
              <w:right w:val="single" w:color="auto" w:sz="4" w:space="0"/>
            </w:tcBorders>
            <w:vAlign w:val="center"/>
          </w:tcPr>
          <w:p w14:paraId="3A2D0998">
            <w:pPr>
              <w:autoSpaceDE w:val="0"/>
              <w:autoSpaceDN w:val="0"/>
              <w:adjustRightInd w:val="0"/>
              <w:ind w:left="-53" w:leftChars="-25"/>
              <w:jc w:val="right"/>
              <w:rPr>
                <w:rFonts w:asciiTheme="minorEastAsia" w:hAnsiTheme="minorEastAsia" w:eastAsiaTheme="minorEastAsia"/>
                <w:spacing w:val="-10"/>
              </w:rPr>
            </w:pPr>
          </w:p>
        </w:tc>
      </w:tr>
      <w:tr w14:paraId="1C3B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01C61969">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514D1165">
            <w:pPr>
              <w:autoSpaceDE w:val="0"/>
              <w:autoSpaceDN w:val="0"/>
              <w:adjustRightInd w:val="0"/>
              <w:ind w:left="-53" w:leftChars="-25"/>
              <w:rPr>
                <w:spacing w:val="-10"/>
              </w:rPr>
            </w:pPr>
            <w:r>
              <w:rPr>
                <w:spacing w:val="-10"/>
              </w:rPr>
              <w:t>广西德保百矿铝业有限公司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0C40BFDE">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7495ADD">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4CBFDE7">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8,369.00</w:t>
            </w:r>
          </w:p>
        </w:tc>
        <w:tc>
          <w:tcPr>
            <w:tcW w:w="829" w:type="pct"/>
            <w:tcBorders>
              <w:top w:val="single" w:color="auto" w:sz="4" w:space="0"/>
              <w:left w:val="single" w:color="auto" w:sz="4" w:space="0"/>
              <w:bottom w:val="single" w:color="auto" w:sz="4" w:space="0"/>
              <w:right w:val="single" w:color="auto" w:sz="4" w:space="0"/>
            </w:tcBorders>
            <w:vAlign w:val="center"/>
          </w:tcPr>
          <w:p w14:paraId="65BD74C9">
            <w:pPr>
              <w:autoSpaceDE w:val="0"/>
              <w:autoSpaceDN w:val="0"/>
              <w:adjustRightInd w:val="0"/>
              <w:ind w:left="-53" w:leftChars="-25"/>
              <w:jc w:val="right"/>
              <w:rPr>
                <w:rFonts w:asciiTheme="minorEastAsia" w:hAnsiTheme="minorEastAsia" w:eastAsiaTheme="minorEastAsia"/>
                <w:spacing w:val="-10"/>
              </w:rPr>
            </w:pPr>
          </w:p>
        </w:tc>
      </w:tr>
      <w:tr w14:paraId="4260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5E3DC4EF">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4D72F5EC">
            <w:pPr>
              <w:autoSpaceDE w:val="0"/>
              <w:autoSpaceDN w:val="0"/>
              <w:adjustRightInd w:val="0"/>
              <w:ind w:left="-53" w:leftChars="-25"/>
              <w:rPr>
                <w:spacing w:val="-10"/>
              </w:rPr>
            </w:pPr>
            <w:r>
              <w:rPr>
                <w:spacing w:val="-10"/>
              </w:rPr>
              <w:t>广西百矿铝业有限公司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7746C026">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846F916">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1E1D56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5,262.00</w:t>
            </w:r>
          </w:p>
        </w:tc>
        <w:tc>
          <w:tcPr>
            <w:tcW w:w="829" w:type="pct"/>
            <w:tcBorders>
              <w:top w:val="single" w:color="auto" w:sz="4" w:space="0"/>
              <w:left w:val="single" w:color="auto" w:sz="4" w:space="0"/>
              <w:bottom w:val="single" w:color="auto" w:sz="4" w:space="0"/>
              <w:right w:val="single" w:color="auto" w:sz="4" w:space="0"/>
            </w:tcBorders>
            <w:vAlign w:val="center"/>
          </w:tcPr>
          <w:p w14:paraId="320B1EB2">
            <w:pPr>
              <w:autoSpaceDE w:val="0"/>
              <w:autoSpaceDN w:val="0"/>
              <w:adjustRightInd w:val="0"/>
              <w:ind w:left="-53" w:leftChars="-25"/>
              <w:jc w:val="right"/>
              <w:rPr>
                <w:rFonts w:asciiTheme="minorEastAsia" w:hAnsiTheme="minorEastAsia" w:eastAsiaTheme="minorEastAsia"/>
                <w:spacing w:val="-10"/>
              </w:rPr>
            </w:pPr>
          </w:p>
        </w:tc>
      </w:tr>
      <w:tr w14:paraId="0B41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5572ABE2">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9BAA6F5">
            <w:pPr>
              <w:autoSpaceDE w:val="0"/>
              <w:autoSpaceDN w:val="0"/>
              <w:adjustRightInd w:val="0"/>
              <w:rPr>
                <w:rFonts w:asciiTheme="minorEastAsia" w:hAnsiTheme="minorEastAsia" w:eastAsiaTheme="minorEastAsia"/>
                <w:spacing w:val="-20"/>
              </w:rPr>
            </w:pPr>
            <w:r>
              <w:rPr>
                <w:rFonts w:asciiTheme="minorEastAsia" w:hAnsiTheme="minorEastAsia" w:eastAsiaTheme="minorEastAsia"/>
                <w:spacing w:val="-20"/>
              </w:rPr>
              <w:t>Dreamsmart Infinity HK</w:t>
            </w:r>
          </w:p>
        </w:tc>
        <w:tc>
          <w:tcPr>
            <w:tcW w:w="829" w:type="pct"/>
            <w:tcBorders>
              <w:top w:val="single" w:color="auto" w:sz="4" w:space="0"/>
              <w:left w:val="single" w:color="auto" w:sz="4" w:space="0"/>
              <w:bottom w:val="single" w:color="auto" w:sz="4" w:space="0"/>
              <w:right w:val="single" w:color="auto" w:sz="4" w:space="0"/>
            </w:tcBorders>
            <w:vAlign w:val="center"/>
          </w:tcPr>
          <w:p w14:paraId="7A40EC4C">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D266E9B">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028863C">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6,867,941.13</w:t>
            </w:r>
          </w:p>
        </w:tc>
        <w:tc>
          <w:tcPr>
            <w:tcW w:w="829" w:type="pct"/>
            <w:tcBorders>
              <w:top w:val="single" w:color="auto" w:sz="4" w:space="0"/>
              <w:left w:val="single" w:color="auto" w:sz="4" w:space="0"/>
              <w:bottom w:val="single" w:color="auto" w:sz="4" w:space="0"/>
              <w:right w:val="single" w:color="auto" w:sz="4" w:space="0"/>
            </w:tcBorders>
            <w:vAlign w:val="center"/>
          </w:tcPr>
          <w:p w14:paraId="7293FCB1">
            <w:pPr>
              <w:autoSpaceDE w:val="0"/>
              <w:autoSpaceDN w:val="0"/>
              <w:adjustRightInd w:val="0"/>
              <w:ind w:left="-53" w:leftChars="-25"/>
              <w:jc w:val="right"/>
              <w:rPr>
                <w:rFonts w:asciiTheme="minorEastAsia" w:hAnsiTheme="minorEastAsia" w:eastAsiaTheme="minorEastAsia"/>
                <w:spacing w:val="-10"/>
              </w:rPr>
            </w:pPr>
          </w:p>
        </w:tc>
      </w:tr>
      <w:tr w14:paraId="213B7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6C2C96FC">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06755446">
            <w:pPr>
              <w:autoSpaceDE w:val="0"/>
              <w:autoSpaceDN w:val="0"/>
              <w:adjustRightInd w:val="0"/>
              <w:ind w:left="-53" w:leftChars="-25"/>
              <w:rPr>
                <w:spacing w:val="-10"/>
              </w:rPr>
            </w:pPr>
            <w:r>
              <w:rPr>
                <w:spacing w:val="-10"/>
              </w:rPr>
              <w:t>重庆新润商业管理有限公司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5BA9F2D6">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964BD78">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CD24C89">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115,364.06</w:t>
            </w:r>
          </w:p>
        </w:tc>
        <w:tc>
          <w:tcPr>
            <w:tcW w:w="829" w:type="pct"/>
            <w:tcBorders>
              <w:top w:val="single" w:color="auto" w:sz="4" w:space="0"/>
              <w:left w:val="single" w:color="auto" w:sz="4" w:space="0"/>
              <w:bottom w:val="single" w:color="auto" w:sz="4" w:space="0"/>
              <w:right w:val="single" w:color="auto" w:sz="4" w:space="0"/>
            </w:tcBorders>
            <w:vAlign w:val="center"/>
          </w:tcPr>
          <w:p w14:paraId="7737669F">
            <w:pPr>
              <w:autoSpaceDE w:val="0"/>
              <w:autoSpaceDN w:val="0"/>
              <w:adjustRightInd w:val="0"/>
              <w:ind w:left="-53" w:leftChars="-25"/>
              <w:jc w:val="right"/>
              <w:rPr>
                <w:rFonts w:asciiTheme="minorEastAsia" w:hAnsiTheme="minorEastAsia" w:eastAsiaTheme="minorEastAsia"/>
                <w:spacing w:val="-10"/>
              </w:rPr>
            </w:pPr>
          </w:p>
        </w:tc>
      </w:tr>
      <w:tr w14:paraId="62EA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582A985F">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BC369C7">
            <w:pPr>
              <w:autoSpaceDE w:val="0"/>
              <w:autoSpaceDN w:val="0"/>
              <w:adjustRightInd w:val="0"/>
              <w:ind w:left="-53" w:leftChars="-25"/>
              <w:rPr>
                <w:spacing w:val="-10"/>
              </w:rPr>
            </w:pPr>
            <w:r>
              <w:rPr>
                <w:spacing w:val="-10"/>
              </w:rPr>
              <w:t>湖南吉利汽车部件有限公司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7AEA7342">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63899CF9">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17EA1CD">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109,297.77</w:t>
            </w:r>
          </w:p>
        </w:tc>
        <w:tc>
          <w:tcPr>
            <w:tcW w:w="829" w:type="pct"/>
            <w:tcBorders>
              <w:top w:val="single" w:color="auto" w:sz="4" w:space="0"/>
              <w:left w:val="single" w:color="auto" w:sz="4" w:space="0"/>
              <w:bottom w:val="single" w:color="auto" w:sz="4" w:space="0"/>
              <w:right w:val="single" w:color="auto" w:sz="4" w:space="0"/>
            </w:tcBorders>
            <w:vAlign w:val="center"/>
          </w:tcPr>
          <w:p w14:paraId="2E9B0B93">
            <w:pPr>
              <w:autoSpaceDE w:val="0"/>
              <w:autoSpaceDN w:val="0"/>
              <w:adjustRightInd w:val="0"/>
              <w:ind w:left="-53" w:leftChars="-25"/>
              <w:jc w:val="right"/>
              <w:rPr>
                <w:rFonts w:asciiTheme="minorEastAsia" w:hAnsiTheme="minorEastAsia" w:eastAsiaTheme="minorEastAsia"/>
                <w:spacing w:val="-10"/>
              </w:rPr>
            </w:pPr>
          </w:p>
        </w:tc>
      </w:tr>
      <w:tr w14:paraId="296A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bottom w:val="single" w:color="auto" w:sz="4" w:space="0"/>
              <w:right w:val="single" w:color="auto" w:sz="4" w:space="0"/>
            </w:tcBorders>
            <w:vAlign w:val="center"/>
          </w:tcPr>
          <w:p w14:paraId="04E85660">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18140FC8">
            <w:pPr>
              <w:autoSpaceDE w:val="0"/>
              <w:autoSpaceDN w:val="0"/>
              <w:adjustRightInd w:val="0"/>
              <w:ind w:left="-53" w:leftChars="-25"/>
              <w:rPr>
                <w:spacing w:val="-10"/>
              </w:rPr>
            </w:pPr>
            <w:r>
              <w:rPr>
                <w:spacing w:val="-10"/>
              </w:rPr>
              <w:t>义乌领克汽车有限公司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CBB7C15">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6B4C18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E4FC70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6,211.50</w:t>
            </w:r>
          </w:p>
        </w:tc>
        <w:tc>
          <w:tcPr>
            <w:tcW w:w="829" w:type="pct"/>
            <w:tcBorders>
              <w:top w:val="single" w:color="auto" w:sz="4" w:space="0"/>
              <w:left w:val="single" w:color="auto" w:sz="4" w:space="0"/>
              <w:bottom w:val="single" w:color="auto" w:sz="4" w:space="0"/>
              <w:right w:val="single" w:color="auto" w:sz="4" w:space="0"/>
            </w:tcBorders>
            <w:vAlign w:val="center"/>
          </w:tcPr>
          <w:p w14:paraId="2757E1EA">
            <w:pPr>
              <w:autoSpaceDE w:val="0"/>
              <w:autoSpaceDN w:val="0"/>
              <w:adjustRightInd w:val="0"/>
              <w:ind w:left="-53" w:leftChars="-25"/>
              <w:jc w:val="right"/>
              <w:rPr>
                <w:rFonts w:asciiTheme="minorEastAsia" w:hAnsiTheme="minorEastAsia" w:eastAsiaTheme="minorEastAsia"/>
                <w:spacing w:val="-10"/>
              </w:rPr>
            </w:pPr>
          </w:p>
        </w:tc>
      </w:tr>
      <w:tr w14:paraId="2992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restart"/>
            <w:tcBorders>
              <w:top w:val="single" w:color="auto" w:sz="4" w:space="0"/>
              <w:left w:val="single" w:color="auto" w:sz="4" w:space="0"/>
              <w:right w:val="single" w:color="auto" w:sz="4" w:space="0"/>
            </w:tcBorders>
            <w:vAlign w:val="center"/>
          </w:tcPr>
          <w:p w14:paraId="0CBC7AEA">
            <w:pPr>
              <w:autoSpaceDE w:val="0"/>
              <w:autoSpaceDN w:val="0"/>
              <w:adjustRightInd w:val="0"/>
              <w:ind w:left="-53" w:leftChars="-25"/>
              <w:jc w:val="center"/>
              <w:rPr>
                <w:spacing w:val="-10"/>
              </w:rPr>
            </w:pPr>
            <w:r>
              <w:rPr>
                <w:spacing w:val="-10"/>
              </w:rPr>
              <w:t>预付款项</w:t>
            </w:r>
          </w:p>
        </w:tc>
        <w:tc>
          <w:tcPr>
            <w:tcW w:w="1125" w:type="pct"/>
            <w:tcBorders>
              <w:top w:val="single" w:color="auto" w:sz="4" w:space="0"/>
              <w:left w:val="single" w:color="auto" w:sz="4" w:space="0"/>
              <w:bottom w:val="single" w:color="auto" w:sz="4" w:space="0"/>
              <w:right w:val="single" w:color="auto" w:sz="4" w:space="0"/>
            </w:tcBorders>
            <w:vAlign w:val="center"/>
          </w:tcPr>
          <w:p w14:paraId="06426D6F">
            <w:pPr>
              <w:autoSpaceDE w:val="0"/>
              <w:autoSpaceDN w:val="0"/>
              <w:adjustRightInd w:val="0"/>
              <w:ind w:left="-53" w:leftChars="-25"/>
              <w:rPr>
                <w:spacing w:val="-10"/>
              </w:rPr>
            </w:pPr>
            <w:r>
              <w:rPr>
                <w:spacing w:val="-10"/>
              </w:rPr>
              <w:t>浙江美可达摩托车有限公司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364BC1EC">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1,161,104.86</w:t>
            </w:r>
          </w:p>
        </w:tc>
        <w:tc>
          <w:tcPr>
            <w:tcW w:w="829" w:type="pct"/>
            <w:tcBorders>
              <w:top w:val="single" w:color="auto" w:sz="4" w:space="0"/>
              <w:left w:val="single" w:color="auto" w:sz="4" w:space="0"/>
              <w:bottom w:val="single" w:color="auto" w:sz="4" w:space="0"/>
              <w:right w:val="single" w:color="auto" w:sz="4" w:space="0"/>
            </w:tcBorders>
            <w:vAlign w:val="center"/>
          </w:tcPr>
          <w:p w14:paraId="028BDDAE">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D4803F2">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1,439,373.62</w:t>
            </w:r>
          </w:p>
        </w:tc>
        <w:tc>
          <w:tcPr>
            <w:tcW w:w="829" w:type="pct"/>
            <w:tcBorders>
              <w:top w:val="single" w:color="auto" w:sz="4" w:space="0"/>
              <w:left w:val="single" w:color="auto" w:sz="4" w:space="0"/>
              <w:bottom w:val="single" w:color="auto" w:sz="4" w:space="0"/>
              <w:right w:val="single" w:color="auto" w:sz="4" w:space="0"/>
            </w:tcBorders>
            <w:vAlign w:val="center"/>
          </w:tcPr>
          <w:p w14:paraId="596DA9EC">
            <w:pPr>
              <w:autoSpaceDE w:val="0"/>
              <w:autoSpaceDN w:val="0"/>
              <w:adjustRightInd w:val="0"/>
              <w:ind w:left="-53" w:leftChars="-25"/>
              <w:jc w:val="right"/>
              <w:rPr>
                <w:rFonts w:asciiTheme="minorEastAsia" w:hAnsiTheme="minorEastAsia" w:eastAsiaTheme="minorEastAsia"/>
                <w:spacing w:val="-10"/>
              </w:rPr>
            </w:pPr>
          </w:p>
        </w:tc>
      </w:tr>
      <w:tr w14:paraId="19D1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498C9F3F">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02C85A75">
            <w:pPr>
              <w:autoSpaceDE w:val="0"/>
              <w:autoSpaceDN w:val="0"/>
              <w:adjustRightInd w:val="0"/>
              <w:ind w:left="-53" w:leftChars="-25"/>
              <w:rPr>
                <w:spacing w:val="-10"/>
              </w:rPr>
            </w:pPr>
            <w:r>
              <w:rPr>
                <w:spacing w:val="-10"/>
              </w:rPr>
              <w:t>江西安驰新能源科技有限公司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35EBACFD">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903,096.00</w:t>
            </w:r>
          </w:p>
        </w:tc>
        <w:tc>
          <w:tcPr>
            <w:tcW w:w="829" w:type="pct"/>
            <w:tcBorders>
              <w:top w:val="single" w:color="auto" w:sz="4" w:space="0"/>
              <w:left w:val="single" w:color="auto" w:sz="4" w:space="0"/>
              <w:bottom w:val="single" w:color="auto" w:sz="4" w:space="0"/>
              <w:right w:val="single" w:color="auto" w:sz="4" w:space="0"/>
            </w:tcBorders>
            <w:vAlign w:val="center"/>
          </w:tcPr>
          <w:p w14:paraId="28BDF5EF">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5D12EAC">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CBB0D62">
            <w:pPr>
              <w:autoSpaceDE w:val="0"/>
              <w:autoSpaceDN w:val="0"/>
              <w:adjustRightInd w:val="0"/>
              <w:ind w:left="-53" w:leftChars="-25"/>
              <w:jc w:val="right"/>
              <w:rPr>
                <w:rFonts w:asciiTheme="minorEastAsia" w:hAnsiTheme="minorEastAsia" w:eastAsiaTheme="minorEastAsia"/>
                <w:spacing w:val="-10"/>
              </w:rPr>
            </w:pPr>
          </w:p>
        </w:tc>
      </w:tr>
      <w:tr w14:paraId="24D6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03ED1D42">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A4E70B3">
            <w:pPr>
              <w:autoSpaceDE w:val="0"/>
              <w:autoSpaceDN w:val="0"/>
              <w:adjustRightInd w:val="0"/>
              <w:ind w:left="-53" w:leftChars="-25"/>
              <w:rPr>
                <w:spacing w:val="-10"/>
              </w:rPr>
            </w:pPr>
            <w:r>
              <w:rPr>
                <w:spacing w:val="-10"/>
              </w:rPr>
              <w:t>启征新能源汽车（济南）有限公司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05587824">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524,342.94</w:t>
            </w:r>
          </w:p>
        </w:tc>
        <w:tc>
          <w:tcPr>
            <w:tcW w:w="829" w:type="pct"/>
            <w:tcBorders>
              <w:top w:val="single" w:color="auto" w:sz="4" w:space="0"/>
              <w:left w:val="single" w:color="auto" w:sz="4" w:space="0"/>
              <w:bottom w:val="single" w:color="auto" w:sz="4" w:space="0"/>
              <w:right w:val="single" w:color="auto" w:sz="4" w:space="0"/>
            </w:tcBorders>
            <w:vAlign w:val="center"/>
          </w:tcPr>
          <w:p w14:paraId="0863657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8D77EE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EDE8FB7">
            <w:pPr>
              <w:autoSpaceDE w:val="0"/>
              <w:autoSpaceDN w:val="0"/>
              <w:adjustRightInd w:val="0"/>
              <w:ind w:left="-53" w:leftChars="-25"/>
              <w:jc w:val="right"/>
              <w:rPr>
                <w:rFonts w:asciiTheme="minorEastAsia" w:hAnsiTheme="minorEastAsia" w:eastAsiaTheme="minorEastAsia"/>
                <w:spacing w:val="-10"/>
              </w:rPr>
            </w:pPr>
          </w:p>
        </w:tc>
      </w:tr>
      <w:tr w14:paraId="321B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04F3BB54">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819DF35">
            <w:pPr>
              <w:autoSpaceDE w:val="0"/>
              <w:autoSpaceDN w:val="0"/>
              <w:adjustRightInd w:val="0"/>
              <w:ind w:left="-53" w:leftChars="-25"/>
              <w:rPr>
                <w:spacing w:val="-10"/>
              </w:rPr>
            </w:pPr>
            <w:r>
              <w:rPr>
                <w:spacing w:val="-10"/>
              </w:rPr>
              <w:t>浙江豪情汽车制造有限公司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02CE1084">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36,508.59</w:t>
            </w:r>
          </w:p>
        </w:tc>
        <w:tc>
          <w:tcPr>
            <w:tcW w:w="829" w:type="pct"/>
            <w:tcBorders>
              <w:top w:val="single" w:color="auto" w:sz="4" w:space="0"/>
              <w:left w:val="single" w:color="auto" w:sz="4" w:space="0"/>
              <w:bottom w:val="single" w:color="auto" w:sz="4" w:space="0"/>
              <w:right w:val="single" w:color="auto" w:sz="4" w:space="0"/>
            </w:tcBorders>
            <w:vAlign w:val="center"/>
          </w:tcPr>
          <w:p w14:paraId="5C2752CD">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A52B3B2">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220DF3F4">
            <w:pPr>
              <w:autoSpaceDE w:val="0"/>
              <w:autoSpaceDN w:val="0"/>
              <w:adjustRightInd w:val="0"/>
              <w:ind w:left="-53" w:leftChars="-25"/>
              <w:jc w:val="right"/>
              <w:rPr>
                <w:rFonts w:asciiTheme="minorEastAsia" w:hAnsiTheme="minorEastAsia" w:eastAsiaTheme="minorEastAsia"/>
                <w:spacing w:val="-10"/>
              </w:rPr>
            </w:pPr>
          </w:p>
        </w:tc>
      </w:tr>
      <w:tr w14:paraId="0691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00781DA0">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60057AF0">
            <w:pPr>
              <w:autoSpaceDE w:val="0"/>
              <w:autoSpaceDN w:val="0"/>
              <w:adjustRightInd w:val="0"/>
              <w:ind w:left="-53" w:leftChars="-25"/>
              <w:rPr>
                <w:spacing w:val="-10"/>
              </w:rPr>
            </w:pPr>
            <w:r>
              <w:rPr>
                <w:spacing w:val="-10"/>
              </w:rPr>
              <w:t>宁波前湾新区吉研后勤服务有限公司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4BA14FD9">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15,096.00</w:t>
            </w:r>
          </w:p>
        </w:tc>
        <w:tc>
          <w:tcPr>
            <w:tcW w:w="829" w:type="pct"/>
            <w:tcBorders>
              <w:top w:val="single" w:color="auto" w:sz="4" w:space="0"/>
              <w:left w:val="single" w:color="auto" w:sz="4" w:space="0"/>
              <w:bottom w:val="single" w:color="auto" w:sz="4" w:space="0"/>
              <w:right w:val="single" w:color="auto" w:sz="4" w:space="0"/>
            </w:tcBorders>
            <w:vAlign w:val="center"/>
          </w:tcPr>
          <w:p w14:paraId="3B7A71B8">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2AC7F1D">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210BEF4">
            <w:pPr>
              <w:autoSpaceDE w:val="0"/>
              <w:autoSpaceDN w:val="0"/>
              <w:adjustRightInd w:val="0"/>
              <w:ind w:left="-53" w:leftChars="-25"/>
              <w:jc w:val="right"/>
              <w:rPr>
                <w:rFonts w:asciiTheme="minorEastAsia" w:hAnsiTheme="minorEastAsia" w:eastAsiaTheme="minorEastAsia"/>
                <w:spacing w:val="-10"/>
              </w:rPr>
            </w:pPr>
          </w:p>
        </w:tc>
      </w:tr>
      <w:tr w14:paraId="46D5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5E15F17D">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D3BD0C5">
            <w:pPr>
              <w:autoSpaceDE w:val="0"/>
              <w:autoSpaceDN w:val="0"/>
              <w:adjustRightInd w:val="0"/>
              <w:ind w:left="-53" w:leftChars="-25"/>
              <w:rPr>
                <w:spacing w:val="-10"/>
              </w:rPr>
            </w:pPr>
            <w:r>
              <w:rPr>
                <w:spacing w:val="-10"/>
              </w:rPr>
              <w:t>钱江雷霆（北京）科技有限公司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E99D2CE">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10,755.60</w:t>
            </w:r>
          </w:p>
        </w:tc>
        <w:tc>
          <w:tcPr>
            <w:tcW w:w="829" w:type="pct"/>
            <w:tcBorders>
              <w:top w:val="single" w:color="auto" w:sz="4" w:space="0"/>
              <w:left w:val="single" w:color="auto" w:sz="4" w:space="0"/>
              <w:bottom w:val="single" w:color="auto" w:sz="4" w:space="0"/>
              <w:right w:val="single" w:color="auto" w:sz="4" w:space="0"/>
            </w:tcBorders>
            <w:vAlign w:val="center"/>
          </w:tcPr>
          <w:p w14:paraId="1C688E55">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20AAF7E">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68,798.81</w:t>
            </w:r>
          </w:p>
        </w:tc>
        <w:tc>
          <w:tcPr>
            <w:tcW w:w="829" w:type="pct"/>
            <w:tcBorders>
              <w:top w:val="single" w:color="auto" w:sz="4" w:space="0"/>
              <w:left w:val="single" w:color="auto" w:sz="4" w:space="0"/>
              <w:bottom w:val="single" w:color="auto" w:sz="4" w:space="0"/>
              <w:right w:val="single" w:color="auto" w:sz="4" w:space="0"/>
            </w:tcBorders>
            <w:vAlign w:val="center"/>
          </w:tcPr>
          <w:p w14:paraId="6C3772B2">
            <w:pPr>
              <w:autoSpaceDE w:val="0"/>
              <w:autoSpaceDN w:val="0"/>
              <w:adjustRightInd w:val="0"/>
              <w:ind w:left="-53" w:leftChars="-25"/>
              <w:jc w:val="right"/>
              <w:rPr>
                <w:rFonts w:asciiTheme="minorEastAsia" w:hAnsiTheme="minorEastAsia" w:eastAsiaTheme="minorEastAsia"/>
                <w:spacing w:val="-10"/>
              </w:rPr>
            </w:pPr>
          </w:p>
        </w:tc>
      </w:tr>
      <w:tr w14:paraId="00F57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6E76734D">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BFBC13A">
            <w:pPr>
              <w:autoSpaceDE w:val="0"/>
              <w:autoSpaceDN w:val="0"/>
              <w:adjustRightInd w:val="0"/>
              <w:ind w:left="-53" w:leftChars="-25"/>
              <w:rPr>
                <w:spacing w:val="-10"/>
              </w:rPr>
            </w:pPr>
            <w:r>
              <w:rPr>
                <w:spacing w:val="-10"/>
              </w:rPr>
              <w:t>宁波吉利汽车研究开发有限公司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3B84652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5,290.79</w:t>
            </w:r>
          </w:p>
        </w:tc>
        <w:tc>
          <w:tcPr>
            <w:tcW w:w="829" w:type="pct"/>
            <w:tcBorders>
              <w:top w:val="single" w:color="auto" w:sz="4" w:space="0"/>
              <w:left w:val="single" w:color="auto" w:sz="4" w:space="0"/>
              <w:bottom w:val="single" w:color="auto" w:sz="4" w:space="0"/>
              <w:right w:val="single" w:color="auto" w:sz="4" w:space="0"/>
            </w:tcBorders>
            <w:vAlign w:val="center"/>
          </w:tcPr>
          <w:p w14:paraId="74439F26">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157377D">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C81152F">
            <w:pPr>
              <w:autoSpaceDE w:val="0"/>
              <w:autoSpaceDN w:val="0"/>
              <w:adjustRightInd w:val="0"/>
              <w:ind w:left="-53" w:leftChars="-25"/>
              <w:jc w:val="right"/>
              <w:rPr>
                <w:rFonts w:asciiTheme="minorEastAsia" w:hAnsiTheme="minorEastAsia" w:eastAsiaTheme="minorEastAsia"/>
                <w:spacing w:val="-10"/>
              </w:rPr>
            </w:pPr>
          </w:p>
        </w:tc>
      </w:tr>
      <w:tr w14:paraId="0C67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579B2E43">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7AFFD11">
            <w:pPr>
              <w:autoSpaceDE w:val="0"/>
              <w:autoSpaceDN w:val="0"/>
              <w:adjustRightInd w:val="0"/>
              <w:ind w:left="-53" w:leftChars="-25"/>
              <w:rPr>
                <w:spacing w:val="-10"/>
              </w:rPr>
            </w:pPr>
            <w:r>
              <w:rPr>
                <w:spacing w:val="-10"/>
              </w:rPr>
              <w:t>杭州枫华科技有限公司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3BC4E9AE">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1,282.95</w:t>
            </w:r>
          </w:p>
        </w:tc>
        <w:tc>
          <w:tcPr>
            <w:tcW w:w="829" w:type="pct"/>
            <w:tcBorders>
              <w:top w:val="single" w:color="auto" w:sz="4" w:space="0"/>
              <w:left w:val="single" w:color="auto" w:sz="4" w:space="0"/>
              <w:bottom w:val="single" w:color="auto" w:sz="4" w:space="0"/>
              <w:right w:val="single" w:color="auto" w:sz="4" w:space="0"/>
            </w:tcBorders>
            <w:vAlign w:val="center"/>
          </w:tcPr>
          <w:p w14:paraId="65FFCF07">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EEC17DF">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91F1E0C">
            <w:pPr>
              <w:autoSpaceDE w:val="0"/>
              <w:autoSpaceDN w:val="0"/>
              <w:adjustRightInd w:val="0"/>
              <w:ind w:left="-53" w:leftChars="-25"/>
              <w:jc w:val="right"/>
              <w:rPr>
                <w:rFonts w:asciiTheme="minorEastAsia" w:hAnsiTheme="minorEastAsia" w:eastAsiaTheme="minorEastAsia"/>
                <w:spacing w:val="-10"/>
              </w:rPr>
            </w:pPr>
          </w:p>
        </w:tc>
      </w:tr>
      <w:tr w14:paraId="63CA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76DB5AF8">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6DE68F6B">
            <w:pPr>
              <w:autoSpaceDE w:val="0"/>
              <w:autoSpaceDN w:val="0"/>
              <w:adjustRightInd w:val="0"/>
              <w:ind w:left="-53" w:leftChars="-25"/>
              <w:rPr>
                <w:spacing w:val="-10"/>
              </w:rPr>
            </w:pPr>
            <w:r>
              <w:rPr>
                <w:spacing w:val="-10"/>
              </w:rPr>
              <w:t>吉利汽车控股（上海）有限公司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2ADA5AC">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103.00</w:t>
            </w:r>
          </w:p>
        </w:tc>
        <w:tc>
          <w:tcPr>
            <w:tcW w:w="829" w:type="pct"/>
            <w:tcBorders>
              <w:top w:val="single" w:color="auto" w:sz="4" w:space="0"/>
              <w:left w:val="single" w:color="auto" w:sz="4" w:space="0"/>
              <w:bottom w:val="single" w:color="auto" w:sz="4" w:space="0"/>
              <w:right w:val="single" w:color="auto" w:sz="4" w:space="0"/>
            </w:tcBorders>
            <w:vAlign w:val="center"/>
          </w:tcPr>
          <w:p w14:paraId="010C7E51">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B21AD14">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554060E6">
            <w:pPr>
              <w:autoSpaceDE w:val="0"/>
              <w:autoSpaceDN w:val="0"/>
              <w:adjustRightInd w:val="0"/>
              <w:ind w:left="-53" w:leftChars="-25"/>
              <w:jc w:val="right"/>
              <w:rPr>
                <w:rFonts w:asciiTheme="minorEastAsia" w:hAnsiTheme="minorEastAsia" w:eastAsiaTheme="minorEastAsia"/>
                <w:spacing w:val="-10"/>
              </w:rPr>
            </w:pPr>
          </w:p>
        </w:tc>
      </w:tr>
      <w:tr w14:paraId="2714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23374669">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112CF8D9">
            <w:pPr>
              <w:autoSpaceDE w:val="0"/>
              <w:autoSpaceDN w:val="0"/>
              <w:adjustRightInd w:val="0"/>
              <w:ind w:left="-53" w:leftChars="-25"/>
              <w:rPr>
                <w:spacing w:val="-10"/>
              </w:rPr>
            </w:pPr>
            <w:r>
              <w:rPr>
                <w:spacing w:val="-10"/>
              </w:rPr>
              <w:t>杭州轩宇企业咨询管理有限公司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47EAED0E">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69F0B27B">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5BDCFAA0">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70.35</w:t>
            </w:r>
          </w:p>
        </w:tc>
        <w:tc>
          <w:tcPr>
            <w:tcW w:w="829" w:type="pct"/>
            <w:tcBorders>
              <w:top w:val="single" w:color="auto" w:sz="4" w:space="0"/>
              <w:left w:val="single" w:color="auto" w:sz="4" w:space="0"/>
              <w:bottom w:val="single" w:color="auto" w:sz="4" w:space="0"/>
              <w:right w:val="single" w:color="auto" w:sz="4" w:space="0"/>
            </w:tcBorders>
            <w:vAlign w:val="center"/>
          </w:tcPr>
          <w:p w14:paraId="639CDC6E">
            <w:pPr>
              <w:autoSpaceDE w:val="0"/>
              <w:autoSpaceDN w:val="0"/>
              <w:adjustRightInd w:val="0"/>
              <w:ind w:left="-53" w:leftChars="-25"/>
              <w:jc w:val="right"/>
              <w:rPr>
                <w:rFonts w:asciiTheme="minorEastAsia" w:hAnsiTheme="minorEastAsia" w:eastAsiaTheme="minorEastAsia"/>
                <w:spacing w:val="-10"/>
              </w:rPr>
            </w:pPr>
          </w:p>
        </w:tc>
      </w:tr>
      <w:tr w14:paraId="2121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24F0BFE3">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621C0A98">
            <w:pPr>
              <w:autoSpaceDE w:val="0"/>
              <w:autoSpaceDN w:val="0"/>
              <w:adjustRightInd w:val="0"/>
              <w:ind w:left="-53" w:leftChars="-25"/>
              <w:rPr>
                <w:spacing w:val="-10"/>
              </w:rPr>
            </w:pPr>
            <w:r>
              <w:rPr>
                <w:spacing w:val="-10"/>
              </w:rPr>
              <w:t>浙江翼真汽车研究开发有限公司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52ECA0A1">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677CAAA5">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8984234">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75,311.68</w:t>
            </w:r>
          </w:p>
        </w:tc>
        <w:tc>
          <w:tcPr>
            <w:tcW w:w="829" w:type="pct"/>
            <w:tcBorders>
              <w:top w:val="single" w:color="auto" w:sz="4" w:space="0"/>
              <w:left w:val="single" w:color="auto" w:sz="4" w:space="0"/>
              <w:bottom w:val="single" w:color="auto" w:sz="4" w:space="0"/>
              <w:right w:val="single" w:color="auto" w:sz="4" w:space="0"/>
            </w:tcBorders>
            <w:vAlign w:val="center"/>
          </w:tcPr>
          <w:p w14:paraId="0A4D1B02">
            <w:pPr>
              <w:autoSpaceDE w:val="0"/>
              <w:autoSpaceDN w:val="0"/>
              <w:adjustRightInd w:val="0"/>
              <w:ind w:left="-53" w:leftChars="-25"/>
              <w:jc w:val="right"/>
              <w:rPr>
                <w:rFonts w:asciiTheme="minorEastAsia" w:hAnsiTheme="minorEastAsia" w:eastAsiaTheme="minorEastAsia"/>
                <w:spacing w:val="-10"/>
              </w:rPr>
            </w:pPr>
          </w:p>
        </w:tc>
      </w:tr>
      <w:tr w14:paraId="00D5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bottom w:val="single" w:color="auto" w:sz="4" w:space="0"/>
              <w:right w:val="single" w:color="auto" w:sz="4" w:space="0"/>
            </w:tcBorders>
            <w:vAlign w:val="center"/>
          </w:tcPr>
          <w:p w14:paraId="12E2E9F2">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C1CAF61">
            <w:pPr>
              <w:autoSpaceDE w:val="0"/>
              <w:autoSpaceDN w:val="0"/>
              <w:adjustRightInd w:val="0"/>
              <w:ind w:left="-53" w:leftChars="-25"/>
              <w:rPr>
                <w:spacing w:val="-10"/>
              </w:rPr>
            </w:pPr>
            <w:r>
              <w:rPr>
                <w:spacing w:val="-10"/>
              </w:rPr>
              <w:t>重庆新润商业管理有限公司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072A6D9F">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480E4A71">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6A9CF5B">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5,964.24</w:t>
            </w:r>
          </w:p>
        </w:tc>
        <w:tc>
          <w:tcPr>
            <w:tcW w:w="829" w:type="pct"/>
            <w:tcBorders>
              <w:top w:val="single" w:color="auto" w:sz="4" w:space="0"/>
              <w:left w:val="single" w:color="auto" w:sz="4" w:space="0"/>
              <w:bottom w:val="single" w:color="auto" w:sz="4" w:space="0"/>
              <w:right w:val="single" w:color="auto" w:sz="4" w:space="0"/>
            </w:tcBorders>
            <w:vAlign w:val="center"/>
          </w:tcPr>
          <w:p w14:paraId="075EF95A">
            <w:pPr>
              <w:autoSpaceDE w:val="0"/>
              <w:autoSpaceDN w:val="0"/>
              <w:adjustRightInd w:val="0"/>
              <w:ind w:left="-53" w:leftChars="-25"/>
              <w:jc w:val="right"/>
              <w:rPr>
                <w:rFonts w:asciiTheme="minorEastAsia" w:hAnsiTheme="minorEastAsia" w:eastAsiaTheme="minorEastAsia"/>
                <w:spacing w:val="-10"/>
              </w:rPr>
            </w:pPr>
          </w:p>
        </w:tc>
      </w:tr>
      <w:tr w14:paraId="7CD9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restart"/>
            <w:tcBorders>
              <w:top w:val="single" w:color="auto" w:sz="4" w:space="0"/>
              <w:left w:val="single" w:color="auto" w:sz="4" w:space="0"/>
              <w:right w:val="single" w:color="auto" w:sz="4" w:space="0"/>
            </w:tcBorders>
            <w:vAlign w:val="center"/>
          </w:tcPr>
          <w:p w14:paraId="4FDAED0B">
            <w:pPr>
              <w:autoSpaceDE w:val="0"/>
              <w:autoSpaceDN w:val="0"/>
              <w:adjustRightInd w:val="0"/>
              <w:ind w:left="-53" w:leftChars="-25"/>
              <w:jc w:val="center"/>
              <w:rPr>
                <w:spacing w:val="-10"/>
              </w:rPr>
            </w:pPr>
            <w:r>
              <w:rPr>
                <w:spacing w:val="-10"/>
              </w:rPr>
              <w:t>其他应收款</w:t>
            </w:r>
          </w:p>
        </w:tc>
        <w:tc>
          <w:tcPr>
            <w:tcW w:w="1125" w:type="pct"/>
            <w:tcBorders>
              <w:top w:val="single" w:color="auto" w:sz="4" w:space="0"/>
              <w:left w:val="single" w:color="auto" w:sz="4" w:space="0"/>
              <w:bottom w:val="single" w:color="auto" w:sz="4" w:space="0"/>
              <w:right w:val="single" w:color="auto" w:sz="4" w:space="0"/>
            </w:tcBorders>
            <w:vAlign w:val="center"/>
          </w:tcPr>
          <w:p w14:paraId="18693550">
            <w:pPr>
              <w:autoSpaceDE w:val="0"/>
              <w:autoSpaceDN w:val="0"/>
              <w:adjustRightInd w:val="0"/>
              <w:ind w:left="-53" w:leftChars="-25"/>
              <w:rPr>
                <w:spacing w:val="-10"/>
              </w:rPr>
            </w:pPr>
            <w:r>
              <w:rPr>
                <w:spacing w:val="-10"/>
              </w:rPr>
              <w:t>领克汽车科技有限公司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1EE1A53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2,266,951.95</w:t>
            </w:r>
          </w:p>
        </w:tc>
        <w:tc>
          <w:tcPr>
            <w:tcW w:w="829" w:type="pct"/>
            <w:tcBorders>
              <w:top w:val="single" w:color="auto" w:sz="4" w:space="0"/>
              <w:left w:val="single" w:color="auto" w:sz="4" w:space="0"/>
              <w:bottom w:val="single" w:color="auto" w:sz="4" w:space="0"/>
              <w:right w:val="single" w:color="auto" w:sz="4" w:space="0"/>
            </w:tcBorders>
            <w:vAlign w:val="center"/>
          </w:tcPr>
          <w:p w14:paraId="5ABC97E5">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F77EDAE">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238,206.96</w:t>
            </w:r>
          </w:p>
        </w:tc>
        <w:tc>
          <w:tcPr>
            <w:tcW w:w="829" w:type="pct"/>
            <w:tcBorders>
              <w:top w:val="single" w:color="auto" w:sz="4" w:space="0"/>
              <w:left w:val="single" w:color="auto" w:sz="4" w:space="0"/>
              <w:bottom w:val="single" w:color="auto" w:sz="4" w:space="0"/>
              <w:right w:val="single" w:color="auto" w:sz="4" w:space="0"/>
            </w:tcBorders>
            <w:vAlign w:val="center"/>
          </w:tcPr>
          <w:p w14:paraId="5D91DDAA">
            <w:pPr>
              <w:autoSpaceDE w:val="0"/>
              <w:autoSpaceDN w:val="0"/>
              <w:adjustRightInd w:val="0"/>
              <w:ind w:left="-53" w:leftChars="-25"/>
              <w:jc w:val="right"/>
              <w:rPr>
                <w:rFonts w:asciiTheme="minorEastAsia" w:hAnsiTheme="minorEastAsia" w:eastAsiaTheme="minorEastAsia"/>
                <w:spacing w:val="-10"/>
              </w:rPr>
            </w:pPr>
          </w:p>
        </w:tc>
      </w:tr>
      <w:tr w14:paraId="2A2B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007CF545">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78DB032">
            <w:pPr>
              <w:autoSpaceDE w:val="0"/>
              <w:autoSpaceDN w:val="0"/>
              <w:adjustRightInd w:val="0"/>
              <w:ind w:left="-53" w:leftChars="-25"/>
              <w:rPr>
                <w:spacing w:val="-10"/>
              </w:rPr>
            </w:pPr>
            <w:r>
              <w:rPr>
                <w:spacing w:val="-10"/>
              </w:rPr>
              <w:t>浙江吉利商务服务有限公司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BAD8AF2">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400,000.00</w:t>
            </w:r>
          </w:p>
        </w:tc>
        <w:tc>
          <w:tcPr>
            <w:tcW w:w="829" w:type="pct"/>
            <w:tcBorders>
              <w:top w:val="single" w:color="auto" w:sz="4" w:space="0"/>
              <w:left w:val="single" w:color="auto" w:sz="4" w:space="0"/>
              <w:bottom w:val="single" w:color="auto" w:sz="4" w:space="0"/>
              <w:right w:val="single" w:color="auto" w:sz="4" w:space="0"/>
            </w:tcBorders>
            <w:vAlign w:val="center"/>
          </w:tcPr>
          <w:p w14:paraId="0FE1774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40,000.00</w:t>
            </w:r>
          </w:p>
        </w:tc>
        <w:tc>
          <w:tcPr>
            <w:tcW w:w="829" w:type="pct"/>
            <w:tcBorders>
              <w:top w:val="single" w:color="auto" w:sz="4" w:space="0"/>
              <w:left w:val="single" w:color="auto" w:sz="4" w:space="0"/>
              <w:bottom w:val="single" w:color="auto" w:sz="4" w:space="0"/>
              <w:right w:val="single" w:color="auto" w:sz="4" w:space="0"/>
            </w:tcBorders>
            <w:vAlign w:val="center"/>
          </w:tcPr>
          <w:p w14:paraId="3A7F0990">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400,000.00</w:t>
            </w:r>
          </w:p>
        </w:tc>
        <w:tc>
          <w:tcPr>
            <w:tcW w:w="829" w:type="pct"/>
            <w:tcBorders>
              <w:top w:val="single" w:color="auto" w:sz="4" w:space="0"/>
              <w:left w:val="single" w:color="auto" w:sz="4" w:space="0"/>
              <w:bottom w:val="single" w:color="auto" w:sz="4" w:space="0"/>
              <w:right w:val="single" w:color="auto" w:sz="4" w:space="0"/>
            </w:tcBorders>
            <w:vAlign w:val="center"/>
          </w:tcPr>
          <w:p w14:paraId="17623E03">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20,000.00</w:t>
            </w:r>
          </w:p>
        </w:tc>
      </w:tr>
      <w:tr w14:paraId="2541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181CA48D">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88F2880">
            <w:pPr>
              <w:autoSpaceDE w:val="0"/>
              <w:autoSpaceDN w:val="0"/>
              <w:adjustRightInd w:val="0"/>
              <w:ind w:left="-53" w:leftChars="-25"/>
              <w:rPr>
                <w:spacing w:val="-10"/>
              </w:rPr>
            </w:pPr>
            <w:r>
              <w:rPr>
                <w:spacing w:val="-10"/>
              </w:rPr>
              <w:t>重庆新能源汽车融资租赁有限公司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16BFE81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293,446.93</w:t>
            </w:r>
          </w:p>
        </w:tc>
        <w:tc>
          <w:tcPr>
            <w:tcW w:w="829" w:type="pct"/>
            <w:tcBorders>
              <w:top w:val="single" w:color="auto" w:sz="4" w:space="0"/>
              <w:left w:val="single" w:color="auto" w:sz="4" w:space="0"/>
              <w:bottom w:val="single" w:color="auto" w:sz="4" w:space="0"/>
              <w:right w:val="single" w:color="auto" w:sz="4" w:space="0"/>
            </w:tcBorders>
            <w:vAlign w:val="center"/>
          </w:tcPr>
          <w:p w14:paraId="2AF1867A">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29,344.69</w:t>
            </w:r>
          </w:p>
        </w:tc>
        <w:tc>
          <w:tcPr>
            <w:tcW w:w="829" w:type="pct"/>
            <w:tcBorders>
              <w:top w:val="single" w:color="auto" w:sz="4" w:space="0"/>
              <w:left w:val="single" w:color="auto" w:sz="4" w:space="0"/>
              <w:bottom w:val="single" w:color="auto" w:sz="4" w:space="0"/>
              <w:right w:val="single" w:color="auto" w:sz="4" w:space="0"/>
            </w:tcBorders>
            <w:vAlign w:val="center"/>
          </w:tcPr>
          <w:p w14:paraId="771639A2">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293,446.93</w:t>
            </w:r>
          </w:p>
        </w:tc>
        <w:tc>
          <w:tcPr>
            <w:tcW w:w="829" w:type="pct"/>
            <w:tcBorders>
              <w:top w:val="single" w:color="auto" w:sz="4" w:space="0"/>
              <w:left w:val="single" w:color="auto" w:sz="4" w:space="0"/>
              <w:bottom w:val="single" w:color="auto" w:sz="4" w:space="0"/>
              <w:right w:val="single" w:color="auto" w:sz="4" w:space="0"/>
            </w:tcBorders>
            <w:vAlign w:val="center"/>
          </w:tcPr>
          <w:p w14:paraId="07883B2D">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29,344.69</w:t>
            </w:r>
          </w:p>
        </w:tc>
      </w:tr>
      <w:tr w14:paraId="16C4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5E9E133E">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1652876C">
            <w:pPr>
              <w:autoSpaceDE w:val="0"/>
              <w:autoSpaceDN w:val="0"/>
              <w:adjustRightInd w:val="0"/>
              <w:ind w:left="-53" w:leftChars="-25"/>
              <w:rPr>
                <w:spacing w:val="-10"/>
              </w:rPr>
            </w:pPr>
            <w:r>
              <w:rPr>
                <w:spacing w:val="-10"/>
              </w:rPr>
              <w:t>原力数能（重庆）科技有限公司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541985D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97,844.13</w:t>
            </w:r>
          </w:p>
        </w:tc>
        <w:tc>
          <w:tcPr>
            <w:tcW w:w="829" w:type="pct"/>
            <w:tcBorders>
              <w:top w:val="single" w:color="auto" w:sz="4" w:space="0"/>
              <w:left w:val="single" w:color="auto" w:sz="4" w:space="0"/>
              <w:bottom w:val="single" w:color="auto" w:sz="4" w:space="0"/>
              <w:right w:val="single" w:color="auto" w:sz="4" w:space="0"/>
            </w:tcBorders>
            <w:vAlign w:val="center"/>
          </w:tcPr>
          <w:p w14:paraId="6C9C792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4F4C454">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36C88F5">
            <w:pPr>
              <w:autoSpaceDE w:val="0"/>
              <w:autoSpaceDN w:val="0"/>
              <w:adjustRightInd w:val="0"/>
              <w:ind w:left="-53" w:leftChars="-25"/>
              <w:jc w:val="right"/>
              <w:rPr>
                <w:rFonts w:asciiTheme="minorEastAsia" w:hAnsiTheme="minorEastAsia" w:eastAsiaTheme="minorEastAsia"/>
                <w:spacing w:val="-10"/>
              </w:rPr>
            </w:pPr>
          </w:p>
        </w:tc>
      </w:tr>
      <w:tr w14:paraId="1FCE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599BAB47">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F39E076">
            <w:pPr>
              <w:autoSpaceDE w:val="0"/>
              <w:autoSpaceDN w:val="0"/>
              <w:adjustRightInd w:val="0"/>
              <w:ind w:left="-53" w:leftChars="-25"/>
              <w:rPr>
                <w:spacing w:val="-10"/>
              </w:rPr>
            </w:pPr>
            <w:r>
              <w:rPr>
                <w:spacing w:val="-10"/>
              </w:rPr>
              <w:t>枫盛汽车（江苏）有限公司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7893BFD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47,173.00</w:t>
            </w:r>
          </w:p>
        </w:tc>
        <w:tc>
          <w:tcPr>
            <w:tcW w:w="829" w:type="pct"/>
            <w:tcBorders>
              <w:top w:val="single" w:color="auto" w:sz="4" w:space="0"/>
              <w:left w:val="single" w:color="auto" w:sz="4" w:space="0"/>
              <w:bottom w:val="single" w:color="auto" w:sz="4" w:space="0"/>
              <w:right w:val="single" w:color="auto" w:sz="4" w:space="0"/>
            </w:tcBorders>
            <w:vAlign w:val="center"/>
          </w:tcPr>
          <w:p w14:paraId="712704A6">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6C4DFE24">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FA658AF">
            <w:pPr>
              <w:autoSpaceDE w:val="0"/>
              <w:autoSpaceDN w:val="0"/>
              <w:adjustRightInd w:val="0"/>
              <w:ind w:left="-53" w:leftChars="-25"/>
              <w:jc w:val="right"/>
              <w:rPr>
                <w:rFonts w:asciiTheme="minorEastAsia" w:hAnsiTheme="minorEastAsia" w:eastAsiaTheme="minorEastAsia"/>
                <w:spacing w:val="-10"/>
              </w:rPr>
            </w:pPr>
          </w:p>
        </w:tc>
      </w:tr>
      <w:tr w14:paraId="1019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08C81B8C">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7D57006B">
            <w:pPr>
              <w:autoSpaceDE w:val="0"/>
              <w:autoSpaceDN w:val="0"/>
              <w:adjustRightInd w:val="0"/>
              <w:ind w:left="-53" w:leftChars="-25"/>
              <w:rPr>
                <w:spacing w:val="-10"/>
              </w:rPr>
            </w:pPr>
            <w:r>
              <w:rPr>
                <w:spacing w:val="-10"/>
              </w:rPr>
              <w:t>吉利汽车研究院（宁波）有限公司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133DAB63">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30,295.06</w:t>
            </w:r>
          </w:p>
        </w:tc>
        <w:tc>
          <w:tcPr>
            <w:tcW w:w="829" w:type="pct"/>
            <w:tcBorders>
              <w:top w:val="single" w:color="auto" w:sz="4" w:space="0"/>
              <w:left w:val="single" w:color="auto" w:sz="4" w:space="0"/>
              <w:bottom w:val="single" w:color="auto" w:sz="4" w:space="0"/>
              <w:right w:val="single" w:color="auto" w:sz="4" w:space="0"/>
            </w:tcBorders>
            <w:vAlign w:val="center"/>
          </w:tcPr>
          <w:p w14:paraId="09BE7928">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36820A47">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1E387FE4">
            <w:pPr>
              <w:autoSpaceDE w:val="0"/>
              <w:autoSpaceDN w:val="0"/>
              <w:adjustRightInd w:val="0"/>
              <w:ind w:left="-53" w:leftChars="-25"/>
              <w:jc w:val="right"/>
              <w:rPr>
                <w:rFonts w:asciiTheme="minorEastAsia" w:hAnsiTheme="minorEastAsia" w:eastAsiaTheme="minorEastAsia"/>
                <w:spacing w:val="-10"/>
              </w:rPr>
            </w:pPr>
          </w:p>
        </w:tc>
      </w:tr>
      <w:tr w14:paraId="01F9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1E5A7CF4">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262E7971">
            <w:pPr>
              <w:autoSpaceDE w:val="0"/>
              <w:autoSpaceDN w:val="0"/>
              <w:adjustRightInd w:val="0"/>
              <w:ind w:left="-53" w:leftChars="-25"/>
              <w:rPr>
                <w:spacing w:val="-10"/>
              </w:rPr>
            </w:pPr>
            <w:r>
              <w:rPr>
                <w:spacing w:val="-10"/>
              </w:rPr>
              <w:t>重庆新润商业管理有限公司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0D8A1489">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30,240.00</w:t>
            </w:r>
          </w:p>
        </w:tc>
        <w:tc>
          <w:tcPr>
            <w:tcW w:w="829" w:type="pct"/>
            <w:tcBorders>
              <w:top w:val="single" w:color="auto" w:sz="4" w:space="0"/>
              <w:left w:val="single" w:color="auto" w:sz="4" w:space="0"/>
              <w:bottom w:val="single" w:color="auto" w:sz="4" w:space="0"/>
              <w:right w:val="single" w:color="auto" w:sz="4" w:space="0"/>
            </w:tcBorders>
            <w:vAlign w:val="center"/>
          </w:tcPr>
          <w:p w14:paraId="3D6A64F3">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3,024.00</w:t>
            </w:r>
          </w:p>
        </w:tc>
        <w:tc>
          <w:tcPr>
            <w:tcW w:w="829" w:type="pct"/>
            <w:tcBorders>
              <w:top w:val="single" w:color="auto" w:sz="4" w:space="0"/>
              <w:left w:val="single" w:color="auto" w:sz="4" w:space="0"/>
              <w:bottom w:val="single" w:color="auto" w:sz="4" w:space="0"/>
              <w:right w:val="single" w:color="auto" w:sz="4" w:space="0"/>
            </w:tcBorders>
            <w:vAlign w:val="center"/>
          </w:tcPr>
          <w:p w14:paraId="3DBB76D1">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53,412.65</w:t>
            </w:r>
          </w:p>
        </w:tc>
        <w:tc>
          <w:tcPr>
            <w:tcW w:w="829" w:type="pct"/>
            <w:tcBorders>
              <w:top w:val="single" w:color="auto" w:sz="4" w:space="0"/>
              <w:left w:val="single" w:color="auto" w:sz="4" w:space="0"/>
              <w:bottom w:val="single" w:color="auto" w:sz="4" w:space="0"/>
              <w:right w:val="single" w:color="auto" w:sz="4" w:space="0"/>
            </w:tcBorders>
            <w:vAlign w:val="center"/>
          </w:tcPr>
          <w:p w14:paraId="662B5F8C">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71.54</w:t>
            </w:r>
          </w:p>
        </w:tc>
      </w:tr>
      <w:tr w14:paraId="7C39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2A880132">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4C74DE70">
            <w:pPr>
              <w:autoSpaceDE w:val="0"/>
              <w:autoSpaceDN w:val="0"/>
              <w:adjustRightInd w:val="0"/>
              <w:ind w:left="-53" w:leftChars="-25"/>
              <w:rPr>
                <w:spacing w:val="-10"/>
              </w:rPr>
            </w:pPr>
            <w:r>
              <w:rPr>
                <w:spacing w:val="-10"/>
              </w:rPr>
              <w:t>吉利汽车控股（杭州）有限公司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2685EE3F">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4,108.22</w:t>
            </w:r>
          </w:p>
        </w:tc>
        <w:tc>
          <w:tcPr>
            <w:tcW w:w="829" w:type="pct"/>
            <w:tcBorders>
              <w:top w:val="single" w:color="auto" w:sz="4" w:space="0"/>
              <w:left w:val="single" w:color="auto" w:sz="4" w:space="0"/>
              <w:bottom w:val="single" w:color="auto" w:sz="4" w:space="0"/>
              <w:right w:val="single" w:color="auto" w:sz="4" w:space="0"/>
            </w:tcBorders>
            <w:vAlign w:val="center"/>
          </w:tcPr>
          <w:p w14:paraId="55FC1585">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6783DDB1">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683CBDA">
            <w:pPr>
              <w:autoSpaceDE w:val="0"/>
              <w:autoSpaceDN w:val="0"/>
              <w:adjustRightInd w:val="0"/>
              <w:ind w:left="-53" w:leftChars="-25"/>
              <w:jc w:val="right"/>
              <w:rPr>
                <w:rFonts w:asciiTheme="minorEastAsia" w:hAnsiTheme="minorEastAsia" w:eastAsiaTheme="minorEastAsia"/>
                <w:spacing w:val="-10"/>
              </w:rPr>
            </w:pPr>
          </w:p>
        </w:tc>
      </w:tr>
      <w:tr w14:paraId="5ED0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7AD292F1">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5857B266">
            <w:pPr>
              <w:autoSpaceDE w:val="0"/>
              <w:autoSpaceDN w:val="0"/>
              <w:adjustRightInd w:val="0"/>
              <w:ind w:left="-53" w:leftChars="-25"/>
              <w:rPr>
                <w:spacing w:val="-10"/>
              </w:rPr>
            </w:pPr>
            <w:r>
              <w:rPr>
                <w:spacing w:val="-10"/>
              </w:rPr>
              <w:t>浙江钱江摩托股份有限公司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1572E9F9">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412.70</w:t>
            </w:r>
          </w:p>
        </w:tc>
        <w:tc>
          <w:tcPr>
            <w:tcW w:w="829" w:type="pct"/>
            <w:tcBorders>
              <w:top w:val="single" w:color="auto" w:sz="4" w:space="0"/>
              <w:left w:val="single" w:color="auto" w:sz="4" w:space="0"/>
              <w:bottom w:val="single" w:color="auto" w:sz="4" w:space="0"/>
              <w:right w:val="single" w:color="auto" w:sz="4" w:space="0"/>
            </w:tcBorders>
            <w:vAlign w:val="center"/>
          </w:tcPr>
          <w:p w14:paraId="0CC79503">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BBD1D16">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78D4D8F0">
            <w:pPr>
              <w:autoSpaceDE w:val="0"/>
              <w:autoSpaceDN w:val="0"/>
              <w:adjustRightInd w:val="0"/>
              <w:ind w:left="-53" w:leftChars="-25"/>
              <w:jc w:val="right"/>
              <w:rPr>
                <w:rFonts w:asciiTheme="minorEastAsia" w:hAnsiTheme="minorEastAsia" w:eastAsiaTheme="minorEastAsia"/>
                <w:spacing w:val="-10"/>
              </w:rPr>
            </w:pPr>
          </w:p>
        </w:tc>
      </w:tr>
      <w:tr w14:paraId="7DCE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right w:val="single" w:color="auto" w:sz="4" w:space="0"/>
            </w:tcBorders>
            <w:vAlign w:val="center"/>
          </w:tcPr>
          <w:p w14:paraId="18711437">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0B149D3C">
            <w:pPr>
              <w:autoSpaceDE w:val="0"/>
              <w:autoSpaceDN w:val="0"/>
              <w:adjustRightInd w:val="0"/>
              <w:ind w:left="-53" w:leftChars="-25"/>
              <w:rPr>
                <w:spacing w:val="-10"/>
              </w:rPr>
            </w:pPr>
            <w:r>
              <w:rPr>
                <w:spacing w:val="-10"/>
              </w:rPr>
              <w:t>易易互联科技有限公司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715CFF5D">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F7963A7">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0729232C">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9,600.00</w:t>
            </w:r>
          </w:p>
        </w:tc>
        <w:tc>
          <w:tcPr>
            <w:tcW w:w="829" w:type="pct"/>
            <w:tcBorders>
              <w:top w:val="single" w:color="auto" w:sz="4" w:space="0"/>
              <w:left w:val="single" w:color="auto" w:sz="4" w:space="0"/>
              <w:bottom w:val="single" w:color="auto" w:sz="4" w:space="0"/>
              <w:right w:val="single" w:color="auto" w:sz="4" w:space="0"/>
            </w:tcBorders>
            <w:vAlign w:val="center"/>
          </w:tcPr>
          <w:p w14:paraId="47198AA8">
            <w:pPr>
              <w:autoSpaceDE w:val="0"/>
              <w:autoSpaceDN w:val="0"/>
              <w:adjustRightInd w:val="0"/>
              <w:ind w:left="-53" w:leftChars="-25"/>
              <w:jc w:val="right"/>
              <w:rPr>
                <w:rFonts w:asciiTheme="minorEastAsia" w:hAnsiTheme="minorEastAsia" w:eastAsiaTheme="minorEastAsia"/>
                <w:spacing w:val="-10"/>
              </w:rPr>
            </w:pPr>
          </w:p>
        </w:tc>
      </w:tr>
      <w:tr w14:paraId="2E3E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59" w:type="pct"/>
            <w:vMerge w:val="continue"/>
            <w:tcBorders>
              <w:left w:val="single" w:color="auto" w:sz="4" w:space="0"/>
              <w:bottom w:val="single" w:color="auto" w:sz="4" w:space="0"/>
              <w:right w:val="single" w:color="auto" w:sz="4" w:space="0"/>
            </w:tcBorders>
            <w:vAlign w:val="center"/>
          </w:tcPr>
          <w:p w14:paraId="72A18C4E">
            <w:pPr>
              <w:autoSpaceDE w:val="0"/>
              <w:autoSpaceDN w:val="0"/>
              <w:adjustRightInd w:val="0"/>
              <w:ind w:left="-53" w:leftChars="-25"/>
              <w:rPr>
                <w:spacing w:val="-10"/>
              </w:rPr>
            </w:pPr>
          </w:p>
        </w:tc>
        <w:tc>
          <w:tcPr>
            <w:tcW w:w="1125" w:type="pct"/>
            <w:tcBorders>
              <w:top w:val="single" w:color="auto" w:sz="4" w:space="0"/>
              <w:left w:val="single" w:color="auto" w:sz="4" w:space="0"/>
              <w:bottom w:val="single" w:color="auto" w:sz="4" w:space="0"/>
              <w:right w:val="single" w:color="auto" w:sz="4" w:space="0"/>
            </w:tcBorders>
            <w:vAlign w:val="center"/>
          </w:tcPr>
          <w:p w14:paraId="0E183B2A">
            <w:pPr>
              <w:autoSpaceDE w:val="0"/>
              <w:autoSpaceDN w:val="0"/>
              <w:adjustRightInd w:val="0"/>
              <w:ind w:left="-53" w:leftChars="-25"/>
              <w:rPr>
                <w:spacing w:val="-10"/>
              </w:rPr>
            </w:pPr>
            <w:r>
              <w:rPr>
                <w:spacing w:val="-10"/>
              </w:rPr>
              <w:t>重庆幸福千万家汽车销售有限公司</w:t>
            </w:r>
          </w:p>
        </w:tc>
        <w:tc>
          <w:tcPr>
            <w:tcW w:w="829" w:type="pct"/>
            <w:tcBorders>
              <w:top w:val="single" w:color="auto" w:sz="4" w:space="0"/>
              <w:left w:val="single" w:color="auto" w:sz="4" w:space="0"/>
              <w:bottom w:val="single" w:color="auto" w:sz="4" w:space="0"/>
              <w:right w:val="single" w:color="auto" w:sz="4" w:space="0"/>
            </w:tcBorders>
            <w:vAlign w:val="center"/>
          </w:tcPr>
          <w:p w14:paraId="0D3D328C">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2BF556CC">
            <w:pPr>
              <w:autoSpaceDE w:val="0"/>
              <w:autoSpaceDN w:val="0"/>
              <w:adjustRightInd w:val="0"/>
              <w:ind w:left="-53" w:leftChars="-25"/>
              <w:jc w:val="right"/>
              <w:rPr>
                <w:rFonts w:asciiTheme="minorEastAsia" w:hAnsiTheme="minorEastAsia" w:eastAsiaTheme="minorEastAsia"/>
                <w:spacing w:val="-10"/>
              </w:rPr>
            </w:pPr>
          </w:p>
        </w:tc>
        <w:tc>
          <w:tcPr>
            <w:tcW w:w="829" w:type="pct"/>
            <w:tcBorders>
              <w:top w:val="single" w:color="auto" w:sz="4" w:space="0"/>
              <w:left w:val="single" w:color="auto" w:sz="4" w:space="0"/>
              <w:bottom w:val="single" w:color="auto" w:sz="4" w:space="0"/>
              <w:right w:val="single" w:color="auto" w:sz="4" w:space="0"/>
            </w:tcBorders>
            <w:vAlign w:val="center"/>
          </w:tcPr>
          <w:p w14:paraId="20E126CD">
            <w:pPr>
              <w:autoSpaceDE w:val="0"/>
              <w:autoSpaceDN w:val="0"/>
              <w:adjustRightInd w:val="0"/>
              <w:ind w:left="-53" w:leftChars="-25"/>
              <w:jc w:val="right"/>
              <w:rPr>
                <w:rFonts w:asciiTheme="minorEastAsia" w:hAnsiTheme="minorEastAsia" w:eastAsiaTheme="minorEastAsia"/>
                <w:spacing w:val="-10"/>
              </w:rPr>
            </w:pPr>
            <w:r>
              <w:rPr>
                <w:rFonts w:asciiTheme="minorEastAsia" w:hAnsiTheme="minorEastAsia" w:eastAsiaTheme="minorEastAsia"/>
                <w:spacing w:val="-10"/>
              </w:rPr>
              <w:t>1,071,000.00</w:t>
            </w:r>
          </w:p>
        </w:tc>
        <w:tc>
          <w:tcPr>
            <w:tcW w:w="829" w:type="pct"/>
            <w:tcBorders>
              <w:top w:val="single" w:color="auto" w:sz="4" w:space="0"/>
              <w:left w:val="single" w:color="auto" w:sz="4" w:space="0"/>
              <w:bottom w:val="single" w:color="auto" w:sz="4" w:space="0"/>
              <w:right w:val="single" w:color="auto" w:sz="4" w:space="0"/>
            </w:tcBorders>
            <w:vAlign w:val="center"/>
          </w:tcPr>
          <w:p w14:paraId="12BEDA08">
            <w:pPr>
              <w:autoSpaceDE w:val="0"/>
              <w:autoSpaceDN w:val="0"/>
              <w:adjustRightInd w:val="0"/>
              <w:ind w:left="-53" w:leftChars="-25"/>
              <w:jc w:val="right"/>
              <w:rPr>
                <w:rFonts w:asciiTheme="minorEastAsia" w:hAnsiTheme="minorEastAsia" w:eastAsiaTheme="minorEastAsia"/>
                <w:spacing w:val="-10"/>
              </w:rPr>
            </w:pPr>
          </w:p>
        </w:tc>
      </w:tr>
    </w:tbl>
    <w:p w14:paraId="73826715"/>
    <w:p w14:paraId="6F4CE276">
      <w:pPr>
        <w:pStyle w:val="5"/>
        <w:numPr>
          <w:ilvl w:val="0"/>
          <w:numId w:val="93"/>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应付项目</w:t>
      </w:r>
    </w:p>
    <w:p w14:paraId="14BEC67D">
      <w:pPr>
        <w:rPr>
          <w:color w:val="000000" w:themeColor="text1"/>
          <w14:textFill>
            <w14:solidFill>
              <w14:schemeClr w14:val="tx1"/>
            </w14:solidFill>
          </w14:textFill>
        </w:rPr>
      </w:pPr>
      <w:sdt>
        <w:sdtPr>
          <w:rPr>
            <w:rFonts w:hint="eastAsia"/>
            <w:color w:val="000000" w:themeColor="text1"/>
            <w14:textFill>
              <w14:solidFill>
                <w14:schemeClr w14:val="tx1"/>
              </w14:solidFill>
            </w14:textFill>
          </w:rPr>
          <w:alias w:val="是否适用：应付项目[双击切换]"/>
          <w:tag w:val="_GBC_9dbefb51b716471b878d2e2863524a53"/>
          <w:id w:val="1433092804"/>
          <w:placeholder>
            <w:docPart w:val="GBC22222222222222222222222222222"/>
          </w:placeholder>
        </w:sdtPr>
        <w:sdtEndPr>
          <w:rPr>
            <w:rFonts w:hint="eastAsia"/>
            <w:color w:val="000000" w:themeColor="text1"/>
            <w14:textFill>
              <w14:solidFill>
                <w14:schemeClr w14:val="tx1"/>
              </w14:solidFill>
            </w14:textFill>
          </w:rPr>
        </w:sdtEndPr>
        <w:sdtContent>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MACROBUTTON  SnrToggleCheckbox √适用</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sdtContent>
      </w:sdt>
    </w:p>
    <w:p w14:paraId="17F34C39">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上市公司应付关联方款项"/>
          <w:tag w:val="_GBC_08d04faee6a64768877db8f6ab14663e"/>
          <w:id w:val="-12950618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上市公司应付关联方款项"/>
          <w:tag w:val="_GBC_124ea57c07fc4e23931a125a103e711c"/>
          <w:id w:val="-8004576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540"/>
        <w:gridCol w:w="3973"/>
        <w:gridCol w:w="1690"/>
        <w:gridCol w:w="1690"/>
      </w:tblGrid>
      <w:tr w14:paraId="5304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cf838d28f8e94c899328f1b9cd175b08"/>
            <w:id w:val="-543131443"/>
          </w:sdtPr>
          <w:sdtContent>
            <w:tc>
              <w:tcPr>
                <w:tcW w:w="866" w:type="pct"/>
                <w:tcBorders>
                  <w:top w:val="single" w:color="auto" w:sz="4" w:space="0"/>
                  <w:left w:val="single" w:color="auto" w:sz="4" w:space="0"/>
                  <w:right w:val="single" w:color="auto" w:sz="4" w:space="0"/>
                </w:tcBorders>
              </w:tcPr>
              <w:p w14:paraId="03DF5EDE">
                <w:pPr>
                  <w:jc w:val="center"/>
                  <w:rPr>
                    <w:color w:val="000000" w:themeColor="text1"/>
                    <w14:textFill>
                      <w14:solidFill>
                        <w14:schemeClr w14:val="tx1"/>
                      </w14:solidFill>
                    </w14:textFill>
                  </w:rPr>
                </w:pPr>
                <w:bookmarkStart w:id="376" w:name="_Hlk167976682"/>
                <w:r>
                  <w:rPr>
                    <w:rFonts w:hint="eastAsia"/>
                    <w:color w:val="000000" w:themeColor="text1"/>
                    <w14:textFill>
                      <w14:solidFill>
                        <w14:schemeClr w14:val="tx1"/>
                      </w14:solidFill>
                    </w14:textFill>
                  </w:rPr>
                  <w:t>项目名称</w:t>
                </w:r>
              </w:p>
            </w:tc>
          </w:sdtContent>
        </w:sdt>
        <w:sdt>
          <w:sdtPr>
            <w:tag w:val="_PLD_25173a15407f4af6adbf91389dcc2257"/>
            <w:id w:val="-1638104952"/>
          </w:sdtPr>
          <w:sdtContent>
            <w:tc>
              <w:tcPr>
                <w:tcW w:w="2234" w:type="pct"/>
                <w:tcBorders>
                  <w:top w:val="single" w:color="auto" w:sz="4" w:space="0"/>
                  <w:left w:val="single" w:color="auto" w:sz="4" w:space="0"/>
                  <w:right w:val="single" w:color="auto" w:sz="4" w:space="0"/>
                </w:tcBorders>
                <w:vAlign w:val="center"/>
              </w:tcPr>
              <w:p w14:paraId="2B47285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关联方</w:t>
                </w:r>
              </w:p>
            </w:tc>
          </w:sdtContent>
        </w:sdt>
        <w:sdt>
          <w:sdtPr>
            <w:tag w:val="_PLD_a8551739db0f47cab1b1a6ea0e700367"/>
            <w:id w:val="1311520430"/>
          </w:sdtPr>
          <w:sdtContent>
            <w:tc>
              <w:tcPr>
                <w:tcW w:w="950" w:type="pct"/>
                <w:tcBorders>
                  <w:top w:val="single" w:color="auto" w:sz="4" w:space="0"/>
                  <w:left w:val="single" w:color="auto" w:sz="4" w:space="0"/>
                  <w:bottom w:val="single" w:color="auto" w:sz="4" w:space="0"/>
                  <w:right w:val="single" w:color="auto" w:sz="4" w:space="0"/>
                </w:tcBorders>
                <w:vAlign w:val="center"/>
              </w:tcPr>
              <w:p w14:paraId="63E271B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期末账面余额</w:t>
                </w:r>
              </w:p>
            </w:tc>
          </w:sdtContent>
        </w:sdt>
        <w:sdt>
          <w:sdtPr>
            <w:tag w:val="_PLD_83bc027cb7f1401db7a26beffe77ce00"/>
            <w:id w:val="-214274188"/>
          </w:sdtPr>
          <w:sdtContent>
            <w:tc>
              <w:tcPr>
                <w:tcW w:w="950" w:type="pct"/>
                <w:tcBorders>
                  <w:top w:val="single" w:color="auto" w:sz="4" w:space="0"/>
                  <w:left w:val="single" w:color="auto" w:sz="4" w:space="0"/>
                  <w:bottom w:val="single" w:color="auto" w:sz="4" w:space="0"/>
                  <w:right w:val="single" w:color="auto" w:sz="4" w:space="0"/>
                </w:tcBorders>
                <w:vAlign w:val="center"/>
              </w:tcPr>
              <w:p w14:paraId="0131152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期初账面余额</w:t>
                </w:r>
              </w:p>
            </w:tc>
          </w:sdtContent>
        </w:sdt>
      </w:tr>
      <w:tr w14:paraId="1ED1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18" w:hRule="atLeast"/>
        </w:trPr>
        <w:tc>
          <w:tcPr>
            <w:tcW w:w="866" w:type="pct"/>
            <w:vMerge w:val="restart"/>
            <w:tcBorders>
              <w:top w:val="single" w:color="auto" w:sz="4" w:space="0"/>
              <w:left w:val="single" w:color="auto" w:sz="4" w:space="0"/>
              <w:right w:val="single" w:color="auto" w:sz="4" w:space="0"/>
            </w:tcBorders>
            <w:vAlign w:val="center"/>
          </w:tcPr>
          <w:p w14:paraId="134CB29E">
            <w:pPr>
              <w:autoSpaceDE w:val="0"/>
              <w:autoSpaceDN w:val="0"/>
              <w:adjustRightInd w:val="0"/>
              <w:jc w:val="center"/>
            </w:pPr>
            <w:r>
              <w:t>应付账款</w:t>
            </w:r>
          </w:p>
        </w:tc>
        <w:tc>
          <w:tcPr>
            <w:tcW w:w="2234" w:type="pct"/>
            <w:tcBorders>
              <w:top w:val="single" w:color="auto" w:sz="4" w:space="0"/>
              <w:left w:val="single" w:color="auto" w:sz="4" w:space="0"/>
              <w:bottom w:val="single" w:color="auto" w:sz="4" w:space="0"/>
              <w:right w:val="single" w:color="auto" w:sz="4" w:space="0"/>
            </w:tcBorders>
            <w:vAlign w:val="center"/>
          </w:tcPr>
          <w:p w14:paraId="006D22DB">
            <w:pPr>
              <w:autoSpaceDE w:val="0"/>
              <w:autoSpaceDN w:val="0"/>
              <w:adjustRightInd w:val="0"/>
            </w:pPr>
            <w:r>
              <w:t>浙江吉智新能源汽车科技有限公司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5DEDBA9">
            <w:pPr>
              <w:autoSpaceDE w:val="0"/>
              <w:autoSpaceDN w:val="0"/>
              <w:adjustRightInd w:val="0"/>
              <w:jc w:val="right"/>
            </w:pPr>
            <w:r>
              <w:t>426,183,116.41</w:t>
            </w:r>
          </w:p>
        </w:tc>
        <w:tc>
          <w:tcPr>
            <w:tcW w:w="950" w:type="pct"/>
            <w:tcBorders>
              <w:top w:val="single" w:color="auto" w:sz="4" w:space="0"/>
              <w:left w:val="single" w:color="auto" w:sz="4" w:space="0"/>
              <w:bottom w:val="single" w:color="auto" w:sz="4" w:space="0"/>
              <w:right w:val="single" w:color="auto" w:sz="4" w:space="0"/>
            </w:tcBorders>
            <w:vAlign w:val="center"/>
          </w:tcPr>
          <w:p w14:paraId="019DD3C4">
            <w:pPr>
              <w:autoSpaceDE w:val="0"/>
              <w:autoSpaceDN w:val="0"/>
              <w:adjustRightInd w:val="0"/>
              <w:jc w:val="right"/>
            </w:pPr>
            <w:r>
              <w:t>426,183,116.41</w:t>
            </w:r>
          </w:p>
        </w:tc>
      </w:tr>
      <w:tr w14:paraId="4561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F85119B">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F0150FE">
            <w:pPr>
              <w:autoSpaceDE w:val="0"/>
              <w:autoSpaceDN w:val="0"/>
              <w:adjustRightInd w:val="0"/>
            </w:pPr>
            <w:r>
              <w:t>浙江豪情汽车制造有限公司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08D153C">
            <w:pPr>
              <w:autoSpaceDE w:val="0"/>
              <w:autoSpaceDN w:val="0"/>
              <w:adjustRightInd w:val="0"/>
              <w:jc w:val="right"/>
            </w:pPr>
            <w:r>
              <w:t>279,965,959.37</w:t>
            </w:r>
          </w:p>
        </w:tc>
        <w:tc>
          <w:tcPr>
            <w:tcW w:w="950" w:type="pct"/>
            <w:tcBorders>
              <w:top w:val="single" w:color="auto" w:sz="4" w:space="0"/>
              <w:left w:val="single" w:color="auto" w:sz="4" w:space="0"/>
              <w:bottom w:val="single" w:color="auto" w:sz="4" w:space="0"/>
              <w:right w:val="single" w:color="auto" w:sz="4" w:space="0"/>
            </w:tcBorders>
            <w:vAlign w:val="center"/>
          </w:tcPr>
          <w:p w14:paraId="4F748D64">
            <w:pPr>
              <w:autoSpaceDE w:val="0"/>
              <w:autoSpaceDN w:val="0"/>
              <w:adjustRightInd w:val="0"/>
              <w:jc w:val="right"/>
            </w:pPr>
            <w:r>
              <w:t>360,971,613.87</w:t>
            </w:r>
          </w:p>
        </w:tc>
      </w:tr>
      <w:tr w14:paraId="4E5A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8252F92">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59EB6F4">
            <w:pPr>
              <w:autoSpaceDE w:val="0"/>
              <w:autoSpaceDN w:val="0"/>
              <w:adjustRightInd w:val="0"/>
            </w:pPr>
            <w:r>
              <w:t>浙江吉利汽车有限公司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4DD69FC">
            <w:pPr>
              <w:autoSpaceDE w:val="0"/>
              <w:autoSpaceDN w:val="0"/>
              <w:adjustRightInd w:val="0"/>
              <w:jc w:val="right"/>
            </w:pPr>
            <w:r>
              <w:t>152,793,266.46</w:t>
            </w:r>
          </w:p>
        </w:tc>
        <w:tc>
          <w:tcPr>
            <w:tcW w:w="950" w:type="pct"/>
            <w:tcBorders>
              <w:top w:val="single" w:color="auto" w:sz="4" w:space="0"/>
              <w:left w:val="single" w:color="auto" w:sz="4" w:space="0"/>
              <w:bottom w:val="single" w:color="auto" w:sz="4" w:space="0"/>
              <w:right w:val="single" w:color="auto" w:sz="4" w:space="0"/>
            </w:tcBorders>
            <w:vAlign w:val="center"/>
          </w:tcPr>
          <w:p w14:paraId="2D37BCFE">
            <w:pPr>
              <w:autoSpaceDE w:val="0"/>
              <w:autoSpaceDN w:val="0"/>
              <w:adjustRightInd w:val="0"/>
              <w:jc w:val="right"/>
            </w:pPr>
            <w:r>
              <w:t>248,905,079.51</w:t>
            </w:r>
          </w:p>
        </w:tc>
      </w:tr>
      <w:tr w14:paraId="27CE6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742E7B79">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643D0EF">
            <w:pPr>
              <w:autoSpaceDE w:val="0"/>
              <w:autoSpaceDN w:val="0"/>
              <w:adjustRightInd w:val="0"/>
            </w:pPr>
            <w:r>
              <w:t>四川领克汽车制造有限公司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2B343F4">
            <w:pPr>
              <w:autoSpaceDE w:val="0"/>
              <w:autoSpaceDN w:val="0"/>
              <w:adjustRightInd w:val="0"/>
              <w:jc w:val="right"/>
            </w:pPr>
            <w:r>
              <w:t>87,545,777.51</w:t>
            </w:r>
          </w:p>
        </w:tc>
        <w:tc>
          <w:tcPr>
            <w:tcW w:w="950" w:type="pct"/>
            <w:tcBorders>
              <w:top w:val="single" w:color="auto" w:sz="4" w:space="0"/>
              <w:left w:val="single" w:color="auto" w:sz="4" w:space="0"/>
              <w:bottom w:val="single" w:color="auto" w:sz="4" w:space="0"/>
              <w:right w:val="single" w:color="auto" w:sz="4" w:space="0"/>
            </w:tcBorders>
            <w:vAlign w:val="center"/>
          </w:tcPr>
          <w:p w14:paraId="1242CD65">
            <w:pPr>
              <w:autoSpaceDE w:val="0"/>
              <w:autoSpaceDN w:val="0"/>
              <w:adjustRightInd w:val="0"/>
              <w:jc w:val="right"/>
            </w:pPr>
            <w:r>
              <w:t>88,950,366.57</w:t>
            </w:r>
          </w:p>
        </w:tc>
      </w:tr>
      <w:tr w14:paraId="2C56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4970A11">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169EB3F">
            <w:pPr>
              <w:autoSpaceDE w:val="0"/>
              <w:autoSpaceDN w:val="0"/>
              <w:adjustRightInd w:val="0"/>
            </w:pPr>
            <w:r>
              <w:t>贵州吉利汽车制造有限公司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77284C8">
            <w:pPr>
              <w:autoSpaceDE w:val="0"/>
              <w:autoSpaceDN w:val="0"/>
              <w:adjustRightInd w:val="0"/>
              <w:jc w:val="right"/>
            </w:pPr>
            <w:r>
              <w:t>82,689,067.14</w:t>
            </w:r>
          </w:p>
        </w:tc>
        <w:tc>
          <w:tcPr>
            <w:tcW w:w="950" w:type="pct"/>
            <w:tcBorders>
              <w:top w:val="single" w:color="auto" w:sz="4" w:space="0"/>
              <w:left w:val="single" w:color="auto" w:sz="4" w:space="0"/>
              <w:bottom w:val="single" w:color="auto" w:sz="4" w:space="0"/>
              <w:right w:val="single" w:color="auto" w:sz="4" w:space="0"/>
            </w:tcBorders>
            <w:vAlign w:val="center"/>
          </w:tcPr>
          <w:p w14:paraId="7F5CF5FF">
            <w:pPr>
              <w:autoSpaceDE w:val="0"/>
              <w:autoSpaceDN w:val="0"/>
              <w:adjustRightInd w:val="0"/>
              <w:jc w:val="right"/>
            </w:pPr>
            <w:r>
              <w:t>28,536,671.92</w:t>
            </w:r>
          </w:p>
        </w:tc>
      </w:tr>
      <w:tr w14:paraId="7502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25E4838">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6053E65">
            <w:pPr>
              <w:autoSpaceDE w:val="0"/>
              <w:autoSpaceDN w:val="0"/>
              <w:adjustRightInd w:val="0"/>
            </w:pPr>
            <w:r>
              <w:t>浙江锋锐发动机有限公司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2378F6C">
            <w:pPr>
              <w:autoSpaceDE w:val="0"/>
              <w:autoSpaceDN w:val="0"/>
              <w:adjustRightInd w:val="0"/>
              <w:jc w:val="right"/>
            </w:pPr>
            <w:r>
              <w:t>77,653,085.54</w:t>
            </w:r>
          </w:p>
        </w:tc>
        <w:tc>
          <w:tcPr>
            <w:tcW w:w="950" w:type="pct"/>
            <w:tcBorders>
              <w:top w:val="single" w:color="auto" w:sz="4" w:space="0"/>
              <w:left w:val="single" w:color="auto" w:sz="4" w:space="0"/>
              <w:bottom w:val="single" w:color="auto" w:sz="4" w:space="0"/>
              <w:right w:val="single" w:color="auto" w:sz="4" w:space="0"/>
            </w:tcBorders>
            <w:vAlign w:val="center"/>
          </w:tcPr>
          <w:p w14:paraId="6885EDD6">
            <w:pPr>
              <w:autoSpaceDE w:val="0"/>
              <w:autoSpaceDN w:val="0"/>
              <w:adjustRightInd w:val="0"/>
              <w:jc w:val="right"/>
            </w:pPr>
            <w:r>
              <w:t>54,036,338.54</w:t>
            </w:r>
          </w:p>
        </w:tc>
      </w:tr>
      <w:tr w14:paraId="6FC3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B0BE79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2BF7985">
            <w:pPr>
              <w:autoSpaceDE w:val="0"/>
              <w:autoSpaceDN w:val="0"/>
              <w:adjustRightInd w:val="0"/>
            </w:pPr>
            <w:r>
              <w:t>宁波吉利汽车研究开发有限公司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6A5C70C">
            <w:pPr>
              <w:autoSpaceDE w:val="0"/>
              <w:autoSpaceDN w:val="0"/>
              <w:adjustRightInd w:val="0"/>
              <w:jc w:val="right"/>
            </w:pPr>
            <w:r>
              <w:t>77,150,950.20</w:t>
            </w:r>
          </w:p>
        </w:tc>
        <w:tc>
          <w:tcPr>
            <w:tcW w:w="950" w:type="pct"/>
            <w:tcBorders>
              <w:top w:val="single" w:color="auto" w:sz="4" w:space="0"/>
              <w:left w:val="single" w:color="auto" w:sz="4" w:space="0"/>
              <w:bottom w:val="single" w:color="auto" w:sz="4" w:space="0"/>
              <w:right w:val="single" w:color="auto" w:sz="4" w:space="0"/>
            </w:tcBorders>
            <w:vAlign w:val="center"/>
          </w:tcPr>
          <w:p w14:paraId="60D1E821">
            <w:pPr>
              <w:autoSpaceDE w:val="0"/>
              <w:autoSpaceDN w:val="0"/>
              <w:adjustRightInd w:val="0"/>
              <w:jc w:val="right"/>
            </w:pPr>
            <w:r>
              <w:t>86,823,867.10</w:t>
            </w:r>
          </w:p>
        </w:tc>
      </w:tr>
      <w:tr w14:paraId="7AFD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E828826">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0ADE10F">
            <w:pPr>
              <w:autoSpaceDE w:val="0"/>
              <w:autoSpaceDN w:val="0"/>
              <w:adjustRightInd w:val="0"/>
            </w:pPr>
            <w:r>
              <w:t>杭州吉利汽车有限公司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99FF2B1">
            <w:pPr>
              <w:autoSpaceDE w:val="0"/>
              <w:autoSpaceDN w:val="0"/>
              <w:adjustRightInd w:val="0"/>
              <w:jc w:val="right"/>
            </w:pPr>
            <w:r>
              <w:t>26,645,846.25</w:t>
            </w:r>
          </w:p>
        </w:tc>
        <w:tc>
          <w:tcPr>
            <w:tcW w:w="950" w:type="pct"/>
            <w:tcBorders>
              <w:top w:val="single" w:color="auto" w:sz="4" w:space="0"/>
              <w:left w:val="single" w:color="auto" w:sz="4" w:space="0"/>
              <w:bottom w:val="single" w:color="auto" w:sz="4" w:space="0"/>
              <w:right w:val="single" w:color="auto" w:sz="4" w:space="0"/>
            </w:tcBorders>
            <w:vAlign w:val="center"/>
          </w:tcPr>
          <w:p w14:paraId="582E158A">
            <w:pPr>
              <w:autoSpaceDE w:val="0"/>
              <w:autoSpaceDN w:val="0"/>
              <w:adjustRightInd w:val="0"/>
              <w:jc w:val="right"/>
            </w:pPr>
            <w:r>
              <w:t>27,751,364.31</w:t>
            </w:r>
          </w:p>
        </w:tc>
      </w:tr>
      <w:tr w14:paraId="19B4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EAEF7E4">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968E008">
            <w:pPr>
              <w:autoSpaceDE w:val="0"/>
              <w:autoSpaceDN w:val="0"/>
              <w:adjustRightInd w:val="0"/>
            </w:pPr>
            <w:r>
              <w:t>江西安驰新能源科技有限公司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7679CED">
            <w:pPr>
              <w:autoSpaceDE w:val="0"/>
              <w:autoSpaceDN w:val="0"/>
              <w:adjustRightInd w:val="0"/>
              <w:jc w:val="right"/>
            </w:pPr>
            <w:r>
              <w:t>24,345,107.36</w:t>
            </w:r>
          </w:p>
        </w:tc>
        <w:tc>
          <w:tcPr>
            <w:tcW w:w="950" w:type="pct"/>
            <w:tcBorders>
              <w:top w:val="single" w:color="auto" w:sz="4" w:space="0"/>
              <w:left w:val="single" w:color="auto" w:sz="4" w:space="0"/>
              <w:bottom w:val="single" w:color="auto" w:sz="4" w:space="0"/>
              <w:right w:val="single" w:color="auto" w:sz="4" w:space="0"/>
            </w:tcBorders>
            <w:vAlign w:val="center"/>
          </w:tcPr>
          <w:p w14:paraId="6CFBFA0D">
            <w:pPr>
              <w:autoSpaceDE w:val="0"/>
              <w:autoSpaceDN w:val="0"/>
              <w:adjustRightInd w:val="0"/>
              <w:jc w:val="right"/>
            </w:pPr>
          </w:p>
        </w:tc>
      </w:tr>
      <w:tr w14:paraId="2245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2CED9A4">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1480420C">
            <w:pPr>
              <w:autoSpaceDE w:val="0"/>
              <w:autoSpaceDN w:val="0"/>
              <w:adjustRightInd w:val="0"/>
            </w:pPr>
            <w:r>
              <w:t>浙江吉润汽车有限公司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7727531">
            <w:pPr>
              <w:autoSpaceDE w:val="0"/>
              <w:autoSpaceDN w:val="0"/>
              <w:adjustRightInd w:val="0"/>
              <w:jc w:val="right"/>
            </w:pPr>
            <w:r>
              <w:t>10,280,499.01</w:t>
            </w:r>
          </w:p>
        </w:tc>
        <w:tc>
          <w:tcPr>
            <w:tcW w:w="950" w:type="pct"/>
            <w:tcBorders>
              <w:top w:val="single" w:color="auto" w:sz="4" w:space="0"/>
              <w:left w:val="single" w:color="auto" w:sz="4" w:space="0"/>
              <w:bottom w:val="single" w:color="auto" w:sz="4" w:space="0"/>
              <w:right w:val="single" w:color="auto" w:sz="4" w:space="0"/>
            </w:tcBorders>
            <w:vAlign w:val="center"/>
          </w:tcPr>
          <w:p w14:paraId="1D06A06F">
            <w:pPr>
              <w:autoSpaceDE w:val="0"/>
              <w:autoSpaceDN w:val="0"/>
              <w:adjustRightInd w:val="0"/>
              <w:jc w:val="right"/>
            </w:pPr>
            <w:r>
              <w:t>2,440,848.62</w:t>
            </w:r>
          </w:p>
        </w:tc>
      </w:tr>
      <w:tr w14:paraId="1D21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17F6035">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E9AB787">
            <w:pPr>
              <w:autoSpaceDE w:val="0"/>
              <w:autoSpaceDN w:val="0"/>
              <w:adjustRightInd w:val="0"/>
            </w:pPr>
            <w:r>
              <w:t>浙江吉利汽车备件有限公司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07FB3EC">
            <w:pPr>
              <w:autoSpaceDE w:val="0"/>
              <w:autoSpaceDN w:val="0"/>
              <w:adjustRightInd w:val="0"/>
              <w:jc w:val="right"/>
            </w:pPr>
            <w:r>
              <w:t>9,582,425.34</w:t>
            </w:r>
          </w:p>
        </w:tc>
        <w:tc>
          <w:tcPr>
            <w:tcW w:w="950" w:type="pct"/>
            <w:tcBorders>
              <w:top w:val="single" w:color="auto" w:sz="4" w:space="0"/>
              <w:left w:val="single" w:color="auto" w:sz="4" w:space="0"/>
              <w:bottom w:val="single" w:color="auto" w:sz="4" w:space="0"/>
              <w:right w:val="single" w:color="auto" w:sz="4" w:space="0"/>
            </w:tcBorders>
            <w:vAlign w:val="center"/>
          </w:tcPr>
          <w:p w14:paraId="7E264490">
            <w:pPr>
              <w:autoSpaceDE w:val="0"/>
              <w:autoSpaceDN w:val="0"/>
              <w:adjustRightInd w:val="0"/>
              <w:jc w:val="right"/>
            </w:pPr>
            <w:r>
              <w:t>21,268,632.39</w:t>
            </w:r>
          </w:p>
        </w:tc>
      </w:tr>
      <w:tr w14:paraId="3A83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2BC4CB2">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CD71C6F">
            <w:pPr>
              <w:autoSpaceDE w:val="0"/>
              <w:autoSpaceDN w:val="0"/>
              <w:adjustRightInd w:val="0"/>
            </w:pPr>
            <w:r>
              <w:t>浙江铭岛汽车配件销售有限公司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36AAB02">
            <w:pPr>
              <w:autoSpaceDE w:val="0"/>
              <w:autoSpaceDN w:val="0"/>
              <w:adjustRightInd w:val="0"/>
              <w:jc w:val="right"/>
            </w:pPr>
            <w:r>
              <w:t>8,182,842.91</w:t>
            </w:r>
          </w:p>
        </w:tc>
        <w:tc>
          <w:tcPr>
            <w:tcW w:w="950" w:type="pct"/>
            <w:tcBorders>
              <w:top w:val="single" w:color="auto" w:sz="4" w:space="0"/>
              <w:left w:val="single" w:color="auto" w:sz="4" w:space="0"/>
              <w:bottom w:val="single" w:color="auto" w:sz="4" w:space="0"/>
              <w:right w:val="single" w:color="auto" w:sz="4" w:space="0"/>
            </w:tcBorders>
            <w:vAlign w:val="center"/>
          </w:tcPr>
          <w:p w14:paraId="3E2F6004">
            <w:pPr>
              <w:autoSpaceDE w:val="0"/>
              <w:autoSpaceDN w:val="0"/>
              <w:adjustRightInd w:val="0"/>
              <w:jc w:val="right"/>
            </w:pPr>
            <w:r>
              <w:t>3,361,752.92</w:t>
            </w:r>
          </w:p>
        </w:tc>
      </w:tr>
      <w:tr w14:paraId="0EE89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A953C2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A307703">
            <w:pPr>
              <w:autoSpaceDE w:val="0"/>
              <w:autoSpaceDN w:val="0"/>
              <w:adjustRightInd w:val="0"/>
            </w:pPr>
            <w:r>
              <w:t>浙江吉速物流有限公司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20526A56">
            <w:pPr>
              <w:autoSpaceDE w:val="0"/>
              <w:autoSpaceDN w:val="0"/>
              <w:adjustRightInd w:val="0"/>
              <w:jc w:val="right"/>
            </w:pPr>
            <w:r>
              <w:t>6,616,675.16</w:t>
            </w:r>
          </w:p>
        </w:tc>
        <w:tc>
          <w:tcPr>
            <w:tcW w:w="950" w:type="pct"/>
            <w:tcBorders>
              <w:top w:val="single" w:color="auto" w:sz="4" w:space="0"/>
              <w:left w:val="single" w:color="auto" w:sz="4" w:space="0"/>
              <w:bottom w:val="single" w:color="auto" w:sz="4" w:space="0"/>
              <w:right w:val="single" w:color="auto" w:sz="4" w:space="0"/>
            </w:tcBorders>
            <w:vAlign w:val="center"/>
          </w:tcPr>
          <w:p w14:paraId="14C61A38">
            <w:pPr>
              <w:autoSpaceDE w:val="0"/>
              <w:autoSpaceDN w:val="0"/>
              <w:adjustRightInd w:val="0"/>
              <w:jc w:val="right"/>
            </w:pPr>
            <w:r>
              <w:t>13,447,026.72</w:t>
            </w:r>
          </w:p>
        </w:tc>
      </w:tr>
      <w:tr w14:paraId="3C77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C661329">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2F9BB40">
            <w:pPr>
              <w:autoSpaceDE w:val="0"/>
              <w:autoSpaceDN w:val="0"/>
              <w:adjustRightInd w:val="0"/>
            </w:pPr>
            <w:r>
              <w:t>吉利汽车集团有限公司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191584D">
            <w:pPr>
              <w:autoSpaceDE w:val="0"/>
              <w:autoSpaceDN w:val="0"/>
              <w:adjustRightInd w:val="0"/>
              <w:jc w:val="right"/>
            </w:pPr>
            <w:r>
              <w:t>4,372,354.77</w:t>
            </w:r>
          </w:p>
        </w:tc>
        <w:tc>
          <w:tcPr>
            <w:tcW w:w="950" w:type="pct"/>
            <w:tcBorders>
              <w:top w:val="single" w:color="auto" w:sz="4" w:space="0"/>
              <w:left w:val="single" w:color="auto" w:sz="4" w:space="0"/>
              <w:bottom w:val="single" w:color="auto" w:sz="4" w:space="0"/>
              <w:right w:val="single" w:color="auto" w:sz="4" w:space="0"/>
            </w:tcBorders>
            <w:vAlign w:val="center"/>
          </w:tcPr>
          <w:p w14:paraId="3FF5317A">
            <w:pPr>
              <w:autoSpaceDE w:val="0"/>
              <w:autoSpaceDN w:val="0"/>
              <w:adjustRightInd w:val="0"/>
              <w:jc w:val="right"/>
            </w:pPr>
            <w:r>
              <w:t>10,239,054.77</w:t>
            </w:r>
          </w:p>
        </w:tc>
      </w:tr>
      <w:tr w14:paraId="09C9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10A8A6D">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C6D504F">
            <w:pPr>
              <w:autoSpaceDE w:val="0"/>
              <w:autoSpaceDN w:val="0"/>
              <w:adjustRightInd w:val="0"/>
            </w:pPr>
            <w:r>
              <w:t>重庆力帆红星商业管理有限公司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8AEE94D">
            <w:pPr>
              <w:autoSpaceDE w:val="0"/>
              <w:autoSpaceDN w:val="0"/>
              <w:adjustRightInd w:val="0"/>
              <w:jc w:val="right"/>
            </w:pPr>
            <w:r>
              <w:t>4,266,144.47</w:t>
            </w:r>
          </w:p>
        </w:tc>
        <w:tc>
          <w:tcPr>
            <w:tcW w:w="950" w:type="pct"/>
            <w:tcBorders>
              <w:top w:val="single" w:color="auto" w:sz="4" w:space="0"/>
              <w:left w:val="single" w:color="auto" w:sz="4" w:space="0"/>
              <w:bottom w:val="single" w:color="auto" w:sz="4" w:space="0"/>
              <w:right w:val="single" w:color="auto" w:sz="4" w:space="0"/>
            </w:tcBorders>
            <w:vAlign w:val="center"/>
          </w:tcPr>
          <w:p w14:paraId="2938F987">
            <w:pPr>
              <w:autoSpaceDE w:val="0"/>
              <w:autoSpaceDN w:val="0"/>
              <w:adjustRightInd w:val="0"/>
              <w:jc w:val="right"/>
            </w:pPr>
            <w:r>
              <w:t>2,593,849.82</w:t>
            </w:r>
          </w:p>
        </w:tc>
      </w:tr>
      <w:tr w14:paraId="4914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231A67F">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15CCFE4D">
            <w:pPr>
              <w:autoSpaceDE w:val="0"/>
              <w:autoSpaceDN w:val="0"/>
              <w:adjustRightInd w:val="0"/>
            </w:pPr>
            <w:r>
              <w:t>浙江远景汽配有限公司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444913B">
            <w:pPr>
              <w:autoSpaceDE w:val="0"/>
              <w:autoSpaceDN w:val="0"/>
              <w:adjustRightInd w:val="0"/>
              <w:jc w:val="right"/>
            </w:pPr>
            <w:r>
              <w:t>4,045,813.53</w:t>
            </w:r>
          </w:p>
        </w:tc>
        <w:tc>
          <w:tcPr>
            <w:tcW w:w="950" w:type="pct"/>
            <w:tcBorders>
              <w:top w:val="single" w:color="auto" w:sz="4" w:space="0"/>
              <w:left w:val="single" w:color="auto" w:sz="4" w:space="0"/>
              <w:bottom w:val="single" w:color="auto" w:sz="4" w:space="0"/>
              <w:right w:val="single" w:color="auto" w:sz="4" w:space="0"/>
            </w:tcBorders>
            <w:vAlign w:val="center"/>
          </w:tcPr>
          <w:p w14:paraId="05848CA8">
            <w:pPr>
              <w:autoSpaceDE w:val="0"/>
              <w:autoSpaceDN w:val="0"/>
              <w:adjustRightInd w:val="0"/>
              <w:jc w:val="right"/>
            </w:pPr>
            <w:r>
              <w:t>5,144,095.73</w:t>
            </w:r>
          </w:p>
        </w:tc>
      </w:tr>
      <w:tr w14:paraId="30B0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CDE09E6">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D2E8443">
            <w:pPr>
              <w:autoSpaceDE w:val="0"/>
              <w:autoSpaceDN w:val="0"/>
              <w:adjustRightInd w:val="0"/>
            </w:pPr>
            <w:r>
              <w:t>浙江轩孚科技有限公司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C94D1A8">
            <w:pPr>
              <w:autoSpaceDE w:val="0"/>
              <w:autoSpaceDN w:val="0"/>
              <w:adjustRightInd w:val="0"/>
              <w:jc w:val="right"/>
            </w:pPr>
            <w:r>
              <w:t>2,135,191.50</w:t>
            </w:r>
          </w:p>
        </w:tc>
        <w:tc>
          <w:tcPr>
            <w:tcW w:w="950" w:type="pct"/>
            <w:tcBorders>
              <w:top w:val="single" w:color="auto" w:sz="4" w:space="0"/>
              <w:left w:val="single" w:color="auto" w:sz="4" w:space="0"/>
              <w:bottom w:val="single" w:color="auto" w:sz="4" w:space="0"/>
              <w:right w:val="single" w:color="auto" w:sz="4" w:space="0"/>
            </w:tcBorders>
            <w:vAlign w:val="center"/>
          </w:tcPr>
          <w:p w14:paraId="243C19A3">
            <w:pPr>
              <w:autoSpaceDE w:val="0"/>
              <w:autoSpaceDN w:val="0"/>
              <w:adjustRightInd w:val="0"/>
              <w:jc w:val="right"/>
            </w:pPr>
            <w:r>
              <w:t>8,538,847.96</w:t>
            </w:r>
          </w:p>
        </w:tc>
      </w:tr>
      <w:tr w14:paraId="5A35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74F702BA">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330870A">
            <w:pPr>
              <w:autoSpaceDE w:val="0"/>
              <w:autoSpaceDN w:val="0"/>
              <w:adjustRightInd w:val="0"/>
            </w:pPr>
            <w:r>
              <w:t>浙江吉利控股集团有限公司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7B97302">
            <w:pPr>
              <w:autoSpaceDE w:val="0"/>
              <w:autoSpaceDN w:val="0"/>
              <w:adjustRightInd w:val="0"/>
              <w:jc w:val="right"/>
            </w:pPr>
            <w:r>
              <w:t>1,889,056.60</w:t>
            </w:r>
          </w:p>
        </w:tc>
        <w:tc>
          <w:tcPr>
            <w:tcW w:w="950" w:type="pct"/>
            <w:tcBorders>
              <w:top w:val="single" w:color="auto" w:sz="4" w:space="0"/>
              <w:left w:val="single" w:color="auto" w:sz="4" w:space="0"/>
              <w:bottom w:val="single" w:color="auto" w:sz="4" w:space="0"/>
              <w:right w:val="single" w:color="auto" w:sz="4" w:space="0"/>
            </w:tcBorders>
            <w:vAlign w:val="center"/>
          </w:tcPr>
          <w:p w14:paraId="607DEE8A">
            <w:pPr>
              <w:autoSpaceDE w:val="0"/>
              <w:autoSpaceDN w:val="0"/>
              <w:adjustRightInd w:val="0"/>
              <w:jc w:val="right"/>
            </w:pPr>
            <w:r>
              <w:t>1,889,056.60</w:t>
            </w:r>
          </w:p>
        </w:tc>
      </w:tr>
      <w:tr w14:paraId="2187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EDA814D">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F9F3A11">
            <w:pPr>
              <w:autoSpaceDE w:val="0"/>
              <w:autoSpaceDN w:val="0"/>
              <w:adjustRightInd w:val="0"/>
            </w:pPr>
            <w:r>
              <w:t>重庆裕弘昇物业管理有限公司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A8388DF">
            <w:pPr>
              <w:autoSpaceDE w:val="0"/>
              <w:autoSpaceDN w:val="0"/>
              <w:adjustRightInd w:val="0"/>
              <w:jc w:val="right"/>
            </w:pPr>
            <w:r>
              <w:t>1,384,203.73</w:t>
            </w:r>
          </w:p>
        </w:tc>
        <w:tc>
          <w:tcPr>
            <w:tcW w:w="950" w:type="pct"/>
            <w:tcBorders>
              <w:top w:val="single" w:color="auto" w:sz="4" w:space="0"/>
              <w:left w:val="single" w:color="auto" w:sz="4" w:space="0"/>
              <w:bottom w:val="single" w:color="auto" w:sz="4" w:space="0"/>
              <w:right w:val="single" w:color="auto" w:sz="4" w:space="0"/>
            </w:tcBorders>
            <w:vAlign w:val="center"/>
          </w:tcPr>
          <w:p w14:paraId="2326C607">
            <w:pPr>
              <w:autoSpaceDE w:val="0"/>
              <w:autoSpaceDN w:val="0"/>
              <w:adjustRightInd w:val="0"/>
              <w:jc w:val="right"/>
            </w:pPr>
            <w:r>
              <w:t>2,628,096.99</w:t>
            </w:r>
          </w:p>
        </w:tc>
      </w:tr>
      <w:tr w14:paraId="4E35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71E3112B">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F1699E1">
            <w:pPr>
              <w:autoSpaceDE w:val="0"/>
              <w:autoSpaceDN w:val="0"/>
              <w:adjustRightInd w:val="0"/>
            </w:pPr>
            <w:r>
              <w:t>杭州吉利汽车数字科技有限公司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11A1EF0">
            <w:pPr>
              <w:autoSpaceDE w:val="0"/>
              <w:autoSpaceDN w:val="0"/>
              <w:adjustRightInd w:val="0"/>
              <w:jc w:val="right"/>
            </w:pPr>
            <w:r>
              <w:t>486,747.07</w:t>
            </w:r>
          </w:p>
        </w:tc>
        <w:tc>
          <w:tcPr>
            <w:tcW w:w="950" w:type="pct"/>
            <w:tcBorders>
              <w:top w:val="single" w:color="auto" w:sz="4" w:space="0"/>
              <w:left w:val="single" w:color="auto" w:sz="4" w:space="0"/>
              <w:bottom w:val="single" w:color="auto" w:sz="4" w:space="0"/>
              <w:right w:val="single" w:color="auto" w:sz="4" w:space="0"/>
            </w:tcBorders>
            <w:vAlign w:val="center"/>
          </w:tcPr>
          <w:p w14:paraId="32219AA1">
            <w:pPr>
              <w:autoSpaceDE w:val="0"/>
              <w:autoSpaceDN w:val="0"/>
              <w:adjustRightInd w:val="0"/>
              <w:jc w:val="right"/>
            </w:pPr>
            <w:r>
              <w:t>443,552.68</w:t>
            </w:r>
          </w:p>
        </w:tc>
      </w:tr>
      <w:tr w14:paraId="68BE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567A7D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49D89E3">
            <w:pPr>
              <w:autoSpaceDE w:val="0"/>
              <w:autoSpaceDN w:val="0"/>
              <w:adjustRightInd w:val="0"/>
            </w:pPr>
            <w:r>
              <w:t>吉利汽车研究院（宁波）有限公司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ABFB390">
            <w:pPr>
              <w:autoSpaceDE w:val="0"/>
              <w:autoSpaceDN w:val="0"/>
              <w:adjustRightInd w:val="0"/>
              <w:jc w:val="right"/>
            </w:pPr>
            <w:r>
              <w:t>480,039.53</w:t>
            </w:r>
          </w:p>
        </w:tc>
        <w:tc>
          <w:tcPr>
            <w:tcW w:w="950" w:type="pct"/>
            <w:tcBorders>
              <w:top w:val="single" w:color="auto" w:sz="4" w:space="0"/>
              <w:left w:val="single" w:color="auto" w:sz="4" w:space="0"/>
              <w:bottom w:val="single" w:color="auto" w:sz="4" w:space="0"/>
              <w:right w:val="single" w:color="auto" w:sz="4" w:space="0"/>
            </w:tcBorders>
            <w:vAlign w:val="center"/>
          </w:tcPr>
          <w:p w14:paraId="07587CF3">
            <w:pPr>
              <w:autoSpaceDE w:val="0"/>
              <w:autoSpaceDN w:val="0"/>
              <w:adjustRightInd w:val="0"/>
              <w:jc w:val="right"/>
            </w:pPr>
            <w:r>
              <w:t>1,253,350.96</w:t>
            </w:r>
          </w:p>
        </w:tc>
      </w:tr>
      <w:tr w14:paraId="3457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07A581F">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0939273">
            <w:pPr>
              <w:autoSpaceDE w:val="0"/>
              <w:autoSpaceDN w:val="0"/>
              <w:adjustRightInd w:val="0"/>
            </w:pPr>
            <w:r>
              <w:t>宁波吉利罗佑发动机零部件有限公司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86622EA">
            <w:pPr>
              <w:autoSpaceDE w:val="0"/>
              <w:autoSpaceDN w:val="0"/>
              <w:adjustRightInd w:val="0"/>
              <w:jc w:val="right"/>
            </w:pPr>
            <w:r>
              <w:t>345,663.88</w:t>
            </w:r>
          </w:p>
        </w:tc>
        <w:tc>
          <w:tcPr>
            <w:tcW w:w="950" w:type="pct"/>
            <w:tcBorders>
              <w:top w:val="single" w:color="auto" w:sz="4" w:space="0"/>
              <w:left w:val="single" w:color="auto" w:sz="4" w:space="0"/>
              <w:bottom w:val="single" w:color="auto" w:sz="4" w:space="0"/>
              <w:right w:val="single" w:color="auto" w:sz="4" w:space="0"/>
            </w:tcBorders>
            <w:vAlign w:val="center"/>
          </w:tcPr>
          <w:p w14:paraId="11563C62">
            <w:pPr>
              <w:autoSpaceDE w:val="0"/>
              <w:autoSpaceDN w:val="0"/>
              <w:adjustRightInd w:val="0"/>
              <w:jc w:val="right"/>
            </w:pPr>
            <w:r>
              <w:t>69,212.36</w:t>
            </w:r>
          </w:p>
        </w:tc>
      </w:tr>
      <w:tr w14:paraId="51C4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137129C">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8D1B4EE">
            <w:pPr>
              <w:autoSpaceDE w:val="0"/>
              <w:autoSpaceDN w:val="0"/>
              <w:adjustRightInd w:val="0"/>
            </w:pPr>
            <w:r>
              <w:t>启征新能源汽车（济南）有限公司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016C229">
            <w:pPr>
              <w:autoSpaceDE w:val="0"/>
              <w:autoSpaceDN w:val="0"/>
              <w:adjustRightInd w:val="0"/>
              <w:jc w:val="right"/>
            </w:pPr>
            <w:r>
              <w:t>266,392.68</w:t>
            </w:r>
          </w:p>
        </w:tc>
        <w:tc>
          <w:tcPr>
            <w:tcW w:w="950" w:type="pct"/>
            <w:tcBorders>
              <w:top w:val="single" w:color="auto" w:sz="4" w:space="0"/>
              <w:left w:val="single" w:color="auto" w:sz="4" w:space="0"/>
              <w:bottom w:val="single" w:color="auto" w:sz="4" w:space="0"/>
              <w:right w:val="single" w:color="auto" w:sz="4" w:space="0"/>
            </w:tcBorders>
            <w:vAlign w:val="center"/>
          </w:tcPr>
          <w:p w14:paraId="34238579">
            <w:pPr>
              <w:autoSpaceDE w:val="0"/>
              <w:autoSpaceDN w:val="0"/>
              <w:adjustRightInd w:val="0"/>
              <w:jc w:val="right"/>
            </w:pPr>
            <w:r>
              <w:t>7,775,094.40</w:t>
            </w:r>
          </w:p>
        </w:tc>
      </w:tr>
      <w:tr w14:paraId="1182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70DA55C4">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31923A3">
            <w:pPr>
              <w:autoSpaceDE w:val="0"/>
              <w:autoSpaceDN w:val="0"/>
              <w:adjustRightInd w:val="0"/>
            </w:pPr>
            <w:r>
              <w:t>浙江铭岛实业有限公司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678D930">
            <w:pPr>
              <w:autoSpaceDE w:val="0"/>
              <w:autoSpaceDN w:val="0"/>
              <w:adjustRightInd w:val="0"/>
              <w:jc w:val="right"/>
            </w:pPr>
            <w:r>
              <w:t>241,253.76</w:t>
            </w:r>
          </w:p>
        </w:tc>
        <w:tc>
          <w:tcPr>
            <w:tcW w:w="950" w:type="pct"/>
            <w:tcBorders>
              <w:top w:val="single" w:color="auto" w:sz="4" w:space="0"/>
              <w:left w:val="single" w:color="auto" w:sz="4" w:space="0"/>
              <w:bottom w:val="single" w:color="auto" w:sz="4" w:space="0"/>
              <w:right w:val="single" w:color="auto" w:sz="4" w:space="0"/>
            </w:tcBorders>
            <w:vAlign w:val="center"/>
          </w:tcPr>
          <w:p w14:paraId="1530F064">
            <w:pPr>
              <w:autoSpaceDE w:val="0"/>
              <w:autoSpaceDN w:val="0"/>
              <w:adjustRightInd w:val="0"/>
              <w:jc w:val="right"/>
            </w:pPr>
            <w:r>
              <w:t>337,886.60</w:t>
            </w:r>
          </w:p>
        </w:tc>
      </w:tr>
      <w:tr w14:paraId="062B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75A5647">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FACD6E9">
            <w:pPr>
              <w:autoSpaceDE w:val="0"/>
              <w:autoSpaceDN w:val="0"/>
              <w:adjustRightInd w:val="0"/>
            </w:pPr>
            <w:r>
              <w:t>杭州吉利易云科技有限公司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4BD5872">
            <w:pPr>
              <w:autoSpaceDE w:val="0"/>
              <w:autoSpaceDN w:val="0"/>
              <w:adjustRightInd w:val="0"/>
              <w:jc w:val="right"/>
            </w:pPr>
            <w:r>
              <w:t>179,999.99</w:t>
            </w:r>
          </w:p>
        </w:tc>
        <w:tc>
          <w:tcPr>
            <w:tcW w:w="950" w:type="pct"/>
            <w:tcBorders>
              <w:top w:val="single" w:color="auto" w:sz="4" w:space="0"/>
              <w:left w:val="single" w:color="auto" w:sz="4" w:space="0"/>
              <w:bottom w:val="single" w:color="auto" w:sz="4" w:space="0"/>
              <w:right w:val="single" w:color="auto" w:sz="4" w:space="0"/>
            </w:tcBorders>
            <w:vAlign w:val="center"/>
          </w:tcPr>
          <w:p w14:paraId="1EF70946">
            <w:pPr>
              <w:autoSpaceDE w:val="0"/>
              <w:autoSpaceDN w:val="0"/>
              <w:adjustRightInd w:val="0"/>
              <w:jc w:val="right"/>
            </w:pPr>
            <w:r>
              <w:t>59,999.99</w:t>
            </w:r>
          </w:p>
        </w:tc>
      </w:tr>
      <w:tr w14:paraId="4DCC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DCCC624">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3DA2DD1">
            <w:pPr>
              <w:autoSpaceDE w:val="0"/>
              <w:autoSpaceDN w:val="0"/>
              <w:adjustRightInd w:val="0"/>
            </w:pPr>
            <w:r>
              <w:t>贵州吉利发动机有限公司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241C837E">
            <w:pPr>
              <w:autoSpaceDE w:val="0"/>
              <w:autoSpaceDN w:val="0"/>
              <w:adjustRightInd w:val="0"/>
              <w:jc w:val="right"/>
            </w:pPr>
            <w:r>
              <w:t>167,873.14</w:t>
            </w:r>
          </w:p>
        </w:tc>
        <w:tc>
          <w:tcPr>
            <w:tcW w:w="950" w:type="pct"/>
            <w:tcBorders>
              <w:top w:val="single" w:color="auto" w:sz="4" w:space="0"/>
              <w:left w:val="single" w:color="auto" w:sz="4" w:space="0"/>
              <w:bottom w:val="single" w:color="auto" w:sz="4" w:space="0"/>
              <w:right w:val="single" w:color="auto" w:sz="4" w:space="0"/>
            </w:tcBorders>
            <w:vAlign w:val="center"/>
          </w:tcPr>
          <w:p w14:paraId="74ED4712">
            <w:pPr>
              <w:autoSpaceDE w:val="0"/>
              <w:autoSpaceDN w:val="0"/>
              <w:adjustRightInd w:val="0"/>
              <w:jc w:val="right"/>
            </w:pPr>
          </w:p>
        </w:tc>
      </w:tr>
      <w:tr w14:paraId="6737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7EF9FFB">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ED94170">
            <w:pPr>
              <w:autoSpaceDE w:val="0"/>
              <w:autoSpaceDN w:val="0"/>
              <w:adjustRightInd w:val="0"/>
            </w:pPr>
            <w:r>
              <w:t>浙江吉利商务服务有限公司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FB05D0C">
            <w:pPr>
              <w:autoSpaceDE w:val="0"/>
              <w:autoSpaceDN w:val="0"/>
              <w:adjustRightInd w:val="0"/>
              <w:jc w:val="right"/>
            </w:pPr>
            <w:r>
              <w:t>127,355.41</w:t>
            </w:r>
          </w:p>
        </w:tc>
        <w:tc>
          <w:tcPr>
            <w:tcW w:w="950" w:type="pct"/>
            <w:tcBorders>
              <w:top w:val="single" w:color="auto" w:sz="4" w:space="0"/>
              <w:left w:val="single" w:color="auto" w:sz="4" w:space="0"/>
              <w:bottom w:val="single" w:color="auto" w:sz="4" w:space="0"/>
              <w:right w:val="single" w:color="auto" w:sz="4" w:space="0"/>
            </w:tcBorders>
            <w:vAlign w:val="center"/>
          </w:tcPr>
          <w:p w14:paraId="5BEE7CD5">
            <w:pPr>
              <w:autoSpaceDE w:val="0"/>
              <w:autoSpaceDN w:val="0"/>
              <w:adjustRightInd w:val="0"/>
              <w:jc w:val="right"/>
            </w:pPr>
            <w:r>
              <w:t>929,608.78</w:t>
            </w:r>
          </w:p>
        </w:tc>
      </w:tr>
      <w:tr w14:paraId="131B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841AAE3">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A45AE64">
            <w:pPr>
              <w:autoSpaceDE w:val="0"/>
              <w:autoSpaceDN w:val="0"/>
              <w:adjustRightInd w:val="0"/>
            </w:pPr>
            <w:r>
              <w:t>吉利智联科技（武汉）有限公司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E4009B2">
            <w:pPr>
              <w:autoSpaceDE w:val="0"/>
              <w:autoSpaceDN w:val="0"/>
              <w:adjustRightInd w:val="0"/>
              <w:jc w:val="right"/>
            </w:pPr>
            <w:r>
              <w:t>111,951.94</w:t>
            </w:r>
          </w:p>
        </w:tc>
        <w:tc>
          <w:tcPr>
            <w:tcW w:w="950" w:type="pct"/>
            <w:tcBorders>
              <w:top w:val="single" w:color="auto" w:sz="4" w:space="0"/>
              <w:left w:val="single" w:color="auto" w:sz="4" w:space="0"/>
              <w:bottom w:val="single" w:color="auto" w:sz="4" w:space="0"/>
              <w:right w:val="single" w:color="auto" w:sz="4" w:space="0"/>
            </w:tcBorders>
            <w:vAlign w:val="center"/>
          </w:tcPr>
          <w:p w14:paraId="19C0C390">
            <w:pPr>
              <w:autoSpaceDE w:val="0"/>
              <w:autoSpaceDN w:val="0"/>
              <w:adjustRightInd w:val="0"/>
              <w:jc w:val="right"/>
            </w:pPr>
          </w:p>
        </w:tc>
      </w:tr>
      <w:tr w14:paraId="646D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589B9C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FA7C7A0">
            <w:pPr>
              <w:autoSpaceDE w:val="0"/>
              <w:autoSpaceDN w:val="0"/>
              <w:adjustRightInd w:val="0"/>
            </w:pPr>
            <w:r>
              <w:t>重庆新润商业管理有限公司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2A22CE7">
            <w:pPr>
              <w:autoSpaceDE w:val="0"/>
              <w:autoSpaceDN w:val="0"/>
              <w:adjustRightInd w:val="0"/>
              <w:jc w:val="right"/>
            </w:pPr>
            <w:r>
              <w:t>103,680.00</w:t>
            </w:r>
          </w:p>
        </w:tc>
        <w:tc>
          <w:tcPr>
            <w:tcW w:w="950" w:type="pct"/>
            <w:tcBorders>
              <w:top w:val="single" w:color="auto" w:sz="4" w:space="0"/>
              <w:left w:val="single" w:color="auto" w:sz="4" w:space="0"/>
              <w:bottom w:val="single" w:color="auto" w:sz="4" w:space="0"/>
              <w:right w:val="single" w:color="auto" w:sz="4" w:space="0"/>
            </w:tcBorders>
            <w:vAlign w:val="center"/>
          </w:tcPr>
          <w:p w14:paraId="62A16359">
            <w:pPr>
              <w:autoSpaceDE w:val="0"/>
              <w:autoSpaceDN w:val="0"/>
              <w:adjustRightInd w:val="0"/>
              <w:jc w:val="right"/>
            </w:pPr>
            <w:r>
              <w:t>125,823.72</w:t>
            </w:r>
          </w:p>
        </w:tc>
      </w:tr>
      <w:tr w14:paraId="6CAE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A901423">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146171FD">
            <w:pPr>
              <w:autoSpaceDE w:val="0"/>
              <w:autoSpaceDN w:val="0"/>
              <w:adjustRightInd w:val="0"/>
            </w:pPr>
            <w:r>
              <w:t>广域铭岛数字科技有限公司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95EA044">
            <w:pPr>
              <w:autoSpaceDE w:val="0"/>
              <w:autoSpaceDN w:val="0"/>
              <w:adjustRightInd w:val="0"/>
              <w:jc w:val="right"/>
            </w:pPr>
            <w:r>
              <w:t>85,840.71</w:t>
            </w:r>
          </w:p>
        </w:tc>
        <w:tc>
          <w:tcPr>
            <w:tcW w:w="950" w:type="pct"/>
            <w:tcBorders>
              <w:top w:val="single" w:color="auto" w:sz="4" w:space="0"/>
              <w:left w:val="single" w:color="auto" w:sz="4" w:space="0"/>
              <w:bottom w:val="single" w:color="auto" w:sz="4" w:space="0"/>
              <w:right w:val="single" w:color="auto" w:sz="4" w:space="0"/>
            </w:tcBorders>
            <w:vAlign w:val="center"/>
          </w:tcPr>
          <w:p w14:paraId="3E375B19">
            <w:pPr>
              <w:autoSpaceDE w:val="0"/>
              <w:autoSpaceDN w:val="0"/>
              <w:adjustRightInd w:val="0"/>
              <w:jc w:val="right"/>
            </w:pPr>
            <w:r>
              <w:t>85,840.71</w:t>
            </w:r>
          </w:p>
        </w:tc>
      </w:tr>
      <w:tr w14:paraId="4D3C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0817C09">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28015C1">
            <w:pPr>
              <w:autoSpaceDE w:val="0"/>
              <w:autoSpaceDN w:val="0"/>
              <w:adjustRightInd w:val="0"/>
            </w:pPr>
            <w:r>
              <w:t>浙江陆虎汽车有限公司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6CF2E3D">
            <w:pPr>
              <w:autoSpaceDE w:val="0"/>
              <w:autoSpaceDN w:val="0"/>
              <w:adjustRightInd w:val="0"/>
              <w:jc w:val="right"/>
            </w:pPr>
            <w:r>
              <w:t>64,515.06</w:t>
            </w:r>
          </w:p>
        </w:tc>
        <w:tc>
          <w:tcPr>
            <w:tcW w:w="950" w:type="pct"/>
            <w:tcBorders>
              <w:top w:val="single" w:color="auto" w:sz="4" w:space="0"/>
              <w:left w:val="single" w:color="auto" w:sz="4" w:space="0"/>
              <w:bottom w:val="single" w:color="auto" w:sz="4" w:space="0"/>
              <w:right w:val="single" w:color="auto" w:sz="4" w:space="0"/>
            </w:tcBorders>
            <w:vAlign w:val="center"/>
          </w:tcPr>
          <w:p w14:paraId="552D7DB6">
            <w:pPr>
              <w:autoSpaceDE w:val="0"/>
              <w:autoSpaceDN w:val="0"/>
              <w:adjustRightInd w:val="0"/>
              <w:jc w:val="right"/>
            </w:pPr>
            <w:r>
              <w:t>2,276,847.39</w:t>
            </w:r>
          </w:p>
        </w:tc>
      </w:tr>
      <w:tr w14:paraId="44E6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6E216C5">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A903984">
            <w:pPr>
              <w:autoSpaceDE w:val="0"/>
              <w:autoSpaceDN w:val="0"/>
              <w:adjustRightInd w:val="0"/>
            </w:pPr>
            <w:r>
              <w:t>宁波吉润汽车部件有限公司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9FB4E67">
            <w:pPr>
              <w:autoSpaceDE w:val="0"/>
              <w:autoSpaceDN w:val="0"/>
              <w:adjustRightInd w:val="0"/>
              <w:jc w:val="right"/>
            </w:pPr>
            <w:r>
              <w:t>53,133.06</w:t>
            </w:r>
          </w:p>
        </w:tc>
        <w:tc>
          <w:tcPr>
            <w:tcW w:w="950" w:type="pct"/>
            <w:tcBorders>
              <w:top w:val="single" w:color="auto" w:sz="4" w:space="0"/>
              <w:left w:val="single" w:color="auto" w:sz="4" w:space="0"/>
              <w:bottom w:val="single" w:color="auto" w:sz="4" w:space="0"/>
              <w:right w:val="single" w:color="auto" w:sz="4" w:space="0"/>
            </w:tcBorders>
            <w:vAlign w:val="center"/>
          </w:tcPr>
          <w:p w14:paraId="58FB89E7">
            <w:pPr>
              <w:autoSpaceDE w:val="0"/>
              <w:autoSpaceDN w:val="0"/>
              <w:adjustRightInd w:val="0"/>
              <w:jc w:val="right"/>
            </w:pPr>
          </w:p>
        </w:tc>
      </w:tr>
      <w:tr w14:paraId="1CFB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FD26EDB">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6F39E1A">
            <w:pPr>
              <w:autoSpaceDE w:val="0"/>
              <w:autoSpaceDN w:val="0"/>
              <w:adjustRightInd w:val="0"/>
            </w:pPr>
            <w:r>
              <w:t>吉利汽车控股（上海）有限公司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B051D6A">
            <w:pPr>
              <w:autoSpaceDE w:val="0"/>
              <w:autoSpaceDN w:val="0"/>
              <w:adjustRightInd w:val="0"/>
              <w:jc w:val="right"/>
            </w:pPr>
            <w:r>
              <w:t>47,176.03</w:t>
            </w:r>
          </w:p>
        </w:tc>
        <w:tc>
          <w:tcPr>
            <w:tcW w:w="950" w:type="pct"/>
            <w:tcBorders>
              <w:top w:val="single" w:color="auto" w:sz="4" w:space="0"/>
              <w:left w:val="single" w:color="auto" w:sz="4" w:space="0"/>
              <w:bottom w:val="single" w:color="auto" w:sz="4" w:space="0"/>
              <w:right w:val="single" w:color="auto" w:sz="4" w:space="0"/>
            </w:tcBorders>
            <w:vAlign w:val="center"/>
          </w:tcPr>
          <w:p w14:paraId="6E4660C5">
            <w:pPr>
              <w:autoSpaceDE w:val="0"/>
              <w:autoSpaceDN w:val="0"/>
              <w:adjustRightInd w:val="0"/>
              <w:jc w:val="right"/>
            </w:pPr>
            <w:r>
              <w:t>6,855,736.62</w:t>
            </w:r>
          </w:p>
        </w:tc>
      </w:tr>
      <w:tr w14:paraId="507F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F4618BC">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F2FC88C">
            <w:pPr>
              <w:autoSpaceDE w:val="0"/>
              <w:autoSpaceDN w:val="0"/>
              <w:adjustRightInd w:val="0"/>
            </w:pPr>
            <w:r>
              <w:t>苏州易易互联科技有限责任公司</w:t>
            </w:r>
          </w:p>
        </w:tc>
        <w:tc>
          <w:tcPr>
            <w:tcW w:w="950" w:type="pct"/>
            <w:tcBorders>
              <w:top w:val="single" w:color="auto" w:sz="4" w:space="0"/>
              <w:left w:val="single" w:color="auto" w:sz="4" w:space="0"/>
              <w:bottom w:val="single" w:color="auto" w:sz="4" w:space="0"/>
              <w:right w:val="single" w:color="auto" w:sz="4" w:space="0"/>
            </w:tcBorders>
            <w:vAlign w:val="center"/>
          </w:tcPr>
          <w:p w14:paraId="172DA490">
            <w:pPr>
              <w:autoSpaceDE w:val="0"/>
              <w:autoSpaceDN w:val="0"/>
              <w:adjustRightInd w:val="0"/>
              <w:jc w:val="right"/>
            </w:pPr>
            <w:r>
              <w:t>15,479.60</w:t>
            </w:r>
          </w:p>
        </w:tc>
        <w:tc>
          <w:tcPr>
            <w:tcW w:w="950" w:type="pct"/>
            <w:tcBorders>
              <w:top w:val="single" w:color="auto" w:sz="4" w:space="0"/>
              <w:left w:val="single" w:color="auto" w:sz="4" w:space="0"/>
              <w:bottom w:val="single" w:color="auto" w:sz="4" w:space="0"/>
              <w:right w:val="single" w:color="auto" w:sz="4" w:space="0"/>
            </w:tcBorders>
            <w:vAlign w:val="center"/>
          </w:tcPr>
          <w:p w14:paraId="4D0EEBF9">
            <w:pPr>
              <w:autoSpaceDE w:val="0"/>
              <w:autoSpaceDN w:val="0"/>
              <w:adjustRightInd w:val="0"/>
              <w:jc w:val="right"/>
            </w:pPr>
            <w:r>
              <w:t>15,479.60</w:t>
            </w:r>
          </w:p>
        </w:tc>
      </w:tr>
      <w:tr w14:paraId="464E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7E298DC">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B0F0257">
            <w:pPr>
              <w:autoSpaceDE w:val="0"/>
              <w:autoSpaceDN w:val="0"/>
              <w:adjustRightInd w:val="0"/>
            </w:pPr>
            <w:r>
              <w:t>西安吉利汽车有限公司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9D9BC50">
            <w:pPr>
              <w:autoSpaceDE w:val="0"/>
              <w:autoSpaceDN w:val="0"/>
              <w:adjustRightInd w:val="0"/>
              <w:jc w:val="right"/>
            </w:pPr>
            <w:r>
              <w:t>13,170.15</w:t>
            </w:r>
          </w:p>
        </w:tc>
        <w:tc>
          <w:tcPr>
            <w:tcW w:w="950" w:type="pct"/>
            <w:tcBorders>
              <w:top w:val="single" w:color="auto" w:sz="4" w:space="0"/>
              <w:left w:val="single" w:color="auto" w:sz="4" w:space="0"/>
              <w:bottom w:val="single" w:color="auto" w:sz="4" w:space="0"/>
              <w:right w:val="single" w:color="auto" w:sz="4" w:space="0"/>
            </w:tcBorders>
            <w:vAlign w:val="center"/>
          </w:tcPr>
          <w:p w14:paraId="611A3ACD">
            <w:pPr>
              <w:autoSpaceDE w:val="0"/>
              <w:autoSpaceDN w:val="0"/>
              <w:adjustRightInd w:val="0"/>
              <w:jc w:val="right"/>
            </w:pPr>
            <w:r>
              <w:t>19,884.67</w:t>
            </w:r>
          </w:p>
        </w:tc>
      </w:tr>
      <w:tr w14:paraId="789A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635725E">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B7152CB">
            <w:pPr>
              <w:autoSpaceDE w:val="0"/>
              <w:autoSpaceDN w:val="0"/>
              <w:adjustRightInd w:val="0"/>
            </w:pPr>
            <w:r>
              <w:t>杭州枫华科技有限公司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25821D00">
            <w:pPr>
              <w:autoSpaceDE w:val="0"/>
              <w:autoSpaceDN w:val="0"/>
              <w:adjustRightInd w:val="0"/>
              <w:jc w:val="right"/>
            </w:pPr>
            <w:r>
              <w:t>6,600.00</w:t>
            </w:r>
          </w:p>
        </w:tc>
        <w:tc>
          <w:tcPr>
            <w:tcW w:w="950" w:type="pct"/>
            <w:tcBorders>
              <w:top w:val="single" w:color="auto" w:sz="4" w:space="0"/>
              <w:left w:val="single" w:color="auto" w:sz="4" w:space="0"/>
              <w:bottom w:val="single" w:color="auto" w:sz="4" w:space="0"/>
              <w:right w:val="single" w:color="auto" w:sz="4" w:space="0"/>
            </w:tcBorders>
            <w:vAlign w:val="center"/>
          </w:tcPr>
          <w:p w14:paraId="0B9F4805">
            <w:pPr>
              <w:autoSpaceDE w:val="0"/>
              <w:autoSpaceDN w:val="0"/>
              <w:adjustRightInd w:val="0"/>
              <w:jc w:val="right"/>
            </w:pPr>
            <w:r>
              <w:t>101,871.25</w:t>
            </w:r>
          </w:p>
        </w:tc>
      </w:tr>
      <w:tr w14:paraId="60AC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CE2CDD3">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3FEF94A">
            <w:pPr>
              <w:autoSpaceDE w:val="0"/>
              <w:autoSpaceDN w:val="0"/>
              <w:adjustRightInd w:val="0"/>
            </w:pPr>
            <w:r>
              <w:t>杭州轩宇企业咨询管理有限公司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7AE32FE">
            <w:pPr>
              <w:autoSpaceDE w:val="0"/>
              <w:autoSpaceDN w:val="0"/>
              <w:adjustRightInd w:val="0"/>
              <w:jc w:val="right"/>
            </w:pPr>
            <w:r>
              <w:t>6,072.00</w:t>
            </w:r>
          </w:p>
        </w:tc>
        <w:tc>
          <w:tcPr>
            <w:tcW w:w="950" w:type="pct"/>
            <w:tcBorders>
              <w:top w:val="single" w:color="auto" w:sz="4" w:space="0"/>
              <w:left w:val="single" w:color="auto" w:sz="4" w:space="0"/>
              <w:bottom w:val="single" w:color="auto" w:sz="4" w:space="0"/>
              <w:right w:val="single" w:color="auto" w:sz="4" w:space="0"/>
            </w:tcBorders>
            <w:vAlign w:val="center"/>
          </w:tcPr>
          <w:p w14:paraId="20E7336F">
            <w:pPr>
              <w:autoSpaceDE w:val="0"/>
              <w:autoSpaceDN w:val="0"/>
              <w:adjustRightInd w:val="0"/>
              <w:jc w:val="right"/>
            </w:pPr>
            <w:r>
              <w:t>1,000.00</w:t>
            </w:r>
          </w:p>
        </w:tc>
      </w:tr>
      <w:tr w14:paraId="29AE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6B8A6F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4E93CEC">
            <w:pPr>
              <w:autoSpaceDE w:val="0"/>
              <w:autoSpaceDN w:val="0"/>
              <w:adjustRightInd w:val="0"/>
            </w:pPr>
            <w:r>
              <w:t>余姚领克汽车部件有限公司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2D30D9E">
            <w:pPr>
              <w:autoSpaceDE w:val="0"/>
              <w:autoSpaceDN w:val="0"/>
              <w:adjustRightInd w:val="0"/>
              <w:jc w:val="right"/>
            </w:pPr>
            <w:r>
              <w:t>4,063.52</w:t>
            </w:r>
          </w:p>
        </w:tc>
        <w:tc>
          <w:tcPr>
            <w:tcW w:w="950" w:type="pct"/>
            <w:tcBorders>
              <w:top w:val="single" w:color="auto" w:sz="4" w:space="0"/>
              <w:left w:val="single" w:color="auto" w:sz="4" w:space="0"/>
              <w:bottom w:val="single" w:color="auto" w:sz="4" w:space="0"/>
              <w:right w:val="single" w:color="auto" w:sz="4" w:space="0"/>
            </w:tcBorders>
            <w:vAlign w:val="center"/>
          </w:tcPr>
          <w:p w14:paraId="45BE1EBF">
            <w:pPr>
              <w:autoSpaceDE w:val="0"/>
              <w:autoSpaceDN w:val="0"/>
              <w:adjustRightInd w:val="0"/>
              <w:jc w:val="right"/>
            </w:pPr>
            <w:r>
              <w:t>24,197.44</w:t>
            </w:r>
          </w:p>
        </w:tc>
      </w:tr>
      <w:tr w14:paraId="220E5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F3220A5">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11B1A27">
            <w:pPr>
              <w:autoSpaceDE w:val="0"/>
              <w:autoSpaceDN w:val="0"/>
              <w:adjustRightInd w:val="0"/>
            </w:pPr>
            <w:r>
              <w:t>宝鸡吉利汽车部件有限公司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7C73D8E">
            <w:pPr>
              <w:autoSpaceDE w:val="0"/>
              <w:autoSpaceDN w:val="0"/>
              <w:adjustRightInd w:val="0"/>
              <w:jc w:val="right"/>
            </w:pPr>
            <w:r>
              <w:t>3,080.94</w:t>
            </w:r>
          </w:p>
        </w:tc>
        <w:tc>
          <w:tcPr>
            <w:tcW w:w="950" w:type="pct"/>
            <w:tcBorders>
              <w:top w:val="single" w:color="auto" w:sz="4" w:space="0"/>
              <w:left w:val="single" w:color="auto" w:sz="4" w:space="0"/>
              <w:bottom w:val="single" w:color="auto" w:sz="4" w:space="0"/>
              <w:right w:val="single" w:color="auto" w:sz="4" w:space="0"/>
            </w:tcBorders>
            <w:vAlign w:val="center"/>
          </w:tcPr>
          <w:p w14:paraId="6191664C">
            <w:pPr>
              <w:autoSpaceDE w:val="0"/>
              <w:autoSpaceDN w:val="0"/>
              <w:adjustRightInd w:val="0"/>
              <w:jc w:val="right"/>
            </w:pPr>
            <w:r>
              <w:t>14,384.35</w:t>
            </w:r>
          </w:p>
        </w:tc>
      </w:tr>
      <w:tr w14:paraId="2046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B7F54C9">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EE46328">
            <w:pPr>
              <w:autoSpaceDE w:val="0"/>
              <w:autoSpaceDN w:val="0"/>
              <w:adjustRightInd w:val="0"/>
            </w:pPr>
            <w:r>
              <w:t>山东吉利新能源商用车有限公司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ABCE1F5">
            <w:pPr>
              <w:autoSpaceDE w:val="0"/>
              <w:autoSpaceDN w:val="0"/>
              <w:adjustRightInd w:val="0"/>
              <w:jc w:val="right"/>
            </w:pPr>
            <w:r>
              <w:t>2,179.32</w:t>
            </w:r>
          </w:p>
        </w:tc>
        <w:tc>
          <w:tcPr>
            <w:tcW w:w="950" w:type="pct"/>
            <w:tcBorders>
              <w:top w:val="single" w:color="auto" w:sz="4" w:space="0"/>
              <w:left w:val="single" w:color="auto" w:sz="4" w:space="0"/>
              <w:bottom w:val="single" w:color="auto" w:sz="4" w:space="0"/>
              <w:right w:val="single" w:color="auto" w:sz="4" w:space="0"/>
            </w:tcBorders>
            <w:vAlign w:val="center"/>
          </w:tcPr>
          <w:p w14:paraId="5B35212F">
            <w:pPr>
              <w:autoSpaceDE w:val="0"/>
              <w:autoSpaceDN w:val="0"/>
              <w:adjustRightInd w:val="0"/>
              <w:jc w:val="right"/>
            </w:pPr>
          </w:p>
        </w:tc>
      </w:tr>
      <w:tr w14:paraId="682F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D609CA2">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E65C7F8">
            <w:pPr>
              <w:autoSpaceDE w:val="0"/>
              <w:autoSpaceDN w:val="0"/>
              <w:adjustRightInd w:val="0"/>
            </w:pPr>
            <w:r>
              <w:t>浙江寰福科技有限公司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1B55C20">
            <w:pPr>
              <w:autoSpaceDE w:val="0"/>
              <w:autoSpaceDN w:val="0"/>
              <w:adjustRightInd w:val="0"/>
              <w:jc w:val="right"/>
            </w:pPr>
            <w:r>
              <w:t>1,419.98</w:t>
            </w:r>
          </w:p>
        </w:tc>
        <w:tc>
          <w:tcPr>
            <w:tcW w:w="950" w:type="pct"/>
            <w:tcBorders>
              <w:top w:val="single" w:color="auto" w:sz="4" w:space="0"/>
              <w:left w:val="single" w:color="auto" w:sz="4" w:space="0"/>
              <w:bottom w:val="single" w:color="auto" w:sz="4" w:space="0"/>
              <w:right w:val="single" w:color="auto" w:sz="4" w:space="0"/>
            </w:tcBorders>
            <w:vAlign w:val="center"/>
          </w:tcPr>
          <w:p w14:paraId="259BE1BD">
            <w:pPr>
              <w:autoSpaceDE w:val="0"/>
              <w:autoSpaceDN w:val="0"/>
              <w:adjustRightInd w:val="0"/>
              <w:jc w:val="right"/>
            </w:pPr>
          </w:p>
        </w:tc>
      </w:tr>
      <w:tr w14:paraId="3D54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BD6B8F6">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782720F">
            <w:pPr>
              <w:autoSpaceDE w:val="0"/>
              <w:autoSpaceDN w:val="0"/>
              <w:adjustRightInd w:val="0"/>
            </w:pPr>
            <w:r>
              <w:t>浙江美可达摩托车有限公司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25E883B">
            <w:pPr>
              <w:autoSpaceDE w:val="0"/>
              <w:autoSpaceDN w:val="0"/>
              <w:adjustRightInd w:val="0"/>
              <w:jc w:val="right"/>
            </w:pPr>
            <w:r>
              <w:t>1,165.35</w:t>
            </w:r>
          </w:p>
        </w:tc>
        <w:tc>
          <w:tcPr>
            <w:tcW w:w="950" w:type="pct"/>
            <w:tcBorders>
              <w:top w:val="single" w:color="auto" w:sz="4" w:space="0"/>
              <w:left w:val="single" w:color="auto" w:sz="4" w:space="0"/>
              <w:bottom w:val="single" w:color="auto" w:sz="4" w:space="0"/>
              <w:right w:val="single" w:color="auto" w:sz="4" w:space="0"/>
            </w:tcBorders>
            <w:vAlign w:val="center"/>
          </w:tcPr>
          <w:p w14:paraId="2F9D3705">
            <w:pPr>
              <w:autoSpaceDE w:val="0"/>
              <w:autoSpaceDN w:val="0"/>
              <w:adjustRightInd w:val="0"/>
              <w:jc w:val="right"/>
            </w:pPr>
          </w:p>
        </w:tc>
      </w:tr>
      <w:tr w14:paraId="2D85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7042496D">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A07CA77">
            <w:pPr>
              <w:autoSpaceDE w:val="0"/>
              <w:autoSpaceDN w:val="0"/>
              <w:adjustRightInd w:val="0"/>
            </w:pPr>
            <w:r>
              <w:t>浙江吉利教育科技有限公司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7EF1869">
            <w:pPr>
              <w:autoSpaceDE w:val="0"/>
              <w:autoSpaceDN w:val="0"/>
              <w:adjustRightInd w:val="0"/>
              <w:jc w:val="right"/>
            </w:pPr>
            <w:r>
              <w:t>600.00</w:t>
            </w:r>
          </w:p>
        </w:tc>
        <w:tc>
          <w:tcPr>
            <w:tcW w:w="950" w:type="pct"/>
            <w:tcBorders>
              <w:top w:val="single" w:color="auto" w:sz="4" w:space="0"/>
              <w:left w:val="single" w:color="auto" w:sz="4" w:space="0"/>
              <w:bottom w:val="single" w:color="auto" w:sz="4" w:space="0"/>
              <w:right w:val="single" w:color="auto" w:sz="4" w:space="0"/>
            </w:tcBorders>
            <w:vAlign w:val="center"/>
          </w:tcPr>
          <w:p w14:paraId="0A88648A">
            <w:pPr>
              <w:autoSpaceDE w:val="0"/>
              <w:autoSpaceDN w:val="0"/>
              <w:adjustRightInd w:val="0"/>
              <w:jc w:val="right"/>
            </w:pPr>
            <w:r>
              <w:t>600.00</w:t>
            </w:r>
          </w:p>
        </w:tc>
      </w:tr>
      <w:tr w14:paraId="7FF9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03B54D4">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F31EE8D">
            <w:pPr>
              <w:autoSpaceDE w:val="0"/>
              <w:autoSpaceDN w:val="0"/>
              <w:adjustRightInd w:val="0"/>
            </w:pPr>
            <w:r>
              <w:t>吉利智联科技（大连）有限公司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9999781">
            <w:pPr>
              <w:autoSpaceDE w:val="0"/>
              <w:autoSpaceDN w:val="0"/>
              <w:adjustRightInd w:val="0"/>
              <w:jc w:val="right"/>
            </w:pPr>
            <w:r>
              <w:t>520.30</w:t>
            </w:r>
          </w:p>
        </w:tc>
        <w:tc>
          <w:tcPr>
            <w:tcW w:w="950" w:type="pct"/>
            <w:tcBorders>
              <w:top w:val="single" w:color="auto" w:sz="4" w:space="0"/>
              <w:left w:val="single" w:color="auto" w:sz="4" w:space="0"/>
              <w:bottom w:val="single" w:color="auto" w:sz="4" w:space="0"/>
              <w:right w:val="single" w:color="auto" w:sz="4" w:space="0"/>
            </w:tcBorders>
            <w:vAlign w:val="center"/>
          </w:tcPr>
          <w:p w14:paraId="5455F087">
            <w:pPr>
              <w:autoSpaceDE w:val="0"/>
              <w:autoSpaceDN w:val="0"/>
              <w:adjustRightInd w:val="0"/>
              <w:jc w:val="right"/>
            </w:pPr>
          </w:p>
        </w:tc>
      </w:tr>
      <w:tr w14:paraId="42B0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76D13F1">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EA2C810">
            <w:pPr>
              <w:autoSpaceDE w:val="0"/>
              <w:autoSpaceDN w:val="0"/>
              <w:adjustRightInd w:val="0"/>
            </w:pPr>
            <w:r>
              <w:t>义乌吉利动力总成有限公司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5E1DA8A">
            <w:pPr>
              <w:autoSpaceDE w:val="0"/>
              <w:autoSpaceDN w:val="0"/>
              <w:adjustRightInd w:val="0"/>
              <w:jc w:val="right"/>
            </w:pPr>
            <w:r>
              <w:t>275.63</w:t>
            </w:r>
          </w:p>
        </w:tc>
        <w:tc>
          <w:tcPr>
            <w:tcW w:w="950" w:type="pct"/>
            <w:tcBorders>
              <w:top w:val="single" w:color="auto" w:sz="4" w:space="0"/>
              <w:left w:val="single" w:color="auto" w:sz="4" w:space="0"/>
              <w:bottom w:val="single" w:color="auto" w:sz="4" w:space="0"/>
              <w:right w:val="single" w:color="auto" w:sz="4" w:space="0"/>
            </w:tcBorders>
            <w:vAlign w:val="center"/>
          </w:tcPr>
          <w:p w14:paraId="5489B9F9">
            <w:pPr>
              <w:autoSpaceDE w:val="0"/>
              <w:autoSpaceDN w:val="0"/>
              <w:adjustRightInd w:val="0"/>
              <w:jc w:val="right"/>
            </w:pPr>
            <w:r>
              <w:t>438,236.97</w:t>
            </w:r>
          </w:p>
        </w:tc>
      </w:tr>
      <w:tr w14:paraId="622F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20B6662">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A636578">
            <w:pPr>
              <w:autoSpaceDE w:val="0"/>
              <w:autoSpaceDN w:val="0"/>
              <w:adjustRightInd w:val="0"/>
            </w:pPr>
            <w:r>
              <w:t>宁波前湾新区吉研后勤服务有限公司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223851FD">
            <w:pPr>
              <w:autoSpaceDE w:val="0"/>
              <w:autoSpaceDN w:val="0"/>
              <w:adjustRightInd w:val="0"/>
              <w:jc w:val="right"/>
            </w:pPr>
            <w:r>
              <w:t>200.00</w:t>
            </w:r>
          </w:p>
        </w:tc>
        <w:tc>
          <w:tcPr>
            <w:tcW w:w="950" w:type="pct"/>
            <w:tcBorders>
              <w:top w:val="single" w:color="auto" w:sz="4" w:space="0"/>
              <w:left w:val="single" w:color="auto" w:sz="4" w:space="0"/>
              <w:bottom w:val="single" w:color="auto" w:sz="4" w:space="0"/>
              <w:right w:val="single" w:color="auto" w:sz="4" w:space="0"/>
            </w:tcBorders>
            <w:vAlign w:val="center"/>
          </w:tcPr>
          <w:p w14:paraId="65AE1384">
            <w:pPr>
              <w:autoSpaceDE w:val="0"/>
              <w:autoSpaceDN w:val="0"/>
              <w:adjustRightInd w:val="0"/>
              <w:jc w:val="right"/>
            </w:pPr>
          </w:p>
        </w:tc>
      </w:tr>
      <w:tr w14:paraId="508F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7C8D10D">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E08B36B">
            <w:pPr>
              <w:autoSpaceDE w:val="0"/>
              <w:autoSpaceDN w:val="0"/>
              <w:adjustRightInd w:val="0"/>
            </w:pPr>
            <w:r>
              <w:t>湖南吉利汽车部件有限公司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ED7E597">
            <w:pPr>
              <w:autoSpaceDE w:val="0"/>
              <w:autoSpaceDN w:val="0"/>
              <w:adjustRightInd w:val="0"/>
              <w:jc w:val="right"/>
            </w:pPr>
            <w:r>
              <w:t>28.14</w:t>
            </w:r>
          </w:p>
        </w:tc>
        <w:tc>
          <w:tcPr>
            <w:tcW w:w="950" w:type="pct"/>
            <w:tcBorders>
              <w:top w:val="single" w:color="auto" w:sz="4" w:space="0"/>
              <w:left w:val="single" w:color="auto" w:sz="4" w:space="0"/>
              <w:bottom w:val="single" w:color="auto" w:sz="4" w:space="0"/>
              <w:right w:val="single" w:color="auto" w:sz="4" w:space="0"/>
            </w:tcBorders>
            <w:vAlign w:val="center"/>
          </w:tcPr>
          <w:p w14:paraId="7B8FA3E6">
            <w:pPr>
              <w:autoSpaceDE w:val="0"/>
              <w:autoSpaceDN w:val="0"/>
              <w:adjustRightInd w:val="0"/>
              <w:jc w:val="right"/>
            </w:pPr>
            <w:r>
              <w:t>1,218.82</w:t>
            </w:r>
          </w:p>
        </w:tc>
      </w:tr>
      <w:tr w14:paraId="10A9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297C127">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2D9D0BC">
            <w:pPr>
              <w:autoSpaceDE w:val="0"/>
              <w:autoSpaceDN w:val="0"/>
              <w:adjustRightInd w:val="0"/>
            </w:pPr>
            <w:r>
              <w:t>枫盛汽车（江苏）有限公司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9296E6C">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457E12EF">
            <w:pPr>
              <w:autoSpaceDE w:val="0"/>
              <w:autoSpaceDN w:val="0"/>
              <w:adjustRightInd w:val="0"/>
              <w:jc w:val="right"/>
            </w:pPr>
            <w:r>
              <w:t>358,761,280.39</w:t>
            </w:r>
          </w:p>
        </w:tc>
      </w:tr>
      <w:tr w14:paraId="00C2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398CEFC">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8497B07">
            <w:pPr>
              <w:autoSpaceDE w:val="0"/>
              <w:autoSpaceDN w:val="0"/>
              <w:adjustRightInd w:val="0"/>
            </w:pPr>
            <w:r>
              <w:t>浙江枫盛汽车科技有限公司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601A173">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579B6D73">
            <w:pPr>
              <w:autoSpaceDE w:val="0"/>
              <w:autoSpaceDN w:val="0"/>
              <w:adjustRightInd w:val="0"/>
              <w:jc w:val="right"/>
            </w:pPr>
            <w:r>
              <w:t>14,563,760.69</w:t>
            </w:r>
          </w:p>
        </w:tc>
      </w:tr>
      <w:tr w14:paraId="251B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BAE2729">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321241D">
            <w:pPr>
              <w:autoSpaceDE w:val="0"/>
              <w:autoSpaceDN w:val="0"/>
              <w:adjustRightInd w:val="0"/>
            </w:pPr>
            <w:r>
              <w:t>易易互联科技有限公司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9735822">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3908E3E6">
            <w:pPr>
              <w:autoSpaceDE w:val="0"/>
              <w:autoSpaceDN w:val="0"/>
              <w:adjustRightInd w:val="0"/>
              <w:jc w:val="right"/>
            </w:pPr>
            <w:r>
              <w:t>980,000.00</w:t>
            </w:r>
          </w:p>
        </w:tc>
      </w:tr>
      <w:tr w14:paraId="509F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32EDB88">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7A8C587">
            <w:pPr>
              <w:autoSpaceDE w:val="0"/>
              <w:autoSpaceDN w:val="0"/>
              <w:adjustRightInd w:val="0"/>
            </w:pPr>
            <w:r>
              <w:t>浙江吉利汽车技术有限公司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0AE8CB6">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1358CC3B">
            <w:pPr>
              <w:autoSpaceDE w:val="0"/>
              <w:autoSpaceDN w:val="0"/>
              <w:adjustRightInd w:val="0"/>
              <w:jc w:val="right"/>
            </w:pPr>
            <w:r>
              <w:t>37,180.75</w:t>
            </w:r>
          </w:p>
        </w:tc>
      </w:tr>
      <w:tr w14:paraId="3BE1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84BC4E3">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DCCFE39">
            <w:pPr>
              <w:autoSpaceDE w:val="0"/>
              <w:autoSpaceDN w:val="0"/>
              <w:adjustRightInd w:val="0"/>
            </w:pPr>
            <w:r>
              <w:t>长兴吉利汽车部件有限公司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2C41AEAB">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6ED6A76A">
            <w:pPr>
              <w:autoSpaceDE w:val="0"/>
              <w:autoSpaceDN w:val="0"/>
              <w:adjustRightInd w:val="0"/>
              <w:jc w:val="right"/>
            </w:pPr>
            <w:r>
              <w:t>769.35</w:t>
            </w:r>
          </w:p>
        </w:tc>
      </w:tr>
      <w:tr w14:paraId="1152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77C2B7C">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19D244A">
            <w:pPr>
              <w:autoSpaceDE w:val="0"/>
              <w:autoSpaceDN w:val="0"/>
              <w:adjustRightInd w:val="0"/>
            </w:pPr>
            <w:r>
              <w:t>浙江吉速供应链管理有限公司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4860879">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74FFB869">
            <w:pPr>
              <w:autoSpaceDE w:val="0"/>
              <w:autoSpaceDN w:val="0"/>
              <w:adjustRightInd w:val="0"/>
              <w:jc w:val="right"/>
            </w:pPr>
            <w:r>
              <w:t>4,226,752.51</w:t>
            </w:r>
          </w:p>
        </w:tc>
      </w:tr>
      <w:tr w14:paraId="1194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5DE856E">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4B1890D">
            <w:pPr>
              <w:autoSpaceDE w:val="0"/>
              <w:autoSpaceDN w:val="0"/>
              <w:adjustRightInd w:val="0"/>
            </w:pPr>
            <w:r>
              <w:t>浙江吉利汽车工程技术开发有限公司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9E3AB7E">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7E36A63C">
            <w:pPr>
              <w:autoSpaceDE w:val="0"/>
              <w:autoSpaceDN w:val="0"/>
              <w:adjustRightInd w:val="0"/>
              <w:jc w:val="right"/>
            </w:pPr>
            <w:r>
              <w:t>2,593,735.58</w:t>
            </w:r>
          </w:p>
        </w:tc>
      </w:tr>
      <w:tr w14:paraId="377F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02BF9A6">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2150ACE">
            <w:pPr>
              <w:autoSpaceDE w:val="0"/>
              <w:autoSpaceDN w:val="0"/>
              <w:adjustRightInd w:val="0"/>
            </w:pPr>
            <w:r>
              <w:t>杭州吉利共享服务有限公司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C4C4ED6">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46795357">
            <w:pPr>
              <w:autoSpaceDE w:val="0"/>
              <w:autoSpaceDN w:val="0"/>
              <w:adjustRightInd w:val="0"/>
              <w:jc w:val="right"/>
            </w:pPr>
            <w:r>
              <w:t>113,550.00</w:t>
            </w:r>
          </w:p>
        </w:tc>
      </w:tr>
      <w:tr w14:paraId="5392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ECF13F4">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93D2B92">
            <w:pPr>
              <w:autoSpaceDE w:val="0"/>
              <w:autoSpaceDN w:val="0"/>
              <w:adjustRightInd w:val="0"/>
            </w:pPr>
            <w:r>
              <w:t>吉利长兴自动变速器有限公司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ABD2ECC">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16B908C6">
            <w:pPr>
              <w:autoSpaceDE w:val="0"/>
              <w:autoSpaceDN w:val="0"/>
              <w:adjustRightInd w:val="0"/>
              <w:jc w:val="right"/>
            </w:pPr>
            <w:r>
              <w:t>60,769.37</w:t>
            </w:r>
          </w:p>
        </w:tc>
      </w:tr>
      <w:tr w14:paraId="0B82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222A068">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5707937">
            <w:pPr>
              <w:autoSpaceDE w:val="0"/>
              <w:autoSpaceDN w:val="0"/>
              <w:adjustRightInd w:val="0"/>
            </w:pPr>
            <w:r>
              <w:t>凯悦汽车大部件制造（张家口）有限公司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6E71F19">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1BA1067C">
            <w:pPr>
              <w:autoSpaceDE w:val="0"/>
              <w:autoSpaceDN w:val="0"/>
              <w:adjustRightInd w:val="0"/>
              <w:jc w:val="right"/>
            </w:pPr>
            <w:r>
              <w:t>2,940.68</w:t>
            </w:r>
          </w:p>
        </w:tc>
      </w:tr>
      <w:tr w14:paraId="4144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6D046F1">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1F3E4446">
            <w:pPr>
              <w:autoSpaceDE w:val="0"/>
              <w:autoSpaceDN w:val="0"/>
              <w:adjustRightInd w:val="0"/>
            </w:pPr>
            <w:r>
              <w:t>江苏绿色智行科技有限公司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2CDF82A">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22B628B8">
            <w:pPr>
              <w:autoSpaceDE w:val="0"/>
              <w:autoSpaceDN w:val="0"/>
              <w:adjustRightInd w:val="0"/>
              <w:jc w:val="right"/>
            </w:pPr>
            <w:r>
              <w:t>4,022,816.31</w:t>
            </w:r>
          </w:p>
        </w:tc>
      </w:tr>
      <w:tr w14:paraId="0534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9DC783F">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9FDBDEF">
            <w:pPr>
              <w:autoSpaceDE w:val="0"/>
              <w:autoSpaceDN w:val="0"/>
              <w:adjustRightInd w:val="0"/>
            </w:pPr>
            <w:r>
              <w:t>领悟汽车技术（重庆）有限公司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66C6ABE">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4847CA99">
            <w:pPr>
              <w:autoSpaceDE w:val="0"/>
              <w:autoSpaceDN w:val="0"/>
              <w:adjustRightInd w:val="0"/>
              <w:jc w:val="right"/>
            </w:pPr>
            <w:r>
              <w:t>3,593,373.00</w:t>
            </w:r>
          </w:p>
        </w:tc>
      </w:tr>
      <w:tr w14:paraId="6C80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bottom w:val="single" w:color="auto" w:sz="4" w:space="0"/>
              <w:right w:val="single" w:color="auto" w:sz="4" w:space="0"/>
            </w:tcBorders>
            <w:vAlign w:val="center"/>
          </w:tcPr>
          <w:p w14:paraId="3C962C5F">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8312023">
            <w:pPr>
              <w:autoSpaceDE w:val="0"/>
              <w:autoSpaceDN w:val="0"/>
              <w:adjustRightInd w:val="0"/>
            </w:pPr>
            <w:r>
              <w:t>上饶领创汽车检测技术有限公司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FAAC092">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14AA836C">
            <w:pPr>
              <w:autoSpaceDE w:val="0"/>
              <w:autoSpaceDN w:val="0"/>
              <w:adjustRightInd w:val="0"/>
              <w:jc w:val="right"/>
            </w:pPr>
            <w:r>
              <w:t>92,406.60</w:t>
            </w:r>
          </w:p>
        </w:tc>
      </w:tr>
      <w:tr w14:paraId="11EF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restart"/>
            <w:tcBorders>
              <w:top w:val="single" w:color="auto" w:sz="4" w:space="0"/>
              <w:left w:val="single" w:color="auto" w:sz="4" w:space="0"/>
              <w:right w:val="single" w:color="auto" w:sz="4" w:space="0"/>
            </w:tcBorders>
            <w:vAlign w:val="center"/>
          </w:tcPr>
          <w:p w14:paraId="2CD10874">
            <w:pPr>
              <w:autoSpaceDE w:val="0"/>
              <w:autoSpaceDN w:val="0"/>
              <w:adjustRightInd w:val="0"/>
              <w:jc w:val="center"/>
            </w:pPr>
            <w:r>
              <w:t>其他应付款</w:t>
            </w:r>
          </w:p>
        </w:tc>
        <w:tc>
          <w:tcPr>
            <w:tcW w:w="2234" w:type="pct"/>
            <w:tcBorders>
              <w:top w:val="single" w:color="auto" w:sz="4" w:space="0"/>
              <w:left w:val="single" w:color="auto" w:sz="4" w:space="0"/>
              <w:bottom w:val="single" w:color="auto" w:sz="4" w:space="0"/>
              <w:right w:val="single" w:color="auto" w:sz="4" w:space="0"/>
            </w:tcBorders>
            <w:vAlign w:val="center"/>
          </w:tcPr>
          <w:p w14:paraId="6A3E022F">
            <w:pPr>
              <w:autoSpaceDE w:val="0"/>
              <w:autoSpaceDN w:val="0"/>
              <w:adjustRightInd w:val="0"/>
            </w:pPr>
            <w:r>
              <w:t>重庆力帆红星商业管理有限公司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7E6C02E">
            <w:pPr>
              <w:autoSpaceDE w:val="0"/>
              <w:autoSpaceDN w:val="0"/>
              <w:adjustRightInd w:val="0"/>
              <w:jc w:val="right"/>
            </w:pPr>
            <w:r>
              <w:t>69,891,222.08</w:t>
            </w:r>
          </w:p>
        </w:tc>
        <w:tc>
          <w:tcPr>
            <w:tcW w:w="950" w:type="pct"/>
            <w:tcBorders>
              <w:top w:val="single" w:color="auto" w:sz="4" w:space="0"/>
              <w:left w:val="single" w:color="auto" w:sz="4" w:space="0"/>
              <w:bottom w:val="single" w:color="auto" w:sz="4" w:space="0"/>
              <w:right w:val="single" w:color="auto" w:sz="4" w:space="0"/>
            </w:tcBorders>
            <w:vAlign w:val="center"/>
          </w:tcPr>
          <w:p w14:paraId="1A678F43">
            <w:pPr>
              <w:autoSpaceDE w:val="0"/>
              <w:autoSpaceDN w:val="0"/>
              <w:adjustRightInd w:val="0"/>
              <w:jc w:val="right"/>
            </w:pPr>
            <w:r>
              <w:t>81,490,205.35</w:t>
            </w:r>
          </w:p>
        </w:tc>
      </w:tr>
      <w:tr w14:paraId="291B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50E4033">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EC1B991">
            <w:pPr>
              <w:autoSpaceDE w:val="0"/>
              <w:autoSpaceDN w:val="0"/>
              <w:adjustRightInd w:val="0"/>
            </w:pPr>
            <w:r>
              <w:t>力帆融资租赁（上海）有限公司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8F8F618">
            <w:pPr>
              <w:autoSpaceDE w:val="0"/>
              <w:autoSpaceDN w:val="0"/>
              <w:adjustRightInd w:val="0"/>
              <w:jc w:val="right"/>
            </w:pPr>
            <w:r>
              <w:t>42,630,000.00</w:t>
            </w:r>
          </w:p>
        </w:tc>
        <w:tc>
          <w:tcPr>
            <w:tcW w:w="950" w:type="pct"/>
            <w:tcBorders>
              <w:top w:val="single" w:color="auto" w:sz="4" w:space="0"/>
              <w:left w:val="single" w:color="auto" w:sz="4" w:space="0"/>
              <w:bottom w:val="single" w:color="auto" w:sz="4" w:space="0"/>
              <w:right w:val="single" w:color="auto" w:sz="4" w:space="0"/>
            </w:tcBorders>
            <w:vAlign w:val="center"/>
          </w:tcPr>
          <w:p w14:paraId="3205F1D4">
            <w:pPr>
              <w:autoSpaceDE w:val="0"/>
              <w:autoSpaceDN w:val="0"/>
              <w:adjustRightInd w:val="0"/>
              <w:jc w:val="right"/>
            </w:pPr>
            <w:r>
              <w:t>42,630,000.00</w:t>
            </w:r>
          </w:p>
        </w:tc>
      </w:tr>
      <w:tr w14:paraId="0E20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F2F879C">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D72206C">
            <w:pPr>
              <w:autoSpaceDE w:val="0"/>
              <w:autoSpaceDN w:val="0"/>
              <w:adjustRightInd w:val="0"/>
            </w:pPr>
            <w:r>
              <w:t>重庆新润商业管理有限公司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E52A448">
            <w:pPr>
              <w:autoSpaceDE w:val="0"/>
              <w:autoSpaceDN w:val="0"/>
              <w:adjustRightInd w:val="0"/>
              <w:jc w:val="right"/>
            </w:pPr>
            <w:r>
              <w:t>14,098,983.27</w:t>
            </w:r>
          </w:p>
        </w:tc>
        <w:tc>
          <w:tcPr>
            <w:tcW w:w="950" w:type="pct"/>
            <w:tcBorders>
              <w:top w:val="single" w:color="auto" w:sz="4" w:space="0"/>
              <w:left w:val="single" w:color="auto" w:sz="4" w:space="0"/>
              <w:bottom w:val="single" w:color="auto" w:sz="4" w:space="0"/>
              <w:right w:val="single" w:color="auto" w:sz="4" w:space="0"/>
            </w:tcBorders>
            <w:vAlign w:val="center"/>
          </w:tcPr>
          <w:p w14:paraId="137517DB">
            <w:pPr>
              <w:autoSpaceDE w:val="0"/>
              <w:autoSpaceDN w:val="0"/>
              <w:adjustRightInd w:val="0"/>
              <w:jc w:val="right"/>
            </w:pPr>
            <w:r>
              <w:t>5,500,000.00</w:t>
            </w:r>
          </w:p>
        </w:tc>
      </w:tr>
      <w:tr w14:paraId="5979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D7653FF">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F812498">
            <w:pPr>
              <w:autoSpaceDE w:val="0"/>
              <w:autoSpaceDN w:val="0"/>
              <w:adjustRightInd w:val="0"/>
            </w:pPr>
            <w:r>
              <w:t>杭州轩宇企业咨询管理有限公司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865B594">
            <w:pPr>
              <w:autoSpaceDE w:val="0"/>
              <w:autoSpaceDN w:val="0"/>
              <w:adjustRightInd w:val="0"/>
              <w:jc w:val="right"/>
            </w:pPr>
            <w:r>
              <w:t>5,031,620.40</w:t>
            </w:r>
          </w:p>
        </w:tc>
        <w:tc>
          <w:tcPr>
            <w:tcW w:w="950" w:type="pct"/>
            <w:tcBorders>
              <w:top w:val="single" w:color="auto" w:sz="4" w:space="0"/>
              <w:left w:val="single" w:color="auto" w:sz="4" w:space="0"/>
              <w:bottom w:val="single" w:color="auto" w:sz="4" w:space="0"/>
              <w:right w:val="single" w:color="auto" w:sz="4" w:space="0"/>
            </w:tcBorders>
            <w:vAlign w:val="center"/>
          </w:tcPr>
          <w:p w14:paraId="70F3F137">
            <w:pPr>
              <w:autoSpaceDE w:val="0"/>
              <w:autoSpaceDN w:val="0"/>
              <w:adjustRightInd w:val="0"/>
              <w:jc w:val="right"/>
            </w:pPr>
            <w:r>
              <w:t>2,000.00</w:t>
            </w:r>
          </w:p>
        </w:tc>
      </w:tr>
      <w:tr w14:paraId="681C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C138E42">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545564B">
            <w:pPr>
              <w:autoSpaceDE w:val="0"/>
              <w:autoSpaceDN w:val="0"/>
              <w:adjustRightInd w:val="0"/>
            </w:pPr>
            <w:r>
              <w:t>重庆裕弘昇物业管理有限公司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00C2654">
            <w:pPr>
              <w:autoSpaceDE w:val="0"/>
              <w:autoSpaceDN w:val="0"/>
              <w:adjustRightInd w:val="0"/>
              <w:jc w:val="right"/>
            </w:pPr>
            <w:r>
              <w:t>3,329,879.85</w:t>
            </w:r>
          </w:p>
        </w:tc>
        <w:tc>
          <w:tcPr>
            <w:tcW w:w="950" w:type="pct"/>
            <w:tcBorders>
              <w:top w:val="single" w:color="auto" w:sz="4" w:space="0"/>
              <w:left w:val="single" w:color="auto" w:sz="4" w:space="0"/>
              <w:bottom w:val="single" w:color="auto" w:sz="4" w:space="0"/>
              <w:right w:val="single" w:color="auto" w:sz="4" w:space="0"/>
            </w:tcBorders>
            <w:vAlign w:val="center"/>
          </w:tcPr>
          <w:p w14:paraId="7D274F5C">
            <w:pPr>
              <w:autoSpaceDE w:val="0"/>
              <w:autoSpaceDN w:val="0"/>
              <w:adjustRightInd w:val="0"/>
              <w:jc w:val="right"/>
            </w:pPr>
            <w:r>
              <w:t>3,329,879.85</w:t>
            </w:r>
          </w:p>
        </w:tc>
      </w:tr>
      <w:tr w14:paraId="5AA0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8029695">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6578948">
            <w:pPr>
              <w:autoSpaceDE w:val="0"/>
              <w:autoSpaceDN w:val="0"/>
              <w:adjustRightInd w:val="0"/>
            </w:pPr>
            <w:r>
              <w:t>重庆润鹏房地产开发有限公司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73A36A4">
            <w:pPr>
              <w:autoSpaceDE w:val="0"/>
              <w:autoSpaceDN w:val="0"/>
              <w:adjustRightInd w:val="0"/>
              <w:jc w:val="right"/>
            </w:pPr>
            <w:r>
              <w:t>1,173,333.33</w:t>
            </w:r>
          </w:p>
        </w:tc>
        <w:tc>
          <w:tcPr>
            <w:tcW w:w="950" w:type="pct"/>
            <w:tcBorders>
              <w:top w:val="single" w:color="auto" w:sz="4" w:space="0"/>
              <w:left w:val="single" w:color="auto" w:sz="4" w:space="0"/>
              <w:bottom w:val="single" w:color="auto" w:sz="4" w:space="0"/>
              <w:right w:val="single" w:color="auto" w:sz="4" w:space="0"/>
            </w:tcBorders>
            <w:vAlign w:val="center"/>
          </w:tcPr>
          <w:p w14:paraId="3F4F2737">
            <w:pPr>
              <w:autoSpaceDE w:val="0"/>
              <w:autoSpaceDN w:val="0"/>
              <w:adjustRightInd w:val="0"/>
              <w:jc w:val="right"/>
            </w:pPr>
            <w:r>
              <w:t>1,173,333.33</w:t>
            </w:r>
          </w:p>
        </w:tc>
      </w:tr>
      <w:tr w14:paraId="257B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232F852">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86D47EC">
            <w:pPr>
              <w:autoSpaceDE w:val="0"/>
              <w:autoSpaceDN w:val="0"/>
              <w:adjustRightInd w:val="0"/>
            </w:pPr>
            <w:r>
              <w:t>浙江吉速物流有限公司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36CCBF3">
            <w:pPr>
              <w:autoSpaceDE w:val="0"/>
              <w:autoSpaceDN w:val="0"/>
              <w:adjustRightInd w:val="0"/>
              <w:jc w:val="right"/>
            </w:pPr>
            <w:r>
              <w:t>1,121,100.00</w:t>
            </w:r>
          </w:p>
        </w:tc>
        <w:tc>
          <w:tcPr>
            <w:tcW w:w="950" w:type="pct"/>
            <w:tcBorders>
              <w:top w:val="single" w:color="auto" w:sz="4" w:space="0"/>
              <w:left w:val="single" w:color="auto" w:sz="4" w:space="0"/>
              <w:bottom w:val="single" w:color="auto" w:sz="4" w:space="0"/>
              <w:right w:val="single" w:color="auto" w:sz="4" w:space="0"/>
            </w:tcBorders>
            <w:vAlign w:val="center"/>
          </w:tcPr>
          <w:p w14:paraId="5FD9115A">
            <w:pPr>
              <w:autoSpaceDE w:val="0"/>
              <w:autoSpaceDN w:val="0"/>
              <w:adjustRightInd w:val="0"/>
              <w:jc w:val="right"/>
            </w:pPr>
            <w:r>
              <w:t>5,753,043.32</w:t>
            </w:r>
          </w:p>
        </w:tc>
      </w:tr>
      <w:tr w14:paraId="3A89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029BCA8">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C3741B7">
            <w:pPr>
              <w:autoSpaceDE w:val="0"/>
              <w:autoSpaceDN w:val="0"/>
              <w:adjustRightInd w:val="0"/>
            </w:pPr>
            <w:r>
              <w:t>吉利智创科技（北京）有限公司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EE0C44C">
            <w:pPr>
              <w:autoSpaceDE w:val="0"/>
              <w:autoSpaceDN w:val="0"/>
              <w:adjustRightInd w:val="0"/>
              <w:jc w:val="right"/>
            </w:pPr>
            <w:r>
              <w:t>1,056,385.62</w:t>
            </w:r>
          </w:p>
        </w:tc>
        <w:tc>
          <w:tcPr>
            <w:tcW w:w="950" w:type="pct"/>
            <w:tcBorders>
              <w:top w:val="single" w:color="auto" w:sz="4" w:space="0"/>
              <w:left w:val="single" w:color="auto" w:sz="4" w:space="0"/>
              <w:bottom w:val="single" w:color="auto" w:sz="4" w:space="0"/>
              <w:right w:val="single" w:color="auto" w:sz="4" w:space="0"/>
            </w:tcBorders>
            <w:vAlign w:val="center"/>
          </w:tcPr>
          <w:p w14:paraId="6FD78800">
            <w:pPr>
              <w:autoSpaceDE w:val="0"/>
              <w:autoSpaceDN w:val="0"/>
              <w:adjustRightInd w:val="0"/>
              <w:jc w:val="right"/>
            </w:pPr>
            <w:r>
              <w:t>55,434.00</w:t>
            </w:r>
          </w:p>
        </w:tc>
      </w:tr>
      <w:tr w14:paraId="76D0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1560855">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1C8A77C1">
            <w:pPr>
              <w:autoSpaceDE w:val="0"/>
              <w:autoSpaceDN w:val="0"/>
              <w:adjustRightInd w:val="0"/>
            </w:pPr>
            <w:r>
              <w:t>吉利汽车集团有限公司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720D68C">
            <w:pPr>
              <w:autoSpaceDE w:val="0"/>
              <w:autoSpaceDN w:val="0"/>
              <w:adjustRightInd w:val="0"/>
              <w:jc w:val="right"/>
            </w:pPr>
            <w:r>
              <w:t>769,160.77</w:t>
            </w:r>
          </w:p>
        </w:tc>
        <w:tc>
          <w:tcPr>
            <w:tcW w:w="950" w:type="pct"/>
            <w:tcBorders>
              <w:top w:val="single" w:color="auto" w:sz="4" w:space="0"/>
              <w:left w:val="single" w:color="auto" w:sz="4" w:space="0"/>
              <w:bottom w:val="single" w:color="auto" w:sz="4" w:space="0"/>
              <w:right w:val="single" w:color="auto" w:sz="4" w:space="0"/>
            </w:tcBorders>
            <w:vAlign w:val="center"/>
          </w:tcPr>
          <w:p w14:paraId="11D36B84">
            <w:pPr>
              <w:autoSpaceDE w:val="0"/>
              <w:autoSpaceDN w:val="0"/>
              <w:adjustRightInd w:val="0"/>
              <w:jc w:val="right"/>
            </w:pPr>
            <w:r>
              <w:t>340,715.40</w:t>
            </w:r>
          </w:p>
        </w:tc>
      </w:tr>
      <w:tr w14:paraId="3EE0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0F38D9A">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A8C1734">
            <w:pPr>
              <w:autoSpaceDE w:val="0"/>
              <w:autoSpaceDN w:val="0"/>
              <w:adjustRightInd w:val="0"/>
            </w:pPr>
            <w:r>
              <w:t>浙江吉利控股集团汽车销售有限公司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B62D997">
            <w:pPr>
              <w:autoSpaceDE w:val="0"/>
              <w:autoSpaceDN w:val="0"/>
              <w:adjustRightInd w:val="0"/>
              <w:jc w:val="right"/>
            </w:pPr>
            <w:r>
              <w:t>459,911.15</w:t>
            </w:r>
          </w:p>
        </w:tc>
        <w:tc>
          <w:tcPr>
            <w:tcW w:w="950" w:type="pct"/>
            <w:tcBorders>
              <w:top w:val="single" w:color="auto" w:sz="4" w:space="0"/>
              <w:left w:val="single" w:color="auto" w:sz="4" w:space="0"/>
              <w:bottom w:val="single" w:color="auto" w:sz="4" w:space="0"/>
              <w:right w:val="single" w:color="auto" w:sz="4" w:space="0"/>
            </w:tcBorders>
            <w:vAlign w:val="center"/>
          </w:tcPr>
          <w:p w14:paraId="5A425C6E">
            <w:pPr>
              <w:autoSpaceDE w:val="0"/>
              <w:autoSpaceDN w:val="0"/>
              <w:adjustRightInd w:val="0"/>
              <w:jc w:val="right"/>
            </w:pPr>
            <w:r>
              <w:t>8,609,830.74</w:t>
            </w:r>
          </w:p>
        </w:tc>
      </w:tr>
      <w:tr w14:paraId="584F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34BDB0B">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01F1C8D">
            <w:pPr>
              <w:autoSpaceDE w:val="0"/>
              <w:autoSpaceDN w:val="0"/>
              <w:adjustRightInd w:val="0"/>
            </w:pPr>
            <w:r>
              <w:t>浙江吉利商务服务有限公司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49701BF">
            <w:pPr>
              <w:autoSpaceDE w:val="0"/>
              <w:autoSpaceDN w:val="0"/>
              <w:adjustRightInd w:val="0"/>
              <w:jc w:val="right"/>
            </w:pPr>
            <w:r>
              <w:t>400,611.55</w:t>
            </w:r>
          </w:p>
        </w:tc>
        <w:tc>
          <w:tcPr>
            <w:tcW w:w="950" w:type="pct"/>
            <w:tcBorders>
              <w:top w:val="single" w:color="auto" w:sz="4" w:space="0"/>
              <w:left w:val="single" w:color="auto" w:sz="4" w:space="0"/>
              <w:bottom w:val="single" w:color="auto" w:sz="4" w:space="0"/>
              <w:right w:val="single" w:color="auto" w:sz="4" w:space="0"/>
            </w:tcBorders>
            <w:vAlign w:val="center"/>
          </w:tcPr>
          <w:p w14:paraId="102AE2E4">
            <w:pPr>
              <w:autoSpaceDE w:val="0"/>
              <w:autoSpaceDN w:val="0"/>
              <w:adjustRightInd w:val="0"/>
              <w:jc w:val="right"/>
            </w:pPr>
            <w:r>
              <w:t>304,347.17</w:t>
            </w:r>
          </w:p>
        </w:tc>
      </w:tr>
      <w:tr w14:paraId="412C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6B6179EF">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158FAD01">
            <w:pPr>
              <w:autoSpaceDE w:val="0"/>
              <w:autoSpaceDN w:val="0"/>
              <w:adjustRightInd w:val="0"/>
            </w:pPr>
            <w:r>
              <w:t>浙江济底科技有限公司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3ECB77C">
            <w:pPr>
              <w:autoSpaceDE w:val="0"/>
              <w:autoSpaceDN w:val="0"/>
              <w:adjustRightInd w:val="0"/>
              <w:jc w:val="right"/>
            </w:pPr>
            <w:r>
              <w:t>172,768.41</w:t>
            </w:r>
          </w:p>
        </w:tc>
        <w:tc>
          <w:tcPr>
            <w:tcW w:w="950" w:type="pct"/>
            <w:tcBorders>
              <w:top w:val="single" w:color="auto" w:sz="4" w:space="0"/>
              <w:left w:val="single" w:color="auto" w:sz="4" w:space="0"/>
              <w:bottom w:val="single" w:color="auto" w:sz="4" w:space="0"/>
              <w:right w:val="single" w:color="auto" w:sz="4" w:space="0"/>
            </w:tcBorders>
            <w:vAlign w:val="center"/>
          </w:tcPr>
          <w:p w14:paraId="6B47EBC2">
            <w:pPr>
              <w:autoSpaceDE w:val="0"/>
              <w:autoSpaceDN w:val="0"/>
              <w:adjustRightInd w:val="0"/>
              <w:jc w:val="right"/>
            </w:pPr>
            <w:r>
              <w:t>172,768.41</w:t>
            </w:r>
          </w:p>
        </w:tc>
      </w:tr>
      <w:tr w14:paraId="0677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D351E72">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9DDD9F9">
            <w:pPr>
              <w:autoSpaceDE w:val="0"/>
              <w:autoSpaceDN w:val="0"/>
              <w:adjustRightInd w:val="0"/>
            </w:pPr>
            <w:r>
              <w:t>浙江寰福科技有限公司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2F000824">
            <w:pPr>
              <w:autoSpaceDE w:val="0"/>
              <w:autoSpaceDN w:val="0"/>
              <w:adjustRightInd w:val="0"/>
              <w:jc w:val="right"/>
            </w:pPr>
            <w:r>
              <w:t>150,000.00</w:t>
            </w:r>
          </w:p>
        </w:tc>
        <w:tc>
          <w:tcPr>
            <w:tcW w:w="950" w:type="pct"/>
            <w:tcBorders>
              <w:top w:val="single" w:color="auto" w:sz="4" w:space="0"/>
              <w:left w:val="single" w:color="auto" w:sz="4" w:space="0"/>
              <w:bottom w:val="single" w:color="auto" w:sz="4" w:space="0"/>
              <w:right w:val="single" w:color="auto" w:sz="4" w:space="0"/>
            </w:tcBorders>
            <w:vAlign w:val="center"/>
          </w:tcPr>
          <w:p w14:paraId="2F450906">
            <w:pPr>
              <w:autoSpaceDE w:val="0"/>
              <w:autoSpaceDN w:val="0"/>
              <w:adjustRightInd w:val="0"/>
              <w:jc w:val="right"/>
            </w:pPr>
            <w:r>
              <w:t>1,720,035.85</w:t>
            </w:r>
          </w:p>
        </w:tc>
      </w:tr>
      <w:tr w14:paraId="1FF2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1719003">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CAE9549">
            <w:pPr>
              <w:autoSpaceDE w:val="0"/>
              <w:autoSpaceDN w:val="0"/>
              <w:adjustRightInd w:val="0"/>
            </w:pPr>
            <w:r>
              <w:t>杭州枫华科技有限公司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0A1F554">
            <w:pPr>
              <w:autoSpaceDE w:val="0"/>
              <w:autoSpaceDN w:val="0"/>
              <w:adjustRightInd w:val="0"/>
              <w:jc w:val="right"/>
            </w:pPr>
            <w:r>
              <w:t>98,768.00</w:t>
            </w:r>
          </w:p>
        </w:tc>
        <w:tc>
          <w:tcPr>
            <w:tcW w:w="950" w:type="pct"/>
            <w:tcBorders>
              <w:top w:val="single" w:color="auto" w:sz="4" w:space="0"/>
              <w:left w:val="single" w:color="auto" w:sz="4" w:space="0"/>
              <w:bottom w:val="single" w:color="auto" w:sz="4" w:space="0"/>
              <w:right w:val="single" w:color="auto" w:sz="4" w:space="0"/>
            </w:tcBorders>
            <w:vAlign w:val="center"/>
          </w:tcPr>
          <w:p w14:paraId="304D48E5">
            <w:pPr>
              <w:autoSpaceDE w:val="0"/>
              <w:autoSpaceDN w:val="0"/>
              <w:adjustRightInd w:val="0"/>
              <w:jc w:val="right"/>
            </w:pPr>
            <w:r>
              <w:t>98,768.00</w:t>
            </w:r>
          </w:p>
        </w:tc>
      </w:tr>
      <w:tr w14:paraId="17FE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CB05F5E">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5475CE3">
            <w:pPr>
              <w:autoSpaceDE w:val="0"/>
              <w:autoSpaceDN w:val="0"/>
              <w:adjustRightInd w:val="0"/>
            </w:pPr>
            <w:r>
              <w:t>浙江吉润汽车有限公司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DC32BBC">
            <w:pPr>
              <w:autoSpaceDE w:val="0"/>
              <w:autoSpaceDN w:val="0"/>
              <w:adjustRightInd w:val="0"/>
              <w:jc w:val="right"/>
            </w:pPr>
            <w:r>
              <w:t>86,713.60</w:t>
            </w:r>
          </w:p>
        </w:tc>
        <w:tc>
          <w:tcPr>
            <w:tcW w:w="950" w:type="pct"/>
            <w:tcBorders>
              <w:top w:val="single" w:color="auto" w:sz="4" w:space="0"/>
              <w:left w:val="single" w:color="auto" w:sz="4" w:space="0"/>
              <w:bottom w:val="single" w:color="auto" w:sz="4" w:space="0"/>
              <w:right w:val="single" w:color="auto" w:sz="4" w:space="0"/>
            </w:tcBorders>
            <w:vAlign w:val="center"/>
          </w:tcPr>
          <w:p w14:paraId="637198C5">
            <w:pPr>
              <w:autoSpaceDE w:val="0"/>
              <w:autoSpaceDN w:val="0"/>
              <w:adjustRightInd w:val="0"/>
              <w:jc w:val="right"/>
            </w:pPr>
            <w:r>
              <w:t>43,234.80</w:t>
            </w:r>
          </w:p>
        </w:tc>
      </w:tr>
      <w:tr w14:paraId="12E7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1B4CC66">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0121BD4">
            <w:pPr>
              <w:autoSpaceDE w:val="0"/>
              <w:autoSpaceDN w:val="0"/>
              <w:adjustRightInd w:val="0"/>
            </w:pPr>
            <w:r>
              <w:t>广域铭岛数字科技有限公司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1C26563">
            <w:pPr>
              <w:autoSpaceDE w:val="0"/>
              <w:autoSpaceDN w:val="0"/>
              <w:adjustRightInd w:val="0"/>
              <w:jc w:val="right"/>
            </w:pPr>
            <w:r>
              <w:t>60,000.00</w:t>
            </w:r>
          </w:p>
        </w:tc>
        <w:tc>
          <w:tcPr>
            <w:tcW w:w="950" w:type="pct"/>
            <w:tcBorders>
              <w:top w:val="single" w:color="auto" w:sz="4" w:space="0"/>
              <w:left w:val="single" w:color="auto" w:sz="4" w:space="0"/>
              <w:bottom w:val="single" w:color="auto" w:sz="4" w:space="0"/>
              <w:right w:val="single" w:color="auto" w:sz="4" w:space="0"/>
            </w:tcBorders>
            <w:vAlign w:val="center"/>
          </w:tcPr>
          <w:p w14:paraId="59B86AD8">
            <w:pPr>
              <w:autoSpaceDE w:val="0"/>
              <w:autoSpaceDN w:val="0"/>
              <w:adjustRightInd w:val="0"/>
              <w:jc w:val="right"/>
            </w:pPr>
            <w:r>
              <w:t>60,000.00</w:t>
            </w:r>
          </w:p>
        </w:tc>
      </w:tr>
      <w:tr w14:paraId="1D5E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5F9E11F7">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E240ACB">
            <w:pPr>
              <w:autoSpaceDE w:val="0"/>
              <w:autoSpaceDN w:val="0"/>
              <w:adjustRightInd w:val="0"/>
            </w:pPr>
            <w:r>
              <w:t>重庆盼达汽车租赁有限公司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7BEF452">
            <w:pPr>
              <w:autoSpaceDE w:val="0"/>
              <w:autoSpaceDN w:val="0"/>
              <w:adjustRightInd w:val="0"/>
              <w:jc w:val="right"/>
            </w:pPr>
            <w:r>
              <w:t>51,305.78</w:t>
            </w:r>
          </w:p>
        </w:tc>
        <w:tc>
          <w:tcPr>
            <w:tcW w:w="950" w:type="pct"/>
            <w:tcBorders>
              <w:top w:val="single" w:color="auto" w:sz="4" w:space="0"/>
              <w:left w:val="single" w:color="auto" w:sz="4" w:space="0"/>
              <w:bottom w:val="single" w:color="auto" w:sz="4" w:space="0"/>
              <w:right w:val="single" w:color="auto" w:sz="4" w:space="0"/>
            </w:tcBorders>
            <w:vAlign w:val="center"/>
          </w:tcPr>
          <w:p w14:paraId="53AFE12E">
            <w:pPr>
              <w:autoSpaceDE w:val="0"/>
              <w:autoSpaceDN w:val="0"/>
              <w:adjustRightInd w:val="0"/>
              <w:jc w:val="right"/>
            </w:pPr>
            <w:r>
              <w:t>51,305.78</w:t>
            </w:r>
          </w:p>
        </w:tc>
      </w:tr>
      <w:tr w14:paraId="1F79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B24340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6EBBEE3">
            <w:pPr>
              <w:autoSpaceDE w:val="0"/>
              <w:autoSpaceDN w:val="0"/>
              <w:adjustRightInd w:val="0"/>
            </w:pPr>
            <w:r>
              <w:t>浙江钱江摩托股份有限公司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D06F0F7">
            <w:pPr>
              <w:autoSpaceDE w:val="0"/>
              <w:autoSpaceDN w:val="0"/>
              <w:adjustRightInd w:val="0"/>
              <w:jc w:val="right"/>
            </w:pPr>
            <w:r>
              <w:t>47,606.46</w:t>
            </w:r>
          </w:p>
        </w:tc>
        <w:tc>
          <w:tcPr>
            <w:tcW w:w="950" w:type="pct"/>
            <w:tcBorders>
              <w:top w:val="single" w:color="auto" w:sz="4" w:space="0"/>
              <w:left w:val="single" w:color="auto" w:sz="4" w:space="0"/>
              <w:bottom w:val="single" w:color="auto" w:sz="4" w:space="0"/>
              <w:right w:val="single" w:color="auto" w:sz="4" w:space="0"/>
            </w:tcBorders>
            <w:vAlign w:val="center"/>
          </w:tcPr>
          <w:p w14:paraId="6E572026">
            <w:pPr>
              <w:autoSpaceDE w:val="0"/>
              <w:autoSpaceDN w:val="0"/>
              <w:adjustRightInd w:val="0"/>
              <w:jc w:val="right"/>
            </w:pPr>
          </w:p>
        </w:tc>
      </w:tr>
      <w:tr w14:paraId="5B8F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B57938B">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9C4017B">
            <w:pPr>
              <w:autoSpaceDE w:val="0"/>
              <w:autoSpaceDN w:val="0"/>
              <w:adjustRightInd w:val="0"/>
            </w:pPr>
            <w:r>
              <w:t>浙江美可达摩托车有限公司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2F799830">
            <w:pPr>
              <w:autoSpaceDE w:val="0"/>
              <w:autoSpaceDN w:val="0"/>
              <w:adjustRightInd w:val="0"/>
              <w:jc w:val="right"/>
            </w:pPr>
            <w:r>
              <w:t>37,227.20</w:t>
            </w:r>
          </w:p>
        </w:tc>
        <w:tc>
          <w:tcPr>
            <w:tcW w:w="950" w:type="pct"/>
            <w:tcBorders>
              <w:top w:val="single" w:color="auto" w:sz="4" w:space="0"/>
              <w:left w:val="single" w:color="auto" w:sz="4" w:space="0"/>
              <w:bottom w:val="single" w:color="auto" w:sz="4" w:space="0"/>
              <w:right w:val="single" w:color="auto" w:sz="4" w:space="0"/>
            </w:tcBorders>
            <w:vAlign w:val="center"/>
          </w:tcPr>
          <w:p w14:paraId="66D02E5F">
            <w:pPr>
              <w:autoSpaceDE w:val="0"/>
              <w:autoSpaceDN w:val="0"/>
              <w:adjustRightInd w:val="0"/>
              <w:jc w:val="right"/>
            </w:pPr>
          </w:p>
        </w:tc>
      </w:tr>
      <w:tr w14:paraId="5118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740632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C279B6A">
            <w:pPr>
              <w:autoSpaceDE w:val="0"/>
              <w:autoSpaceDN w:val="0"/>
              <w:adjustRightInd w:val="0"/>
            </w:pPr>
            <w:r>
              <w:t>吉利汽车控股（杭州）有限公司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68214B6">
            <w:pPr>
              <w:autoSpaceDE w:val="0"/>
              <w:autoSpaceDN w:val="0"/>
              <w:adjustRightInd w:val="0"/>
              <w:jc w:val="right"/>
            </w:pPr>
            <w:r>
              <w:t>32,503.00</w:t>
            </w:r>
          </w:p>
        </w:tc>
        <w:tc>
          <w:tcPr>
            <w:tcW w:w="950" w:type="pct"/>
            <w:tcBorders>
              <w:top w:val="single" w:color="auto" w:sz="4" w:space="0"/>
              <w:left w:val="single" w:color="auto" w:sz="4" w:space="0"/>
              <w:bottom w:val="single" w:color="auto" w:sz="4" w:space="0"/>
              <w:right w:val="single" w:color="auto" w:sz="4" w:space="0"/>
            </w:tcBorders>
            <w:vAlign w:val="center"/>
          </w:tcPr>
          <w:p w14:paraId="576176D6">
            <w:pPr>
              <w:autoSpaceDE w:val="0"/>
              <w:autoSpaceDN w:val="0"/>
              <w:adjustRightInd w:val="0"/>
              <w:jc w:val="right"/>
            </w:pPr>
          </w:p>
        </w:tc>
      </w:tr>
      <w:tr w14:paraId="2843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23325AF">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F398A7C">
            <w:pPr>
              <w:autoSpaceDE w:val="0"/>
              <w:autoSpaceDN w:val="0"/>
              <w:adjustRightInd w:val="0"/>
            </w:pPr>
            <w:r>
              <w:t>临沂领吉茂华汽车销售服务有限公司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D827DB5">
            <w:pPr>
              <w:autoSpaceDE w:val="0"/>
              <w:autoSpaceDN w:val="0"/>
              <w:adjustRightInd w:val="0"/>
              <w:jc w:val="right"/>
            </w:pPr>
            <w:r>
              <w:t>30,000.00</w:t>
            </w:r>
          </w:p>
        </w:tc>
        <w:tc>
          <w:tcPr>
            <w:tcW w:w="950" w:type="pct"/>
            <w:tcBorders>
              <w:top w:val="single" w:color="auto" w:sz="4" w:space="0"/>
              <w:left w:val="single" w:color="auto" w:sz="4" w:space="0"/>
              <w:bottom w:val="single" w:color="auto" w:sz="4" w:space="0"/>
              <w:right w:val="single" w:color="auto" w:sz="4" w:space="0"/>
            </w:tcBorders>
            <w:vAlign w:val="center"/>
          </w:tcPr>
          <w:p w14:paraId="321D473F">
            <w:pPr>
              <w:autoSpaceDE w:val="0"/>
              <w:autoSpaceDN w:val="0"/>
              <w:adjustRightInd w:val="0"/>
              <w:jc w:val="right"/>
            </w:pPr>
            <w:r>
              <w:t>30,000.00</w:t>
            </w:r>
          </w:p>
        </w:tc>
      </w:tr>
      <w:tr w14:paraId="4D34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DB43421">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5408E8E">
            <w:pPr>
              <w:autoSpaceDE w:val="0"/>
              <w:autoSpaceDN w:val="0"/>
              <w:adjustRightInd w:val="0"/>
            </w:pPr>
            <w:r>
              <w:t>青岛领吉星汽车销售服务有限公司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48A9E31C">
            <w:pPr>
              <w:autoSpaceDE w:val="0"/>
              <w:autoSpaceDN w:val="0"/>
              <w:adjustRightInd w:val="0"/>
              <w:jc w:val="right"/>
            </w:pPr>
            <w:r>
              <w:t>30,000.00</w:t>
            </w:r>
          </w:p>
        </w:tc>
        <w:tc>
          <w:tcPr>
            <w:tcW w:w="950" w:type="pct"/>
            <w:tcBorders>
              <w:top w:val="single" w:color="auto" w:sz="4" w:space="0"/>
              <w:left w:val="single" w:color="auto" w:sz="4" w:space="0"/>
              <w:bottom w:val="single" w:color="auto" w:sz="4" w:space="0"/>
              <w:right w:val="single" w:color="auto" w:sz="4" w:space="0"/>
            </w:tcBorders>
            <w:vAlign w:val="center"/>
          </w:tcPr>
          <w:p w14:paraId="387A7706">
            <w:pPr>
              <w:autoSpaceDE w:val="0"/>
              <w:autoSpaceDN w:val="0"/>
              <w:adjustRightInd w:val="0"/>
              <w:jc w:val="right"/>
            </w:pPr>
            <w:r>
              <w:t>30,000.00</w:t>
            </w:r>
          </w:p>
        </w:tc>
      </w:tr>
      <w:tr w14:paraId="4545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2F972BA">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6B30238">
            <w:pPr>
              <w:autoSpaceDE w:val="0"/>
              <w:autoSpaceDN w:val="0"/>
              <w:adjustRightInd w:val="0"/>
            </w:pPr>
            <w:r>
              <w:t>山东吉利程达循环汽车销售服务有限公司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C68DE1D">
            <w:pPr>
              <w:autoSpaceDE w:val="0"/>
              <w:autoSpaceDN w:val="0"/>
              <w:adjustRightInd w:val="0"/>
              <w:jc w:val="right"/>
            </w:pPr>
            <w:r>
              <w:t>30,000.00</w:t>
            </w:r>
          </w:p>
        </w:tc>
        <w:tc>
          <w:tcPr>
            <w:tcW w:w="950" w:type="pct"/>
            <w:tcBorders>
              <w:top w:val="single" w:color="auto" w:sz="4" w:space="0"/>
              <w:left w:val="single" w:color="auto" w:sz="4" w:space="0"/>
              <w:bottom w:val="single" w:color="auto" w:sz="4" w:space="0"/>
              <w:right w:val="single" w:color="auto" w:sz="4" w:space="0"/>
            </w:tcBorders>
            <w:vAlign w:val="center"/>
          </w:tcPr>
          <w:p w14:paraId="2E1DB8C2">
            <w:pPr>
              <w:autoSpaceDE w:val="0"/>
              <w:autoSpaceDN w:val="0"/>
              <w:adjustRightInd w:val="0"/>
              <w:jc w:val="right"/>
            </w:pPr>
            <w:r>
              <w:t>30,000.00</w:t>
            </w:r>
          </w:p>
        </w:tc>
      </w:tr>
      <w:tr w14:paraId="7239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B8FC264">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5213FE8">
            <w:pPr>
              <w:autoSpaceDE w:val="0"/>
              <w:autoSpaceDN w:val="0"/>
              <w:adjustRightInd w:val="0"/>
            </w:pPr>
            <w:r>
              <w:t>安徽吉枫循环科技产业有限公司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79D8F5C">
            <w:pPr>
              <w:autoSpaceDE w:val="0"/>
              <w:autoSpaceDN w:val="0"/>
              <w:adjustRightInd w:val="0"/>
              <w:jc w:val="right"/>
            </w:pPr>
            <w:r>
              <w:t>20,000.00</w:t>
            </w:r>
          </w:p>
        </w:tc>
        <w:tc>
          <w:tcPr>
            <w:tcW w:w="950" w:type="pct"/>
            <w:tcBorders>
              <w:top w:val="single" w:color="auto" w:sz="4" w:space="0"/>
              <w:left w:val="single" w:color="auto" w:sz="4" w:space="0"/>
              <w:bottom w:val="single" w:color="auto" w:sz="4" w:space="0"/>
              <w:right w:val="single" w:color="auto" w:sz="4" w:space="0"/>
            </w:tcBorders>
            <w:vAlign w:val="center"/>
          </w:tcPr>
          <w:p w14:paraId="12917B71">
            <w:pPr>
              <w:autoSpaceDE w:val="0"/>
              <w:autoSpaceDN w:val="0"/>
              <w:adjustRightInd w:val="0"/>
              <w:jc w:val="right"/>
            </w:pPr>
            <w:r>
              <w:t>40,000.00</w:t>
            </w:r>
          </w:p>
        </w:tc>
      </w:tr>
      <w:tr w14:paraId="1F37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A97E9A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0EA5A64">
            <w:pPr>
              <w:autoSpaceDE w:val="0"/>
              <w:autoSpaceDN w:val="0"/>
              <w:adjustRightInd w:val="0"/>
            </w:pPr>
            <w:r>
              <w:t>苏州易易互联科技有限责任公司</w:t>
            </w:r>
          </w:p>
        </w:tc>
        <w:tc>
          <w:tcPr>
            <w:tcW w:w="950" w:type="pct"/>
            <w:tcBorders>
              <w:top w:val="single" w:color="auto" w:sz="4" w:space="0"/>
              <w:left w:val="single" w:color="auto" w:sz="4" w:space="0"/>
              <w:bottom w:val="single" w:color="auto" w:sz="4" w:space="0"/>
              <w:right w:val="single" w:color="auto" w:sz="4" w:space="0"/>
            </w:tcBorders>
            <w:vAlign w:val="center"/>
          </w:tcPr>
          <w:p w14:paraId="499AA22B">
            <w:pPr>
              <w:autoSpaceDE w:val="0"/>
              <w:autoSpaceDN w:val="0"/>
              <w:adjustRightInd w:val="0"/>
              <w:jc w:val="right"/>
            </w:pPr>
            <w:r>
              <w:t>15,479.60</w:t>
            </w:r>
          </w:p>
        </w:tc>
        <w:tc>
          <w:tcPr>
            <w:tcW w:w="950" w:type="pct"/>
            <w:tcBorders>
              <w:top w:val="single" w:color="auto" w:sz="4" w:space="0"/>
              <w:left w:val="single" w:color="auto" w:sz="4" w:space="0"/>
              <w:bottom w:val="single" w:color="auto" w:sz="4" w:space="0"/>
              <w:right w:val="single" w:color="auto" w:sz="4" w:space="0"/>
            </w:tcBorders>
            <w:vAlign w:val="center"/>
          </w:tcPr>
          <w:p w14:paraId="4C4C1E6B">
            <w:pPr>
              <w:autoSpaceDE w:val="0"/>
              <w:autoSpaceDN w:val="0"/>
              <w:adjustRightInd w:val="0"/>
              <w:jc w:val="right"/>
            </w:pPr>
          </w:p>
        </w:tc>
      </w:tr>
      <w:tr w14:paraId="4A62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87532CD">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32AB3D9">
            <w:pPr>
              <w:autoSpaceDE w:val="0"/>
              <w:autoSpaceDN w:val="0"/>
              <w:adjustRightInd w:val="0"/>
            </w:pPr>
            <w:r>
              <w:t>浙江吉利控股集团有限公司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842495A">
            <w:pPr>
              <w:autoSpaceDE w:val="0"/>
              <w:autoSpaceDN w:val="0"/>
              <w:adjustRightInd w:val="0"/>
              <w:jc w:val="right"/>
            </w:pPr>
            <w:r>
              <w:t>12,476.52</w:t>
            </w:r>
          </w:p>
        </w:tc>
        <w:tc>
          <w:tcPr>
            <w:tcW w:w="950" w:type="pct"/>
            <w:tcBorders>
              <w:top w:val="single" w:color="auto" w:sz="4" w:space="0"/>
              <w:left w:val="single" w:color="auto" w:sz="4" w:space="0"/>
              <w:bottom w:val="single" w:color="auto" w:sz="4" w:space="0"/>
              <w:right w:val="single" w:color="auto" w:sz="4" w:space="0"/>
            </w:tcBorders>
            <w:vAlign w:val="center"/>
          </w:tcPr>
          <w:p w14:paraId="4204BA0B">
            <w:pPr>
              <w:autoSpaceDE w:val="0"/>
              <w:autoSpaceDN w:val="0"/>
              <w:adjustRightInd w:val="0"/>
              <w:jc w:val="right"/>
            </w:pPr>
            <w:r>
              <w:t>12,476.52</w:t>
            </w:r>
          </w:p>
        </w:tc>
      </w:tr>
      <w:tr w14:paraId="343F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06FA39D">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45E47F13">
            <w:pPr>
              <w:autoSpaceDE w:val="0"/>
              <w:autoSpaceDN w:val="0"/>
              <w:adjustRightInd w:val="0"/>
            </w:pPr>
            <w:r>
              <w:t>浙江吉利汽车工程技术开发有限公司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9EBC8DA">
            <w:pPr>
              <w:autoSpaceDE w:val="0"/>
              <w:autoSpaceDN w:val="0"/>
              <w:adjustRightInd w:val="0"/>
              <w:jc w:val="right"/>
            </w:pPr>
            <w:r>
              <w:t>10,806.50</w:t>
            </w:r>
          </w:p>
        </w:tc>
        <w:tc>
          <w:tcPr>
            <w:tcW w:w="950" w:type="pct"/>
            <w:tcBorders>
              <w:top w:val="single" w:color="auto" w:sz="4" w:space="0"/>
              <w:left w:val="single" w:color="auto" w:sz="4" w:space="0"/>
              <w:bottom w:val="single" w:color="auto" w:sz="4" w:space="0"/>
              <w:right w:val="single" w:color="auto" w:sz="4" w:space="0"/>
            </w:tcBorders>
            <w:vAlign w:val="center"/>
          </w:tcPr>
          <w:p w14:paraId="158541F1">
            <w:pPr>
              <w:autoSpaceDE w:val="0"/>
              <w:autoSpaceDN w:val="0"/>
              <w:adjustRightInd w:val="0"/>
              <w:jc w:val="right"/>
            </w:pPr>
            <w:r>
              <w:t>10,806.50</w:t>
            </w:r>
          </w:p>
        </w:tc>
      </w:tr>
      <w:tr w14:paraId="332B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318F57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F8C8D58">
            <w:pPr>
              <w:autoSpaceDE w:val="0"/>
              <w:autoSpaceDN w:val="0"/>
              <w:adjustRightInd w:val="0"/>
            </w:pPr>
            <w:r>
              <w:t>东营领吉凯华汽车销售服务有限公司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E1769FF">
            <w:pPr>
              <w:autoSpaceDE w:val="0"/>
              <w:autoSpaceDN w:val="0"/>
              <w:adjustRightInd w:val="0"/>
              <w:jc w:val="right"/>
            </w:pPr>
            <w:r>
              <w:t>10,000.00</w:t>
            </w:r>
          </w:p>
        </w:tc>
        <w:tc>
          <w:tcPr>
            <w:tcW w:w="950" w:type="pct"/>
            <w:tcBorders>
              <w:top w:val="single" w:color="auto" w:sz="4" w:space="0"/>
              <w:left w:val="single" w:color="auto" w:sz="4" w:space="0"/>
              <w:bottom w:val="single" w:color="auto" w:sz="4" w:space="0"/>
              <w:right w:val="single" w:color="auto" w:sz="4" w:space="0"/>
            </w:tcBorders>
            <w:vAlign w:val="center"/>
          </w:tcPr>
          <w:p w14:paraId="634A444F">
            <w:pPr>
              <w:autoSpaceDE w:val="0"/>
              <w:autoSpaceDN w:val="0"/>
              <w:adjustRightInd w:val="0"/>
              <w:jc w:val="right"/>
            </w:pPr>
            <w:r>
              <w:t>10,000.00</w:t>
            </w:r>
          </w:p>
        </w:tc>
      </w:tr>
      <w:tr w14:paraId="245A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71261E3">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7420906">
            <w:pPr>
              <w:autoSpaceDE w:val="0"/>
              <w:autoSpaceDN w:val="0"/>
              <w:adjustRightInd w:val="0"/>
            </w:pPr>
            <w:r>
              <w:t>浙江吉信资源循环科技有限公司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B60F091">
            <w:pPr>
              <w:autoSpaceDE w:val="0"/>
              <w:autoSpaceDN w:val="0"/>
              <w:adjustRightInd w:val="0"/>
              <w:jc w:val="right"/>
            </w:pPr>
            <w:r>
              <w:t>10,000.00</w:t>
            </w:r>
          </w:p>
        </w:tc>
        <w:tc>
          <w:tcPr>
            <w:tcW w:w="950" w:type="pct"/>
            <w:tcBorders>
              <w:top w:val="single" w:color="auto" w:sz="4" w:space="0"/>
              <w:left w:val="single" w:color="auto" w:sz="4" w:space="0"/>
              <w:bottom w:val="single" w:color="auto" w:sz="4" w:space="0"/>
              <w:right w:val="single" w:color="auto" w:sz="4" w:space="0"/>
            </w:tcBorders>
            <w:vAlign w:val="center"/>
          </w:tcPr>
          <w:p w14:paraId="20F9A5CC">
            <w:pPr>
              <w:autoSpaceDE w:val="0"/>
              <w:autoSpaceDN w:val="0"/>
              <w:adjustRightInd w:val="0"/>
              <w:jc w:val="right"/>
            </w:pPr>
          </w:p>
        </w:tc>
      </w:tr>
      <w:tr w14:paraId="7D3D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5BBB558">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D28BF0A">
            <w:pPr>
              <w:autoSpaceDE w:val="0"/>
              <w:autoSpaceDN w:val="0"/>
              <w:adjustRightInd w:val="0"/>
            </w:pPr>
            <w:r>
              <w:t>吉利汽车研究院（宁波）有限公司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F35ED2D">
            <w:pPr>
              <w:autoSpaceDE w:val="0"/>
              <w:autoSpaceDN w:val="0"/>
              <w:adjustRightInd w:val="0"/>
              <w:jc w:val="right"/>
            </w:pPr>
            <w:r>
              <w:t>4,235.32</w:t>
            </w:r>
          </w:p>
        </w:tc>
        <w:tc>
          <w:tcPr>
            <w:tcW w:w="950" w:type="pct"/>
            <w:tcBorders>
              <w:top w:val="single" w:color="auto" w:sz="4" w:space="0"/>
              <w:left w:val="single" w:color="auto" w:sz="4" w:space="0"/>
              <w:bottom w:val="single" w:color="auto" w:sz="4" w:space="0"/>
              <w:right w:val="single" w:color="auto" w:sz="4" w:space="0"/>
            </w:tcBorders>
            <w:vAlign w:val="center"/>
          </w:tcPr>
          <w:p w14:paraId="72D8ABA4">
            <w:pPr>
              <w:autoSpaceDE w:val="0"/>
              <w:autoSpaceDN w:val="0"/>
              <w:adjustRightInd w:val="0"/>
              <w:jc w:val="right"/>
            </w:pPr>
          </w:p>
        </w:tc>
      </w:tr>
      <w:tr w14:paraId="3030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F3D7FA7">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557029C">
            <w:pPr>
              <w:autoSpaceDE w:val="0"/>
              <w:autoSpaceDN w:val="0"/>
              <w:adjustRightInd w:val="0"/>
            </w:pPr>
            <w:r>
              <w:t>杭州吉利汽车数字科技有限公司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60BE573">
            <w:pPr>
              <w:autoSpaceDE w:val="0"/>
              <w:autoSpaceDN w:val="0"/>
              <w:adjustRightInd w:val="0"/>
              <w:jc w:val="right"/>
            </w:pPr>
            <w:r>
              <w:t>433.96</w:t>
            </w:r>
          </w:p>
        </w:tc>
        <w:tc>
          <w:tcPr>
            <w:tcW w:w="950" w:type="pct"/>
            <w:tcBorders>
              <w:top w:val="single" w:color="auto" w:sz="4" w:space="0"/>
              <w:left w:val="single" w:color="auto" w:sz="4" w:space="0"/>
              <w:bottom w:val="single" w:color="auto" w:sz="4" w:space="0"/>
              <w:right w:val="single" w:color="auto" w:sz="4" w:space="0"/>
            </w:tcBorders>
            <w:vAlign w:val="center"/>
          </w:tcPr>
          <w:p w14:paraId="716E5141">
            <w:pPr>
              <w:autoSpaceDE w:val="0"/>
              <w:autoSpaceDN w:val="0"/>
              <w:adjustRightInd w:val="0"/>
              <w:jc w:val="right"/>
            </w:pPr>
            <w:r>
              <w:t>433.96</w:t>
            </w:r>
          </w:p>
        </w:tc>
      </w:tr>
      <w:tr w14:paraId="3690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07D6167">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50E897B">
            <w:pPr>
              <w:autoSpaceDE w:val="0"/>
              <w:autoSpaceDN w:val="0"/>
              <w:adjustRightInd w:val="0"/>
            </w:pPr>
            <w:r>
              <w:t>宁波前湾新区吉研后勤服务有限公司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9BCFE17">
            <w:pPr>
              <w:autoSpaceDE w:val="0"/>
              <w:autoSpaceDN w:val="0"/>
              <w:adjustRightInd w:val="0"/>
              <w:jc w:val="right"/>
            </w:pPr>
            <w:r>
              <w:t>180.00</w:t>
            </w:r>
          </w:p>
        </w:tc>
        <w:tc>
          <w:tcPr>
            <w:tcW w:w="950" w:type="pct"/>
            <w:tcBorders>
              <w:top w:val="single" w:color="auto" w:sz="4" w:space="0"/>
              <w:left w:val="single" w:color="auto" w:sz="4" w:space="0"/>
              <w:bottom w:val="single" w:color="auto" w:sz="4" w:space="0"/>
              <w:right w:val="single" w:color="auto" w:sz="4" w:space="0"/>
            </w:tcBorders>
            <w:vAlign w:val="center"/>
          </w:tcPr>
          <w:p w14:paraId="226C79FF">
            <w:pPr>
              <w:autoSpaceDE w:val="0"/>
              <w:autoSpaceDN w:val="0"/>
              <w:adjustRightInd w:val="0"/>
              <w:jc w:val="right"/>
            </w:pPr>
          </w:p>
        </w:tc>
      </w:tr>
      <w:tr w14:paraId="2E47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bottom w:val="single" w:color="auto" w:sz="4" w:space="0"/>
              <w:right w:val="single" w:color="auto" w:sz="4" w:space="0"/>
            </w:tcBorders>
            <w:vAlign w:val="center"/>
          </w:tcPr>
          <w:p w14:paraId="6F78A572">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26FF516">
            <w:pPr>
              <w:autoSpaceDE w:val="0"/>
              <w:autoSpaceDN w:val="0"/>
              <w:adjustRightInd w:val="0"/>
            </w:pPr>
            <w:r>
              <w:t>四川领克汽车制造有限公司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C1A0B69">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2E347A63">
            <w:pPr>
              <w:autoSpaceDE w:val="0"/>
              <w:autoSpaceDN w:val="0"/>
              <w:adjustRightInd w:val="0"/>
              <w:jc w:val="right"/>
            </w:pPr>
            <w:r>
              <w:t>255,522.30</w:t>
            </w:r>
          </w:p>
        </w:tc>
      </w:tr>
      <w:tr w14:paraId="7C72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tcBorders>
              <w:top w:val="single" w:color="auto" w:sz="4" w:space="0"/>
              <w:left w:val="single" w:color="auto" w:sz="4" w:space="0"/>
              <w:bottom w:val="single" w:color="auto" w:sz="4" w:space="0"/>
              <w:right w:val="single" w:color="auto" w:sz="4" w:space="0"/>
            </w:tcBorders>
            <w:vAlign w:val="center"/>
          </w:tcPr>
          <w:p w14:paraId="695DEBEE">
            <w:pPr>
              <w:autoSpaceDE w:val="0"/>
              <w:autoSpaceDN w:val="0"/>
              <w:adjustRightInd w:val="0"/>
              <w:jc w:val="center"/>
            </w:pPr>
            <w:r>
              <w:t>长期借款</w:t>
            </w:r>
          </w:p>
        </w:tc>
        <w:tc>
          <w:tcPr>
            <w:tcW w:w="2234" w:type="pct"/>
            <w:tcBorders>
              <w:top w:val="single" w:color="auto" w:sz="4" w:space="0"/>
              <w:left w:val="single" w:color="auto" w:sz="4" w:space="0"/>
              <w:bottom w:val="single" w:color="auto" w:sz="4" w:space="0"/>
              <w:right w:val="single" w:color="auto" w:sz="4" w:space="0"/>
            </w:tcBorders>
            <w:vAlign w:val="center"/>
          </w:tcPr>
          <w:p w14:paraId="5330E865">
            <w:pPr>
              <w:autoSpaceDE w:val="0"/>
              <w:autoSpaceDN w:val="0"/>
              <w:adjustRightInd w:val="0"/>
            </w:pPr>
            <w:r>
              <w:t>重庆银行股份有限公司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65049DA">
            <w:pPr>
              <w:autoSpaceDE w:val="0"/>
              <w:autoSpaceDN w:val="0"/>
              <w:adjustRightInd w:val="0"/>
              <w:jc w:val="right"/>
            </w:pPr>
          </w:p>
        </w:tc>
        <w:tc>
          <w:tcPr>
            <w:tcW w:w="950" w:type="pct"/>
            <w:tcBorders>
              <w:top w:val="single" w:color="auto" w:sz="4" w:space="0"/>
              <w:left w:val="single" w:color="auto" w:sz="4" w:space="0"/>
              <w:bottom w:val="single" w:color="auto" w:sz="4" w:space="0"/>
              <w:right w:val="single" w:color="auto" w:sz="4" w:space="0"/>
            </w:tcBorders>
            <w:vAlign w:val="center"/>
          </w:tcPr>
          <w:p w14:paraId="212DFDE6">
            <w:pPr>
              <w:autoSpaceDE w:val="0"/>
              <w:autoSpaceDN w:val="0"/>
              <w:adjustRightInd w:val="0"/>
              <w:jc w:val="right"/>
            </w:pPr>
            <w:r>
              <w:t>82,568,378.25</w:t>
            </w:r>
          </w:p>
        </w:tc>
      </w:tr>
      <w:tr w14:paraId="7CBD2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restart"/>
            <w:tcBorders>
              <w:top w:val="single" w:color="auto" w:sz="4" w:space="0"/>
              <w:left w:val="single" w:color="auto" w:sz="4" w:space="0"/>
              <w:right w:val="single" w:color="auto" w:sz="4" w:space="0"/>
            </w:tcBorders>
            <w:vAlign w:val="center"/>
          </w:tcPr>
          <w:p w14:paraId="5E3F60D6">
            <w:pPr>
              <w:autoSpaceDE w:val="0"/>
              <w:autoSpaceDN w:val="0"/>
              <w:adjustRightInd w:val="0"/>
              <w:jc w:val="center"/>
            </w:pPr>
            <w:r>
              <w:t>合同负债</w:t>
            </w:r>
          </w:p>
        </w:tc>
        <w:tc>
          <w:tcPr>
            <w:tcW w:w="2234" w:type="pct"/>
            <w:tcBorders>
              <w:top w:val="single" w:color="auto" w:sz="4" w:space="0"/>
              <w:left w:val="single" w:color="auto" w:sz="4" w:space="0"/>
              <w:bottom w:val="single" w:color="auto" w:sz="4" w:space="0"/>
              <w:right w:val="single" w:color="auto" w:sz="4" w:space="0"/>
            </w:tcBorders>
            <w:vAlign w:val="center"/>
          </w:tcPr>
          <w:p w14:paraId="4072D0FA">
            <w:pPr>
              <w:autoSpaceDE w:val="0"/>
              <w:autoSpaceDN w:val="0"/>
              <w:adjustRightInd w:val="0"/>
            </w:pPr>
            <w:r>
              <w:t>武汉路特斯科技有限公司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FC7DB7E">
            <w:pPr>
              <w:autoSpaceDE w:val="0"/>
              <w:autoSpaceDN w:val="0"/>
              <w:adjustRightInd w:val="0"/>
              <w:jc w:val="right"/>
            </w:pPr>
            <w:r>
              <w:t>589,622.63</w:t>
            </w:r>
          </w:p>
        </w:tc>
        <w:tc>
          <w:tcPr>
            <w:tcW w:w="950" w:type="pct"/>
            <w:tcBorders>
              <w:top w:val="single" w:color="auto" w:sz="4" w:space="0"/>
              <w:left w:val="single" w:color="auto" w:sz="4" w:space="0"/>
              <w:bottom w:val="single" w:color="auto" w:sz="4" w:space="0"/>
              <w:right w:val="single" w:color="auto" w:sz="4" w:space="0"/>
            </w:tcBorders>
            <w:vAlign w:val="center"/>
          </w:tcPr>
          <w:p w14:paraId="013C2DFE">
            <w:pPr>
              <w:autoSpaceDE w:val="0"/>
              <w:autoSpaceDN w:val="0"/>
              <w:adjustRightInd w:val="0"/>
              <w:jc w:val="right"/>
            </w:pPr>
            <w:r>
              <w:t>707,547.17</w:t>
            </w:r>
          </w:p>
        </w:tc>
      </w:tr>
      <w:tr w14:paraId="7F4C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05208EA">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62CB6D2">
            <w:pPr>
              <w:autoSpaceDE w:val="0"/>
              <w:autoSpaceDN w:val="0"/>
              <w:adjustRightInd w:val="0"/>
            </w:pPr>
            <w:r>
              <w:t>浙江吉信资源循环科技有限公司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C6E90DF">
            <w:pPr>
              <w:autoSpaceDE w:val="0"/>
              <w:autoSpaceDN w:val="0"/>
              <w:adjustRightInd w:val="0"/>
              <w:jc w:val="right"/>
            </w:pPr>
            <w:r>
              <w:t>45,512.76</w:t>
            </w:r>
          </w:p>
        </w:tc>
        <w:tc>
          <w:tcPr>
            <w:tcW w:w="950" w:type="pct"/>
            <w:tcBorders>
              <w:top w:val="single" w:color="auto" w:sz="4" w:space="0"/>
              <w:left w:val="single" w:color="auto" w:sz="4" w:space="0"/>
              <w:bottom w:val="single" w:color="auto" w:sz="4" w:space="0"/>
              <w:right w:val="single" w:color="auto" w:sz="4" w:space="0"/>
            </w:tcBorders>
            <w:vAlign w:val="center"/>
          </w:tcPr>
          <w:p w14:paraId="18B8A989">
            <w:pPr>
              <w:autoSpaceDE w:val="0"/>
              <w:autoSpaceDN w:val="0"/>
              <w:adjustRightInd w:val="0"/>
              <w:jc w:val="right"/>
            </w:pPr>
          </w:p>
        </w:tc>
      </w:tr>
      <w:tr w14:paraId="51B8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393687DD">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C06EBE5">
            <w:pPr>
              <w:autoSpaceDE w:val="0"/>
              <w:autoSpaceDN w:val="0"/>
              <w:adjustRightInd w:val="0"/>
            </w:pPr>
            <w:r>
              <w:t>安徽吉枫循环科技产业有限公司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0949C64">
            <w:pPr>
              <w:autoSpaceDE w:val="0"/>
              <w:autoSpaceDN w:val="0"/>
              <w:adjustRightInd w:val="0"/>
              <w:jc w:val="right"/>
            </w:pPr>
            <w:r>
              <w:t>40,262.49</w:t>
            </w:r>
          </w:p>
        </w:tc>
        <w:tc>
          <w:tcPr>
            <w:tcW w:w="950" w:type="pct"/>
            <w:tcBorders>
              <w:top w:val="single" w:color="auto" w:sz="4" w:space="0"/>
              <w:left w:val="single" w:color="auto" w:sz="4" w:space="0"/>
              <w:bottom w:val="single" w:color="auto" w:sz="4" w:space="0"/>
              <w:right w:val="single" w:color="auto" w:sz="4" w:space="0"/>
            </w:tcBorders>
            <w:vAlign w:val="center"/>
          </w:tcPr>
          <w:p w14:paraId="504066E5">
            <w:pPr>
              <w:autoSpaceDE w:val="0"/>
              <w:autoSpaceDN w:val="0"/>
              <w:adjustRightInd w:val="0"/>
              <w:jc w:val="right"/>
            </w:pPr>
            <w:r>
              <w:t>40,262.49</w:t>
            </w:r>
          </w:p>
        </w:tc>
      </w:tr>
      <w:tr w14:paraId="4EB8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218AEF7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A1054A1">
            <w:pPr>
              <w:autoSpaceDE w:val="0"/>
              <w:autoSpaceDN w:val="0"/>
              <w:adjustRightInd w:val="0"/>
            </w:pPr>
            <w:r>
              <w:t>浙江美可达摩托车有限公司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F8BA67E">
            <w:pPr>
              <w:autoSpaceDE w:val="0"/>
              <w:autoSpaceDN w:val="0"/>
              <w:adjustRightInd w:val="0"/>
              <w:jc w:val="right"/>
            </w:pPr>
            <w:r>
              <w:t>34,677.97</w:t>
            </w:r>
          </w:p>
        </w:tc>
        <w:tc>
          <w:tcPr>
            <w:tcW w:w="950" w:type="pct"/>
            <w:tcBorders>
              <w:top w:val="single" w:color="auto" w:sz="4" w:space="0"/>
              <w:left w:val="single" w:color="auto" w:sz="4" w:space="0"/>
              <w:bottom w:val="single" w:color="auto" w:sz="4" w:space="0"/>
              <w:right w:val="single" w:color="auto" w:sz="4" w:space="0"/>
            </w:tcBorders>
            <w:vAlign w:val="center"/>
          </w:tcPr>
          <w:p w14:paraId="7B7EE8DE">
            <w:pPr>
              <w:autoSpaceDE w:val="0"/>
              <w:autoSpaceDN w:val="0"/>
              <w:adjustRightInd w:val="0"/>
              <w:jc w:val="right"/>
            </w:pPr>
            <w:r>
              <w:t>543,854.85</w:t>
            </w:r>
          </w:p>
        </w:tc>
      </w:tr>
      <w:tr w14:paraId="79D0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59C4000">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6500AEE">
            <w:pPr>
              <w:autoSpaceDE w:val="0"/>
              <w:autoSpaceDN w:val="0"/>
              <w:adjustRightInd w:val="0"/>
            </w:pPr>
            <w:r>
              <w:t>临沂领吉茂华汽车销售服务有限公司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7C01883">
            <w:pPr>
              <w:autoSpaceDE w:val="0"/>
              <w:autoSpaceDN w:val="0"/>
              <w:adjustRightInd w:val="0"/>
              <w:jc w:val="right"/>
            </w:pPr>
            <w:r>
              <w:t>16,891.94</w:t>
            </w:r>
          </w:p>
        </w:tc>
        <w:tc>
          <w:tcPr>
            <w:tcW w:w="950" w:type="pct"/>
            <w:tcBorders>
              <w:top w:val="single" w:color="auto" w:sz="4" w:space="0"/>
              <w:left w:val="single" w:color="auto" w:sz="4" w:space="0"/>
              <w:bottom w:val="single" w:color="auto" w:sz="4" w:space="0"/>
              <w:right w:val="single" w:color="auto" w:sz="4" w:space="0"/>
            </w:tcBorders>
            <w:vAlign w:val="center"/>
          </w:tcPr>
          <w:p w14:paraId="4F794171">
            <w:pPr>
              <w:autoSpaceDE w:val="0"/>
              <w:autoSpaceDN w:val="0"/>
              <w:adjustRightInd w:val="0"/>
              <w:jc w:val="right"/>
            </w:pPr>
            <w:r>
              <w:t>12,313.48</w:t>
            </w:r>
          </w:p>
        </w:tc>
      </w:tr>
      <w:tr w14:paraId="30C0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9777DCB">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821C2AB">
            <w:pPr>
              <w:autoSpaceDE w:val="0"/>
              <w:autoSpaceDN w:val="0"/>
              <w:adjustRightInd w:val="0"/>
            </w:pPr>
            <w:r>
              <w:t>领吉汽车商贸有限公司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1235DF82">
            <w:pPr>
              <w:autoSpaceDE w:val="0"/>
              <w:autoSpaceDN w:val="0"/>
              <w:adjustRightInd w:val="0"/>
              <w:jc w:val="right"/>
            </w:pPr>
            <w:r>
              <w:t>5,309.73</w:t>
            </w:r>
          </w:p>
        </w:tc>
        <w:tc>
          <w:tcPr>
            <w:tcW w:w="950" w:type="pct"/>
            <w:tcBorders>
              <w:top w:val="single" w:color="auto" w:sz="4" w:space="0"/>
              <w:left w:val="single" w:color="auto" w:sz="4" w:space="0"/>
              <w:bottom w:val="single" w:color="auto" w:sz="4" w:space="0"/>
              <w:right w:val="single" w:color="auto" w:sz="4" w:space="0"/>
            </w:tcBorders>
            <w:vAlign w:val="center"/>
          </w:tcPr>
          <w:p w14:paraId="37CC3959">
            <w:pPr>
              <w:autoSpaceDE w:val="0"/>
              <w:autoSpaceDN w:val="0"/>
              <w:adjustRightInd w:val="0"/>
              <w:jc w:val="right"/>
            </w:pPr>
          </w:p>
        </w:tc>
      </w:tr>
      <w:tr w14:paraId="307B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bottom w:val="single" w:color="auto" w:sz="4" w:space="0"/>
              <w:right w:val="single" w:color="auto" w:sz="4" w:space="0"/>
            </w:tcBorders>
            <w:vAlign w:val="center"/>
          </w:tcPr>
          <w:p w14:paraId="6F33A80C">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BC2C8CD">
            <w:pPr>
              <w:autoSpaceDE w:val="0"/>
              <w:autoSpaceDN w:val="0"/>
              <w:adjustRightInd w:val="0"/>
            </w:pPr>
            <w:r>
              <w:t>青岛领吉星汽车销售服务有限公司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6A9E1E70">
            <w:pPr>
              <w:autoSpaceDE w:val="0"/>
              <w:autoSpaceDN w:val="0"/>
              <w:adjustRightInd w:val="0"/>
              <w:jc w:val="right"/>
            </w:pPr>
            <w:r>
              <w:t>3,201.38</w:t>
            </w:r>
          </w:p>
        </w:tc>
        <w:tc>
          <w:tcPr>
            <w:tcW w:w="950" w:type="pct"/>
            <w:tcBorders>
              <w:top w:val="single" w:color="auto" w:sz="4" w:space="0"/>
              <w:left w:val="single" w:color="auto" w:sz="4" w:space="0"/>
              <w:bottom w:val="single" w:color="auto" w:sz="4" w:space="0"/>
              <w:right w:val="single" w:color="auto" w:sz="4" w:space="0"/>
            </w:tcBorders>
            <w:vAlign w:val="center"/>
          </w:tcPr>
          <w:p w14:paraId="4F0290D8">
            <w:pPr>
              <w:autoSpaceDE w:val="0"/>
              <w:autoSpaceDN w:val="0"/>
              <w:adjustRightInd w:val="0"/>
              <w:jc w:val="right"/>
            </w:pPr>
            <w:r>
              <w:t>45,902.00</w:t>
            </w:r>
          </w:p>
        </w:tc>
      </w:tr>
      <w:tr w14:paraId="4056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restart"/>
            <w:tcBorders>
              <w:top w:val="single" w:color="auto" w:sz="4" w:space="0"/>
              <w:left w:val="single" w:color="auto" w:sz="4" w:space="0"/>
              <w:right w:val="single" w:color="auto" w:sz="4" w:space="0"/>
            </w:tcBorders>
            <w:vAlign w:val="center"/>
          </w:tcPr>
          <w:p w14:paraId="10618DE2">
            <w:pPr>
              <w:autoSpaceDE w:val="0"/>
              <w:autoSpaceDN w:val="0"/>
              <w:adjustRightInd w:val="0"/>
              <w:jc w:val="center"/>
            </w:pPr>
            <w:r>
              <w:t>其他流动负债</w:t>
            </w:r>
          </w:p>
        </w:tc>
        <w:tc>
          <w:tcPr>
            <w:tcW w:w="2234" w:type="pct"/>
            <w:tcBorders>
              <w:top w:val="single" w:color="auto" w:sz="4" w:space="0"/>
              <w:left w:val="single" w:color="auto" w:sz="4" w:space="0"/>
              <w:bottom w:val="single" w:color="auto" w:sz="4" w:space="0"/>
              <w:right w:val="single" w:color="auto" w:sz="4" w:space="0"/>
            </w:tcBorders>
            <w:vAlign w:val="center"/>
          </w:tcPr>
          <w:p w14:paraId="098CE3C2">
            <w:pPr>
              <w:autoSpaceDE w:val="0"/>
              <w:autoSpaceDN w:val="0"/>
              <w:adjustRightInd w:val="0"/>
            </w:pPr>
            <w:r>
              <w:t>武汉路特斯科技有限公司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7D0A35FB">
            <w:pPr>
              <w:autoSpaceDE w:val="0"/>
              <w:autoSpaceDN w:val="0"/>
              <w:adjustRightInd w:val="0"/>
              <w:jc w:val="right"/>
            </w:pPr>
            <w:r>
              <w:t>76,650.94</w:t>
            </w:r>
          </w:p>
        </w:tc>
        <w:tc>
          <w:tcPr>
            <w:tcW w:w="950" w:type="pct"/>
            <w:tcBorders>
              <w:top w:val="single" w:color="auto" w:sz="4" w:space="0"/>
              <w:left w:val="single" w:color="auto" w:sz="4" w:space="0"/>
              <w:bottom w:val="single" w:color="auto" w:sz="4" w:space="0"/>
              <w:right w:val="single" w:color="auto" w:sz="4" w:space="0"/>
            </w:tcBorders>
            <w:vAlign w:val="center"/>
          </w:tcPr>
          <w:p w14:paraId="0BC5DA58">
            <w:pPr>
              <w:autoSpaceDE w:val="0"/>
              <w:autoSpaceDN w:val="0"/>
              <w:adjustRightInd w:val="0"/>
              <w:jc w:val="right"/>
            </w:pPr>
            <w:r>
              <w:t>91,981.13</w:t>
            </w:r>
          </w:p>
        </w:tc>
      </w:tr>
      <w:tr w14:paraId="564A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4164C961">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528E6A79">
            <w:pPr>
              <w:autoSpaceDE w:val="0"/>
              <w:autoSpaceDN w:val="0"/>
              <w:adjustRightInd w:val="0"/>
            </w:pPr>
            <w:r>
              <w:t>浙江吉信资源循环科技有限公司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3C9794CD">
            <w:pPr>
              <w:autoSpaceDE w:val="0"/>
              <w:autoSpaceDN w:val="0"/>
              <w:adjustRightInd w:val="0"/>
              <w:jc w:val="right"/>
            </w:pPr>
            <w:r>
              <w:t>5,916.66</w:t>
            </w:r>
          </w:p>
        </w:tc>
        <w:tc>
          <w:tcPr>
            <w:tcW w:w="950" w:type="pct"/>
            <w:tcBorders>
              <w:top w:val="single" w:color="auto" w:sz="4" w:space="0"/>
              <w:left w:val="single" w:color="auto" w:sz="4" w:space="0"/>
              <w:bottom w:val="single" w:color="auto" w:sz="4" w:space="0"/>
              <w:right w:val="single" w:color="auto" w:sz="4" w:space="0"/>
            </w:tcBorders>
            <w:vAlign w:val="center"/>
          </w:tcPr>
          <w:p w14:paraId="1E344515">
            <w:pPr>
              <w:autoSpaceDE w:val="0"/>
              <w:autoSpaceDN w:val="0"/>
              <w:adjustRightInd w:val="0"/>
              <w:jc w:val="right"/>
            </w:pPr>
            <w:r>
              <w:t>-</w:t>
            </w:r>
          </w:p>
        </w:tc>
      </w:tr>
      <w:tr w14:paraId="27FBD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13123ED6">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3E015C87">
            <w:pPr>
              <w:autoSpaceDE w:val="0"/>
              <w:autoSpaceDN w:val="0"/>
              <w:adjustRightInd w:val="0"/>
            </w:pPr>
            <w:r>
              <w:t>安徽吉枫循环科技产业有限公司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5477724">
            <w:pPr>
              <w:autoSpaceDE w:val="0"/>
              <w:autoSpaceDN w:val="0"/>
              <w:adjustRightInd w:val="0"/>
              <w:jc w:val="right"/>
            </w:pPr>
            <w:r>
              <w:t>5,234.12</w:t>
            </w:r>
          </w:p>
        </w:tc>
        <w:tc>
          <w:tcPr>
            <w:tcW w:w="950" w:type="pct"/>
            <w:tcBorders>
              <w:top w:val="single" w:color="auto" w:sz="4" w:space="0"/>
              <w:left w:val="single" w:color="auto" w:sz="4" w:space="0"/>
              <w:bottom w:val="single" w:color="auto" w:sz="4" w:space="0"/>
              <w:right w:val="single" w:color="auto" w:sz="4" w:space="0"/>
            </w:tcBorders>
            <w:vAlign w:val="center"/>
          </w:tcPr>
          <w:p w14:paraId="31B28096">
            <w:pPr>
              <w:autoSpaceDE w:val="0"/>
              <w:autoSpaceDN w:val="0"/>
              <w:adjustRightInd w:val="0"/>
              <w:jc w:val="right"/>
            </w:pPr>
            <w:r>
              <w:t>5,234.12</w:t>
            </w:r>
          </w:p>
        </w:tc>
      </w:tr>
      <w:tr w14:paraId="7210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2C895A9">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6422173C">
            <w:pPr>
              <w:autoSpaceDE w:val="0"/>
              <w:autoSpaceDN w:val="0"/>
              <w:adjustRightInd w:val="0"/>
            </w:pPr>
            <w:r>
              <w:t>浙江美可达摩托车有限公司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AE24466">
            <w:pPr>
              <w:autoSpaceDE w:val="0"/>
              <w:autoSpaceDN w:val="0"/>
              <w:adjustRightInd w:val="0"/>
              <w:jc w:val="right"/>
            </w:pPr>
            <w:r>
              <w:t>4,508.14</w:t>
            </w:r>
          </w:p>
        </w:tc>
        <w:tc>
          <w:tcPr>
            <w:tcW w:w="950" w:type="pct"/>
            <w:tcBorders>
              <w:top w:val="single" w:color="auto" w:sz="4" w:space="0"/>
              <w:left w:val="single" w:color="auto" w:sz="4" w:space="0"/>
              <w:bottom w:val="single" w:color="auto" w:sz="4" w:space="0"/>
              <w:right w:val="single" w:color="auto" w:sz="4" w:space="0"/>
            </w:tcBorders>
            <w:vAlign w:val="center"/>
          </w:tcPr>
          <w:p w14:paraId="2566C13E">
            <w:pPr>
              <w:autoSpaceDE w:val="0"/>
              <w:autoSpaceDN w:val="0"/>
              <w:adjustRightInd w:val="0"/>
              <w:jc w:val="right"/>
            </w:pPr>
            <w:r>
              <w:t>70,701.13</w:t>
            </w:r>
          </w:p>
        </w:tc>
      </w:tr>
      <w:tr w14:paraId="7E4A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7097CD45">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0AAACB7A">
            <w:pPr>
              <w:autoSpaceDE w:val="0"/>
              <w:autoSpaceDN w:val="0"/>
              <w:adjustRightInd w:val="0"/>
            </w:pPr>
            <w:r>
              <w:t>临沂领吉茂华汽车销售服务有限公司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554CC117">
            <w:pPr>
              <w:autoSpaceDE w:val="0"/>
              <w:autoSpaceDN w:val="0"/>
              <w:adjustRightInd w:val="0"/>
              <w:jc w:val="right"/>
            </w:pPr>
            <w:r>
              <w:t>2,195.95</w:t>
            </w:r>
          </w:p>
        </w:tc>
        <w:tc>
          <w:tcPr>
            <w:tcW w:w="950" w:type="pct"/>
            <w:tcBorders>
              <w:top w:val="single" w:color="auto" w:sz="4" w:space="0"/>
              <w:left w:val="single" w:color="auto" w:sz="4" w:space="0"/>
              <w:bottom w:val="single" w:color="auto" w:sz="4" w:space="0"/>
              <w:right w:val="single" w:color="auto" w:sz="4" w:space="0"/>
            </w:tcBorders>
            <w:vAlign w:val="center"/>
          </w:tcPr>
          <w:p w14:paraId="7C986AEA">
            <w:pPr>
              <w:autoSpaceDE w:val="0"/>
              <w:autoSpaceDN w:val="0"/>
              <w:adjustRightInd w:val="0"/>
              <w:jc w:val="right"/>
            </w:pPr>
            <w:r>
              <w:t>1,600.75</w:t>
            </w:r>
          </w:p>
        </w:tc>
      </w:tr>
      <w:tr w14:paraId="43F2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right w:val="single" w:color="auto" w:sz="4" w:space="0"/>
            </w:tcBorders>
            <w:vAlign w:val="center"/>
          </w:tcPr>
          <w:p w14:paraId="0DCA92B2">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2F6A6E30">
            <w:pPr>
              <w:autoSpaceDE w:val="0"/>
              <w:autoSpaceDN w:val="0"/>
              <w:adjustRightInd w:val="0"/>
            </w:pPr>
            <w:r>
              <w:t>领吉汽车商贸有限公司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2111F1C5">
            <w:pPr>
              <w:autoSpaceDE w:val="0"/>
              <w:autoSpaceDN w:val="0"/>
              <w:adjustRightInd w:val="0"/>
              <w:jc w:val="right"/>
            </w:pPr>
            <w:r>
              <w:t>690.26</w:t>
            </w:r>
          </w:p>
        </w:tc>
        <w:tc>
          <w:tcPr>
            <w:tcW w:w="950" w:type="pct"/>
            <w:tcBorders>
              <w:top w:val="single" w:color="auto" w:sz="4" w:space="0"/>
              <w:left w:val="single" w:color="auto" w:sz="4" w:space="0"/>
              <w:bottom w:val="single" w:color="auto" w:sz="4" w:space="0"/>
              <w:right w:val="single" w:color="auto" w:sz="4" w:space="0"/>
            </w:tcBorders>
            <w:vAlign w:val="center"/>
          </w:tcPr>
          <w:p w14:paraId="4874CD3C">
            <w:pPr>
              <w:autoSpaceDE w:val="0"/>
              <w:autoSpaceDN w:val="0"/>
              <w:adjustRightInd w:val="0"/>
              <w:jc w:val="right"/>
            </w:pPr>
            <w:r>
              <w:t>-</w:t>
            </w:r>
          </w:p>
        </w:tc>
      </w:tr>
      <w:tr w14:paraId="6FA5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66" w:type="pct"/>
            <w:vMerge w:val="continue"/>
            <w:tcBorders>
              <w:left w:val="single" w:color="auto" w:sz="4" w:space="0"/>
              <w:bottom w:val="single" w:color="auto" w:sz="4" w:space="0"/>
              <w:right w:val="single" w:color="auto" w:sz="4" w:space="0"/>
            </w:tcBorders>
            <w:vAlign w:val="center"/>
          </w:tcPr>
          <w:p w14:paraId="4356E004">
            <w:pPr>
              <w:autoSpaceDE w:val="0"/>
              <w:autoSpaceDN w:val="0"/>
              <w:adjustRightInd w:val="0"/>
              <w:jc w:val="center"/>
            </w:pPr>
          </w:p>
        </w:tc>
        <w:tc>
          <w:tcPr>
            <w:tcW w:w="2234" w:type="pct"/>
            <w:tcBorders>
              <w:top w:val="single" w:color="auto" w:sz="4" w:space="0"/>
              <w:left w:val="single" w:color="auto" w:sz="4" w:space="0"/>
              <w:bottom w:val="single" w:color="auto" w:sz="4" w:space="0"/>
              <w:right w:val="single" w:color="auto" w:sz="4" w:space="0"/>
            </w:tcBorders>
            <w:vAlign w:val="center"/>
          </w:tcPr>
          <w:p w14:paraId="76DCC547">
            <w:pPr>
              <w:autoSpaceDE w:val="0"/>
              <w:autoSpaceDN w:val="0"/>
              <w:adjustRightInd w:val="0"/>
            </w:pPr>
            <w:r>
              <w:t>青岛领吉星汽车销售服务有限公司</w:t>
            </w:r>
          </w:p>
        </w:tc>
        <w:tc>
          <w:tcPr>
            <w:tcW w:w="950" w:type="pct"/>
            <w:tcBorders>
              <w:top w:val="single" w:color="auto" w:sz="4" w:space="0"/>
              <w:left w:val="single" w:color="auto" w:sz="4" w:space="0"/>
              <w:bottom w:val="single" w:color="auto" w:sz="4" w:space="0"/>
              <w:right w:val="single" w:color="auto" w:sz="4" w:space="0"/>
            </w:tcBorders>
            <w:vAlign w:val="center"/>
          </w:tcPr>
          <w:p w14:paraId="0E892E1B">
            <w:pPr>
              <w:autoSpaceDE w:val="0"/>
              <w:autoSpaceDN w:val="0"/>
              <w:adjustRightInd w:val="0"/>
              <w:jc w:val="right"/>
            </w:pPr>
            <w:r>
              <w:t>416.18</w:t>
            </w:r>
          </w:p>
        </w:tc>
        <w:tc>
          <w:tcPr>
            <w:tcW w:w="950" w:type="pct"/>
            <w:tcBorders>
              <w:top w:val="single" w:color="auto" w:sz="4" w:space="0"/>
              <w:left w:val="single" w:color="auto" w:sz="4" w:space="0"/>
              <w:bottom w:val="single" w:color="auto" w:sz="4" w:space="0"/>
              <w:right w:val="single" w:color="auto" w:sz="4" w:space="0"/>
            </w:tcBorders>
            <w:vAlign w:val="center"/>
          </w:tcPr>
          <w:p w14:paraId="3FBA7848">
            <w:pPr>
              <w:autoSpaceDE w:val="0"/>
              <w:autoSpaceDN w:val="0"/>
              <w:adjustRightInd w:val="0"/>
              <w:jc w:val="right"/>
            </w:pPr>
            <w:r>
              <w:t>5,967.26</w:t>
            </w:r>
          </w:p>
        </w:tc>
      </w:tr>
    </w:tbl>
    <w:p w14:paraId="0CDC27FE"/>
    <w:p w14:paraId="4BBF9780">
      <w:pPr>
        <w:pStyle w:val="5"/>
        <w:numPr>
          <w:ilvl w:val="0"/>
          <w:numId w:val="93"/>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其他项目</w:t>
      </w:r>
    </w:p>
    <w:sdt>
      <w:sdtPr>
        <w:rPr>
          <w:color w:val="000000" w:themeColor="text1"/>
          <w14:textFill>
            <w14:solidFill>
              <w14:schemeClr w14:val="tx1"/>
            </w14:solidFill>
          </w14:textFill>
        </w:rPr>
        <w:alias w:val="是否适用：关联方其他未结算项目情况[双击切换]"/>
        <w:tag w:val="_GBC_459b27789b354473a02699da087a3b51"/>
        <w:id w:val="23995173"/>
        <w:placeholder>
          <w:docPart w:val="GBC22222222222222222222222222222"/>
        </w:placeholder>
      </w:sdtPr>
      <w:sdtEndPr>
        <w:rPr>
          <w:color w:val="000000" w:themeColor="text1"/>
          <w14:textFill>
            <w14:solidFill>
              <w14:schemeClr w14:val="tx1"/>
            </w14:solidFill>
          </w14:textFill>
        </w:rPr>
      </w:sdtEndPr>
      <w:sdtContent>
        <w:p w14:paraId="64DEC72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2B08C8">
      <w:pPr>
        <w:rPr>
          <w:rFonts w:ascii="仿宋_GB2312" w:eastAsia="仿宋_GB2312"/>
          <w:color w:val="000000" w:themeColor="text1"/>
          <w14:textFill>
            <w14:solidFill>
              <w14:schemeClr w14:val="tx1"/>
            </w14:solidFill>
          </w14:textFill>
        </w:rPr>
      </w:pPr>
    </w:p>
    <w:bookmarkEnd w:id="376"/>
    <w:p w14:paraId="6CF0C4F1">
      <w:pPr>
        <w:pStyle w:val="4"/>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关联方承诺</w:t>
      </w:r>
    </w:p>
    <w:sdt>
      <w:sdtPr>
        <w:rPr>
          <w:color w:val="000000" w:themeColor="text1"/>
          <w14:textFill>
            <w14:solidFill>
              <w14:schemeClr w14:val="tx1"/>
            </w14:solidFill>
          </w14:textFill>
        </w:rPr>
        <w:alias w:val="是否适用：关联方承诺[双击切换]"/>
        <w:tag w:val="_GBC_b906cacab2e94825966fa70e345656b5"/>
        <w:id w:val="-2068636357"/>
        <w:placeholder>
          <w:docPart w:val="GBC22222222222222222222222222222"/>
        </w:placeholder>
      </w:sdtPr>
      <w:sdtEndPr>
        <w:rPr>
          <w:color w:val="000000" w:themeColor="text1"/>
          <w14:textFill>
            <w14:solidFill>
              <w14:schemeClr w14:val="tx1"/>
            </w14:solidFill>
          </w14:textFill>
        </w:rPr>
      </w:sdtEndPr>
      <w:sdtContent>
        <w:p w14:paraId="7EF7185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A54BCEB">
      <w:pPr>
        <w:tabs>
          <w:tab w:val="left" w:pos="1134"/>
        </w:tabs>
        <w:rPr>
          <w:rFonts w:cs="Cambria"/>
          <w:color w:val="000000" w:themeColor="text1"/>
          <w:sz w:val="20"/>
          <w:szCs w:val="20"/>
          <w14:textFill>
            <w14:solidFill>
              <w14:schemeClr w14:val="tx1"/>
            </w14:solidFill>
          </w14:textFill>
        </w:rPr>
      </w:pPr>
    </w:p>
    <w:p w14:paraId="2635467B">
      <w:pPr>
        <w:pStyle w:val="4"/>
        <w:numPr>
          <w:ilvl w:val="0"/>
          <w:numId w:val="91"/>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关联方及关联情况的其他说明[双击切换]"/>
        <w:tag w:val="_GBC_87161343db8b4a0b9e041c62c0df5e87"/>
        <w:id w:val="-1560940579"/>
        <w:placeholder>
          <w:docPart w:val="GBC22222222222222222222222222222"/>
        </w:placeholder>
      </w:sdtPr>
      <w:sdtEndPr>
        <w:rPr>
          <w:color w:val="000000" w:themeColor="text1"/>
          <w14:textFill>
            <w14:solidFill>
              <w14:schemeClr w14:val="tx1"/>
            </w14:solidFill>
          </w14:textFill>
        </w:rPr>
      </w:sdtEndPr>
      <w:sdtContent>
        <w:p w14:paraId="6998D859">
          <w:pPr>
            <w:rPr>
              <w:rFonts w:cs="Cambria"/>
              <w:color w:val="000000" w:themeColor="text1"/>
              <w:sz w:val="20"/>
              <w:szCs w:val="20"/>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1748717">
      <w:pPr>
        <w:tabs>
          <w:tab w:val="left" w:pos="1134"/>
        </w:tabs>
        <w:rPr>
          <w:rFonts w:cs="Cambria"/>
          <w:b/>
          <w:color w:val="000000" w:themeColor="text1"/>
          <w:sz w:val="20"/>
          <w:szCs w:val="20"/>
          <w14:textFill>
            <w14:solidFill>
              <w14:schemeClr w14:val="tx1"/>
            </w14:solidFill>
          </w14:textFill>
        </w:rPr>
      </w:pPr>
    </w:p>
    <w:p w14:paraId="6D41A098">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股份支付</w:t>
      </w:r>
    </w:p>
    <w:p w14:paraId="233BAA4D">
      <w:pPr>
        <w:pStyle w:val="4"/>
        <w:numPr>
          <w:ilvl w:val="0"/>
          <w:numId w:val="94"/>
        </w:numPr>
        <w:ind w:left="420" w:hanging="420"/>
        <w:rPr>
          <w:rFonts w:ascii="宋体" w:hAnsi="宋体" w:cs="宋体"/>
          <w:color w:val="000000" w:themeColor="text1"/>
          <w:kern w:val="0"/>
          <w:szCs w:val="24"/>
          <w14:textFill>
            <w14:solidFill>
              <w14:schemeClr w14:val="tx1"/>
            </w14:solidFill>
          </w14:textFill>
        </w:rPr>
      </w:pPr>
      <w:bookmarkStart w:id="377" w:name="_Hlk168492989"/>
      <w:r>
        <w:rPr>
          <w:rFonts w:hint="eastAsia" w:ascii="宋体" w:hAnsi="宋体" w:cs="宋体"/>
          <w:color w:val="000000" w:themeColor="text1"/>
          <w:kern w:val="0"/>
          <w:szCs w:val="24"/>
          <w14:textFill>
            <w14:solidFill>
              <w14:schemeClr w14:val="tx1"/>
            </w14:solidFill>
          </w14:textFill>
        </w:rPr>
        <w:t>各项权益工具</w:t>
      </w:r>
    </w:p>
    <w:p w14:paraId="473902E4">
      <w:pPr>
        <w:pStyle w:val="5"/>
        <w:numPr>
          <w:ilvl w:val="0"/>
          <w:numId w:val="95"/>
        </w:numPr>
      </w:pPr>
      <w:r>
        <w:rPr>
          <w:rFonts w:hint="eastAsia"/>
        </w:rPr>
        <w:t>明细情况</w:t>
      </w:r>
    </w:p>
    <w:sdt>
      <w:sdtPr>
        <w:rPr>
          <w:color w:val="000000" w:themeColor="text1"/>
          <w14:textFill>
            <w14:solidFill>
              <w14:schemeClr w14:val="tx1"/>
            </w14:solidFill>
          </w14:textFill>
        </w:rPr>
        <w:alias w:val="是否适用：各项权益工具[双击切换]"/>
        <w:tag w:val="_GBC_65abee0b78064363a3f4a058a40176bf"/>
        <w:id w:val="1289472563"/>
        <w:placeholder>
          <w:docPart w:val="GBC22222222222222222222222222222"/>
        </w:placeholder>
      </w:sdtPr>
      <w:sdtEndPr>
        <w:rPr>
          <w:color w:val="000000" w:themeColor="text1"/>
          <w14:textFill>
            <w14:solidFill>
              <w14:schemeClr w14:val="tx1"/>
            </w14:solidFill>
          </w14:textFill>
        </w:rPr>
      </w:sdtEndPr>
      <w:sdtContent>
        <w:p w14:paraId="3484628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77"/>
    <w:p w14:paraId="0DAF98C5">
      <w:pPr>
        <w:rPr>
          <w:color w:val="000000" w:themeColor="text1"/>
          <w14:textFill>
            <w14:solidFill>
              <w14:schemeClr w14:val="tx1"/>
            </w14:solidFill>
          </w14:textFill>
        </w:rPr>
      </w:pPr>
      <w:bookmarkStart w:id="378" w:name="_Hlk168478628"/>
      <w:bookmarkStart w:id="379" w:name="_Hlk40787153"/>
      <w:bookmarkStart w:id="380" w:name="_Hlk167977283"/>
    </w:p>
    <w:p w14:paraId="1A6A00A1">
      <w:pPr>
        <w:pStyle w:val="5"/>
        <w:numPr>
          <w:ilvl w:val="0"/>
          <w:numId w:val="95"/>
        </w:numPr>
      </w:pPr>
      <w:r>
        <w:rPr>
          <w:rFonts w:hint="eastAsia"/>
        </w:rPr>
        <w:t>期末发行在外的股票期权或其他权益工具</w:t>
      </w:r>
    </w:p>
    <w:sdt>
      <w:sdtPr>
        <w:rPr>
          <w:color w:val="000000" w:themeColor="text1"/>
          <w14:textFill>
            <w14:solidFill>
              <w14:schemeClr w14:val="tx1"/>
            </w14:solidFill>
          </w14:textFill>
        </w:rPr>
        <w:alias w:val="是否适用：期末发行在外的股票期权或其他权益工具[双击切换]"/>
        <w:tag w:val="_GBC_f17c034d860345b98ee280169a254e4a"/>
        <w:id w:val="1979103724"/>
        <w:placeholder>
          <w:docPart w:val="GBC22222222222222222222222222222"/>
        </w:placeholder>
      </w:sdtPr>
      <w:sdtEndPr>
        <w:rPr>
          <w:color w:val="000000" w:themeColor="text1"/>
          <w14:textFill>
            <w14:solidFill>
              <w14:schemeClr w14:val="tx1"/>
            </w14:solidFill>
          </w14:textFill>
        </w:rPr>
      </w:sdtEndPr>
      <w:sdtContent>
        <w:p w14:paraId="12FCE131">
          <w:pPr>
            <w:rPr>
              <w:color w:val="000000" w:themeColor="text1"/>
              <w14:textFill>
                <w14:solidFill>
                  <w14:schemeClr w14:val="tx1"/>
                </w14:solidFill>
              </w14:textFill>
            </w:rPr>
          </w:pPr>
          <w:bookmarkStart w:id="381" w:name="_Hlk168493917"/>
          <w:bookmarkStart w:id="382" w:name="_Hlk168493896"/>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78"/>
    <w:bookmarkEnd w:id="381"/>
    <w:bookmarkEnd w:id="382"/>
    <w:p w14:paraId="6CF04316">
      <w:pPr>
        <w:rPr>
          <w:color w:val="000000" w:themeColor="text1"/>
          <w14:textFill>
            <w14:solidFill>
              <w14:schemeClr w14:val="tx1"/>
            </w14:solidFill>
          </w14:textFill>
        </w:rPr>
      </w:pPr>
      <w:bookmarkStart w:id="383" w:name="_Hlk168487614"/>
    </w:p>
    <w:bookmarkEnd w:id="379"/>
    <w:bookmarkEnd w:id="380"/>
    <w:bookmarkEnd w:id="383"/>
    <w:p w14:paraId="383CAB99">
      <w:pPr>
        <w:pStyle w:val="4"/>
        <w:numPr>
          <w:ilvl w:val="0"/>
          <w:numId w:val="94"/>
        </w:numPr>
        <w:ind w:left="420" w:hanging="420"/>
        <w:rPr>
          <w:rFonts w:ascii="宋体" w:hAnsi="宋体" w:cs="宋体"/>
          <w:color w:val="000000" w:themeColor="text1"/>
          <w:kern w:val="0"/>
          <w:szCs w:val="24"/>
          <w14:textFill>
            <w14:solidFill>
              <w14:schemeClr w14:val="tx1"/>
            </w14:solidFill>
          </w14:textFill>
        </w:rPr>
      </w:pPr>
      <w:bookmarkStart w:id="384" w:name="_Hlk167977424"/>
      <w:bookmarkStart w:id="385" w:name="_Hlk40787299"/>
      <w:bookmarkStart w:id="386" w:name="_Hlk40787204"/>
      <w:r>
        <w:rPr>
          <w:rFonts w:hint="eastAsia" w:ascii="宋体" w:hAnsi="宋体" w:cs="宋体"/>
          <w:color w:val="000000" w:themeColor="text1"/>
          <w:kern w:val="0"/>
          <w:szCs w:val="24"/>
          <w14:textFill>
            <w14:solidFill>
              <w14:schemeClr w14:val="tx1"/>
            </w14:solidFill>
          </w14:textFill>
        </w:rPr>
        <w:t>以权益结算的股份支付情况</w:t>
      </w:r>
    </w:p>
    <w:sdt>
      <w:sdtPr>
        <w:rPr>
          <w:color w:val="000000" w:themeColor="text1"/>
          <w14:textFill>
            <w14:solidFill>
              <w14:schemeClr w14:val="tx1"/>
            </w14:solidFill>
          </w14:textFill>
        </w:rPr>
        <w:alias w:val="是否适用：以权益结算的股份支付情况[双击切换]"/>
        <w:tag w:val="_GBC_6dde9ffab03943229cd0918c8621502d"/>
        <w:id w:val="-52005700"/>
        <w:placeholder>
          <w:docPart w:val="GBC22222222222222222222222222222"/>
        </w:placeholder>
      </w:sdtPr>
      <w:sdtEndPr>
        <w:rPr>
          <w:color w:val="000000" w:themeColor="text1"/>
          <w14:textFill>
            <w14:solidFill>
              <w14:schemeClr w14:val="tx1"/>
            </w14:solidFill>
          </w14:textFill>
        </w:rPr>
      </w:sdtEndPr>
      <w:sdtContent>
        <w:p w14:paraId="6077AB7C">
          <w:pPr>
            <w:rPr>
              <w:rFonts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84"/>
    <w:bookmarkEnd w:id="385"/>
    <w:p w14:paraId="01E03571">
      <w:pPr>
        <w:rPr>
          <w:color w:val="000000" w:themeColor="text1"/>
          <w14:textFill>
            <w14:solidFill>
              <w14:schemeClr w14:val="tx1"/>
            </w14:solidFill>
          </w14:textFill>
        </w:rPr>
      </w:pPr>
    </w:p>
    <w:bookmarkEnd w:id="386"/>
    <w:p w14:paraId="34A396AA">
      <w:pPr>
        <w:pStyle w:val="4"/>
        <w:numPr>
          <w:ilvl w:val="0"/>
          <w:numId w:val="94"/>
        </w:numPr>
        <w:ind w:left="420" w:hanging="420"/>
        <w:rPr>
          <w:rFonts w:ascii="宋体" w:hAnsi="宋体" w:cs="宋体"/>
          <w:color w:val="000000" w:themeColor="text1"/>
          <w:kern w:val="0"/>
          <w:szCs w:val="24"/>
          <w14:textFill>
            <w14:solidFill>
              <w14:schemeClr w14:val="tx1"/>
            </w14:solidFill>
          </w14:textFill>
        </w:rPr>
      </w:pPr>
      <w:bookmarkStart w:id="387" w:name="_Hlk167977563"/>
      <w:r>
        <w:rPr>
          <w:rFonts w:hint="eastAsia" w:ascii="宋体" w:hAnsi="宋体" w:cs="宋体"/>
          <w:color w:val="000000" w:themeColor="text1"/>
          <w:kern w:val="0"/>
          <w:szCs w:val="24"/>
          <w14:textFill>
            <w14:solidFill>
              <w14:schemeClr w14:val="tx1"/>
            </w14:solidFill>
          </w14:textFill>
        </w:rPr>
        <w:t>以现金结算的股份支付情况</w:t>
      </w:r>
    </w:p>
    <w:sdt>
      <w:sdtPr>
        <w:rPr>
          <w:color w:val="000000" w:themeColor="text1"/>
          <w14:textFill>
            <w14:solidFill>
              <w14:schemeClr w14:val="tx1"/>
            </w14:solidFill>
          </w14:textFill>
        </w:rPr>
        <w:alias w:val="是否适用：以现金结算的股份支付情况[双击切换]"/>
        <w:tag w:val="_GBC_2a6bb5b9d8a04286865cd607e7260a60"/>
        <w:id w:val="-1234316195"/>
        <w:placeholder>
          <w:docPart w:val="GBC22222222222222222222222222222"/>
        </w:placeholder>
      </w:sdtPr>
      <w:sdtEndPr>
        <w:rPr>
          <w:color w:val="000000" w:themeColor="text1"/>
          <w14:textFill>
            <w14:solidFill>
              <w14:schemeClr w14:val="tx1"/>
            </w14:solidFill>
          </w14:textFill>
        </w:rPr>
      </w:sdtEndPr>
      <w:sdtContent>
        <w:p w14:paraId="6EFB4BD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D2D2C9">
      <w:pPr>
        <w:rPr>
          <w:color w:val="000000" w:themeColor="text1"/>
          <w14:textFill>
            <w14:solidFill>
              <w14:schemeClr w14:val="tx1"/>
            </w14:solidFill>
          </w14:textFill>
        </w:rPr>
      </w:pPr>
    </w:p>
    <w:p w14:paraId="7C5C1A90">
      <w:pPr>
        <w:pStyle w:val="4"/>
        <w:numPr>
          <w:ilvl w:val="0"/>
          <w:numId w:val="94"/>
        </w:numPr>
        <w:ind w:left="420" w:hanging="42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本期股份支付费用</w:t>
      </w:r>
    </w:p>
    <w:sdt>
      <w:sdtPr>
        <w:rPr>
          <w:color w:val="000000" w:themeColor="text1"/>
          <w14:textFill>
            <w14:solidFill>
              <w14:schemeClr w14:val="tx1"/>
            </w14:solidFill>
          </w14:textFill>
        </w:rPr>
        <w:alias w:val="是否适用：股份支付费用[双击切换]"/>
        <w:tag w:val="_GBC_5b0304a006c7437ca2961c2d2bdf142a"/>
        <w:id w:val="1471014896"/>
        <w:placeholder>
          <w:docPart w:val="GBC22222222222222222222222222222"/>
        </w:placeholder>
      </w:sdtPr>
      <w:sdtEndPr>
        <w:rPr>
          <w:color w:val="000000" w:themeColor="text1"/>
          <w14:textFill>
            <w14:solidFill>
              <w14:schemeClr w14:val="tx1"/>
            </w14:solidFill>
          </w14:textFill>
        </w:rPr>
      </w:sdtEndPr>
      <w:sdtContent>
        <w:p w14:paraId="0E824D31">
          <w:pPr>
            <w:rPr>
              <w:color w:val="000000" w:themeColor="text1"/>
              <w14:textFill>
                <w14:solidFill>
                  <w14:schemeClr w14:val="tx1"/>
                </w14:solidFill>
              </w14:textFill>
            </w:rPr>
          </w:pPr>
          <w:bookmarkStart w:id="388" w:name="_Hlk168494235"/>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87"/>
    <w:bookmarkEnd w:id="388"/>
    <w:p w14:paraId="2EA4ACD9">
      <w:pPr>
        <w:rPr>
          <w:color w:val="000000" w:themeColor="text1"/>
          <w14:textFill>
            <w14:solidFill>
              <w14:schemeClr w14:val="tx1"/>
            </w14:solidFill>
          </w14:textFill>
        </w:rPr>
      </w:pPr>
      <w:bookmarkStart w:id="389" w:name="_Hlk168494436"/>
    </w:p>
    <w:bookmarkEnd w:id="389"/>
    <w:p w14:paraId="12FC7C04">
      <w:pPr>
        <w:pStyle w:val="4"/>
        <w:numPr>
          <w:ilvl w:val="0"/>
          <w:numId w:val="94"/>
        </w:numPr>
        <w:ind w:left="420" w:hanging="42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股份支付的修改、终止情况</w:t>
      </w:r>
    </w:p>
    <w:sdt>
      <w:sdtPr>
        <w:rPr>
          <w:color w:val="000000" w:themeColor="text1"/>
          <w14:textFill>
            <w14:solidFill>
              <w14:schemeClr w14:val="tx1"/>
            </w14:solidFill>
          </w14:textFill>
        </w:rPr>
        <w:alias w:val="是否适用：股份支付的修改、终止情况[双击切换]"/>
        <w:tag w:val="_GBC_794cdee9be3b4b478fa83b914d22ea66"/>
        <w:id w:val="1514038247"/>
        <w:placeholder>
          <w:docPart w:val="GBC22222222222222222222222222222"/>
        </w:placeholder>
      </w:sdtPr>
      <w:sdtEndPr>
        <w:rPr>
          <w:color w:val="000000" w:themeColor="text1"/>
          <w14:textFill>
            <w14:solidFill>
              <w14:schemeClr w14:val="tx1"/>
            </w14:solidFill>
          </w14:textFill>
        </w:rPr>
      </w:sdtEndPr>
      <w:sdtContent>
        <w:p w14:paraId="01F37B9E">
          <w:pPr>
            <w:rPr>
              <w:rFonts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02D9B9">
      <w:pPr>
        <w:ind w:firstLine="210" w:firstLineChars="100"/>
        <w:rPr>
          <w:color w:val="000000" w:themeColor="text1"/>
          <w14:textFill>
            <w14:solidFill>
              <w14:schemeClr w14:val="tx1"/>
            </w14:solidFill>
          </w14:textFill>
        </w:rPr>
      </w:pPr>
    </w:p>
    <w:p w14:paraId="3D3E264E">
      <w:pPr>
        <w:pStyle w:val="4"/>
        <w:numPr>
          <w:ilvl w:val="0"/>
          <w:numId w:val="94"/>
        </w:numPr>
        <w:ind w:left="420" w:hanging="420"/>
        <w:rPr>
          <w:rFonts w:ascii="宋体" w:hAnsi="宋体" w:cs="宋体"/>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其他</w:t>
      </w:r>
    </w:p>
    <w:sdt>
      <w:sdtPr>
        <w:rPr>
          <w:color w:val="000000" w:themeColor="text1"/>
          <w14:textFill>
            <w14:solidFill>
              <w14:schemeClr w14:val="tx1"/>
            </w14:solidFill>
          </w14:textFill>
        </w:rPr>
        <w:alias w:val="是否适用：股份支付的其他情况说明[双击切换]"/>
        <w:tag w:val="_GBC_b8be1a19715949cab94dc673580d61a2"/>
        <w:id w:val="-49535313"/>
        <w:placeholder>
          <w:docPart w:val="GBC22222222222222222222222222222"/>
        </w:placeholder>
      </w:sdtPr>
      <w:sdtEndPr>
        <w:rPr>
          <w:color w:val="000000" w:themeColor="text1"/>
          <w14:textFill>
            <w14:solidFill>
              <w14:schemeClr w14:val="tx1"/>
            </w14:solidFill>
          </w14:textFill>
        </w:rPr>
      </w:sdtEndPr>
      <w:sdtContent>
        <w:p w14:paraId="3769EE9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1C2B3FC">
      <w:pPr>
        <w:rPr>
          <w:color w:val="000000" w:themeColor="text1"/>
          <w14:textFill>
            <w14:solidFill>
              <w14:schemeClr w14:val="tx1"/>
            </w14:solidFill>
          </w14:textFill>
        </w:rPr>
      </w:pPr>
    </w:p>
    <w:p w14:paraId="4C9B7656">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承诺及或有事项</w:t>
      </w:r>
    </w:p>
    <w:p w14:paraId="11630666">
      <w:pPr>
        <w:pStyle w:val="4"/>
        <w:numPr>
          <w:ilvl w:val="0"/>
          <w:numId w:val="9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重要承诺事项</w:t>
      </w:r>
    </w:p>
    <w:sdt>
      <w:sdtPr>
        <w:rPr>
          <w:color w:val="000000" w:themeColor="text1"/>
          <w14:textFill>
            <w14:solidFill>
              <w14:schemeClr w14:val="tx1"/>
            </w14:solidFill>
          </w14:textFill>
        </w:rPr>
        <w:alias w:val="是否适用：重要承诺事项[双击切换]"/>
        <w:tag w:val="_GBC_3ee02d2bff5e4dd69f75cc6148bdda8f"/>
        <w:id w:val="1671301298"/>
        <w:lock w:val="contentLocked"/>
        <w:placeholder>
          <w:docPart w:val="GBC22222222222222222222222222222"/>
        </w:placeholder>
      </w:sdtPr>
      <w:sdtEndPr>
        <w:rPr>
          <w:color w:val="000000" w:themeColor="text1"/>
          <w14:textFill>
            <w14:solidFill>
              <w14:schemeClr w14:val="tx1"/>
            </w14:solidFill>
          </w14:textFill>
        </w:rPr>
      </w:sdtEndPr>
      <w:sdtContent>
        <w:p w14:paraId="676C74B5">
          <w:pPr>
            <w:spacing w:line="360" w:lineRule="auto"/>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AF113DF">
      <w:pPr>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资产负债表日存在的对外重要承诺、性质、金额</w:t>
      </w:r>
    </w:p>
    <w:p w14:paraId="35E7D22B">
      <w:pPr>
        <w:spacing w:line="360" w:lineRule="auto"/>
        <w:rPr>
          <w:rFonts w:cs="Cambria"/>
          <w:bCs/>
          <w:color w:val="000000" w:themeColor="text1"/>
          <w14:textFill>
            <w14:solidFill>
              <w14:schemeClr w14:val="tx1"/>
            </w14:solidFill>
          </w14:textFill>
        </w:rPr>
      </w:pPr>
      <w:sdt>
        <w:sdtPr>
          <w:rPr>
            <w:rFonts w:cs="Cambria"/>
            <w:bCs/>
            <w:color w:val="000000" w:themeColor="text1"/>
            <w14:textFill>
              <w14:solidFill>
                <w14:schemeClr w14:val="tx1"/>
              </w14:solidFill>
            </w14:textFill>
          </w:rPr>
          <w:alias w:val="资产负债表日存在的重要承诺"/>
          <w:tag w:val="_GBC_b0cd6a8a93e142e5926c06e28f794da3"/>
          <w:id w:val="-857815271"/>
          <w:placeholder>
            <w:docPart w:val="GBC22222222222222222222222222222"/>
          </w:placeholder>
        </w:sdtPr>
        <w:sdtEndPr>
          <w:rPr>
            <w:rFonts w:cs="Cambria"/>
            <w:bCs/>
            <w:color w:val="000000" w:themeColor="text1"/>
            <w14:textFill>
              <w14:solidFill>
                <w14:schemeClr w14:val="tx1"/>
              </w14:solidFill>
            </w14:textFill>
          </w:rPr>
        </w:sdtEndPr>
        <w:sdtContent>
          <w:r>
            <w:rPr>
              <w:rFonts w:hint="eastAsia" w:cs="Cambria"/>
              <w:bCs/>
              <w:color w:val="000000" w:themeColor="text1"/>
              <w14:textFill>
                <w14:solidFill>
                  <w14:schemeClr w14:val="tx1"/>
                </w14:solidFill>
              </w14:textFill>
            </w:rPr>
            <w:t>截至202</w:t>
          </w:r>
          <w:r>
            <w:rPr>
              <w:rFonts w:cs="Cambria"/>
              <w:bCs/>
              <w:color w:val="000000" w:themeColor="text1"/>
              <w14:textFill>
                <w14:solidFill>
                  <w14:schemeClr w14:val="tx1"/>
                </w14:solidFill>
              </w14:textFill>
            </w:rPr>
            <w:t>5</w:t>
          </w:r>
          <w:r>
            <w:rPr>
              <w:rFonts w:hint="eastAsia" w:cs="Cambria"/>
              <w:bCs/>
              <w:color w:val="000000" w:themeColor="text1"/>
              <w14:textFill>
                <w14:solidFill>
                  <w14:schemeClr w14:val="tx1"/>
                </w14:solidFill>
              </w14:textFill>
            </w:rPr>
            <w:t>年</w:t>
          </w:r>
          <w:r>
            <w:rPr>
              <w:rFonts w:cs="Cambria"/>
              <w:bCs/>
              <w:color w:val="000000" w:themeColor="text1"/>
              <w14:textFill>
                <w14:solidFill>
                  <w14:schemeClr w14:val="tx1"/>
                </w14:solidFill>
              </w14:textFill>
            </w:rPr>
            <w:t>6</w:t>
          </w:r>
          <w:r>
            <w:rPr>
              <w:rFonts w:hint="eastAsia" w:cs="Cambria"/>
              <w:bCs/>
              <w:color w:val="000000" w:themeColor="text1"/>
              <w14:textFill>
                <w14:solidFill>
                  <w14:schemeClr w14:val="tx1"/>
                </w14:solidFill>
              </w14:textFill>
            </w:rPr>
            <w:t>月3</w:t>
          </w:r>
          <w:r>
            <w:rPr>
              <w:rFonts w:cs="Cambria"/>
              <w:bCs/>
              <w:color w:val="000000" w:themeColor="text1"/>
              <w14:textFill>
                <w14:solidFill>
                  <w14:schemeClr w14:val="tx1"/>
                </w14:solidFill>
              </w14:textFill>
            </w:rPr>
            <w:t>0</w:t>
          </w:r>
          <w:r>
            <w:rPr>
              <w:rFonts w:hint="eastAsia" w:cs="Cambria"/>
              <w:bCs/>
              <w:color w:val="000000" w:themeColor="text1"/>
              <w14:textFill>
                <w14:solidFill>
                  <w14:schemeClr w14:val="tx1"/>
                </w14:solidFill>
              </w14:textFill>
            </w:rPr>
            <w:t>日，本公司无需要披露的重大承诺事项。</w:t>
          </w:r>
        </w:sdtContent>
      </w:sdt>
    </w:p>
    <w:p w14:paraId="67075611">
      <w:pPr>
        <w:rPr>
          <w:color w:val="000000" w:themeColor="text1"/>
          <w14:textFill>
            <w14:solidFill>
              <w14:schemeClr w14:val="tx1"/>
            </w14:solidFill>
          </w14:textFill>
        </w:rPr>
      </w:pPr>
    </w:p>
    <w:p w14:paraId="6B5EB0CC">
      <w:pPr>
        <w:pStyle w:val="4"/>
        <w:numPr>
          <w:ilvl w:val="0"/>
          <w:numId w:val="9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或有事项</w:t>
      </w:r>
    </w:p>
    <w:p w14:paraId="63937361">
      <w:pPr>
        <w:pStyle w:val="5"/>
        <w:numPr>
          <w:ilvl w:val="0"/>
          <w:numId w:val="97"/>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资产负债表日存在的重要或有事项</w:t>
      </w:r>
    </w:p>
    <w:sdt>
      <w:sdtPr>
        <w:rPr>
          <w:color w:val="000000" w:themeColor="text1"/>
          <w14:textFill>
            <w14:solidFill>
              <w14:schemeClr w14:val="tx1"/>
            </w14:solidFill>
          </w14:textFill>
        </w:rPr>
        <w:alias w:val="是否适用：资产负债表日存在的重要或有事项[双击切换]"/>
        <w:tag w:val="_GBC_dea854a30b4642f6b78351afe6791c32"/>
        <w:id w:val="2019582714"/>
        <w:placeholder>
          <w:docPart w:val="GBC22222222222222222222222222222"/>
        </w:placeholder>
      </w:sdtPr>
      <w:sdtEndPr>
        <w:rPr>
          <w:color w:val="000000" w:themeColor="text1"/>
          <w14:textFill>
            <w14:solidFill>
              <w14:schemeClr w14:val="tx1"/>
            </w14:solidFill>
          </w14:textFill>
        </w:rPr>
      </w:sdtEndPr>
      <w:sdtContent>
        <w:p w14:paraId="45F5F3D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资产负债表日存在的重要或有事项"/>
        <w:tag w:val="_GBC_9aacda4c45eb44bcb0d1f17e53741a1f"/>
        <w:id w:val="1855059997"/>
        <w:placeholder>
          <w:docPart w:val="GBC22222222222222222222222222222"/>
        </w:placeholder>
      </w:sdtPr>
      <w:sdtEndPr>
        <w:rPr>
          <w:color w:val="000000" w:themeColor="text1"/>
          <w14:textFill>
            <w14:solidFill>
              <w14:schemeClr w14:val="tx1"/>
            </w14:solidFill>
          </w14:textFill>
        </w:rPr>
      </w:sdtEndPr>
      <w:sdtContent>
        <w:p w14:paraId="312E2A80">
          <w:pPr>
            <w:autoSpaceDE w:val="0"/>
            <w:autoSpaceDN w:val="0"/>
            <w:adjustRightInd w:val="0"/>
            <w:spacing w:after="120" w:afterLines="50" w:line="360" w:lineRule="exact"/>
            <w:ind w:firstLine="420" w:firstLineChars="200"/>
            <w:rPr>
              <w:rFonts w:ascii="宋体" w:hAnsi="宋体"/>
            </w:rPr>
          </w:pPr>
          <w:r>
            <w:rPr>
              <w:rFonts w:hint="eastAsia" w:ascii="宋体" w:hAnsi="宋体"/>
            </w:rPr>
            <w:t>1、重大未决诉讼或仲裁形成的或有事项及其财务影响</w:t>
          </w:r>
        </w:p>
        <w:p w14:paraId="7DD6C2A3">
          <w:pPr>
            <w:autoSpaceDE w:val="0"/>
            <w:autoSpaceDN w:val="0"/>
            <w:adjustRightInd w:val="0"/>
            <w:spacing w:after="120" w:afterLines="50" w:line="360" w:lineRule="exact"/>
            <w:ind w:firstLine="420" w:firstLineChars="200"/>
            <w:rPr>
              <w:rFonts w:ascii="宋体" w:hAnsi="宋体"/>
            </w:rPr>
          </w:pPr>
          <w:r>
            <w:rPr>
              <w:rFonts w:hint="eastAsia" w:ascii="宋体" w:hAnsi="宋体"/>
            </w:rPr>
            <w:t>除破产重整债务诉讼外，本公司本期不存在作为被告的重大未决诉讼。</w:t>
          </w:r>
        </w:p>
        <w:p w14:paraId="03EDFB50">
          <w:pPr>
            <w:autoSpaceDE w:val="0"/>
            <w:autoSpaceDN w:val="0"/>
            <w:adjustRightInd w:val="0"/>
            <w:spacing w:after="120" w:afterLines="50" w:line="360" w:lineRule="exact"/>
            <w:ind w:firstLine="420" w:firstLineChars="200"/>
            <w:rPr>
              <w:rFonts w:ascii="宋体" w:hAnsi="宋体"/>
            </w:rPr>
          </w:pPr>
          <w:r>
            <w:rPr>
              <w:rFonts w:hint="eastAsia" w:ascii="宋体" w:hAnsi="宋体"/>
            </w:rPr>
            <w:t>2、对外提供债务担保形成的或有事项及其财务影响</w:t>
          </w:r>
        </w:p>
        <w:p w14:paraId="01421425">
          <w:pPr>
            <w:autoSpaceDE w:val="0"/>
            <w:autoSpaceDN w:val="0"/>
            <w:adjustRightInd w:val="0"/>
            <w:spacing w:after="120" w:afterLines="50" w:line="360" w:lineRule="exact"/>
            <w:ind w:firstLine="420" w:firstLineChars="200"/>
            <w:rPr>
              <w:rFonts w:ascii="宋体" w:hAnsi="宋体"/>
            </w:rPr>
          </w:pPr>
          <w:r>
            <w:rPr>
              <w:rFonts w:hint="eastAsia" w:ascii="宋体" w:hAnsi="宋体"/>
            </w:rPr>
            <w:t>为关联方提供担保详见本报告第八节财务报告十四、“关联方及关联交易5、（4）关联担保情况”。</w:t>
          </w:r>
        </w:p>
        <w:p w14:paraId="0BB8BE64">
          <w:pPr>
            <w:autoSpaceDE w:val="0"/>
            <w:autoSpaceDN w:val="0"/>
            <w:adjustRightInd w:val="0"/>
            <w:spacing w:after="120" w:afterLines="50" w:line="360" w:lineRule="exact"/>
            <w:ind w:firstLine="420" w:firstLineChars="200"/>
            <w:rPr>
              <w:rFonts w:ascii="宋体" w:hAnsi="宋体"/>
            </w:rPr>
          </w:pPr>
          <w:r>
            <w:rPr>
              <w:rFonts w:hint="eastAsia" w:ascii="宋体" w:hAnsi="宋体"/>
            </w:rPr>
            <w:t>截至</w:t>
          </w:r>
          <w:r>
            <w:rPr>
              <w:rFonts w:ascii="宋体" w:hAnsi="宋体"/>
            </w:rPr>
            <w:t>2025</w:t>
          </w:r>
          <w:r>
            <w:rPr>
              <w:rFonts w:hint="eastAsia" w:ascii="宋体" w:hAnsi="宋体"/>
            </w:rPr>
            <w:t>年</w:t>
          </w:r>
          <w:r>
            <w:rPr>
              <w:rFonts w:ascii="宋体" w:hAnsi="宋体"/>
            </w:rPr>
            <w:t>6</w:t>
          </w:r>
          <w:r>
            <w:rPr>
              <w:rFonts w:hint="eastAsia" w:ascii="宋体" w:hAnsi="宋体"/>
            </w:rPr>
            <w:t>月3</w:t>
          </w:r>
          <w:r>
            <w:rPr>
              <w:rFonts w:ascii="宋体" w:hAnsi="宋体"/>
            </w:rPr>
            <w:t>0</w:t>
          </w:r>
          <w:r>
            <w:rPr>
              <w:rFonts w:hint="eastAsia" w:ascii="宋体" w:hAnsi="宋体"/>
            </w:rPr>
            <w:t>日，本公司未为非关联方单位提供保证情况。</w:t>
          </w:r>
        </w:p>
        <w:p w14:paraId="5A45C88E">
          <w:pPr>
            <w:autoSpaceDE w:val="0"/>
            <w:autoSpaceDN w:val="0"/>
            <w:adjustRightInd w:val="0"/>
            <w:spacing w:after="120" w:afterLines="50" w:line="360" w:lineRule="exact"/>
            <w:ind w:firstLine="420" w:firstLineChars="200"/>
            <w:rPr>
              <w:rFonts w:ascii="宋体" w:hAnsi="宋体"/>
            </w:rPr>
          </w:pPr>
          <w:r>
            <w:rPr>
              <w:rFonts w:hint="eastAsia" w:ascii="宋体" w:hAnsi="宋体"/>
            </w:rPr>
            <w:t>3、开出保函、信用证</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3110"/>
            <w:gridCol w:w="4273"/>
          </w:tblGrid>
          <w:tr w14:paraId="5A61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21" w:type="pct"/>
                <w:vAlign w:val="center"/>
              </w:tcPr>
              <w:p w14:paraId="2F348446">
                <w:pPr>
                  <w:widowControl/>
                  <w:adjustRightInd w:val="0"/>
                  <w:snapToGrid w:val="0"/>
                  <w:spacing w:line="360" w:lineRule="exact"/>
                  <w:jc w:val="center"/>
                  <w:rPr>
                    <w:rFonts w:cs="Times New Roman" w:asciiTheme="minorEastAsia" w:hAnsiTheme="minorEastAsia" w:eastAsiaTheme="minorEastAsia"/>
                    <w:b/>
                    <w:snapToGrid w:val="0"/>
                    <w:sz w:val="18"/>
                    <w:szCs w:val="18"/>
                  </w:rPr>
                </w:pPr>
                <w:r>
                  <w:rPr>
                    <w:rFonts w:hint="eastAsia" w:cs="Times New Roman" w:asciiTheme="minorEastAsia" w:hAnsiTheme="minorEastAsia" w:eastAsiaTheme="minorEastAsia"/>
                    <w:b/>
                    <w:snapToGrid w:val="0"/>
                    <w:sz w:val="18"/>
                    <w:szCs w:val="18"/>
                  </w:rPr>
                  <w:t>品种</w:t>
                </w:r>
              </w:p>
            </w:tc>
            <w:tc>
              <w:tcPr>
                <w:tcW w:w="1718" w:type="pct"/>
                <w:vAlign w:val="center"/>
              </w:tcPr>
              <w:p w14:paraId="3BFD6997">
                <w:pPr>
                  <w:widowControl/>
                  <w:adjustRightInd w:val="0"/>
                  <w:snapToGrid w:val="0"/>
                  <w:spacing w:line="360" w:lineRule="exact"/>
                  <w:jc w:val="center"/>
                  <w:rPr>
                    <w:rFonts w:cs="Times New Roman" w:asciiTheme="minorEastAsia" w:hAnsiTheme="minorEastAsia" w:eastAsiaTheme="minorEastAsia"/>
                    <w:b/>
                    <w:snapToGrid w:val="0"/>
                    <w:sz w:val="18"/>
                    <w:szCs w:val="18"/>
                  </w:rPr>
                </w:pPr>
                <w:r>
                  <w:rPr>
                    <w:rFonts w:hint="eastAsia" w:cs="Times New Roman" w:asciiTheme="minorEastAsia" w:hAnsiTheme="minorEastAsia" w:eastAsiaTheme="minorEastAsia"/>
                    <w:b/>
                    <w:snapToGrid w:val="0"/>
                    <w:sz w:val="18"/>
                    <w:szCs w:val="18"/>
                  </w:rPr>
                  <w:t>交易金额</w:t>
                </w:r>
              </w:p>
            </w:tc>
            <w:tc>
              <w:tcPr>
                <w:tcW w:w="2361" w:type="pct"/>
                <w:vAlign w:val="center"/>
              </w:tcPr>
              <w:p w14:paraId="32FEFAA9">
                <w:pPr>
                  <w:widowControl/>
                  <w:adjustRightInd w:val="0"/>
                  <w:snapToGrid w:val="0"/>
                  <w:spacing w:line="360" w:lineRule="exact"/>
                  <w:jc w:val="center"/>
                  <w:rPr>
                    <w:rFonts w:cs="Times New Roman" w:asciiTheme="minorEastAsia" w:hAnsiTheme="minorEastAsia" w:eastAsiaTheme="minorEastAsia"/>
                    <w:b/>
                    <w:snapToGrid w:val="0"/>
                    <w:sz w:val="18"/>
                    <w:szCs w:val="18"/>
                  </w:rPr>
                </w:pPr>
                <w:r>
                  <w:rPr>
                    <w:rFonts w:hint="eastAsia" w:cs="Times New Roman" w:asciiTheme="minorEastAsia" w:hAnsiTheme="minorEastAsia" w:eastAsiaTheme="minorEastAsia"/>
                    <w:b/>
                    <w:snapToGrid w:val="0"/>
                    <w:sz w:val="18"/>
                    <w:szCs w:val="18"/>
                  </w:rPr>
                  <w:t>保证金授信余额</w:t>
                </w:r>
              </w:p>
            </w:tc>
          </w:tr>
          <w:tr w14:paraId="4D62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1" w:type="pct"/>
                <w:vAlign w:val="center"/>
              </w:tcPr>
              <w:p w14:paraId="25AB018A">
                <w:pPr>
                  <w:widowControl/>
                  <w:adjustRightInd w:val="0"/>
                  <w:snapToGrid w:val="0"/>
                  <w:spacing w:line="360" w:lineRule="exact"/>
                  <w:jc w:val="center"/>
                  <w:rPr>
                    <w:rFonts w:cs="Times New Roman" w:asciiTheme="minorEastAsia" w:hAnsiTheme="minorEastAsia" w:eastAsiaTheme="minorEastAsia"/>
                    <w:snapToGrid w:val="0"/>
                    <w:sz w:val="18"/>
                    <w:szCs w:val="20"/>
                  </w:rPr>
                </w:pPr>
                <w:r>
                  <w:rPr>
                    <w:rFonts w:hint="eastAsia" w:cs="Times New Roman" w:asciiTheme="minorEastAsia" w:hAnsiTheme="minorEastAsia" w:eastAsiaTheme="minorEastAsia"/>
                    <w:snapToGrid w:val="0"/>
                    <w:sz w:val="18"/>
                    <w:szCs w:val="20"/>
                  </w:rPr>
                  <w:t>保函</w:t>
                </w:r>
              </w:p>
            </w:tc>
            <w:tc>
              <w:tcPr>
                <w:tcW w:w="1718" w:type="pct"/>
                <w:vAlign w:val="center"/>
              </w:tcPr>
              <w:p w14:paraId="737D2EE4">
                <w:pPr>
                  <w:widowControl/>
                  <w:adjustRightInd w:val="0"/>
                  <w:snapToGrid w:val="0"/>
                  <w:spacing w:line="360" w:lineRule="exact"/>
                  <w:jc w:val="center"/>
                  <w:rPr>
                    <w:rFonts w:cs="Times New Roman" w:asciiTheme="minorEastAsia" w:hAnsiTheme="minorEastAsia" w:eastAsiaTheme="minorEastAsia"/>
                    <w:snapToGrid w:val="0"/>
                    <w:sz w:val="18"/>
                    <w:szCs w:val="20"/>
                  </w:rPr>
                </w:pPr>
                <w:r>
                  <w:rPr>
                    <w:rFonts w:hint="eastAsia" w:cs="Times New Roman" w:asciiTheme="minorEastAsia" w:hAnsiTheme="minorEastAsia" w:eastAsiaTheme="minorEastAsia"/>
                    <w:snapToGrid w:val="0"/>
                    <w:sz w:val="18"/>
                    <w:szCs w:val="20"/>
                  </w:rPr>
                  <w:t>$</w:t>
                </w:r>
                <w:r>
                  <w:rPr>
                    <w:rFonts w:cs="Times New Roman" w:asciiTheme="minorEastAsia" w:hAnsiTheme="minorEastAsia" w:eastAsiaTheme="minorEastAsia"/>
                    <w:snapToGrid w:val="0"/>
                    <w:sz w:val="18"/>
                    <w:szCs w:val="20"/>
                  </w:rPr>
                  <w:t>2,526,925.55</w:t>
                </w:r>
              </w:p>
            </w:tc>
            <w:tc>
              <w:tcPr>
                <w:tcW w:w="2361" w:type="pct"/>
                <w:vAlign w:val="center"/>
              </w:tcPr>
              <w:p w14:paraId="439D45F7">
                <w:pPr>
                  <w:widowControl/>
                  <w:adjustRightInd w:val="0"/>
                  <w:snapToGrid w:val="0"/>
                  <w:spacing w:line="360" w:lineRule="exact"/>
                  <w:jc w:val="center"/>
                  <w:rPr>
                    <w:rFonts w:cs="Times New Roman" w:asciiTheme="minorEastAsia" w:hAnsiTheme="minorEastAsia" w:eastAsiaTheme="minorEastAsia"/>
                    <w:snapToGrid w:val="0"/>
                    <w:sz w:val="18"/>
                    <w:szCs w:val="20"/>
                  </w:rPr>
                </w:pPr>
                <w:r>
                  <w:rPr>
                    <w:rFonts w:hint="eastAsia" w:cs="Times New Roman" w:asciiTheme="minorEastAsia" w:hAnsiTheme="minorEastAsia" w:eastAsiaTheme="minorEastAsia"/>
                    <w:snapToGrid w:val="0"/>
                    <w:sz w:val="18"/>
                    <w:szCs w:val="20"/>
                  </w:rPr>
                  <w:t>￥</w:t>
                </w:r>
                <w:r>
                  <w:rPr>
                    <w:rFonts w:cs="Times New Roman" w:asciiTheme="minorEastAsia" w:hAnsiTheme="minorEastAsia" w:eastAsiaTheme="minorEastAsia"/>
                    <w:snapToGrid w:val="0"/>
                    <w:sz w:val="18"/>
                    <w:szCs w:val="20"/>
                  </w:rPr>
                  <w:t>18,089,249.24</w:t>
                </w:r>
              </w:p>
            </w:tc>
          </w:tr>
        </w:tbl>
        <w:p w14:paraId="2CCD4B35">
          <w:pPr>
            <w:spacing w:before="120" w:beforeLines="50" w:after="120" w:afterLines="50" w:line="360" w:lineRule="exact"/>
            <w:ind w:firstLine="420" w:firstLineChars="200"/>
            <w:rPr>
              <w:rFonts w:ascii="宋体" w:hAnsi="宋体"/>
            </w:rPr>
          </w:pPr>
          <w:r>
            <w:rPr>
              <w:rFonts w:hint="eastAsia" w:ascii="宋体" w:hAnsi="宋体"/>
            </w:rPr>
            <w:t>4、产品质量保证条款</w:t>
          </w:r>
        </w:p>
        <w:p w14:paraId="7006C1B6">
          <w:pPr>
            <w:autoSpaceDE w:val="0"/>
            <w:autoSpaceDN w:val="0"/>
            <w:adjustRightInd w:val="0"/>
            <w:spacing w:after="120" w:afterLines="50" w:line="360" w:lineRule="exact"/>
            <w:ind w:firstLine="420" w:firstLineChars="200"/>
            <w:rPr>
              <w:rFonts w:ascii="宋体" w:hAnsi="宋体"/>
            </w:rPr>
          </w:pPr>
          <w:r>
            <w:rPr>
              <w:rFonts w:hint="eastAsia" w:ascii="宋体" w:hAnsi="宋体"/>
            </w:rPr>
            <w:t>公司预计负债系为公司所销售的汽车计提的产品质量三包费。本期公司预计负债计提及发生情况详见本报告第八节财务报告七、“合并财务报表项目注释 50、预计负债”。</w:t>
          </w:r>
        </w:p>
        <w:p w14:paraId="380E4CE6">
          <w:pPr>
            <w:autoSpaceDE w:val="0"/>
            <w:autoSpaceDN w:val="0"/>
            <w:adjustRightInd w:val="0"/>
            <w:spacing w:after="120" w:afterLines="50" w:line="360" w:lineRule="exact"/>
            <w:ind w:firstLine="420" w:firstLineChars="200"/>
            <w:rPr>
              <w:rFonts w:ascii="宋体" w:hAnsi="宋体"/>
            </w:rPr>
          </w:pPr>
          <w:r>
            <w:rPr>
              <w:rFonts w:hint="eastAsia" w:ascii="宋体" w:hAnsi="宋体"/>
            </w:rPr>
            <w:t>5、汽车金融业务</w:t>
          </w:r>
        </w:p>
        <w:p w14:paraId="6B94C53F">
          <w:pPr>
            <w:autoSpaceDE w:val="0"/>
            <w:autoSpaceDN w:val="0"/>
            <w:adjustRightInd w:val="0"/>
            <w:spacing w:after="120" w:afterLines="50" w:line="360" w:lineRule="exact"/>
            <w:ind w:firstLine="420" w:firstLineChars="200"/>
            <w:rPr>
              <w:rFonts w:ascii="宋体" w:hAnsi="宋体"/>
            </w:rPr>
          </w:pPr>
          <w:r>
            <w:rPr>
              <w:rFonts w:hint="eastAsia" w:ascii="宋体" w:hAnsi="宋体"/>
            </w:rPr>
            <w:t>本公司子公司睿蓝科技与中国光大银行股份有限公司杭州分行(以下简称“光大杭州分行”)签订《“全程通”汽车金融网合作协议》，协议约定：加入“全程通”网络的经销商根据光大杭州分行审批的额度，经销商须存入不低于银行承兑汇票票面金额的</w:t>
          </w:r>
          <w:r>
            <w:rPr>
              <w:rFonts w:ascii="宋体" w:hAnsi="宋体"/>
            </w:rPr>
            <w:t>1</w:t>
          </w:r>
          <w:r>
            <w:rPr>
              <w:rFonts w:hint="eastAsia" w:ascii="宋体" w:hAnsi="宋体"/>
            </w:rPr>
            <w:t>0%的资金后，光大杭州分行在审批额度内向经销商提供期限不超过一年的银行承兑汇票。睿蓝科技有责任在经销商未按相关“从属协议”约定期限内足额承付到期银行承兑汇票，第一时间督促授权主办单位履行相应的回购义务，若5个工作日授权主办单位未能完成回购义务，则睿蓝科技或子公司睿蓝销售共同履行回购义务。年度回购责任不超过1.5亿元。截至202</w:t>
          </w:r>
          <w:r>
            <w:rPr>
              <w:rFonts w:ascii="宋体" w:hAnsi="宋体"/>
            </w:rPr>
            <w:t>5</w:t>
          </w:r>
          <w:r>
            <w:rPr>
              <w:rFonts w:hint="eastAsia" w:ascii="宋体" w:hAnsi="宋体"/>
            </w:rPr>
            <w:t>年</w:t>
          </w:r>
          <w:r>
            <w:rPr>
              <w:rFonts w:ascii="宋体" w:hAnsi="宋体"/>
            </w:rPr>
            <w:t>6</w:t>
          </w:r>
          <w:r>
            <w:rPr>
              <w:rFonts w:hint="eastAsia" w:ascii="宋体" w:hAnsi="宋体"/>
            </w:rPr>
            <w:t>月3</w:t>
          </w:r>
          <w:r>
            <w:rPr>
              <w:rFonts w:ascii="宋体" w:hAnsi="宋体"/>
            </w:rPr>
            <w:t>0</w:t>
          </w:r>
          <w:r>
            <w:rPr>
              <w:rFonts w:hint="eastAsia" w:ascii="宋体" w:hAnsi="宋体"/>
            </w:rPr>
            <w:t>日，经销商已开票未还款</w:t>
          </w:r>
          <w:r>
            <w:t>20,489.16</w:t>
          </w:r>
          <w:r>
            <w:rPr>
              <w:rFonts w:hint="eastAsia" w:ascii="宋体" w:hAnsi="宋体"/>
            </w:rPr>
            <w:t>万元，其中，本公司子公司因开展汽车金融业务承担回购责任的金额为</w:t>
          </w:r>
          <w:r>
            <w:t>6,150.07</w:t>
          </w:r>
          <w:r>
            <w:rPr>
              <w:rFonts w:hint="eastAsia" w:ascii="宋体" w:hAnsi="宋体"/>
            </w:rPr>
            <w:t>万元。</w:t>
          </w:r>
        </w:p>
        <w:p w14:paraId="2A8108BE">
          <w:pPr>
            <w:autoSpaceDE w:val="0"/>
            <w:autoSpaceDN w:val="0"/>
            <w:adjustRightInd w:val="0"/>
            <w:spacing w:after="120" w:afterLines="50" w:line="360" w:lineRule="exact"/>
            <w:ind w:firstLine="420" w:firstLineChars="200"/>
            <w:rPr>
              <w:rFonts w:ascii="宋体" w:hAnsi="宋体"/>
            </w:rPr>
          </w:pPr>
          <w:r>
            <w:rPr>
              <w:rFonts w:hint="eastAsia" w:ascii="宋体" w:hAnsi="宋体"/>
            </w:rPr>
            <w:t>本公司子公司睿蓝科技与兴业银行股份有限公司宁波分行(以下简称“兴业宁波分行”)签订《汽车销售网络金融服务框架协议》，协议约定：加入“汽车销售网络金融服务”的经销商向兴业宁波分行交纳不低于15%的银行承兑汇票保证金(或单位及个人定期存单质押)后，兴业宁波分行向协办经销商提供期限为不低于3个月的银行承兑汇票支持。当兴业宁波分行对协办经销商信贷资金回收困难时,睿蓝科技或子公司睿蓝销售承诺承担相应的调剂销售、回购等责任。年度回购责任不超过1亿元。截至202</w:t>
          </w:r>
          <w:r>
            <w:rPr>
              <w:rFonts w:ascii="宋体" w:hAnsi="宋体"/>
            </w:rPr>
            <w:t>5</w:t>
          </w:r>
          <w:r>
            <w:rPr>
              <w:rFonts w:hint="eastAsia" w:ascii="宋体" w:hAnsi="宋体"/>
            </w:rPr>
            <w:t>年</w:t>
          </w:r>
          <w:r>
            <w:rPr>
              <w:rFonts w:ascii="宋体" w:hAnsi="宋体"/>
            </w:rPr>
            <w:t>6</w:t>
          </w:r>
          <w:r>
            <w:rPr>
              <w:rFonts w:hint="eastAsia" w:ascii="宋体" w:hAnsi="宋体"/>
            </w:rPr>
            <w:t>月3</w:t>
          </w:r>
          <w:r>
            <w:rPr>
              <w:rFonts w:ascii="宋体" w:hAnsi="宋体"/>
            </w:rPr>
            <w:t>0</w:t>
          </w:r>
          <w:r>
            <w:rPr>
              <w:rFonts w:hint="eastAsia" w:ascii="宋体" w:hAnsi="宋体"/>
            </w:rPr>
            <w:t>日，经销商已开票未还款</w:t>
          </w:r>
          <w:r>
            <w:t>4,592.09</w:t>
          </w:r>
          <w:r>
            <w:rPr>
              <w:rFonts w:hint="eastAsia" w:ascii="宋体" w:hAnsi="宋体"/>
            </w:rPr>
            <w:t>万元，其中，本公司子公司因开展汽车金融业务承担回购责任的金额为</w:t>
          </w:r>
          <w:r>
            <w:t>2,916.14</w:t>
          </w:r>
          <w:r>
            <w:rPr>
              <w:rFonts w:hint="eastAsia" w:ascii="宋体" w:hAnsi="宋体"/>
            </w:rPr>
            <w:t>万元。</w:t>
          </w:r>
        </w:p>
        <w:p w14:paraId="763C991B">
          <w:pPr>
            <w:autoSpaceDE w:val="0"/>
            <w:autoSpaceDN w:val="0"/>
            <w:adjustRightInd w:val="0"/>
            <w:spacing w:after="120" w:afterLines="50" w:line="360" w:lineRule="exact"/>
            <w:ind w:firstLine="420" w:firstLineChars="200"/>
            <w:rPr>
              <w:rFonts w:ascii="宋体" w:hAnsi="宋体"/>
            </w:rPr>
          </w:pPr>
          <w:r>
            <w:rPr>
              <w:rFonts w:hint="eastAsia" w:ascii="宋体" w:hAnsi="宋体"/>
            </w:rPr>
            <w:t>综上，截至202</w:t>
          </w:r>
          <w:r>
            <w:rPr>
              <w:rFonts w:ascii="宋体" w:hAnsi="宋体"/>
            </w:rPr>
            <w:t>5</w:t>
          </w:r>
          <w:r>
            <w:rPr>
              <w:rFonts w:hint="eastAsia" w:ascii="宋体" w:hAnsi="宋体"/>
            </w:rPr>
            <w:t>年</w:t>
          </w:r>
          <w:r>
            <w:rPr>
              <w:rFonts w:ascii="宋体" w:hAnsi="宋体"/>
            </w:rPr>
            <w:t>6</w:t>
          </w:r>
          <w:r>
            <w:rPr>
              <w:rFonts w:hint="eastAsia" w:ascii="宋体" w:hAnsi="宋体"/>
            </w:rPr>
            <w:t>月3</w:t>
          </w:r>
          <w:r>
            <w:rPr>
              <w:rFonts w:ascii="宋体" w:hAnsi="宋体"/>
            </w:rPr>
            <w:t>0</w:t>
          </w:r>
          <w:r>
            <w:rPr>
              <w:rFonts w:hint="eastAsia" w:ascii="宋体" w:hAnsi="宋体"/>
            </w:rPr>
            <w:t>日，本公司子公司因开展汽车金融业务承担回购责任的金额为</w:t>
          </w:r>
          <w:r>
            <w:rPr>
              <w:rFonts w:ascii="宋体" w:hAnsi="宋体"/>
            </w:rPr>
            <w:t>9,066.21</w:t>
          </w:r>
          <w:r>
            <w:rPr>
              <w:rFonts w:hint="eastAsia" w:ascii="宋体" w:hAnsi="宋体"/>
            </w:rPr>
            <w:t>万元。</w:t>
          </w:r>
        </w:p>
        <w:p w14:paraId="227D0DD9">
          <w:pPr>
            <w:autoSpaceDE w:val="0"/>
            <w:autoSpaceDN w:val="0"/>
            <w:adjustRightInd w:val="0"/>
            <w:spacing w:after="120" w:afterLines="50" w:line="360" w:lineRule="exact"/>
            <w:ind w:firstLine="420" w:firstLineChars="200"/>
            <w:rPr>
              <w:rFonts w:ascii="宋体" w:hAnsi="宋体"/>
            </w:rPr>
          </w:pPr>
          <w:r>
            <w:rPr>
              <w:rFonts w:hint="eastAsia" w:ascii="宋体" w:hAnsi="宋体"/>
            </w:rPr>
            <w:t>6、其他</w:t>
          </w:r>
        </w:p>
        <w:p w14:paraId="344345AB">
          <w:pPr>
            <w:widowControl w:val="0"/>
            <w:autoSpaceDE w:val="0"/>
            <w:autoSpaceDN w:val="0"/>
            <w:adjustRightInd w:val="0"/>
            <w:spacing w:after="120" w:afterLines="50" w:line="360" w:lineRule="exact"/>
            <w:ind w:firstLine="420" w:firstLineChars="200"/>
            <w:jc w:val="both"/>
            <w:rPr>
              <w:rFonts w:ascii="宋体" w:hAnsi="宋体" w:cs="Times New Roman"/>
              <w:kern w:val="2"/>
            </w:rPr>
          </w:pPr>
          <w:r>
            <w:rPr>
              <w:rFonts w:hint="eastAsia" w:ascii="宋体" w:hAnsi="宋体" w:cs="Times New Roman"/>
              <w:kern w:val="2"/>
            </w:rPr>
            <w:t>河南力帆树民车业有限公司与河南五建第三建筑安装有限公司因建设工程施工合同发生纠纷，2023年10月达成和解，截至202</w:t>
          </w:r>
          <w:r>
            <w:rPr>
              <w:rFonts w:ascii="宋体" w:hAnsi="宋体" w:cs="Times New Roman"/>
              <w:kern w:val="2"/>
            </w:rPr>
            <w:t>5</w:t>
          </w:r>
          <w:r>
            <w:rPr>
              <w:rFonts w:hint="eastAsia" w:ascii="宋体" w:hAnsi="宋体" w:cs="Times New Roman"/>
              <w:kern w:val="2"/>
            </w:rPr>
            <w:t>年</w:t>
          </w:r>
          <w:r>
            <w:rPr>
              <w:rFonts w:ascii="宋体" w:hAnsi="宋体" w:cs="Times New Roman"/>
              <w:kern w:val="2"/>
            </w:rPr>
            <w:t>6</w:t>
          </w:r>
          <w:r>
            <w:rPr>
              <w:rFonts w:hint="eastAsia" w:ascii="宋体" w:hAnsi="宋体" w:cs="Times New Roman"/>
              <w:kern w:val="2"/>
            </w:rPr>
            <w:t>月3</w:t>
          </w:r>
          <w:r>
            <w:rPr>
              <w:rFonts w:ascii="宋体" w:hAnsi="宋体" w:cs="Times New Roman"/>
              <w:kern w:val="2"/>
            </w:rPr>
            <w:t>0</w:t>
          </w:r>
          <w:r>
            <w:rPr>
              <w:rFonts w:hint="eastAsia" w:ascii="宋体" w:hAnsi="宋体" w:cs="Times New Roman"/>
              <w:kern w:val="2"/>
            </w:rPr>
            <w:t>日，河南力帆树民车业有限公司未执行完和解协议，剩余待支付河南五建第三建筑安装有限公司</w:t>
          </w:r>
          <w:r>
            <w:rPr>
              <w:rFonts w:ascii="宋体" w:hAnsi="宋体" w:cs="Times New Roman"/>
              <w:kern w:val="2"/>
            </w:rPr>
            <w:t>3,638.38</w:t>
          </w:r>
          <w:r>
            <w:rPr>
              <w:rFonts w:hint="eastAsia" w:ascii="宋体" w:hAnsi="宋体" w:cs="Times New Roman"/>
              <w:kern w:val="2"/>
            </w:rPr>
            <w:t>万元。</w:t>
          </w:r>
        </w:p>
        <w:p w14:paraId="4C5FC8ED">
          <w:pPr>
            <w:rPr>
              <w:color w:val="000000" w:themeColor="text1"/>
              <w14:textFill>
                <w14:solidFill>
                  <w14:schemeClr w14:val="tx1"/>
                </w14:solidFill>
              </w14:textFill>
            </w:rPr>
          </w:pPr>
        </w:p>
      </w:sdtContent>
    </w:sdt>
    <w:p w14:paraId="0FB4D877">
      <w:pPr>
        <w:rPr>
          <w:color w:val="000000" w:themeColor="text1"/>
          <w14:textFill>
            <w14:solidFill>
              <w14:schemeClr w14:val="tx1"/>
            </w14:solidFill>
          </w14:textFill>
        </w:rPr>
      </w:pPr>
    </w:p>
    <w:p w14:paraId="189F44BB">
      <w:pPr>
        <w:pStyle w:val="5"/>
        <w:numPr>
          <w:ilvl w:val="0"/>
          <w:numId w:val="97"/>
        </w:numPr>
        <w:tabs>
          <w:tab w:val="left" w:pos="616"/>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公司没有需要披露的重要或有事项，也应予以说明：</w:t>
      </w:r>
    </w:p>
    <w:sdt>
      <w:sdtPr>
        <w:rPr>
          <w:color w:val="000000" w:themeColor="text1"/>
          <w14:textFill>
            <w14:solidFill>
              <w14:schemeClr w14:val="tx1"/>
            </w14:solidFill>
          </w14:textFill>
        </w:rPr>
        <w:alias w:val="是否适用：公司没有需要披露的重要或有事项，也应予以说明[双击切换]"/>
        <w:tag w:val="_GBC_a0545390a9694adcaaee8509e290303c"/>
        <w:id w:val="-650289533"/>
        <w:placeholder>
          <w:docPart w:val="GBC22222222222222222222222222222"/>
        </w:placeholder>
      </w:sdtPr>
      <w:sdtEndPr>
        <w:rPr>
          <w:color w:val="000000" w:themeColor="text1"/>
          <w14:textFill>
            <w14:solidFill>
              <w14:schemeClr w14:val="tx1"/>
            </w14:solidFill>
          </w14:textFill>
        </w:rPr>
      </w:sdtEndPr>
      <w:sdtContent>
        <w:p w14:paraId="2C3015C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公司没有需要披露的重要或有事项的说明"/>
        <w:tag w:val="_GBC_1e05c633c4cd4e74a64494260267ab03"/>
        <w:id w:val="641620146"/>
        <w:placeholder>
          <w:docPart w:val="91A46B86DF544611AC7540E245EB09BF"/>
        </w:placeholder>
      </w:sdtPr>
      <w:sdtEndPr>
        <w:rPr>
          <w:color w:val="000000" w:themeColor="text1"/>
          <w14:textFill>
            <w14:solidFill>
              <w14:schemeClr w14:val="tx1"/>
            </w14:solidFill>
          </w14:textFill>
        </w:rPr>
      </w:sdtEndPr>
      <w:sdtContent>
        <w:p w14:paraId="3A1CAA61">
          <w:pPr>
            <w:widowControl w:val="0"/>
            <w:autoSpaceDE w:val="0"/>
            <w:autoSpaceDN w:val="0"/>
            <w:adjustRightInd w:val="0"/>
            <w:spacing w:after="120" w:afterLines="50" w:line="360" w:lineRule="exact"/>
            <w:ind w:firstLine="420" w:firstLineChars="200"/>
            <w:jc w:val="both"/>
            <w:rPr>
              <w:rFonts w:ascii="宋体" w:hAnsi="宋体" w:cs="Times New Roman"/>
              <w:kern w:val="2"/>
            </w:rPr>
          </w:pPr>
          <w:r>
            <w:rPr>
              <w:rFonts w:hint="eastAsia" w:ascii="宋体" w:hAnsi="宋体" w:cs="Times New Roman"/>
              <w:kern w:val="2"/>
            </w:rPr>
            <w:t>除存在上述或有事项外，截至2</w:t>
          </w:r>
          <w:r>
            <w:rPr>
              <w:rFonts w:ascii="宋体" w:hAnsi="宋体" w:cs="Times New Roman"/>
              <w:kern w:val="2"/>
            </w:rPr>
            <w:t>025</w:t>
          </w:r>
          <w:r>
            <w:rPr>
              <w:rFonts w:hint="eastAsia" w:ascii="宋体" w:hAnsi="宋体" w:cs="Times New Roman"/>
              <w:kern w:val="2"/>
            </w:rPr>
            <w:t>年</w:t>
          </w:r>
          <w:r>
            <w:rPr>
              <w:rFonts w:ascii="宋体" w:hAnsi="宋体" w:cs="Times New Roman"/>
              <w:kern w:val="2"/>
            </w:rPr>
            <w:t>6</w:t>
          </w:r>
          <w:r>
            <w:rPr>
              <w:rFonts w:hint="eastAsia" w:ascii="宋体" w:hAnsi="宋体" w:cs="Times New Roman"/>
              <w:kern w:val="2"/>
            </w:rPr>
            <w:t>月3</w:t>
          </w:r>
          <w:r>
            <w:rPr>
              <w:rFonts w:ascii="宋体" w:hAnsi="宋体" w:cs="Times New Roman"/>
              <w:kern w:val="2"/>
            </w:rPr>
            <w:t>0</w:t>
          </w:r>
          <w:r>
            <w:rPr>
              <w:rFonts w:hint="eastAsia" w:ascii="宋体" w:hAnsi="宋体" w:cs="Times New Roman"/>
              <w:kern w:val="2"/>
            </w:rPr>
            <w:t>日，本公司无其他应披露未披露的重要或有事项。</w:t>
          </w:r>
        </w:p>
      </w:sdtContent>
    </w:sdt>
    <w:p w14:paraId="360F5158">
      <w:pPr>
        <w:pStyle w:val="4"/>
        <w:numPr>
          <w:ilvl w:val="0"/>
          <w:numId w:val="96"/>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承诺及或有事项的其他情况说明[双击切换]"/>
        <w:tag w:val="_GBC_ff33b21a56eb4d3291f2b4875be5a2b2"/>
        <w:id w:val="-164404275"/>
        <w:placeholder>
          <w:docPart w:val="GBC22222222222222222222222222222"/>
        </w:placeholder>
      </w:sdtPr>
      <w:sdtEndPr>
        <w:rPr>
          <w:color w:val="000000" w:themeColor="text1"/>
          <w14:textFill>
            <w14:solidFill>
              <w14:schemeClr w14:val="tx1"/>
            </w14:solidFill>
          </w14:textFill>
        </w:rPr>
      </w:sdtEndPr>
      <w:sdtContent>
        <w:p w14:paraId="40F1F1B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551D4B3">
      <w:pPr>
        <w:rPr>
          <w:color w:val="000000" w:themeColor="text1"/>
          <w14:textFill>
            <w14:solidFill>
              <w14:schemeClr w14:val="tx1"/>
            </w14:solidFill>
          </w14:textFill>
        </w:rPr>
      </w:pPr>
    </w:p>
    <w:p w14:paraId="58444B0E">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资产负债表日后事项</w:t>
      </w:r>
    </w:p>
    <w:p w14:paraId="416F19B8">
      <w:pPr>
        <w:pStyle w:val="4"/>
        <w:numPr>
          <w:ilvl w:val="0"/>
          <w:numId w:val="9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重要的非调整事项</w:t>
      </w:r>
    </w:p>
    <w:sdt>
      <w:sdtPr>
        <w:rPr>
          <w:color w:val="000000" w:themeColor="text1"/>
          <w14:textFill>
            <w14:solidFill>
              <w14:schemeClr w14:val="tx1"/>
            </w14:solidFill>
          </w14:textFill>
        </w:rPr>
        <w:alias w:val="是否适用：重要的非调整事项[双击切换]"/>
        <w:tag w:val="_GBC_ab366a8fb12748d6aa2a8401b360857c"/>
        <w:id w:val="-45526731"/>
        <w:placeholder>
          <w:docPart w:val="GBC22222222222222222222222222222"/>
        </w:placeholder>
      </w:sdtPr>
      <w:sdtEndPr>
        <w:rPr>
          <w:color w:val="000000" w:themeColor="text1"/>
          <w14:textFill>
            <w14:solidFill>
              <w14:schemeClr w14:val="tx1"/>
            </w14:solidFill>
          </w14:textFill>
        </w:rPr>
      </w:sdtEndPr>
      <w:sdtContent>
        <w:p w14:paraId="25D9252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D6C445">
      <w:pPr>
        <w:rPr>
          <w:color w:val="000000" w:themeColor="text1"/>
          <w14:textFill>
            <w14:solidFill>
              <w14:schemeClr w14:val="tx1"/>
            </w14:solidFill>
          </w14:textFill>
        </w:rPr>
      </w:pPr>
    </w:p>
    <w:p w14:paraId="5ED475FB">
      <w:pPr>
        <w:pStyle w:val="4"/>
        <w:numPr>
          <w:ilvl w:val="0"/>
          <w:numId w:val="9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利润分配情况</w:t>
      </w:r>
    </w:p>
    <w:sdt>
      <w:sdtPr>
        <w:rPr>
          <w:color w:val="000000" w:themeColor="text1"/>
          <w14:textFill>
            <w14:solidFill>
              <w14:schemeClr w14:val="tx1"/>
            </w14:solidFill>
          </w14:textFill>
        </w:rPr>
        <w:alias w:val="是否适用：利润分配情况[双击切换]"/>
        <w:tag w:val="_GBC_a2ea8cd0604f474db0e7e62eb7fc0435"/>
        <w:id w:val="-1494941028"/>
        <w:placeholder>
          <w:docPart w:val="GBC22222222222222222222222222222"/>
        </w:placeholder>
      </w:sdtPr>
      <w:sdtEndPr>
        <w:rPr>
          <w:color w:val="000000" w:themeColor="text1"/>
          <w14:textFill>
            <w14:solidFill>
              <w14:schemeClr w14:val="tx1"/>
            </w14:solidFill>
          </w14:textFill>
        </w:rPr>
      </w:sdtEndPr>
      <w:sdtContent>
        <w:p w14:paraId="2A747AC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0C19ED7">
      <w:pPr>
        <w:rPr>
          <w:color w:val="000000" w:themeColor="text1"/>
          <w14:textFill>
            <w14:solidFill>
              <w14:schemeClr w14:val="tx1"/>
            </w14:solidFill>
          </w14:textFill>
        </w:rPr>
      </w:pPr>
    </w:p>
    <w:p w14:paraId="21252203">
      <w:pPr>
        <w:pStyle w:val="4"/>
        <w:numPr>
          <w:ilvl w:val="0"/>
          <w:numId w:val="98"/>
        </w:numPr>
        <w:rPr>
          <w:rFonts w:ascii="宋体" w:hAnsi="宋体"/>
          <w:color w:val="000000" w:themeColor="text1"/>
          <w14:textFill>
            <w14:solidFill>
              <w14:schemeClr w14:val="tx1"/>
            </w14:solidFill>
          </w14:textFill>
        </w:rPr>
      </w:pPr>
      <w:bookmarkStart w:id="390" w:name="_Toc241636515"/>
      <w:r>
        <w:rPr>
          <w:rFonts w:hint="eastAsia" w:ascii="宋体" w:hAnsi="宋体"/>
          <w:color w:val="000000" w:themeColor="text1"/>
          <w14:textFill>
            <w14:solidFill>
              <w14:schemeClr w14:val="tx1"/>
            </w14:solidFill>
          </w14:textFill>
        </w:rPr>
        <w:t>销售退回</w:t>
      </w:r>
    </w:p>
    <w:sdt>
      <w:sdtPr>
        <w:rPr>
          <w:color w:val="000000" w:themeColor="text1"/>
          <w14:textFill>
            <w14:solidFill>
              <w14:schemeClr w14:val="tx1"/>
            </w14:solidFill>
          </w14:textFill>
        </w:rPr>
        <w:alias w:val="是否适用：销售退回[双击切换]"/>
        <w:tag w:val="_GBC_4175c0e820fa43cd98dd2d05c0dea8a8"/>
        <w:id w:val="1749696754"/>
        <w:placeholder>
          <w:docPart w:val="GBC22222222222222222222222222222"/>
        </w:placeholder>
      </w:sdtPr>
      <w:sdtEndPr>
        <w:rPr>
          <w:color w:val="000000" w:themeColor="text1"/>
          <w14:textFill>
            <w14:solidFill>
              <w14:schemeClr w14:val="tx1"/>
            </w14:solidFill>
          </w14:textFill>
        </w:rPr>
      </w:sdtEndPr>
      <w:sdtContent>
        <w:p w14:paraId="6AAC286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629F06C">
      <w:pPr>
        <w:rPr>
          <w:color w:val="000000" w:themeColor="text1"/>
          <w14:textFill>
            <w14:solidFill>
              <w14:schemeClr w14:val="tx1"/>
            </w14:solidFill>
          </w14:textFill>
        </w:rPr>
      </w:pPr>
    </w:p>
    <w:p w14:paraId="36157B32">
      <w:pPr>
        <w:pStyle w:val="4"/>
        <w:numPr>
          <w:ilvl w:val="0"/>
          <w:numId w:val="98"/>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其他资产负债表日后事项说明</w:t>
      </w:r>
      <w:bookmarkEnd w:id="390"/>
    </w:p>
    <w:sdt>
      <w:sdtPr>
        <w:rPr>
          <w:color w:val="000000" w:themeColor="text1"/>
          <w14:textFill>
            <w14:solidFill>
              <w14:schemeClr w14:val="tx1"/>
            </w14:solidFill>
          </w14:textFill>
        </w:rPr>
        <w:alias w:val="是否适用：其他资产负债表日后事项说明[双击切换]"/>
        <w:tag w:val="_GBC_3da0e7092a0048ed9e147e2e860785f5"/>
        <w:id w:val="-1009365081"/>
        <w:placeholder>
          <w:docPart w:val="GBC22222222222222222222222222222"/>
        </w:placeholder>
      </w:sdtPr>
      <w:sdtEndPr>
        <w:rPr>
          <w:color w:val="000000" w:themeColor="text1"/>
          <w14:textFill>
            <w14:solidFill>
              <w14:schemeClr w14:val="tx1"/>
            </w14:solidFill>
          </w14:textFill>
        </w:rPr>
      </w:sdtEndPr>
      <w:sdtContent>
        <w:p w14:paraId="519D622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资产负债表日后事项的说明"/>
        <w:tag w:val="_GBC_b095fb5e765c447f82bb8e8b5a26cbea"/>
        <w:id w:val="51128738"/>
        <w:placeholder>
          <w:docPart w:val="GBC22222222222222222222222222222"/>
        </w:placeholder>
      </w:sdtPr>
      <w:sdtEndPr>
        <w:rPr>
          <w:color w:val="000000" w:themeColor="text1"/>
          <w14:textFill>
            <w14:solidFill>
              <w14:schemeClr w14:val="tx1"/>
            </w14:solidFill>
          </w14:textFill>
        </w:rPr>
      </w:sdtEndPr>
      <w:sdtContent>
        <w:p w14:paraId="2A5B60D2">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2025年3月2日，公司召开第六届董事会第十六次会议，审议通过了《关于对外投资暨关联交易的议案》，同意公司与两江产业基金、重庆产业母基金、江河汇、吉利、重庆迈驰、路特斯共同签订投资协议，指定全资子公司与两江产业基金或其指定关联方、重庆产业母基金及江河汇指定主体共同出资15亿元人民币发起设立有限合伙企业。其中，公司全资子公司拟出资2亿元人民币并担任该合伙企业的普通合伙人，两江产业基金或其指定关联方出资5亿元人民币，重庆产业母基金出资5亿元人民币，江河汇指定主体出资3亿元人民币。该合伙企业设立后，拟以15亿元人民币现金向由吉利或其指定主体、重庆迈驰、路特斯或其指定主体及员工激励平台共同投资设立的合资公司进行增资。</w:t>
          </w:r>
        </w:p>
        <w:p w14:paraId="0E9E19B4">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2025年6月5日，公司召开第六届董事会第二十一次会议，审议通过了《关于对外投资暨关联交易相关事项的议案》，同意待前述合伙企业及合资公司分别设立、并完成合伙企业向合资公司的增资后，由合伙企业与吉利、迈驰、路特斯、员工持股平台共同签署《关于重庆千里智驾有限公司之股东协议》。</w:t>
          </w:r>
        </w:p>
        <w:p w14:paraId="624CD7D2">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2025年6月27日，公司全资子公司重庆智骐鑫旺企业管理有限公司（以下简称“智骐鑫旺”）与两江产业基金、重庆产业母基金及海南江河乾达投资合伙企业（有限合伙）（江河汇指定主体），依照前期协议约定共同设立重庆江河启兴企业管理合伙企业(有限合伙)，已完成工商注册登记手续，取得重庆两江新区市场监督管理局颁发的营业执照。此外，重庆迈驰、吉利、路特斯及员工持股平台重庆智江众旺企业管理咨询合伙企业(有限合伙)共同设立合资公司重庆千里智驾科技有限公司，亦已完成工商注册登记手续，取得重庆两江新区市场监督管理局颁发的营业执照。</w:t>
          </w:r>
        </w:p>
        <w:p w14:paraId="069153BE">
          <w:pPr>
            <w:spacing w:line="36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2025年7月9日，重庆江河启兴企业管理合伙企业(有限合伙)对重庆千里智驾科技有限公司的增资已完成工商变更登记。</w:t>
          </w:r>
        </w:p>
        <w:p w14:paraId="3479E44B">
          <w:pPr>
            <w:ind w:firstLine="420" w:firstLineChars="200"/>
            <w:rPr>
              <w:color w:val="000000" w:themeColor="text1"/>
              <w14:textFill>
                <w14:solidFill>
                  <w14:schemeClr w14:val="tx1"/>
                </w14:solidFill>
              </w14:textFill>
            </w:rPr>
          </w:pPr>
        </w:p>
      </w:sdtContent>
    </w:sdt>
    <w:p w14:paraId="0F83CEBB">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其他重要事项</w:t>
      </w:r>
    </w:p>
    <w:p w14:paraId="10C3A8E4">
      <w:pPr>
        <w:pStyle w:val="4"/>
        <w:numPr>
          <w:ilvl w:val="0"/>
          <w:numId w:val="9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前期会计差错更正</w:t>
      </w:r>
    </w:p>
    <w:p w14:paraId="42589372">
      <w:pPr>
        <w:pStyle w:val="5"/>
        <w:numPr>
          <w:ilvl w:val="0"/>
          <w:numId w:val="100"/>
        </w:numPr>
        <w:tabs>
          <w:tab w:val="left" w:pos="60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追溯重述法</w:t>
      </w:r>
    </w:p>
    <w:sdt>
      <w:sdtPr>
        <w:rPr>
          <w:rFonts w:hint="eastAsia"/>
          <w:color w:val="000000" w:themeColor="text1"/>
          <w14:textFill>
            <w14:solidFill>
              <w14:schemeClr w14:val="tx1"/>
            </w14:solidFill>
          </w14:textFill>
        </w:rPr>
        <w:alias w:val="是否适用：追溯重述法[双击切换]"/>
        <w:tag w:val="_GBC_9d59987ec8f64e568cc0874cd76bb5ce"/>
        <w:id w:val="-2033019937"/>
        <w:placeholder>
          <w:docPart w:val="GBC22222222222222222222222222222"/>
        </w:placeholder>
      </w:sdtPr>
      <w:sdtEndPr>
        <w:rPr>
          <w:rFonts w:hint="eastAsia"/>
          <w:color w:val="000000" w:themeColor="text1"/>
          <w14:textFill>
            <w14:solidFill>
              <w14:schemeClr w14:val="tx1"/>
            </w14:solidFill>
          </w14:textFill>
        </w:rPr>
      </w:sdtEndPr>
      <w:sdtContent>
        <w:p w14:paraId="0AAF02F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8538D7B">
      <w:pPr>
        <w:rPr>
          <w:color w:val="000000" w:themeColor="text1"/>
          <w14:textFill>
            <w14:solidFill>
              <w14:schemeClr w14:val="tx1"/>
            </w14:solidFill>
          </w14:textFill>
        </w:rPr>
      </w:pPr>
    </w:p>
    <w:p w14:paraId="68E1F405">
      <w:pPr>
        <w:pStyle w:val="5"/>
        <w:numPr>
          <w:ilvl w:val="0"/>
          <w:numId w:val="100"/>
        </w:numPr>
        <w:tabs>
          <w:tab w:val="left" w:pos="602"/>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未来适用法</w:t>
      </w:r>
    </w:p>
    <w:sdt>
      <w:sdtPr>
        <w:rPr>
          <w:color w:val="000000" w:themeColor="text1"/>
          <w14:textFill>
            <w14:solidFill>
              <w14:schemeClr w14:val="tx1"/>
            </w14:solidFill>
          </w14:textFill>
        </w:rPr>
        <w:alias w:val="是否适用：未来适用法[双击切换]"/>
        <w:tag w:val="_GBC_add0977272ee43e7938e3e96c6aaa92d"/>
        <w:id w:val="538787909"/>
        <w:placeholder>
          <w:docPart w:val="GBC22222222222222222222222222222"/>
        </w:placeholder>
      </w:sdtPr>
      <w:sdtEndPr>
        <w:rPr>
          <w:color w:val="000000" w:themeColor="text1"/>
          <w14:textFill>
            <w14:solidFill>
              <w14:schemeClr w14:val="tx1"/>
            </w14:solidFill>
          </w14:textFill>
        </w:rPr>
      </w:sdtEndPr>
      <w:sdtContent>
        <w:p w14:paraId="01698E1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29A9602">
      <w:pPr>
        <w:rPr>
          <w:color w:val="000000" w:themeColor="text1"/>
          <w14:textFill>
            <w14:solidFill>
              <w14:schemeClr w14:val="tx1"/>
            </w14:solidFill>
          </w14:textFill>
        </w:rPr>
      </w:pPr>
    </w:p>
    <w:p w14:paraId="01741F05">
      <w:pPr>
        <w:pStyle w:val="4"/>
        <w:numPr>
          <w:ilvl w:val="0"/>
          <w:numId w:val="99"/>
        </w:numPr>
        <w:rPr>
          <w:rFonts w:ascii="宋体" w:hAnsi="宋体"/>
          <w:color w:val="000000" w:themeColor="text1"/>
          <w14:textFill>
            <w14:solidFill>
              <w14:schemeClr w14:val="tx1"/>
            </w14:solidFill>
          </w14:textFill>
        </w:rPr>
      </w:pPr>
      <w:bookmarkStart w:id="391" w:name="_Hlk167977672"/>
      <w:r>
        <w:rPr>
          <w:rFonts w:hint="eastAsia" w:ascii="宋体" w:hAnsi="宋体"/>
          <w:color w:val="000000" w:themeColor="text1"/>
          <w14:textFill>
            <w14:solidFill>
              <w14:schemeClr w14:val="tx1"/>
            </w14:solidFill>
          </w14:textFill>
        </w:rPr>
        <w:t>重要债务重组</w:t>
      </w:r>
    </w:p>
    <w:sdt>
      <w:sdtPr>
        <w:rPr>
          <w:color w:val="000000" w:themeColor="text1"/>
          <w14:textFill>
            <w14:solidFill>
              <w14:schemeClr w14:val="tx1"/>
            </w14:solidFill>
          </w14:textFill>
        </w:rPr>
        <w:alias w:val="是否适用：重要债务重组[双击切换]"/>
        <w:tag w:val="_GBC_14f62373def24b6b994f6cfe645fabcb"/>
        <w:id w:val="-101730279"/>
        <w:placeholder>
          <w:docPart w:val="GBC22222222222222222222222222222"/>
        </w:placeholder>
      </w:sdtPr>
      <w:sdtEndPr>
        <w:rPr>
          <w:color w:val="000000" w:themeColor="text1"/>
          <w14:textFill>
            <w14:solidFill>
              <w14:schemeClr w14:val="tx1"/>
            </w14:solidFill>
          </w14:textFill>
        </w:rPr>
      </w:sdtEndPr>
      <w:sdtContent>
        <w:p w14:paraId="443F3E17">
          <w:pPr>
            <w:rPr>
              <w:rFonts w:asciiTheme="minorHAnsi" w:hAnsiTheme="minorHAnsi" w:eastAsiaTheme="minorEastAsia"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391"/>
    <w:p w14:paraId="58635E5C">
      <w:pPr>
        <w:rPr>
          <w:color w:val="000000" w:themeColor="text1"/>
          <w14:textFill>
            <w14:solidFill>
              <w14:schemeClr w14:val="tx1"/>
            </w14:solidFill>
          </w14:textFill>
        </w:rPr>
      </w:pPr>
    </w:p>
    <w:p w14:paraId="4FDD9031">
      <w:pPr>
        <w:pStyle w:val="4"/>
        <w:numPr>
          <w:ilvl w:val="0"/>
          <w:numId w:val="9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资产置换</w:t>
      </w:r>
    </w:p>
    <w:p w14:paraId="3551566F">
      <w:pPr>
        <w:pStyle w:val="5"/>
        <w:numPr>
          <w:ilvl w:val="0"/>
          <w:numId w:val="101"/>
        </w:numPr>
        <w:tabs>
          <w:tab w:val="left" w:pos="644"/>
        </w:tabs>
        <w:rPr>
          <w:rFonts w:ascii="宋体" w:hAnsi="宋体"/>
          <w:color w:val="000000" w:themeColor="text1"/>
          <w14:textFill>
            <w14:solidFill>
              <w14:schemeClr w14:val="tx1"/>
            </w14:solidFill>
          </w14:textFill>
        </w:rPr>
      </w:pPr>
      <w:bookmarkStart w:id="392" w:name="_Toc161412438"/>
      <w:bookmarkStart w:id="393" w:name="_Toc241636517"/>
      <w:r>
        <w:rPr>
          <w:rFonts w:hint="eastAsia" w:ascii="宋体" w:hAnsi="宋体"/>
          <w:color w:val="000000" w:themeColor="text1"/>
          <w14:textFill>
            <w14:solidFill>
              <w14:schemeClr w14:val="tx1"/>
            </w14:solidFill>
          </w14:textFill>
        </w:rPr>
        <w:t>非货币性资产交换</w:t>
      </w:r>
      <w:bookmarkEnd w:id="392"/>
      <w:bookmarkEnd w:id="393"/>
    </w:p>
    <w:sdt>
      <w:sdtPr>
        <w:rPr>
          <w:color w:val="000000" w:themeColor="text1"/>
          <w14:textFill>
            <w14:solidFill>
              <w14:schemeClr w14:val="tx1"/>
            </w14:solidFill>
          </w14:textFill>
        </w:rPr>
        <w:alias w:val="是否适用：非货币性资产交换[双击切换]"/>
        <w:tag w:val="_GBC_1e8378570c9a4db08ad001118944af2e"/>
        <w:id w:val="24071709"/>
        <w:placeholder>
          <w:docPart w:val="GBC22222222222222222222222222222"/>
        </w:placeholder>
      </w:sdtPr>
      <w:sdtEndPr>
        <w:rPr>
          <w:color w:val="000000" w:themeColor="text1"/>
          <w14:textFill>
            <w14:solidFill>
              <w14:schemeClr w14:val="tx1"/>
            </w14:solidFill>
          </w14:textFill>
        </w:rPr>
      </w:sdtEndPr>
      <w:sdtContent>
        <w:p w14:paraId="072EA3F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C2E00E1">
      <w:pPr>
        <w:rPr>
          <w:color w:val="000000" w:themeColor="text1"/>
          <w14:textFill>
            <w14:solidFill>
              <w14:schemeClr w14:val="tx1"/>
            </w14:solidFill>
          </w14:textFill>
        </w:rPr>
      </w:pPr>
    </w:p>
    <w:p w14:paraId="1BCEA8D3">
      <w:pPr>
        <w:pStyle w:val="5"/>
        <w:numPr>
          <w:ilvl w:val="0"/>
          <w:numId w:val="101"/>
        </w:numPr>
        <w:tabs>
          <w:tab w:val="left" w:pos="644"/>
        </w:tabs>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其他资产置换</w:t>
      </w:r>
    </w:p>
    <w:sdt>
      <w:sdtPr>
        <w:rPr>
          <w:color w:val="000000" w:themeColor="text1"/>
          <w14:textFill>
            <w14:solidFill>
              <w14:schemeClr w14:val="tx1"/>
            </w14:solidFill>
          </w14:textFill>
        </w:rPr>
        <w:alias w:val="是否适用：其他资产置换[双击切换]"/>
        <w:tag w:val="_GBC_e20be5fc12b94f43a4090c14cc3aec63"/>
        <w:id w:val="314296912"/>
        <w:placeholder>
          <w:docPart w:val="GBC22222222222222222222222222222"/>
        </w:placeholder>
      </w:sdtPr>
      <w:sdtEndPr>
        <w:rPr>
          <w:color w:val="000000" w:themeColor="text1"/>
          <w14:textFill>
            <w14:solidFill>
              <w14:schemeClr w14:val="tx1"/>
            </w14:solidFill>
          </w14:textFill>
        </w:rPr>
      </w:sdtEndPr>
      <w:sdtContent>
        <w:p w14:paraId="3A537E1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6EAEE1B">
      <w:pPr>
        <w:rPr>
          <w:color w:val="000000" w:themeColor="text1"/>
          <w14:textFill>
            <w14:solidFill>
              <w14:schemeClr w14:val="tx1"/>
            </w14:solidFill>
          </w14:textFill>
        </w:rPr>
      </w:pPr>
    </w:p>
    <w:p w14:paraId="773C0B8A">
      <w:pPr>
        <w:pStyle w:val="4"/>
        <w:numPr>
          <w:ilvl w:val="0"/>
          <w:numId w:val="99"/>
        </w:numPr>
        <w:rPr>
          <w:rFonts w:ascii="宋体" w:hAnsi="宋体"/>
          <w:color w:val="000000" w:themeColor="text1"/>
          <w14:textFill>
            <w14:solidFill>
              <w14:schemeClr w14:val="tx1"/>
            </w14:solidFill>
          </w14:textFill>
        </w:rPr>
      </w:pPr>
      <w:bookmarkStart w:id="394" w:name="_Toc247371936"/>
      <w:r>
        <w:rPr>
          <w:rFonts w:hint="eastAsia" w:ascii="宋体" w:hAnsi="宋体"/>
          <w:color w:val="000000" w:themeColor="text1"/>
          <w14:textFill>
            <w14:solidFill>
              <w14:schemeClr w14:val="tx1"/>
            </w14:solidFill>
          </w14:textFill>
        </w:rPr>
        <w:t>年金计划</w:t>
      </w:r>
      <w:bookmarkEnd w:id="394"/>
    </w:p>
    <w:sdt>
      <w:sdtPr>
        <w:rPr>
          <w:color w:val="000000" w:themeColor="text1"/>
          <w14:textFill>
            <w14:solidFill>
              <w14:schemeClr w14:val="tx1"/>
            </w14:solidFill>
          </w14:textFill>
        </w:rPr>
        <w:alias w:val="是否适用：年金计划[双击切换]"/>
        <w:tag w:val="_GBC_f69a163f78f74a54a6443aaa7388f0dd"/>
        <w:id w:val="-1227140961"/>
        <w:placeholder>
          <w:docPart w:val="GBC22222222222222222222222222222"/>
        </w:placeholder>
      </w:sdtPr>
      <w:sdtEndPr>
        <w:rPr>
          <w:color w:val="000000" w:themeColor="text1"/>
          <w14:textFill>
            <w14:solidFill>
              <w14:schemeClr w14:val="tx1"/>
            </w14:solidFill>
          </w14:textFill>
        </w:rPr>
      </w:sdtEndPr>
      <w:sdtContent>
        <w:p w14:paraId="52D02A27">
          <w:pPr>
            <w:rPr>
              <w:rFonts w:cstheme="minorBidi"/>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242F037">
      <w:pPr>
        <w:rPr>
          <w:color w:val="000000" w:themeColor="text1"/>
          <w14:textFill>
            <w14:solidFill>
              <w14:schemeClr w14:val="tx1"/>
            </w14:solidFill>
          </w14:textFill>
        </w:rPr>
      </w:pPr>
    </w:p>
    <w:p w14:paraId="49164D01">
      <w:pPr>
        <w:pStyle w:val="4"/>
        <w:numPr>
          <w:ilvl w:val="0"/>
          <w:numId w:val="9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终止经营</w:t>
      </w:r>
    </w:p>
    <w:sdt>
      <w:sdtPr>
        <w:rPr>
          <w:color w:val="000000" w:themeColor="text1"/>
          <w14:textFill>
            <w14:solidFill>
              <w14:schemeClr w14:val="tx1"/>
            </w14:solidFill>
          </w14:textFill>
        </w:rPr>
        <w:alias w:val="是否适用：终止经营[双击切换]"/>
        <w:tag w:val="_GBC_8e88002e405543f593111633f63e4d8b"/>
        <w:id w:val="889923311"/>
        <w:placeholder>
          <w:docPart w:val="GBC22222222222222222222222222222"/>
        </w:placeholder>
      </w:sdtPr>
      <w:sdtEndPr>
        <w:rPr>
          <w:color w:val="000000" w:themeColor="text1"/>
          <w14:textFill>
            <w14:solidFill>
              <w14:schemeClr w14:val="tx1"/>
            </w14:solidFill>
          </w14:textFill>
        </w:rPr>
      </w:sdtEndPr>
      <w:sdtContent>
        <w:p w14:paraId="52623E91">
          <w:pPr>
            <w:rPr>
              <w:rFonts w:cstheme="minorBidi"/>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BAFE000">
      <w:pPr>
        <w:rPr>
          <w:rFonts w:cstheme="minorBidi"/>
          <w:color w:val="000000" w:themeColor="text1"/>
          <w:kern w:val="2"/>
          <w14:textFill>
            <w14:solidFill>
              <w14:schemeClr w14:val="tx1"/>
            </w14:solidFill>
          </w14:textFill>
        </w:rPr>
      </w:pPr>
    </w:p>
    <w:p w14:paraId="23D9BA3C">
      <w:pPr>
        <w:rPr>
          <w:color w:val="000000" w:themeColor="text1"/>
          <w14:textFill>
            <w14:solidFill>
              <w14:schemeClr w14:val="tx1"/>
            </w14:solidFill>
          </w14:textFill>
        </w:rPr>
      </w:pPr>
    </w:p>
    <w:p w14:paraId="5281D3C6">
      <w:pPr>
        <w:pStyle w:val="4"/>
        <w:numPr>
          <w:ilvl w:val="0"/>
          <w:numId w:val="9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分部信息</w:t>
      </w:r>
    </w:p>
    <w:p w14:paraId="37D4F1B7">
      <w:pPr>
        <w:pStyle w:val="5"/>
        <w:numPr>
          <w:ilvl w:val="1"/>
          <w:numId w:val="102"/>
        </w:numPr>
        <w:tabs>
          <w:tab w:val="left" w:pos="644"/>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报告分部的确定依据与会计政策</w:t>
      </w:r>
    </w:p>
    <w:sdt>
      <w:sdtPr>
        <w:rPr>
          <w:color w:val="000000" w:themeColor="text1"/>
          <w14:textFill>
            <w14:solidFill>
              <w14:schemeClr w14:val="tx1"/>
            </w14:solidFill>
          </w14:textFill>
        </w:rPr>
        <w:alias w:val="是否适用：报告分部的确定依据与会计政策[双击切换]"/>
        <w:tag w:val="_GBC_3684a11ce06644529eba619783a75583"/>
        <w:id w:val="-524567012"/>
        <w:placeholder>
          <w:docPart w:val="GBC22222222222222222222222222222"/>
        </w:placeholder>
      </w:sdtPr>
      <w:sdtEndPr>
        <w:rPr>
          <w:color w:val="000000" w:themeColor="text1"/>
          <w14:textFill>
            <w14:solidFill>
              <w14:schemeClr w14:val="tx1"/>
            </w14:solidFill>
          </w14:textFill>
        </w:rPr>
      </w:sdtEndPr>
      <w:sdtContent>
        <w:p w14:paraId="0A1CAD6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sdt>
      <w:sdtPr>
        <w:rPr>
          <w:color w:val="000000" w:themeColor="text1"/>
          <w14:textFill>
            <w14:solidFill>
              <w14:schemeClr w14:val="tx1"/>
            </w14:solidFill>
          </w14:textFill>
        </w:rPr>
        <w:alias w:val="报告分部的确定依据与会计政策"/>
        <w:tag w:val="_GBC_025e15951a494fa2845d296cf8db1fdb"/>
        <w:id w:val="-1650208205"/>
        <w:placeholder>
          <w:docPart w:val="GBC22222222222222222222222222222"/>
        </w:placeholder>
      </w:sdtPr>
      <w:sdtEndPr>
        <w:rPr>
          <w:color w:val="000000" w:themeColor="text1"/>
          <w14:textFill>
            <w14:solidFill>
              <w14:schemeClr w14:val="tx1"/>
            </w14:solidFill>
          </w14:textFill>
        </w:rPr>
      </w:sdtEndPr>
      <w:sdtContent>
        <w:p w14:paraId="221007DA">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本公司以内部组织结构、管理要求、内部报告制度为依据确定经营分部。本公司的经营分部是指同时满足下列条件的组成部分：</w:t>
          </w:r>
        </w:p>
        <w:p w14:paraId="6E0CCD83">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该组成部分能够在日常活动中产生收入、发生费用；</w:t>
          </w:r>
        </w:p>
        <w:p w14:paraId="39007154">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管理层能够定期评价该组成部分的经营成果，以决定向其配置资源、评价其业绩；</w:t>
          </w:r>
        </w:p>
        <w:p w14:paraId="717EE46E">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能够取得该组成部分的财务状况、经营成果和现金流量等有关会计信息。</w:t>
          </w:r>
        </w:p>
        <w:p w14:paraId="0D02F141">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本公司以经营分部为基础确定报告分部，满足下列条件之一的经营分部确定为报告分部：该经营分部的分部收入占所有分部收入合计的10%或者以上；</w:t>
          </w:r>
        </w:p>
        <w:p w14:paraId="5EA1830A">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该分部的分部利润（亏损）的绝对额，占所有盈利分部利润合计额或者所有亏损分部亏损合计额的绝对额两者中较大者的10%或者以上。</w:t>
          </w:r>
        </w:p>
        <w:p w14:paraId="692D279B">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按上述会计政策确定的报告分部所对应经营分部对外交易收入合计额占合并总收入的比重未达到75%时，增加报告分部的数量，按下述规定将其他未作为报告分部的经营分部纳入报告分部的范围，直到该比重达到75%；</w:t>
          </w:r>
        </w:p>
        <w:p w14:paraId="5062CFD8">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将管理层认为披露该经营分部信息对会计信息使用者有用的经营分部确定为报告分部；</w:t>
          </w:r>
        </w:p>
        <w:p w14:paraId="69FEE910">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将该经营分部与一个或一个以上的具有相似经济特征、满足经营分部合并条件的其他经营分部合并，作为一个报告分部。</w:t>
          </w:r>
        </w:p>
        <w:p w14:paraId="1E872D5C">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分部间转移价格参照市场价格确定，与各分部共同使用的资产、相关的费用按照收入比例在不同的分部之间分配。</w:t>
          </w:r>
        </w:p>
        <w:p w14:paraId="68CD675A">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2.本公司确定报告分部考虑的因素、报告分部的产品和劳务的类型</w:t>
          </w:r>
        </w:p>
        <w:p w14:paraId="7E7E2BE0">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公司以内部组织结构、管理要求、内部报告制度等为依据确定报告分部，并以产品分部为基础确定报告分部。由于各种业务需要不同的技术和市场战略，因此本公司分别独立管理各个报告分部的生产经营活动，分别评价其经营成果，以决定向其配置资源、评价其业绩。</w:t>
          </w:r>
        </w:p>
        <w:p w14:paraId="2B25D34F">
          <w:pPr>
            <w:spacing w:after="120" w:afterLines="50" w:line="360" w:lineRule="exact"/>
            <w:ind w:firstLine="420" w:firstLineChars="200"/>
            <w:rPr>
              <w:rFonts w:asciiTheme="minorEastAsia" w:hAnsiTheme="minorEastAsia" w:eastAsiaTheme="minorEastAsia"/>
            </w:rPr>
          </w:pPr>
          <w:r>
            <w:rPr>
              <w:rFonts w:hint="eastAsia" w:asciiTheme="minorEastAsia" w:hAnsiTheme="minorEastAsia" w:eastAsiaTheme="minorEastAsia"/>
            </w:rPr>
            <w:t>本公司有4个报告分部：摩通业务分部、汽车业务分部、地产业务分部、其他业务分部。</w:t>
          </w:r>
        </w:p>
      </w:sdtContent>
    </w:sdt>
    <w:p w14:paraId="6FD9EAE6">
      <w:pPr>
        <w:rPr>
          <w:color w:val="000000" w:themeColor="text1"/>
          <w14:textFill>
            <w14:solidFill>
              <w14:schemeClr w14:val="tx1"/>
            </w14:solidFill>
          </w14:textFill>
        </w:rPr>
      </w:pPr>
    </w:p>
    <w:p w14:paraId="7748F239">
      <w:pPr>
        <w:pStyle w:val="5"/>
        <w:numPr>
          <w:ilvl w:val="1"/>
          <w:numId w:val="102"/>
        </w:numPr>
        <w:tabs>
          <w:tab w:val="left" w:pos="644"/>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报告分部的财务信息</w:t>
      </w:r>
    </w:p>
    <w:sdt>
      <w:sdtPr>
        <w:rPr>
          <w:color w:val="000000" w:themeColor="text1"/>
          <w14:textFill>
            <w14:solidFill>
              <w14:schemeClr w14:val="tx1"/>
            </w14:solidFill>
          </w14:textFill>
        </w:rPr>
        <w:alias w:val="是否适用：报告分部的财务信息[双击切换]"/>
        <w:tag w:val="_GBC_25e6ee3686524d959ae273bb5aaa9cfb"/>
        <w:id w:val="1147476477"/>
        <w:placeholder>
          <w:docPart w:val="GBC22222222222222222222222222222"/>
        </w:placeholder>
      </w:sdtPr>
      <w:sdtEndPr>
        <w:rPr>
          <w:color w:val="000000" w:themeColor="text1"/>
          <w14:textFill>
            <w14:solidFill>
              <w14:schemeClr w14:val="tx1"/>
            </w14:solidFill>
          </w14:textFill>
        </w:rPr>
      </w:sdtEndPr>
      <w:sdtContent>
        <w:p w14:paraId="30930F0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671802A">
      <w:pPr>
        <w:pStyle w:val="51"/>
        <w:wordWrap w:val="0"/>
        <w:ind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财务附注：报告分部的财务信息"/>
          <w:tag w:val="_GBC_bed196c2a65649e69e8eda77c9168933"/>
          <w:id w:val="-1581674854"/>
          <w:placeholder>
            <w:docPart w:val="61937129346B491D8B6D9CE3A40A73C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万元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财务附注：报告分部的财务信息"/>
          <w:tag w:val="_GBC_22cbe62652b3461e90f84a6c3cef03c1"/>
          <w:id w:val="-108742465"/>
          <w:placeholder>
            <w:docPart w:val="61937129346B491D8B6D9CE3A40A73C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2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1308"/>
        <w:gridCol w:w="1310"/>
        <w:gridCol w:w="1310"/>
        <w:gridCol w:w="1446"/>
        <w:gridCol w:w="1164"/>
        <w:gridCol w:w="1307"/>
      </w:tblGrid>
      <w:tr w14:paraId="18DB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24bd1595e9432ab250a15c084078c3"/>
            <w:id w:val="-2090376524"/>
          </w:sdtPr>
          <w:sdtContent>
            <w:tc>
              <w:tcPr>
                <w:tcW w:w="910" w:type="pct"/>
                <w:tcBorders>
                  <w:top w:val="single" w:color="auto" w:sz="4" w:space="0"/>
                  <w:left w:val="single" w:color="auto" w:sz="4" w:space="0"/>
                  <w:bottom w:val="single" w:color="auto" w:sz="4" w:space="0"/>
                  <w:right w:val="single" w:color="auto" w:sz="4" w:space="0"/>
                </w:tcBorders>
                <w:vAlign w:val="center"/>
              </w:tcPr>
              <w:p w14:paraId="2BFADD48">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tc>
          <w:tcPr>
            <w:tcW w:w="682" w:type="pct"/>
            <w:tcBorders>
              <w:top w:val="single" w:color="auto" w:sz="4" w:space="0"/>
              <w:left w:val="single" w:color="auto" w:sz="4" w:space="0"/>
              <w:bottom w:val="single" w:color="auto" w:sz="4" w:space="0"/>
              <w:right w:val="single" w:color="auto" w:sz="4" w:space="0"/>
            </w:tcBorders>
            <w:vAlign w:val="center"/>
          </w:tcPr>
          <w:p w14:paraId="0FB1A476">
            <w:pPr>
              <w:ind w:left="-53" w:leftChars="-25" w:right="-53" w:rightChars="-25"/>
            </w:pPr>
            <w:r>
              <w:t>摩通业务</w:t>
            </w:r>
          </w:p>
        </w:tc>
        <w:tc>
          <w:tcPr>
            <w:tcW w:w="683" w:type="pct"/>
            <w:tcBorders>
              <w:top w:val="single" w:color="auto" w:sz="4" w:space="0"/>
              <w:left w:val="single" w:color="auto" w:sz="4" w:space="0"/>
              <w:bottom w:val="single" w:color="auto" w:sz="4" w:space="0"/>
              <w:right w:val="single" w:color="auto" w:sz="4" w:space="0"/>
            </w:tcBorders>
            <w:vAlign w:val="center"/>
          </w:tcPr>
          <w:p w14:paraId="7C4D0975">
            <w:pPr>
              <w:ind w:left="-53" w:leftChars="-25" w:right="-53" w:rightChars="-25"/>
            </w:pPr>
            <w:r>
              <w:t>汽车业务</w:t>
            </w:r>
          </w:p>
        </w:tc>
        <w:tc>
          <w:tcPr>
            <w:tcW w:w="683" w:type="pct"/>
            <w:tcBorders>
              <w:top w:val="single" w:color="auto" w:sz="4" w:space="0"/>
              <w:left w:val="single" w:color="auto" w:sz="4" w:space="0"/>
              <w:bottom w:val="single" w:color="auto" w:sz="4" w:space="0"/>
              <w:right w:val="single" w:color="auto" w:sz="4" w:space="0"/>
            </w:tcBorders>
            <w:vAlign w:val="center"/>
          </w:tcPr>
          <w:p w14:paraId="004AF34D">
            <w:pPr>
              <w:ind w:left="-53" w:leftChars="-25" w:right="-53" w:rightChars="-25"/>
            </w:pPr>
            <w:r>
              <w:t>地产业务</w:t>
            </w:r>
          </w:p>
        </w:tc>
        <w:tc>
          <w:tcPr>
            <w:tcW w:w="754" w:type="pct"/>
            <w:tcBorders>
              <w:top w:val="single" w:color="auto" w:sz="4" w:space="0"/>
              <w:left w:val="single" w:color="auto" w:sz="4" w:space="0"/>
              <w:bottom w:val="single" w:color="auto" w:sz="4" w:space="0"/>
              <w:right w:val="single" w:color="auto" w:sz="4" w:space="0"/>
            </w:tcBorders>
            <w:vAlign w:val="center"/>
          </w:tcPr>
          <w:p w14:paraId="65CDC707">
            <w:pPr>
              <w:ind w:left="-53" w:leftChars="-25" w:right="-53" w:rightChars="-25"/>
              <w:jc w:val="center"/>
              <w:rPr>
                <w:color w:val="000000"/>
              </w:rPr>
            </w:pPr>
            <w:r>
              <w:rPr>
                <w:rFonts w:hint="eastAsia"/>
                <w:color w:val="000000"/>
              </w:rPr>
              <w:t>其他业务</w:t>
            </w:r>
          </w:p>
        </w:tc>
        <w:sdt>
          <w:sdtPr>
            <w:tag w:val="_PLD_bbb5338509514804b5ec1d4ec145b14b"/>
            <w:id w:val="-449470398"/>
          </w:sdtPr>
          <w:sdtContent>
            <w:tc>
              <w:tcPr>
                <w:tcW w:w="607" w:type="pct"/>
                <w:tcBorders>
                  <w:top w:val="single" w:color="auto" w:sz="4" w:space="0"/>
                  <w:left w:val="single" w:color="auto" w:sz="4" w:space="0"/>
                  <w:bottom w:val="single" w:color="auto" w:sz="4" w:space="0"/>
                  <w:right w:val="single" w:color="auto" w:sz="4" w:space="0"/>
                </w:tcBorders>
                <w:vAlign w:val="center"/>
              </w:tcPr>
              <w:p w14:paraId="58038252">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分部间抵销</w:t>
                </w:r>
              </w:p>
            </w:tc>
          </w:sdtContent>
        </w:sdt>
        <w:sdt>
          <w:sdtPr>
            <w:tag w:val="_PLD_fa3be9e49ff54f5f94b69f487029a441"/>
            <w:id w:val="1491826295"/>
          </w:sdtPr>
          <w:sdtContent>
            <w:tc>
              <w:tcPr>
                <w:tcW w:w="682" w:type="pct"/>
                <w:tcBorders>
                  <w:top w:val="single" w:color="auto" w:sz="4" w:space="0"/>
                  <w:left w:val="single" w:color="auto" w:sz="4" w:space="0"/>
                  <w:bottom w:val="single" w:color="auto" w:sz="4" w:space="0"/>
                  <w:right w:val="single" w:color="auto" w:sz="4" w:space="0"/>
                </w:tcBorders>
                <w:vAlign w:val="center"/>
              </w:tcPr>
              <w:p w14:paraId="1225A368">
                <w:pPr>
                  <w:ind w:left="-53" w:leftChars="-25" w:right="-53" w:rightChars="-2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r>
      <w:tr w14:paraId="4A17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tcBorders>
              <w:top w:val="single" w:color="auto" w:sz="4" w:space="0"/>
              <w:left w:val="single" w:color="auto" w:sz="4" w:space="0"/>
              <w:bottom w:val="single" w:color="auto" w:sz="4" w:space="0"/>
              <w:right w:val="single" w:color="auto" w:sz="4" w:space="0"/>
            </w:tcBorders>
            <w:vAlign w:val="center"/>
          </w:tcPr>
          <w:p w14:paraId="168DC1D0">
            <w:pPr>
              <w:ind w:left="-53" w:leftChars="-25" w:right="-53" w:rightChars="-25"/>
            </w:pPr>
            <w:r>
              <w:t>一、营业收入</w:t>
            </w:r>
          </w:p>
        </w:tc>
        <w:tc>
          <w:tcPr>
            <w:tcW w:w="682" w:type="pct"/>
            <w:tcBorders>
              <w:top w:val="single" w:color="auto" w:sz="4" w:space="0"/>
              <w:left w:val="single" w:color="auto" w:sz="4" w:space="0"/>
              <w:bottom w:val="single" w:color="auto" w:sz="4" w:space="0"/>
              <w:right w:val="single" w:color="auto" w:sz="4" w:space="0"/>
            </w:tcBorders>
            <w:vAlign w:val="center"/>
          </w:tcPr>
          <w:p w14:paraId="46C62D80">
            <w:pPr>
              <w:ind w:left="-53" w:leftChars="-25" w:right="-53" w:rightChars="-25"/>
              <w:jc w:val="right"/>
              <w:rPr>
                <w:color w:val="000000"/>
              </w:rPr>
            </w:pPr>
            <w:r>
              <w:rPr>
                <w:rFonts w:hint="eastAsia"/>
                <w:color w:val="000000"/>
              </w:rPr>
              <w:t xml:space="preserve">148,413.07 </w:t>
            </w:r>
          </w:p>
        </w:tc>
        <w:tc>
          <w:tcPr>
            <w:tcW w:w="683" w:type="pct"/>
            <w:tcBorders>
              <w:top w:val="single" w:color="auto" w:sz="4" w:space="0"/>
              <w:left w:val="single" w:color="auto" w:sz="4" w:space="0"/>
              <w:bottom w:val="single" w:color="auto" w:sz="4" w:space="0"/>
              <w:right w:val="single" w:color="auto" w:sz="4" w:space="0"/>
            </w:tcBorders>
            <w:vAlign w:val="center"/>
          </w:tcPr>
          <w:p w14:paraId="278B946A">
            <w:pPr>
              <w:ind w:left="-53" w:leftChars="-25" w:right="-53" w:rightChars="-25"/>
              <w:jc w:val="right"/>
              <w:rPr>
                <w:color w:val="000000"/>
              </w:rPr>
            </w:pPr>
            <w:r>
              <w:rPr>
                <w:rFonts w:hint="eastAsia"/>
                <w:color w:val="000000"/>
              </w:rPr>
              <w:t xml:space="preserve">267,331.50 </w:t>
            </w:r>
          </w:p>
        </w:tc>
        <w:tc>
          <w:tcPr>
            <w:tcW w:w="683" w:type="pct"/>
            <w:tcBorders>
              <w:top w:val="single" w:color="auto" w:sz="4" w:space="0"/>
              <w:left w:val="single" w:color="auto" w:sz="4" w:space="0"/>
              <w:bottom w:val="single" w:color="auto" w:sz="4" w:space="0"/>
              <w:right w:val="single" w:color="auto" w:sz="4" w:space="0"/>
            </w:tcBorders>
            <w:vAlign w:val="center"/>
          </w:tcPr>
          <w:p w14:paraId="5EA6A300">
            <w:pPr>
              <w:ind w:left="-53" w:leftChars="-25" w:right="-53" w:rightChars="-25"/>
              <w:jc w:val="right"/>
              <w:rPr>
                <w:color w:val="000000"/>
              </w:rPr>
            </w:pPr>
            <w:r>
              <w:rPr>
                <w:rFonts w:hint="eastAsia"/>
                <w:color w:val="000000"/>
              </w:rPr>
              <w:t xml:space="preserve">4,173.01 </w:t>
            </w:r>
          </w:p>
        </w:tc>
        <w:tc>
          <w:tcPr>
            <w:tcW w:w="754" w:type="pct"/>
            <w:tcBorders>
              <w:top w:val="single" w:color="auto" w:sz="4" w:space="0"/>
              <w:left w:val="single" w:color="auto" w:sz="4" w:space="0"/>
              <w:bottom w:val="single" w:color="auto" w:sz="4" w:space="0"/>
              <w:right w:val="single" w:color="auto" w:sz="4" w:space="0"/>
            </w:tcBorders>
            <w:vAlign w:val="center"/>
          </w:tcPr>
          <w:p w14:paraId="5105ACB5">
            <w:pPr>
              <w:ind w:left="-53" w:leftChars="-25" w:right="-53" w:rightChars="-25"/>
              <w:jc w:val="right"/>
              <w:rPr>
                <w:color w:val="000000"/>
              </w:rPr>
            </w:pPr>
            <w:r>
              <w:rPr>
                <w:rFonts w:hint="eastAsia"/>
                <w:color w:val="000000"/>
              </w:rPr>
              <w:t xml:space="preserve">5,050.31 </w:t>
            </w:r>
          </w:p>
        </w:tc>
        <w:tc>
          <w:tcPr>
            <w:tcW w:w="607" w:type="pct"/>
            <w:tcBorders>
              <w:top w:val="single" w:color="auto" w:sz="4" w:space="0"/>
              <w:left w:val="single" w:color="auto" w:sz="4" w:space="0"/>
              <w:bottom w:val="single" w:color="auto" w:sz="4" w:space="0"/>
              <w:right w:val="single" w:color="auto" w:sz="4" w:space="0"/>
            </w:tcBorders>
            <w:vAlign w:val="center"/>
          </w:tcPr>
          <w:p w14:paraId="411C2EB0">
            <w:pPr>
              <w:ind w:left="-53" w:leftChars="-25" w:right="-53" w:rightChars="-25"/>
              <w:jc w:val="right"/>
              <w:rPr>
                <w:color w:val="000000"/>
              </w:rPr>
            </w:pPr>
            <w:r>
              <w:rPr>
                <w:rFonts w:hint="eastAsia"/>
                <w:color w:val="000000"/>
              </w:rPr>
              <w:t xml:space="preserve">6,564.01 </w:t>
            </w:r>
          </w:p>
        </w:tc>
        <w:tc>
          <w:tcPr>
            <w:tcW w:w="682" w:type="pct"/>
            <w:tcBorders>
              <w:top w:val="single" w:color="auto" w:sz="4" w:space="0"/>
              <w:left w:val="single" w:color="auto" w:sz="4" w:space="0"/>
              <w:bottom w:val="single" w:color="auto" w:sz="4" w:space="0"/>
              <w:right w:val="single" w:color="auto" w:sz="4" w:space="0"/>
            </w:tcBorders>
            <w:vAlign w:val="center"/>
          </w:tcPr>
          <w:p w14:paraId="3148FE88">
            <w:pPr>
              <w:ind w:left="-53" w:leftChars="-25" w:right="-53" w:rightChars="-25"/>
              <w:jc w:val="right"/>
              <w:rPr>
                <w:color w:val="000000"/>
              </w:rPr>
            </w:pPr>
            <w:r>
              <w:rPr>
                <w:rFonts w:hint="eastAsia"/>
                <w:color w:val="000000"/>
              </w:rPr>
              <w:t xml:space="preserve">418,403.88 </w:t>
            </w:r>
          </w:p>
        </w:tc>
      </w:tr>
      <w:tr w14:paraId="4EB1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tcBorders>
              <w:top w:val="single" w:color="auto" w:sz="4" w:space="0"/>
              <w:left w:val="single" w:color="auto" w:sz="4" w:space="0"/>
              <w:bottom w:val="single" w:color="auto" w:sz="4" w:space="0"/>
              <w:right w:val="single" w:color="auto" w:sz="4" w:space="0"/>
            </w:tcBorders>
            <w:vAlign w:val="center"/>
          </w:tcPr>
          <w:p w14:paraId="1B428FEC">
            <w:pPr>
              <w:ind w:left="-53" w:leftChars="-25" w:right="-53" w:rightChars="-25"/>
            </w:pPr>
            <w:r>
              <w:t>其中：对外交易收入</w:t>
            </w:r>
          </w:p>
        </w:tc>
        <w:tc>
          <w:tcPr>
            <w:tcW w:w="682" w:type="pct"/>
            <w:tcBorders>
              <w:top w:val="single" w:color="auto" w:sz="4" w:space="0"/>
              <w:left w:val="single" w:color="auto" w:sz="4" w:space="0"/>
              <w:bottom w:val="single" w:color="auto" w:sz="4" w:space="0"/>
              <w:right w:val="single" w:color="auto" w:sz="4" w:space="0"/>
            </w:tcBorders>
            <w:vAlign w:val="center"/>
          </w:tcPr>
          <w:p w14:paraId="4B5A5971">
            <w:pPr>
              <w:ind w:left="-53" w:leftChars="-25" w:right="-53" w:rightChars="-25"/>
              <w:jc w:val="right"/>
              <w:rPr>
                <w:color w:val="000000"/>
              </w:rPr>
            </w:pPr>
            <w:r>
              <w:rPr>
                <w:rFonts w:hint="eastAsia"/>
                <w:color w:val="000000"/>
              </w:rPr>
              <w:t xml:space="preserve">148,244.16 </w:t>
            </w:r>
          </w:p>
        </w:tc>
        <w:tc>
          <w:tcPr>
            <w:tcW w:w="683" w:type="pct"/>
            <w:tcBorders>
              <w:top w:val="single" w:color="auto" w:sz="4" w:space="0"/>
              <w:left w:val="single" w:color="auto" w:sz="4" w:space="0"/>
              <w:bottom w:val="single" w:color="auto" w:sz="4" w:space="0"/>
              <w:right w:val="single" w:color="auto" w:sz="4" w:space="0"/>
            </w:tcBorders>
            <w:vAlign w:val="center"/>
          </w:tcPr>
          <w:p w14:paraId="52DFEA1B">
            <w:pPr>
              <w:ind w:left="-53" w:leftChars="-25" w:right="-53" w:rightChars="-25"/>
              <w:jc w:val="right"/>
              <w:rPr>
                <w:color w:val="000000"/>
              </w:rPr>
            </w:pPr>
            <w:r>
              <w:rPr>
                <w:rFonts w:hint="eastAsia"/>
                <w:color w:val="000000"/>
              </w:rPr>
              <w:t xml:space="preserve">262,380.67 </w:t>
            </w:r>
          </w:p>
        </w:tc>
        <w:tc>
          <w:tcPr>
            <w:tcW w:w="683" w:type="pct"/>
            <w:tcBorders>
              <w:top w:val="single" w:color="auto" w:sz="4" w:space="0"/>
              <w:left w:val="single" w:color="auto" w:sz="4" w:space="0"/>
              <w:bottom w:val="single" w:color="auto" w:sz="4" w:space="0"/>
              <w:right w:val="single" w:color="auto" w:sz="4" w:space="0"/>
            </w:tcBorders>
            <w:vAlign w:val="center"/>
          </w:tcPr>
          <w:p w14:paraId="53D280DC">
            <w:pPr>
              <w:ind w:left="-53" w:leftChars="-25" w:right="-53" w:rightChars="-25"/>
              <w:jc w:val="right"/>
              <w:rPr>
                <w:color w:val="000000"/>
              </w:rPr>
            </w:pPr>
            <w:r>
              <w:rPr>
                <w:rFonts w:hint="eastAsia"/>
                <w:color w:val="000000"/>
              </w:rPr>
              <w:t xml:space="preserve">4,153.27 </w:t>
            </w:r>
          </w:p>
        </w:tc>
        <w:tc>
          <w:tcPr>
            <w:tcW w:w="754" w:type="pct"/>
            <w:tcBorders>
              <w:top w:val="single" w:color="auto" w:sz="4" w:space="0"/>
              <w:left w:val="single" w:color="auto" w:sz="4" w:space="0"/>
              <w:bottom w:val="single" w:color="auto" w:sz="4" w:space="0"/>
              <w:right w:val="single" w:color="auto" w:sz="4" w:space="0"/>
            </w:tcBorders>
            <w:vAlign w:val="center"/>
          </w:tcPr>
          <w:p w14:paraId="0BFCBE62">
            <w:pPr>
              <w:ind w:left="-53" w:leftChars="-25" w:right="-53" w:rightChars="-25"/>
              <w:jc w:val="right"/>
              <w:rPr>
                <w:color w:val="000000"/>
              </w:rPr>
            </w:pPr>
            <w:r>
              <w:rPr>
                <w:rFonts w:hint="eastAsia"/>
                <w:color w:val="000000"/>
              </w:rPr>
              <w:t>3,625.7</w:t>
            </w:r>
            <w:r>
              <w:rPr>
                <w:color w:val="000000"/>
              </w:rPr>
              <w:t>8</w:t>
            </w:r>
            <w:r>
              <w:rPr>
                <w:rFonts w:hint="eastAsia"/>
                <w:color w:val="000000"/>
              </w:rPr>
              <w:t xml:space="preserve"> </w:t>
            </w:r>
          </w:p>
        </w:tc>
        <w:tc>
          <w:tcPr>
            <w:tcW w:w="607" w:type="pct"/>
            <w:tcBorders>
              <w:top w:val="single" w:color="auto" w:sz="4" w:space="0"/>
              <w:left w:val="single" w:color="auto" w:sz="4" w:space="0"/>
              <w:bottom w:val="single" w:color="auto" w:sz="4" w:space="0"/>
              <w:right w:val="single" w:color="auto" w:sz="4" w:space="0"/>
            </w:tcBorders>
            <w:vAlign w:val="center"/>
          </w:tcPr>
          <w:p w14:paraId="2519B68B">
            <w:pPr>
              <w:ind w:left="-53" w:leftChars="-25" w:right="-53" w:rightChars="-25"/>
              <w:jc w:val="right"/>
              <w:rPr>
                <w:color w:val="000000"/>
              </w:rPr>
            </w:pPr>
          </w:p>
        </w:tc>
        <w:tc>
          <w:tcPr>
            <w:tcW w:w="682" w:type="pct"/>
            <w:tcBorders>
              <w:top w:val="single" w:color="auto" w:sz="4" w:space="0"/>
              <w:left w:val="single" w:color="auto" w:sz="4" w:space="0"/>
              <w:bottom w:val="single" w:color="auto" w:sz="4" w:space="0"/>
              <w:right w:val="single" w:color="auto" w:sz="4" w:space="0"/>
            </w:tcBorders>
            <w:vAlign w:val="center"/>
          </w:tcPr>
          <w:p w14:paraId="58C4617F">
            <w:pPr>
              <w:ind w:left="-53" w:leftChars="-25" w:right="-53" w:rightChars="-25"/>
              <w:jc w:val="right"/>
              <w:rPr>
                <w:color w:val="000000"/>
              </w:rPr>
            </w:pPr>
            <w:r>
              <w:rPr>
                <w:color w:val="000000"/>
              </w:rPr>
              <w:t>418,403.88</w:t>
            </w:r>
          </w:p>
        </w:tc>
      </w:tr>
      <w:tr w14:paraId="609E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tcBorders>
              <w:top w:val="single" w:color="auto" w:sz="4" w:space="0"/>
              <w:left w:val="single" w:color="auto" w:sz="4" w:space="0"/>
              <w:bottom w:val="single" w:color="auto" w:sz="4" w:space="0"/>
              <w:right w:val="single" w:color="auto" w:sz="4" w:space="0"/>
            </w:tcBorders>
            <w:vAlign w:val="center"/>
          </w:tcPr>
          <w:p w14:paraId="690344B2">
            <w:pPr>
              <w:ind w:left="-53" w:leftChars="-25" w:right="-53" w:rightChars="-25"/>
            </w:pPr>
            <w:r>
              <w:t>分部间交易收入</w:t>
            </w:r>
          </w:p>
        </w:tc>
        <w:tc>
          <w:tcPr>
            <w:tcW w:w="682" w:type="pct"/>
            <w:tcBorders>
              <w:top w:val="single" w:color="auto" w:sz="4" w:space="0"/>
              <w:left w:val="single" w:color="auto" w:sz="4" w:space="0"/>
              <w:bottom w:val="single" w:color="auto" w:sz="4" w:space="0"/>
              <w:right w:val="single" w:color="auto" w:sz="4" w:space="0"/>
            </w:tcBorders>
            <w:vAlign w:val="center"/>
          </w:tcPr>
          <w:p w14:paraId="1F1DF712">
            <w:pPr>
              <w:ind w:left="-53" w:leftChars="-25" w:right="-53" w:rightChars="-25"/>
              <w:jc w:val="right"/>
              <w:rPr>
                <w:color w:val="000000"/>
              </w:rPr>
            </w:pPr>
            <w:r>
              <w:rPr>
                <w:rFonts w:hint="eastAsia"/>
                <w:color w:val="000000"/>
              </w:rPr>
              <w:t xml:space="preserve">168.91 </w:t>
            </w:r>
          </w:p>
        </w:tc>
        <w:tc>
          <w:tcPr>
            <w:tcW w:w="683" w:type="pct"/>
            <w:tcBorders>
              <w:top w:val="single" w:color="auto" w:sz="4" w:space="0"/>
              <w:left w:val="single" w:color="auto" w:sz="4" w:space="0"/>
              <w:bottom w:val="single" w:color="auto" w:sz="4" w:space="0"/>
              <w:right w:val="single" w:color="auto" w:sz="4" w:space="0"/>
            </w:tcBorders>
            <w:vAlign w:val="center"/>
          </w:tcPr>
          <w:p w14:paraId="7E2866C3">
            <w:pPr>
              <w:ind w:left="-53" w:leftChars="-25" w:right="-53" w:rightChars="-25"/>
              <w:jc w:val="right"/>
              <w:rPr>
                <w:color w:val="000000"/>
              </w:rPr>
            </w:pPr>
            <w:r>
              <w:rPr>
                <w:rFonts w:hint="eastAsia"/>
                <w:color w:val="000000"/>
              </w:rPr>
              <w:t xml:space="preserve">4,950.82 </w:t>
            </w:r>
          </w:p>
        </w:tc>
        <w:tc>
          <w:tcPr>
            <w:tcW w:w="683" w:type="pct"/>
            <w:tcBorders>
              <w:top w:val="single" w:color="auto" w:sz="4" w:space="0"/>
              <w:left w:val="single" w:color="auto" w:sz="4" w:space="0"/>
              <w:bottom w:val="single" w:color="auto" w:sz="4" w:space="0"/>
              <w:right w:val="single" w:color="auto" w:sz="4" w:space="0"/>
            </w:tcBorders>
            <w:vAlign w:val="center"/>
          </w:tcPr>
          <w:p w14:paraId="7096B9FE">
            <w:pPr>
              <w:ind w:left="-53" w:leftChars="-25" w:right="-53" w:rightChars="-25"/>
              <w:jc w:val="right"/>
              <w:rPr>
                <w:color w:val="000000"/>
              </w:rPr>
            </w:pPr>
            <w:r>
              <w:rPr>
                <w:rFonts w:hint="eastAsia"/>
                <w:color w:val="000000"/>
              </w:rPr>
              <w:t xml:space="preserve">19.75 </w:t>
            </w:r>
          </w:p>
        </w:tc>
        <w:tc>
          <w:tcPr>
            <w:tcW w:w="754" w:type="pct"/>
            <w:tcBorders>
              <w:top w:val="single" w:color="auto" w:sz="4" w:space="0"/>
              <w:left w:val="single" w:color="auto" w:sz="4" w:space="0"/>
              <w:bottom w:val="single" w:color="auto" w:sz="4" w:space="0"/>
              <w:right w:val="single" w:color="auto" w:sz="4" w:space="0"/>
            </w:tcBorders>
            <w:vAlign w:val="center"/>
          </w:tcPr>
          <w:p w14:paraId="7A1A4FC5">
            <w:pPr>
              <w:ind w:left="-53" w:leftChars="-25" w:right="-53" w:rightChars="-25"/>
              <w:jc w:val="right"/>
              <w:rPr>
                <w:color w:val="000000"/>
              </w:rPr>
            </w:pPr>
            <w:r>
              <w:rPr>
                <w:rFonts w:hint="eastAsia"/>
                <w:color w:val="000000"/>
              </w:rPr>
              <w:t xml:space="preserve">1,424.53 </w:t>
            </w:r>
          </w:p>
        </w:tc>
        <w:tc>
          <w:tcPr>
            <w:tcW w:w="607" w:type="pct"/>
            <w:tcBorders>
              <w:top w:val="single" w:color="auto" w:sz="4" w:space="0"/>
              <w:left w:val="single" w:color="auto" w:sz="4" w:space="0"/>
              <w:bottom w:val="single" w:color="auto" w:sz="4" w:space="0"/>
              <w:right w:val="single" w:color="auto" w:sz="4" w:space="0"/>
            </w:tcBorders>
            <w:vAlign w:val="center"/>
          </w:tcPr>
          <w:p w14:paraId="5C991F0F">
            <w:pPr>
              <w:ind w:left="-53" w:leftChars="-25" w:right="-53" w:rightChars="-25"/>
              <w:jc w:val="right"/>
              <w:rPr>
                <w:color w:val="000000"/>
              </w:rPr>
            </w:pPr>
            <w:r>
              <w:rPr>
                <w:rFonts w:hint="eastAsia"/>
                <w:color w:val="000000"/>
              </w:rPr>
              <w:t xml:space="preserve">6,564.01 </w:t>
            </w:r>
          </w:p>
        </w:tc>
        <w:tc>
          <w:tcPr>
            <w:tcW w:w="682" w:type="pct"/>
            <w:tcBorders>
              <w:top w:val="single" w:color="auto" w:sz="4" w:space="0"/>
              <w:left w:val="single" w:color="auto" w:sz="4" w:space="0"/>
              <w:bottom w:val="single" w:color="auto" w:sz="4" w:space="0"/>
              <w:right w:val="single" w:color="auto" w:sz="4" w:space="0"/>
            </w:tcBorders>
            <w:vAlign w:val="center"/>
          </w:tcPr>
          <w:p w14:paraId="74DABA58">
            <w:pPr>
              <w:ind w:left="-53" w:leftChars="-25" w:right="-53" w:rightChars="-25"/>
              <w:jc w:val="right"/>
              <w:rPr>
                <w:color w:val="000000"/>
              </w:rPr>
            </w:pPr>
            <w:r>
              <w:rPr>
                <w:rFonts w:hint="eastAsia"/>
                <w:color w:val="000000"/>
              </w:rPr>
              <w:t>　</w:t>
            </w:r>
          </w:p>
        </w:tc>
      </w:tr>
      <w:tr w14:paraId="4ECD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tcBorders>
              <w:top w:val="single" w:color="auto" w:sz="4" w:space="0"/>
              <w:left w:val="single" w:color="auto" w:sz="4" w:space="0"/>
              <w:bottom w:val="single" w:color="auto" w:sz="4" w:space="0"/>
              <w:right w:val="single" w:color="auto" w:sz="4" w:space="0"/>
            </w:tcBorders>
            <w:vAlign w:val="center"/>
          </w:tcPr>
          <w:p w14:paraId="20569B8B">
            <w:pPr>
              <w:ind w:left="-53" w:leftChars="-25" w:right="-53" w:rightChars="-25"/>
            </w:pPr>
            <w:r>
              <w:t>二、营业成本</w:t>
            </w:r>
          </w:p>
        </w:tc>
        <w:tc>
          <w:tcPr>
            <w:tcW w:w="682" w:type="pct"/>
            <w:tcBorders>
              <w:top w:val="single" w:color="auto" w:sz="4" w:space="0"/>
              <w:left w:val="single" w:color="auto" w:sz="4" w:space="0"/>
              <w:bottom w:val="single" w:color="auto" w:sz="4" w:space="0"/>
              <w:right w:val="single" w:color="auto" w:sz="4" w:space="0"/>
            </w:tcBorders>
            <w:vAlign w:val="center"/>
          </w:tcPr>
          <w:p w14:paraId="3395E927">
            <w:pPr>
              <w:ind w:left="-53" w:leftChars="-25" w:right="-53" w:rightChars="-25"/>
              <w:jc w:val="right"/>
              <w:rPr>
                <w:color w:val="000000"/>
              </w:rPr>
            </w:pPr>
            <w:r>
              <w:rPr>
                <w:rFonts w:hint="eastAsia"/>
                <w:color w:val="000000"/>
              </w:rPr>
              <w:t xml:space="preserve">132,913.81 </w:t>
            </w:r>
          </w:p>
        </w:tc>
        <w:tc>
          <w:tcPr>
            <w:tcW w:w="683" w:type="pct"/>
            <w:tcBorders>
              <w:top w:val="single" w:color="auto" w:sz="4" w:space="0"/>
              <w:left w:val="single" w:color="auto" w:sz="4" w:space="0"/>
              <w:bottom w:val="single" w:color="auto" w:sz="4" w:space="0"/>
              <w:right w:val="single" w:color="auto" w:sz="4" w:space="0"/>
            </w:tcBorders>
            <w:vAlign w:val="center"/>
          </w:tcPr>
          <w:p w14:paraId="0DA29BF8">
            <w:pPr>
              <w:ind w:left="-53" w:leftChars="-25" w:right="-53" w:rightChars="-25"/>
              <w:jc w:val="right"/>
              <w:rPr>
                <w:color w:val="000000"/>
              </w:rPr>
            </w:pPr>
            <w:r>
              <w:rPr>
                <w:rFonts w:hint="eastAsia"/>
                <w:color w:val="000000"/>
              </w:rPr>
              <w:t xml:space="preserve">254,008.14 </w:t>
            </w:r>
          </w:p>
        </w:tc>
        <w:tc>
          <w:tcPr>
            <w:tcW w:w="683" w:type="pct"/>
            <w:tcBorders>
              <w:top w:val="single" w:color="auto" w:sz="4" w:space="0"/>
              <w:left w:val="single" w:color="auto" w:sz="4" w:space="0"/>
              <w:bottom w:val="single" w:color="auto" w:sz="4" w:space="0"/>
              <w:right w:val="single" w:color="auto" w:sz="4" w:space="0"/>
            </w:tcBorders>
            <w:vAlign w:val="center"/>
          </w:tcPr>
          <w:p w14:paraId="5B51DCD7">
            <w:pPr>
              <w:ind w:left="-53" w:leftChars="-25" w:right="-53" w:rightChars="-25"/>
              <w:jc w:val="right"/>
              <w:rPr>
                <w:color w:val="000000"/>
              </w:rPr>
            </w:pPr>
            <w:r>
              <w:rPr>
                <w:rFonts w:hint="eastAsia"/>
                <w:color w:val="000000"/>
              </w:rPr>
              <w:t xml:space="preserve">240.11 </w:t>
            </w:r>
          </w:p>
        </w:tc>
        <w:tc>
          <w:tcPr>
            <w:tcW w:w="754" w:type="pct"/>
            <w:tcBorders>
              <w:top w:val="single" w:color="auto" w:sz="4" w:space="0"/>
              <w:left w:val="single" w:color="auto" w:sz="4" w:space="0"/>
              <w:bottom w:val="single" w:color="auto" w:sz="4" w:space="0"/>
              <w:right w:val="single" w:color="auto" w:sz="4" w:space="0"/>
            </w:tcBorders>
            <w:vAlign w:val="center"/>
          </w:tcPr>
          <w:p w14:paraId="32058BC8">
            <w:pPr>
              <w:ind w:left="-53" w:leftChars="-25" w:right="-53" w:rightChars="-25"/>
              <w:jc w:val="right"/>
              <w:rPr>
                <w:color w:val="000000"/>
              </w:rPr>
            </w:pPr>
            <w:r>
              <w:rPr>
                <w:rFonts w:hint="eastAsia"/>
                <w:color w:val="000000"/>
              </w:rPr>
              <w:t xml:space="preserve">2,160.59 </w:t>
            </w:r>
          </w:p>
        </w:tc>
        <w:tc>
          <w:tcPr>
            <w:tcW w:w="607" w:type="pct"/>
            <w:tcBorders>
              <w:top w:val="single" w:color="auto" w:sz="4" w:space="0"/>
              <w:left w:val="single" w:color="auto" w:sz="4" w:space="0"/>
              <w:bottom w:val="single" w:color="auto" w:sz="4" w:space="0"/>
              <w:right w:val="single" w:color="auto" w:sz="4" w:space="0"/>
            </w:tcBorders>
            <w:vAlign w:val="center"/>
          </w:tcPr>
          <w:p w14:paraId="3FF85BE6">
            <w:pPr>
              <w:ind w:left="-53" w:leftChars="-25" w:right="-53" w:rightChars="-25"/>
              <w:jc w:val="right"/>
              <w:rPr>
                <w:color w:val="000000"/>
              </w:rPr>
            </w:pPr>
            <w:r>
              <w:rPr>
                <w:rFonts w:hint="eastAsia"/>
                <w:color w:val="000000"/>
              </w:rPr>
              <w:t xml:space="preserve">5,585.03 </w:t>
            </w:r>
          </w:p>
        </w:tc>
        <w:tc>
          <w:tcPr>
            <w:tcW w:w="682" w:type="pct"/>
            <w:tcBorders>
              <w:top w:val="single" w:color="auto" w:sz="4" w:space="0"/>
              <w:left w:val="single" w:color="auto" w:sz="4" w:space="0"/>
              <w:bottom w:val="single" w:color="auto" w:sz="4" w:space="0"/>
              <w:right w:val="single" w:color="auto" w:sz="4" w:space="0"/>
            </w:tcBorders>
            <w:vAlign w:val="center"/>
          </w:tcPr>
          <w:p w14:paraId="6C496F77">
            <w:pPr>
              <w:ind w:left="-53" w:leftChars="-25" w:right="-53" w:rightChars="-25"/>
              <w:jc w:val="right"/>
              <w:rPr>
                <w:color w:val="000000"/>
              </w:rPr>
            </w:pPr>
            <w:r>
              <w:rPr>
                <w:rFonts w:hint="eastAsia"/>
                <w:color w:val="000000"/>
              </w:rPr>
              <w:t xml:space="preserve">383,737.62 </w:t>
            </w:r>
          </w:p>
        </w:tc>
      </w:tr>
      <w:tr w14:paraId="378D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tcBorders>
              <w:top w:val="single" w:color="auto" w:sz="4" w:space="0"/>
              <w:left w:val="single" w:color="auto" w:sz="4" w:space="0"/>
              <w:bottom w:val="single" w:color="auto" w:sz="4" w:space="0"/>
              <w:right w:val="single" w:color="auto" w:sz="4" w:space="0"/>
            </w:tcBorders>
            <w:vAlign w:val="center"/>
          </w:tcPr>
          <w:p w14:paraId="1CD186AA">
            <w:pPr>
              <w:ind w:left="-53" w:leftChars="-25" w:right="-53" w:rightChars="-25"/>
            </w:pPr>
            <w:r>
              <w:t>三、资产总额</w:t>
            </w:r>
          </w:p>
        </w:tc>
        <w:tc>
          <w:tcPr>
            <w:tcW w:w="682" w:type="pct"/>
            <w:tcBorders>
              <w:top w:val="single" w:color="auto" w:sz="4" w:space="0"/>
              <w:left w:val="single" w:color="auto" w:sz="4" w:space="0"/>
              <w:bottom w:val="single" w:color="auto" w:sz="4" w:space="0"/>
              <w:right w:val="single" w:color="auto" w:sz="4" w:space="0"/>
            </w:tcBorders>
            <w:vAlign w:val="center"/>
          </w:tcPr>
          <w:p w14:paraId="02FC40D9">
            <w:pPr>
              <w:ind w:left="-53" w:leftChars="-25" w:right="-53" w:rightChars="-25"/>
              <w:jc w:val="right"/>
              <w:rPr>
                <w:color w:val="000000"/>
              </w:rPr>
            </w:pPr>
            <w:r>
              <w:rPr>
                <w:rFonts w:hint="eastAsia"/>
                <w:color w:val="000000"/>
              </w:rPr>
              <w:t xml:space="preserve">386,587.10 </w:t>
            </w:r>
          </w:p>
        </w:tc>
        <w:tc>
          <w:tcPr>
            <w:tcW w:w="683" w:type="pct"/>
            <w:tcBorders>
              <w:top w:val="single" w:color="auto" w:sz="4" w:space="0"/>
              <w:left w:val="single" w:color="auto" w:sz="4" w:space="0"/>
              <w:bottom w:val="single" w:color="auto" w:sz="4" w:space="0"/>
              <w:right w:val="single" w:color="auto" w:sz="4" w:space="0"/>
            </w:tcBorders>
            <w:vAlign w:val="center"/>
          </w:tcPr>
          <w:p w14:paraId="1D752D4D">
            <w:pPr>
              <w:ind w:left="-53" w:leftChars="-25" w:right="-53" w:rightChars="-25"/>
              <w:jc w:val="right"/>
              <w:rPr>
                <w:color w:val="000000"/>
              </w:rPr>
            </w:pPr>
            <w:r>
              <w:rPr>
                <w:color w:val="000000"/>
              </w:rPr>
              <w:t>831,614.26</w:t>
            </w:r>
          </w:p>
        </w:tc>
        <w:tc>
          <w:tcPr>
            <w:tcW w:w="683" w:type="pct"/>
            <w:tcBorders>
              <w:top w:val="single" w:color="auto" w:sz="4" w:space="0"/>
              <w:left w:val="single" w:color="auto" w:sz="4" w:space="0"/>
              <w:bottom w:val="single" w:color="auto" w:sz="4" w:space="0"/>
              <w:right w:val="single" w:color="auto" w:sz="4" w:space="0"/>
            </w:tcBorders>
            <w:vAlign w:val="center"/>
          </w:tcPr>
          <w:p w14:paraId="77A01325">
            <w:pPr>
              <w:ind w:left="-53" w:leftChars="-25" w:right="-53" w:rightChars="-25"/>
              <w:jc w:val="right"/>
              <w:rPr>
                <w:color w:val="000000"/>
              </w:rPr>
            </w:pPr>
            <w:r>
              <w:rPr>
                <w:color w:val="000000"/>
              </w:rPr>
              <w:t>434,738.21</w:t>
            </w:r>
          </w:p>
        </w:tc>
        <w:tc>
          <w:tcPr>
            <w:tcW w:w="754" w:type="pct"/>
            <w:tcBorders>
              <w:top w:val="single" w:color="auto" w:sz="4" w:space="0"/>
              <w:left w:val="single" w:color="auto" w:sz="4" w:space="0"/>
              <w:bottom w:val="single" w:color="auto" w:sz="4" w:space="0"/>
              <w:right w:val="single" w:color="auto" w:sz="4" w:space="0"/>
            </w:tcBorders>
            <w:vAlign w:val="center"/>
          </w:tcPr>
          <w:p w14:paraId="42D9F43C">
            <w:pPr>
              <w:ind w:left="-53" w:leftChars="-25" w:right="-53" w:rightChars="-25"/>
              <w:jc w:val="right"/>
              <w:rPr>
                <w:color w:val="000000"/>
              </w:rPr>
            </w:pPr>
            <w:r>
              <w:rPr>
                <w:color w:val="000000"/>
              </w:rPr>
              <w:t>1,064,663.25</w:t>
            </w:r>
          </w:p>
        </w:tc>
        <w:tc>
          <w:tcPr>
            <w:tcW w:w="607" w:type="pct"/>
            <w:tcBorders>
              <w:top w:val="single" w:color="auto" w:sz="4" w:space="0"/>
              <w:left w:val="single" w:color="auto" w:sz="4" w:space="0"/>
              <w:bottom w:val="single" w:color="auto" w:sz="4" w:space="0"/>
              <w:right w:val="single" w:color="auto" w:sz="4" w:space="0"/>
            </w:tcBorders>
            <w:vAlign w:val="center"/>
          </w:tcPr>
          <w:p w14:paraId="1CBE1320">
            <w:pPr>
              <w:ind w:left="-53" w:leftChars="-25" w:right="-53" w:rightChars="-25"/>
              <w:jc w:val="right"/>
              <w:rPr>
                <w:color w:val="000000"/>
              </w:rPr>
            </w:pPr>
            <w:r>
              <w:rPr>
                <w:color w:val="000000"/>
              </w:rPr>
              <w:t>477,974.49</w:t>
            </w:r>
          </w:p>
        </w:tc>
        <w:tc>
          <w:tcPr>
            <w:tcW w:w="682" w:type="pct"/>
            <w:tcBorders>
              <w:top w:val="single" w:color="auto" w:sz="4" w:space="0"/>
              <w:left w:val="single" w:color="auto" w:sz="4" w:space="0"/>
              <w:bottom w:val="single" w:color="auto" w:sz="4" w:space="0"/>
              <w:right w:val="single" w:color="auto" w:sz="4" w:space="0"/>
            </w:tcBorders>
            <w:vAlign w:val="center"/>
          </w:tcPr>
          <w:p w14:paraId="1A2BCDD7">
            <w:pPr>
              <w:ind w:left="-53" w:leftChars="-25" w:right="-53" w:rightChars="-25"/>
              <w:jc w:val="right"/>
              <w:rPr>
                <w:color w:val="000000"/>
              </w:rPr>
            </w:pPr>
            <w:r>
              <w:rPr>
                <w:color w:val="000000"/>
              </w:rPr>
              <w:t>2, 239,628.33</w:t>
            </w:r>
          </w:p>
        </w:tc>
      </w:tr>
      <w:tr w14:paraId="090F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pct"/>
            <w:tcBorders>
              <w:top w:val="single" w:color="auto" w:sz="4" w:space="0"/>
              <w:left w:val="single" w:color="auto" w:sz="4" w:space="0"/>
              <w:bottom w:val="single" w:color="auto" w:sz="4" w:space="0"/>
              <w:right w:val="single" w:color="auto" w:sz="4" w:space="0"/>
            </w:tcBorders>
            <w:vAlign w:val="center"/>
          </w:tcPr>
          <w:p w14:paraId="223899C4">
            <w:pPr>
              <w:ind w:left="-53" w:leftChars="-25" w:right="-53" w:rightChars="-25"/>
            </w:pPr>
            <w:r>
              <w:t>四、负债总额</w:t>
            </w:r>
          </w:p>
        </w:tc>
        <w:tc>
          <w:tcPr>
            <w:tcW w:w="682" w:type="pct"/>
            <w:tcBorders>
              <w:top w:val="single" w:color="auto" w:sz="4" w:space="0"/>
              <w:left w:val="single" w:color="auto" w:sz="4" w:space="0"/>
              <w:bottom w:val="single" w:color="auto" w:sz="4" w:space="0"/>
              <w:right w:val="single" w:color="auto" w:sz="4" w:space="0"/>
            </w:tcBorders>
            <w:vAlign w:val="center"/>
          </w:tcPr>
          <w:p w14:paraId="4CF80008">
            <w:pPr>
              <w:ind w:left="-53" w:leftChars="-25" w:right="-53" w:rightChars="-25"/>
              <w:jc w:val="right"/>
              <w:rPr>
                <w:color w:val="000000"/>
              </w:rPr>
            </w:pPr>
            <w:r>
              <w:rPr>
                <w:rFonts w:hint="eastAsia"/>
                <w:color w:val="000000"/>
              </w:rPr>
              <w:t xml:space="preserve">308,930.88 </w:t>
            </w:r>
          </w:p>
        </w:tc>
        <w:tc>
          <w:tcPr>
            <w:tcW w:w="683" w:type="pct"/>
            <w:tcBorders>
              <w:top w:val="single" w:color="auto" w:sz="4" w:space="0"/>
              <w:left w:val="single" w:color="auto" w:sz="4" w:space="0"/>
              <w:bottom w:val="single" w:color="auto" w:sz="4" w:space="0"/>
              <w:right w:val="single" w:color="auto" w:sz="4" w:space="0"/>
            </w:tcBorders>
            <w:vAlign w:val="center"/>
          </w:tcPr>
          <w:p w14:paraId="1EF0E616">
            <w:pPr>
              <w:ind w:left="-53" w:leftChars="-25" w:right="-53" w:rightChars="-25"/>
              <w:jc w:val="right"/>
              <w:rPr>
                <w:color w:val="000000"/>
              </w:rPr>
            </w:pPr>
            <w:r>
              <w:rPr>
                <w:rFonts w:hint="eastAsia"/>
                <w:color w:val="000000"/>
              </w:rPr>
              <w:t xml:space="preserve">924,166.78 </w:t>
            </w:r>
          </w:p>
        </w:tc>
        <w:tc>
          <w:tcPr>
            <w:tcW w:w="683" w:type="pct"/>
            <w:tcBorders>
              <w:top w:val="single" w:color="auto" w:sz="4" w:space="0"/>
              <w:left w:val="single" w:color="auto" w:sz="4" w:space="0"/>
              <w:bottom w:val="single" w:color="auto" w:sz="4" w:space="0"/>
              <w:right w:val="single" w:color="auto" w:sz="4" w:space="0"/>
            </w:tcBorders>
            <w:vAlign w:val="center"/>
          </w:tcPr>
          <w:p w14:paraId="0CA35A18">
            <w:pPr>
              <w:ind w:left="-53" w:leftChars="-25" w:right="-53" w:rightChars="-25"/>
              <w:jc w:val="right"/>
              <w:rPr>
                <w:color w:val="000000"/>
              </w:rPr>
            </w:pPr>
            <w:r>
              <w:rPr>
                <w:color w:val="000000"/>
              </w:rPr>
              <w:t>227,676.05</w:t>
            </w:r>
          </w:p>
        </w:tc>
        <w:tc>
          <w:tcPr>
            <w:tcW w:w="754" w:type="pct"/>
            <w:tcBorders>
              <w:top w:val="single" w:color="auto" w:sz="4" w:space="0"/>
              <w:left w:val="single" w:color="auto" w:sz="4" w:space="0"/>
              <w:bottom w:val="single" w:color="auto" w:sz="4" w:space="0"/>
              <w:right w:val="single" w:color="auto" w:sz="4" w:space="0"/>
            </w:tcBorders>
            <w:vAlign w:val="center"/>
          </w:tcPr>
          <w:p w14:paraId="604F1FDA">
            <w:pPr>
              <w:ind w:left="-53" w:leftChars="-25" w:right="-53" w:rightChars="-25"/>
              <w:jc w:val="right"/>
              <w:rPr>
                <w:color w:val="000000"/>
              </w:rPr>
            </w:pPr>
            <w:r>
              <w:rPr>
                <w:color w:val="000000"/>
              </w:rPr>
              <w:t>177,894.04</w:t>
            </w:r>
          </w:p>
        </w:tc>
        <w:tc>
          <w:tcPr>
            <w:tcW w:w="607" w:type="pct"/>
            <w:tcBorders>
              <w:top w:val="single" w:color="auto" w:sz="4" w:space="0"/>
              <w:left w:val="single" w:color="auto" w:sz="4" w:space="0"/>
              <w:bottom w:val="single" w:color="auto" w:sz="4" w:space="0"/>
              <w:right w:val="single" w:color="auto" w:sz="4" w:space="0"/>
            </w:tcBorders>
            <w:vAlign w:val="center"/>
          </w:tcPr>
          <w:p w14:paraId="7E14E5D4">
            <w:pPr>
              <w:ind w:left="-53" w:leftChars="-25" w:right="-53" w:rightChars="-25"/>
              <w:jc w:val="right"/>
              <w:rPr>
                <w:color w:val="000000"/>
              </w:rPr>
            </w:pPr>
            <w:r>
              <w:rPr>
                <w:color w:val="000000"/>
              </w:rPr>
              <w:t>555,245.63</w:t>
            </w:r>
          </w:p>
        </w:tc>
        <w:tc>
          <w:tcPr>
            <w:tcW w:w="682" w:type="pct"/>
            <w:tcBorders>
              <w:top w:val="single" w:color="auto" w:sz="4" w:space="0"/>
              <w:left w:val="single" w:color="auto" w:sz="4" w:space="0"/>
              <w:bottom w:val="single" w:color="auto" w:sz="4" w:space="0"/>
              <w:right w:val="single" w:color="auto" w:sz="4" w:space="0"/>
            </w:tcBorders>
            <w:vAlign w:val="center"/>
          </w:tcPr>
          <w:p w14:paraId="4A042867">
            <w:pPr>
              <w:ind w:left="-53" w:leftChars="-25" w:right="-53" w:rightChars="-25"/>
              <w:jc w:val="right"/>
              <w:rPr>
                <w:color w:val="000000"/>
              </w:rPr>
            </w:pPr>
            <w:r>
              <w:rPr>
                <w:color w:val="000000"/>
              </w:rPr>
              <w:t>1,083,422.12</w:t>
            </w:r>
          </w:p>
        </w:tc>
      </w:tr>
    </w:tbl>
    <w:p w14:paraId="7801D749">
      <w:pPr>
        <w:rPr>
          <w:color w:val="000000" w:themeColor="text1"/>
          <w14:textFill>
            <w14:solidFill>
              <w14:schemeClr w14:val="tx1"/>
            </w14:solidFill>
          </w14:textFill>
        </w:rPr>
      </w:pPr>
    </w:p>
    <w:p w14:paraId="636D35E1">
      <w:pPr>
        <w:pStyle w:val="5"/>
        <w:numPr>
          <w:ilvl w:val="1"/>
          <w:numId w:val="102"/>
        </w:numPr>
        <w:tabs>
          <w:tab w:val="left" w:pos="644"/>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公司无报告分部的，或者不能披露各报告分部的资产总额和负债总额的，应说明原因</w:t>
      </w:r>
    </w:p>
    <w:sdt>
      <w:sdtPr>
        <w:rPr>
          <w:rFonts w:hint="eastAsia"/>
          <w:color w:val="000000" w:themeColor="text1"/>
          <w14:textFill>
            <w14:solidFill>
              <w14:schemeClr w14:val="tx1"/>
            </w14:solidFill>
          </w14:textFill>
        </w:rPr>
        <w:alias w:val="是否适用：公司无报告分部的，或者不能披露各报告分部的资产总额和负债总额的，应说明原因[双击切换]"/>
        <w:tag w:val="_GBC_de327191b263431db97d3ba75838aba8"/>
        <w:id w:val="1107006944"/>
        <w:placeholder>
          <w:docPart w:val="GBC22222222222222222222222222222"/>
        </w:placeholder>
      </w:sdtPr>
      <w:sdtEndPr>
        <w:rPr>
          <w:rFonts w:hint="eastAsia"/>
          <w:color w:val="000000" w:themeColor="text1"/>
          <w14:textFill>
            <w14:solidFill>
              <w14:schemeClr w14:val="tx1"/>
            </w14:solidFill>
          </w14:textFill>
        </w:rPr>
      </w:sdtEndPr>
      <w:sdtContent>
        <w:p w14:paraId="7FB1387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20B4771">
      <w:pPr>
        <w:rPr>
          <w:color w:val="000000" w:themeColor="text1"/>
          <w14:textFill>
            <w14:solidFill>
              <w14:schemeClr w14:val="tx1"/>
            </w14:solidFill>
          </w14:textFill>
        </w:rPr>
      </w:pPr>
    </w:p>
    <w:p w14:paraId="79B30324">
      <w:pPr>
        <w:pStyle w:val="5"/>
        <w:numPr>
          <w:ilvl w:val="1"/>
          <w:numId w:val="102"/>
        </w:numPr>
        <w:tabs>
          <w:tab w:val="left" w:pos="644"/>
        </w:tabs>
        <w:ind w:left="42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其他说明</w:t>
      </w:r>
    </w:p>
    <w:sdt>
      <w:sdtPr>
        <w:rPr>
          <w:color w:val="000000" w:themeColor="text1"/>
          <w14:textFill>
            <w14:solidFill>
              <w14:schemeClr w14:val="tx1"/>
            </w14:solidFill>
          </w14:textFill>
        </w:rPr>
        <w:alias w:val="是否适用：分部信息的其他说明[双击切换]"/>
        <w:tag w:val="_GBC_d4186588d0fd49e5b2642a9422c2353f"/>
        <w:id w:val="397011028"/>
        <w:placeholder>
          <w:docPart w:val="GBC22222222222222222222222222222"/>
        </w:placeholder>
      </w:sdtPr>
      <w:sdtEndPr>
        <w:rPr>
          <w:color w:val="000000" w:themeColor="text1"/>
          <w14:textFill>
            <w14:solidFill>
              <w14:schemeClr w14:val="tx1"/>
            </w14:solidFill>
          </w14:textFill>
        </w:rPr>
      </w:sdtEndPr>
      <w:sdtContent>
        <w:p w14:paraId="7F2DF7F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7CAC704">
      <w:pPr>
        <w:rPr>
          <w:color w:val="000000" w:themeColor="text1"/>
          <w14:textFill>
            <w14:solidFill>
              <w14:schemeClr w14:val="tx1"/>
            </w14:solidFill>
          </w14:textFill>
        </w:rPr>
      </w:pPr>
    </w:p>
    <w:p w14:paraId="24CEBFBD">
      <w:pPr>
        <w:pStyle w:val="4"/>
        <w:numPr>
          <w:ilvl w:val="0"/>
          <w:numId w:val="99"/>
        </w:numPr>
        <w:rPr>
          <w:rFonts w:ascii="宋体" w:hAnsi="宋体"/>
          <w:color w:val="000000" w:themeColor="text1"/>
          <w14:textFill>
            <w14:solidFill>
              <w14:schemeClr w14:val="tx1"/>
            </w14:solidFill>
          </w14:textFill>
        </w:rPr>
      </w:pPr>
      <w:bookmarkStart w:id="395" w:name="_Toc241636520"/>
      <w:bookmarkEnd w:id="395"/>
      <w:r>
        <w:rPr>
          <w:rFonts w:hint="eastAsia" w:ascii="宋体" w:hAnsi="宋体"/>
          <w:color w:val="000000" w:themeColor="text1"/>
          <w14:textFill>
            <w14:solidFill>
              <w14:schemeClr w14:val="tx1"/>
            </w14:solidFill>
          </w14:textFill>
        </w:rPr>
        <w:t>其他对投资者决策有影响的重要交易和事项</w:t>
      </w:r>
    </w:p>
    <w:sdt>
      <w:sdtPr>
        <w:rPr>
          <w:color w:val="000000" w:themeColor="text1"/>
          <w14:textFill>
            <w14:solidFill>
              <w14:schemeClr w14:val="tx1"/>
            </w14:solidFill>
          </w14:textFill>
        </w:rPr>
        <w:alias w:val="是否适用：其他对投资者决策有影响的重要交易和事项[双击切换]"/>
        <w:tag w:val="_GBC_6bb0ea1e73f644b99b2bccc9d2ea19e9"/>
        <w:id w:val="1154107076"/>
        <w:placeholder>
          <w:docPart w:val="GBC22222222222222222222222222222"/>
        </w:placeholder>
      </w:sdtPr>
      <w:sdtEndPr>
        <w:rPr>
          <w:color w:val="000000" w:themeColor="text1"/>
          <w14:textFill>
            <w14:solidFill>
              <w14:schemeClr w14:val="tx1"/>
            </w14:solidFill>
          </w14:textFill>
        </w:rPr>
      </w:sdtEndPr>
      <w:sdtContent>
        <w:p w14:paraId="227AA17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7E420BF">
      <w:pPr>
        <w:rPr>
          <w:color w:val="000000" w:themeColor="text1"/>
          <w14:textFill>
            <w14:solidFill>
              <w14:schemeClr w14:val="tx1"/>
            </w14:solidFill>
          </w14:textFill>
        </w:rPr>
      </w:pPr>
    </w:p>
    <w:p w14:paraId="309F7399">
      <w:pPr>
        <w:pStyle w:val="4"/>
        <w:numPr>
          <w:ilvl w:val="0"/>
          <w:numId w:val="9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w:t>
      </w:r>
    </w:p>
    <w:sdt>
      <w:sdtPr>
        <w:rPr>
          <w:color w:val="000000" w:themeColor="text1"/>
          <w14:textFill>
            <w14:solidFill>
              <w14:schemeClr w14:val="tx1"/>
            </w14:solidFill>
          </w14:textFill>
        </w:rPr>
        <w:alias w:val="是否适用：其他重要事项的说明[双击切换]"/>
        <w:tag w:val="_GBC_518cb9b615c44ff597f57c3bba95c7fa"/>
        <w:id w:val="830713069"/>
        <w:placeholder>
          <w:docPart w:val="GBC22222222222222222222222222222"/>
        </w:placeholder>
      </w:sdtPr>
      <w:sdtEndPr>
        <w:rPr>
          <w:color w:val="000000" w:themeColor="text1"/>
          <w14:textFill>
            <w14:solidFill>
              <w14:schemeClr w14:val="tx1"/>
            </w14:solidFill>
          </w14:textFill>
        </w:rPr>
      </w:sdtEndPr>
      <w:sdtContent>
        <w:p w14:paraId="238F4FC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716CE0F">
      <w:pPr>
        <w:rPr>
          <w:color w:val="000000" w:themeColor="text1"/>
          <w14:textFill>
            <w14:solidFill>
              <w14:schemeClr w14:val="tx1"/>
            </w14:solidFill>
          </w14:textFill>
        </w:rPr>
      </w:pPr>
    </w:p>
    <w:p w14:paraId="0FAB2EC1">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母公司财务报表主要项目注释</w:t>
      </w:r>
    </w:p>
    <w:p w14:paraId="2A45AD17">
      <w:pPr>
        <w:pStyle w:val="4"/>
        <w:numPr>
          <w:ilvl w:val="0"/>
          <w:numId w:val="103"/>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应收账款</w:t>
      </w:r>
    </w:p>
    <w:p w14:paraId="4E4A25A9">
      <w:pPr>
        <w:pStyle w:val="5"/>
        <w:numPr>
          <w:ilvl w:val="3"/>
          <w:numId w:val="104"/>
        </w:numPr>
        <w:ind w:left="426" w:hanging="426" w:hangingChars="202"/>
        <w:rPr>
          <w:color w:val="000000" w:themeColor="text1"/>
          <w14:textFill>
            <w14:solidFill>
              <w14:schemeClr w14:val="tx1"/>
            </w14:solidFill>
          </w14:textFill>
        </w:rPr>
      </w:pPr>
      <w:bookmarkStart w:id="396" w:name="_Hlk533796665"/>
      <w:bookmarkStart w:id="397" w:name="_Hlk167980323"/>
      <w:r>
        <w:rPr>
          <w:rFonts w:hint="eastAsia"/>
          <w:color w:val="000000" w:themeColor="text1"/>
          <w14:textFill>
            <w14:solidFill>
              <w14:schemeClr w14:val="tx1"/>
            </w14:solidFill>
          </w14:textFill>
        </w:rPr>
        <w:t>按账龄披露</w:t>
      </w:r>
    </w:p>
    <w:sdt>
      <w:sdtPr>
        <w:rPr>
          <w:color w:val="000000" w:themeColor="text1"/>
          <w14:textFill>
            <w14:solidFill>
              <w14:schemeClr w14:val="tx1"/>
            </w14:solidFill>
          </w14:textFill>
        </w:rPr>
        <w:alias w:val="是否适用：母公司应收账款按账龄披露[双击切换]"/>
        <w:tag w:val="_GBC_801584c2698f4c75b9eab05c08a26afd"/>
        <w:id w:val="1750157997"/>
        <w:placeholder>
          <w:docPart w:val="GBC22222222222222222222222222222"/>
        </w:placeholder>
      </w:sdtPr>
      <w:sdtEndPr>
        <w:rPr>
          <w:color w:val="000000" w:themeColor="text1"/>
          <w14:textFill>
            <w14:solidFill>
              <w14:schemeClr w14:val="tx1"/>
            </w14:solidFill>
          </w14:textFill>
        </w:rPr>
      </w:sdtEndPr>
      <w:sdtContent>
        <w:p w14:paraId="271C78DC">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3D9C947">
      <w:pPr>
        <w:rPr>
          <w:color w:val="000000" w:themeColor="text1"/>
          <w14:textFill>
            <w14:solidFill>
              <w14:schemeClr w14:val="tx1"/>
            </w14:solidFill>
          </w14:textFill>
        </w:rPr>
      </w:pPr>
    </w:p>
    <w:bookmarkEnd w:id="396"/>
    <w:bookmarkEnd w:id="397"/>
    <w:p w14:paraId="29A000A2">
      <w:pPr>
        <w:pStyle w:val="5"/>
        <w:numPr>
          <w:ilvl w:val="3"/>
          <w:numId w:val="104"/>
        </w:numPr>
        <w:ind w:left="426" w:hanging="426" w:hangingChars="202"/>
        <w:rPr>
          <w:color w:val="000000" w:themeColor="text1"/>
          <w14:textFill>
            <w14:solidFill>
              <w14:schemeClr w14:val="tx1"/>
            </w14:solidFill>
          </w14:textFill>
        </w:rPr>
      </w:pPr>
      <w:bookmarkStart w:id="398" w:name="_Hlk10540024"/>
      <w:r>
        <w:rPr>
          <w:rFonts w:hint="eastAsia"/>
          <w:color w:val="000000" w:themeColor="text1"/>
          <w14:textFill>
            <w14:solidFill>
              <w14:schemeClr w14:val="tx1"/>
            </w14:solidFill>
          </w14:textFill>
        </w:rPr>
        <w:t>按坏账计提方法分类披露</w:t>
      </w:r>
    </w:p>
    <w:sdt>
      <w:sdtPr>
        <w:rPr>
          <w:color w:val="000000" w:themeColor="text1"/>
          <w14:textFill>
            <w14:solidFill>
              <w14:schemeClr w14:val="tx1"/>
            </w14:solidFill>
          </w14:textFill>
        </w:rPr>
        <w:alias w:val="是否适用：母公司应收账款按坏账计提方法分类披露[双击切换]"/>
        <w:tag w:val="_GBC_bd7fb52eb7f647d5aa6c10677b261ee1"/>
        <w:id w:val="472102356"/>
        <w:placeholder>
          <w:docPart w:val="GBC22222222222222222222222222222"/>
        </w:placeholder>
      </w:sdtPr>
      <w:sdtEndPr>
        <w:rPr>
          <w:color w:val="000000" w:themeColor="text1"/>
          <w14:textFill>
            <w14:solidFill>
              <w14:schemeClr w14:val="tx1"/>
            </w14:solidFill>
          </w14:textFill>
        </w:rPr>
      </w:sdtEndPr>
      <w:sdtContent>
        <w:p w14:paraId="2037850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4CA3CB6">
      <w:pPr>
        <w:rPr>
          <w:color w:val="000000" w:themeColor="text1"/>
          <w14:textFill>
            <w14:solidFill>
              <w14:schemeClr w14:val="tx1"/>
            </w14:solidFill>
          </w14:textFill>
        </w:rPr>
      </w:pPr>
    </w:p>
    <w:bookmarkEnd w:id="398"/>
    <w:p w14:paraId="253444D9">
      <w:pPr>
        <w:rPr>
          <w:color w:val="000000" w:themeColor="text1"/>
          <w14:textFill>
            <w14:solidFill>
              <w14:schemeClr w14:val="tx1"/>
            </w14:solidFill>
          </w14:textFill>
        </w:rPr>
      </w:pPr>
      <w:bookmarkStart w:id="399" w:name="_Hlk10540045"/>
      <w:bookmarkStart w:id="400" w:name="_Hlk10540056"/>
      <w:r>
        <w:rPr>
          <w:rFonts w:hint="eastAsia"/>
          <w:color w:val="000000" w:themeColor="text1"/>
          <w14:textFill>
            <w14:solidFill>
              <w14:schemeClr w14:val="tx1"/>
            </w14:solidFill>
          </w14:textFill>
        </w:rPr>
        <w:t>按单项计提坏账准备：</w:t>
      </w:r>
      <w:bookmarkEnd w:id="399"/>
    </w:p>
    <w:sdt>
      <w:sdtPr>
        <w:rPr>
          <w:color w:val="000000" w:themeColor="text1"/>
          <w14:textFill>
            <w14:solidFill>
              <w14:schemeClr w14:val="tx1"/>
            </w14:solidFill>
          </w14:textFill>
        </w:rPr>
        <w:alias w:val="是否适用：母公司应收账款按单项计提坏账准备[双击切换]"/>
        <w:tag w:val="_GBC_6aa7698e624f4481b0cf894058a63961"/>
        <w:id w:val="-481149644"/>
        <w:placeholder>
          <w:docPart w:val="GBC22222222222222222222222222222"/>
        </w:placeholder>
      </w:sdtPr>
      <w:sdtEndPr>
        <w:rPr>
          <w:color w:val="000000" w:themeColor="text1"/>
          <w14:textFill>
            <w14:solidFill>
              <w14:schemeClr w14:val="tx1"/>
            </w14:solidFill>
          </w14:textFill>
        </w:rPr>
      </w:sdtEndPr>
      <w:sdtContent>
        <w:p w14:paraId="2A21215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A5D5A95">
      <w:pPr>
        <w:rPr>
          <w:color w:val="000000" w:themeColor="text1"/>
          <w14:textFill>
            <w14:solidFill>
              <w14:schemeClr w14:val="tx1"/>
            </w14:solidFill>
          </w14:textFill>
        </w:rPr>
      </w:pPr>
    </w:p>
    <w:p w14:paraId="13EE0632">
      <w:pPr>
        <w:rPr>
          <w:color w:val="000000" w:themeColor="text1"/>
          <w14:textFill>
            <w14:solidFill>
              <w14:schemeClr w14:val="tx1"/>
            </w14:solidFill>
          </w14:textFill>
        </w:rPr>
      </w:pPr>
    </w:p>
    <w:bookmarkEnd w:id="400"/>
    <w:p w14:paraId="24C7B51D">
      <w:pPr>
        <w:rPr>
          <w:color w:val="000000" w:themeColor="text1"/>
          <w14:textFill>
            <w14:solidFill>
              <w14:schemeClr w14:val="tx1"/>
            </w14:solidFill>
          </w14:textFill>
        </w:rPr>
      </w:pPr>
      <w:bookmarkStart w:id="401" w:name="_Hlk10540079"/>
      <w:r>
        <w:rPr>
          <w:rFonts w:hint="eastAsia"/>
          <w:color w:val="000000" w:themeColor="text1"/>
          <w14:textFill>
            <w14:solidFill>
              <w14:schemeClr w14:val="tx1"/>
            </w14:solidFill>
          </w14:textFill>
        </w:rPr>
        <w:t>按组合计提坏账准备：</w:t>
      </w:r>
    </w:p>
    <w:sdt>
      <w:sdtPr>
        <w:rPr>
          <w:color w:val="000000" w:themeColor="text1"/>
          <w14:textFill>
            <w14:solidFill>
              <w14:schemeClr w14:val="tx1"/>
            </w14:solidFill>
          </w14:textFill>
        </w:rPr>
        <w:alias w:val="是否适用：母公司应收账款按组合计提坏账准备[双击切换]"/>
        <w:tag w:val="_GBC_bf96e631f2cf4f6a876dff49863ee9d3"/>
        <w:id w:val="1169988646"/>
        <w:placeholder>
          <w:docPart w:val="GBC22222222222222222222222222222"/>
        </w:placeholder>
      </w:sdtPr>
      <w:sdtEndPr>
        <w:rPr>
          <w:color w:val="000000" w:themeColor="text1"/>
          <w14:textFill>
            <w14:solidFill>
              <w14:schemeClr w14:val="tx1"/>
            </w14:solidFill>
          </w14:textFill>
        </w:rPr>
      </w:sdtEndPr>
      <w:sdtContent>
        <w:p w14:paraId="10DDB03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01"/>
    <w:p w14:paraId="1D9F342E">
      <w:pPr>
        <w:rPr>
          <w:color w:val="000000" w:themeColor="text1"/>
          <w14:textFill>
            <w14:solidFill>
              <w14:schemeClr w14:val="tx1"/>
            </w14:solidFill>
          </w14:textFill>
        </w:rPr>
      </w:pPr>
    </w:p>
    <w:p w14:paraId="4558EAF0">
      <w:pPr>
        <w:rPr>
          <w:color w:val="000000" w:themeColor="text1"/>
          <w14:textFill>
            <w14:solidFill>
              <w14:schemeClr w14:val="tx1"/>
            </w14:solidFill>
          </w14:textFill>
        </w:rPr>
      </w:pPr>
      <w:bookmarkStart w:id="402" w:name="_Hlk167980591"/>
      <w:bookmarkStart w:id="403" w:name="_Hlk534616017"/>
      <w:r>
        <w:rPr>
          <w:rFonts w:hint="eastAsia"/>
          <w:color w:val="000000" w:themeColor="text1"/>
          <w14:textFill>
            <w14:solidFill>
              <w14:schemeClr w14:val="tx1"/>
            </w14:solidFill>
          </w14:textFill>
        </w:rPr>
        <w:t>按预期信用损失一般模型计提坏账准备</w:t>
      </w:r>
    </w:p>
    <w:sdt>
      <w:sdtPr>
        <w:rPr>
          <w:color w:val="000000" w:themeColor="text1"/>
          <w14:textFill>
            <w14:solidFill>
              <w14:schemeClr w14:val="tx1"/>
            </w14:solidFill>
          </w14:textFill>
        </w:rPr>
        <w:alias w:val="是否适用：母公司应收账款按一般预计信用损失模型计提坏账[双击切换]"/>
        <w:tag w:val="_GBC_f0abda0ef94e4c708c624cb545c56aeb"/>
        <w:id w:val="-929580712"/>
        <w:placeholder>
          <w:docPart w:val="GBC22222222222222222222222222222"/>
        </w:placeholder>
      </w:sdtPr>
      <w:sdtEndPr>
        <w:rPr>
          <w:color w:val="000000" w:themeColor="text1"/>
          <w14:textFill>
            <w14:solidFill>
              <w14:schemeClr w14:val="tx1"/>
            </w14:solidFill>
          </w14:textFill>
        </w:rPr>
      </w:sdtEndPr>
      <w:sdtContent>
        <w:p w14:paraId="6A2AB92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8C78232">
      <w:pPr>
        <w:rPr>
          <w:color w:val="000000" w:themeColor="text1"/>
          <w14:textFill>
            <w14:solidFill>
              <w14:schemeClr w14:val="tx1"/>
            </w14:solidFill>
          </w14:textFill>
        </w:rPr>
      </w:pPr>
    </w:p>
    <w:p w14:paraId="562AE6B3">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color w:val="000000" w:themeColor="text1"/>
          <w:szCs w:val="22"/>
          <w14:textFill>
            <w14:solidFill>
              <w14:schemeClr w14:val="tx1"/>
            </w14:solidFill>
          </w14:textFill>
        </w:rPr>
        <w:alias w:val="各阶段划分依据和坏账准备计提比例"/>
        <w:tag w:val="_GBC_0489be1e98c542ca9f393e48f8ce8d06"/>
        <w:id w:val="-663700889"/>
        <w:placeholder>
          <w:docPart w:val="GBC22222222222222222222222222222"/>
        </w:placeholder>
      </w:sdtPr>
      <w:sdtEndPr>
        <w:rPr>
          <w:rFonts w:cs="Times New Roman"/>
          <w:bCs/>
          <w:color w:val="000000" w:themeColor="text1"/>
          <w:szCs w:val="22"/>
          <w14:textFill>
            <w14:solidFill>
              <w14:schemeClr w14:val="tx1"/>
            </w14:solidFill>
          </w14:textFill>
        </w:rPr>
      </w:sdtEndPr>
      <w:sdtContent>
        <w:p w14:paraId="5A87ACC0">
          <w:pPr>
            <w:rPr>
              <w:rFonts w:cs="Times New Roman"/>
              <w:bCs/>
              <w:color w:val="000000" w:themeColor="text1"/>
              <w:szCs w:val="22"/>
              <w14:textFill>
                <w14:solidFill>
                  <w14:schemeClr w14:val="tx1"/>
                </w14:solidFill>
              </w14:textFill>
            </w:rPr>
          </w:pPr>
          <w:r>
            <w:rPr>
              <w:rFonts w:hint="eastAsia" w:cs="Times New Roman"/>
              <w:bCs/>
              <w:color w:val="000000" w:themeColor="text1"/>
              <w:szCs w:val="22"/>
              <w14:textFill>
                <w14:solidFill>
                  <w14:schemeClr w14:val="tx1"/>
                </w14:solidFill>
              </w14:textFill>
            </w:rPr>
            <w:t>无</w:t>
          </w:r>
        </w:p>
      </w:sdtContent>
    </w:sdt>
    <w:p w14:paraId="5C3F4845">
      <w:pPr>
        <w:rPr>
          <w:color w:val="000000" w:themeColor="text1"/>
          <w14:textFill>
            <w14:solidFill>
              <w14:schemeClr w14:val="tx1"/>
            </w14:solidFill>
          </w14:textFill>
        </w:rPr>
      </w:pPr>
    </w:p>
    <w:p w14:paraId="0D25EF56">
      <w:pPr>
        <w:pStyle w:val="56"/>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对本期发生损失准备变动的应收账款账面余额显著变动的情况说明：</w:t>
      </w:r>
    </w:p>
    <w:sdt>
      <w:sdtPr>
        <w:rPr>
          <w:color w:val="000000" w:themeColor="text1"/>
          <w14:textFill>
            <w14:solidFill>
              <w14:schemeClr w14:val="tx1"/>
            </w14:solidFill>
          </w14:textFill>
        </w:rPr>
        <w:alias w:val="是否适用：母公司对本期发生损失准备变动的账面余额显著变动的情况说明[双击切换]"/>
        <w:tag w:val="_GBC_c77cf591dcd24f7788bd4150e02a7f8f"/>
        <w:id w:val="1444575763"/>
        <w:placeholder>
          <w:docPart w:val="GBC22222222222222222222222222222"/>
        </w:placeholder>
      </w:sdtPr>
      <w:sdtEndPr>
        <w:rPr>
          <w:color w:val="000000" w:themeColor="text1"/>
          <w14:textFill>
            <w14:solidFill>
              <w14:schemeClr w14:val="tx1"/>
            </w14:solidFill>
          </w14:textFill>
        </w:rPr>
      </w:sdtEndPr>
      <w:sdtContent>
        <w:p w14:paraId="2EB92E01">
          <w:pPr>
            <w:autoSpaceDE w:val="0"/>
            <w:autoSpaceDN w:val="0"/>
            <w:adjustRightInd w:val="0"/>
            <w:ind w:right="105" w:rightChars="50"/>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D285BA">
      <w:pPr>
        <w:rPr>
          <w:color w:val="000000" w:themeColor="text1"/>
          <w14:textFill>
            <w14:solidFill>
              <w14:schemeClr w14:val="tx1"/>
            </w14:solidFill>
          </w14:textFill>
        </w:rPr>
      </w:pPr>
    </w:p>
    <w:bookmarkEnd w:id="402"/>
    <w:bookmarkEnd w:id="403"/>
    <w:p w14:paraId="01E1556E">
      <w:pPr>
        <w:pStyle w:val="5"/>
        <w:numPr>
          <w:ilvl w:val="3"/>
          <w:numId w:val="104"/>
        </w:numPr>
        <w:ind w:left="426" w:hanging="426" w:hangingChars="202"/>
        <w:rPr>
          <w:color w:val="000000" w:themeColor="text1"/>
          <w14:textFill>
            <w14:solidFill>
              <w14:schemeClr w14:val="tx1"/>
            </w14:solidFill>
          </w14:textFill>
        </w:rPr>
      </w:pPr>
      <w:bookmarkStart w:id="404" w:name="_Hlk10540190"/>
      <w:bookmarkStart w:id="405" w:name="_Hlk10540207"/>
      <w:r>
        <w:rPr>
          <w:rFonts w:hint="eastAsia"/>
          <w:color w:val="000000" w:themeColor="text1"/>
          <w14:textFill>
            <w14:solidFill>
              <w14:schemeClr w14:val="tx1"/>
            </w14:solidFill>
          </w14:textFill>
        </w:rPr>
        <w:t>坏账准备的情况</w:t>
      </w:r>
      <w:bookmarkEnd w:id="404"/>
    </w:p>
    <w:sdt>
      <w:sdtPr>
        <w:rPr>
          <w:color w:val="000000" w:themeColor="text1"/>
          <w14:textFill>
            <w14:solidFill>
              <w14:schemeClr w14:val="tx1"/>
            </w14:solidFill>
          </w14:textFill>
        </w:rPr>
        <w:alias w:val="是否适用：母公司应收账款坏账准备情况[双击切换]"/>
        <w:tag w:val="_GBC_f73789de2ecf49c4bad380c8767c93cf"/>
        <w:id w:val="-2059456297"/>
        <w:placeholder>
          <w:docPart w:val="GBC22222222222222222222222222222"/>
        </w:placeholder>
      </w:sdtPr>
      <w:sdtEndPr>
        <w:rPr>
          <w:color w:val="000000" w:themeColor="text1"/>
          <w14:textFill>
            <w14:solidFill>
              <w14:schemeClr w14:val="tx1"/>
            </w14:solidFill>
          </w14:textFill>
        </w:rPr>
      </w:sdtEndPr>
      <w:sdtContent>
        <w:p w14:paraId="77E24E7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8FEEB3">
      <w:pPr>
        <w:rPr>
          <w:rFonts w:ascii="宋体" w:hAnsi="宋体"/>
          <w:color w:val="000000" w:themeColor="text1"/>
          <w14:textFill>
            <w14:solidFill>
              <w14:schemeClr w14:val="tx1"/>
            </w14:solidFill>
          </w14:textFill>
        </w:rPr>
      </w:pPr>
      <w:bookmarkStart w:id="406" w:name="_Hlk41553597"/>
    </w:p>
    <w:bookmarkEnd w:id="405"/>
    <w:bookmarkEnd w:id="406"/>
    <w:p w14:paraId="40F59195">
      <w:pPr>
        <w:rPr>
          <w:color w:val="000000" w:themeColor="text1"/>
          <w14:textFill>
            <w14:solidFill>
              <w14:schemeClr w14:val="tx1"/>
            </w14:solidFill>
          </w14:textFill>
        </w:rPr>
      </w:pPr>
      <w:bookmarkStart w:id="407" w:name="_Hlk167981805"/>
      <w:bookmarkStart w:id="408" w:name="_Hlk153789356"/>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母公司其中本期坏账准备收回或转回金额重要的[双击切换]"/>
        <w:tag w:val="_GBC_29cbd6f1a56c4bc9843a0a61bcf42c88"/>
        <w:id w:val="-320271886"/>
        <w:placeholder>
          <w:docPart w:val="GBC22222222222222222222222222222"/>
        </w:placeholder>
      </w:sdtPr>
      <w:sdtEndPr>
        <w:rPr>
          <w:color w:val="000000" w:themeColor="text1"/>
          <w14:textFill>
            <w14:solidFill>
              <w14:schemeClr w14:val="tx1"/>
            </w14:solidFill>
          </w14:textFill>
        </w:rPr>
      </w:sdtEndPr>
      <w:sdtContent>
        <w:p w14:paraId="448E103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8DB4E06">
      <w:pPr>
        <w:rPr>
          <w:color w:val="000000" w:themeColor="text1"/>
          <w14:textFill>
            <w14:solidFill>
              <w14:schemeClr w14:val="tx1"/>
            </w14:solidFill>
          </w14:textFill>
        </w:rPr>
      </w:pPr>
    </w:p>
    <w:p w14:paraId="7E34ED02">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应收账款坏账准备情况的说明"/>
        <w:tag w:val="_GBC_0ab588d220454a20ba505c5d15821534"/>
        <w:id w:val="-739020955"/>
        <w:placeholder>
          <w:docPart w:val="GBC22222222222222222222222222222"/>
        </w:placeholder>
      </w:sdtPr>
      <w:sdtEndPr>
        <w:rPr>
          <w:color w:val="000000" w:themeColor="text1"/>
          <w14:textFill>
            <w14:solidFill>
              <w14:schemeClr w14:val="tx1"/>
            </w14:solidFill>
          </w14:textFill>
        </w:rPr>
      </w:sdtEndPr>
      <w:sdtContent>
        <w:p w14:paraId="0A6DAE4E">
          <w:pPr>
            <w:ind w:right="-1594" w:rightChars="-759"/>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62F5DC3">
      <w:pPr>
        <w:ind w:right="-1594" w:rightChars="-759"/>
        <w:rPr>
          <w:rFonts w:cs="Times New Roman"/>
          <w:color w:val="000000" w:themeColor="text1"/>
          <w:kern w:val="2"/>
          <w14:textFill>
            <w14:solidFill>
              <w14:schemeClr w14:val="tx1"/>
            </w14:solidFill>
          </w14:textFill>
        </w:rPr>
      </w:pPr>
    </w:p>
    <w:bookmarkEnd w:id="407"/>
    <w:bookmarkEnd w:id="408"/>
    <w:p w14:paraId="7E7D1E21">
      <w:pPr>
        <w:pStyle w:val="5"/>
        <w:numPr>
          <w:ilvl w:val="3"/>
          <w:numId w:val="104"/>
        </w:numPr>
        <w:ind w:left="426" w:hanging="426" w:hangingChars="202"/>
        <w:rPr>
          <w:color w:val="000000" w:themeColor="text1"/>
          <w14:textFill>
            <w14:solidFill>
              <w14:schemeClr w14:val="tx1"/>
            </w14:solidFill>
          </w14:textFill>
        </w:rPr>
      </w:pPr>
      <w:r>
        <w:rPr>
          <w:rFonts w:hint="eastAsia"/>
          <w:color w:val="000000" w:themeColor="text1"/>
          <w14:textFill>
            <w14:solidFill>
              <w14:schemeClr w14:val="tx1"/>
            </w14:solidFill>
          </w14:textFill>
        </w:rPr>
        <w:t>本期实际核销的应收账款情况</w:t>
      </w:r>
    </w:p>
    <w:sdt>
      <w:sdtPr>
        <w:rPr>
          <w:color w:val="000000" w:themeColor="text1"/>
          <w14:textFill>
            <w14:solidFill>
              <w14:schemeClr w14:val="tx1"/>
            </w14:solidFill>
          </w14:textFill>
        </w:rPr>
        <w:alias w:val="是否适用：母公司本期实际核销的应收账款情况[双击切换]"/>
        <w:tag w:val="_GBC_a8b9861b74fa43bdb4a98d13449f8f5e"/>
        <w:id w:val="-887337854"/>
        <w:placeholder>
          <w:docPart w:val="GBC22222222222222222222222222222"/>
        </w:placeholder>
      </w:sdtPr>
      <w:sdtEndPr>
        <w:rPr>
          <w:color w:val="000000" w:themeColor="text1"/>
          <w14:textFill>
            <w14:solidFill>
              <w14:schemeClr w14:val="tx1"/>
            </w14:solidFill>
          </w14:textFill>
        </w:rPr>
      </w:sdtEndPr>
      <w:sdtContent>
        <w:p w14:paraId="40F98D1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F13A698">
      <w:pPr>
        <w:rPr>
          <w:color w:val="000000" w:themeColor="text1"/>
          <w14:textFill>
            <w14:solidFill>
              <w14:schemeClr w14:val="tx1"/>
            </w14:solidFill>
          </w14:textFill>
        </w:rPr>
      </w:pPr>
    </w:p>
    <w:p w14:paraId="20FD25A2">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其中重要的应收账款核销情况</w:t>
      </w:r>
    </w:p>
    <w:sdt>
      <w:sdtPr>
        <w:rPr>
          <w:color w:val="000000" w:themeColor="text1"/>
          <w14:textFill>
            <w14:solidFill>
              <w14:schemeClr w14:val="tx1"/>
            </w14:solidFill>
          </w14:textFill>
        </w:rPr>
        <w:alias w:val="是否适用：母公司其中重要的应收账款核销情况[双击切换]"/>
        <w:tag w:val="_GBC_827c9c10930747bc8ba843d89c64f1fb"/>
        <w:id w:val="1777513018"/>
        <w:placeholder>
          <w:docPart w:val="GBC22222222222222222222222222222"/>
        </w:placeholder>
      </w:sdtPr>
      <w:sdtEndPr>
        <w:rPr>
          <w:color w:val="000000" w:themeColor="text1"/>
          <w14:textFill>
            <w14:solidFill>
              <w14:schemeClr w14:val="tx1"/>
            </w14:solidFill>
          </w14:textFill>
        </w:rPr>
      </w:sdtEndPr>
      <w:sdtContent>
        <w:p w14:paraId="77E7D1C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6616B49">
      <w:pPr>
        <w:rPr>
          <w:color w:val="000000" w:themeColor="text1"/>
          <w14:textFill>
            <w14:solidFill>
              <w14:schemeClr w14:val="tx1"/>
            </w14:solidFill>
          </w14:textFill>
        </w:rPr>
      </w:pPr>
    </w:p>
    <w:p w14:paraId="763250CE">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应收账款核销说明：</w:t>
      </w:r>
    </w:p>
    <w:sdt>
      <w:sdtPr>
        <w:rPr>
          <w:color w:val="000000" w:themeColor="text1"/>
          <w14:textFill>
            <w14:solidFill>
              <w14:schemeClr w14:val="tx1"/>
            </w14:solidFill>
          </w14:textFill>
        </w:rPr>
        <w:alias w:val="是否适用：母公司应收账款核销说明[双击切换]"/>
        <w:tag w:val="_GBC_36d2cef3128f4b3389b38ed29442e2b3"/>
        <w:id w:val="-1396202842"/>
        <w:placeholder>
          <w:docPart w:val="GBC22222222222222222222222222222"/>
        </w:placeholder>
      </w:sdtPr>
      <w:sdtEndPr>
        <w:rPr>
          <w:color w:val="000000" w:themeColor="text1"/>
          <w14:textFill>
            <w14:solidFill>
              <w14:schemeClr w14:val="tx1"/>
            </w14:solidFill>
          </w14:textFill>
        </w:rPr>
      </w:sdtEndPr>
      <w:sdtContent>
        <w:p w14:paraId="68FD6C28">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61D82CA">
      <w:pPr>
        <w:rPr>
          <w:color w:val="000000" w:themeColor="text1"/>
          <w14:textFill>
            <w14:solidFill>
              <w14:schemeClr w14:val="tx1"/>
            </w14:solidFill>
          </w14:textFill>
        </w:rPr>
      </w:pPr>
    </w:p>
    <w:p w14:paraId="0EAFEEB5">
      <w:pPr>
        <w:pStyle w:val="5"/>
        <w:numPr>
          <w:ilvl w:val="3"/>
          <w:numId w:val="104"/>
        </w:numPr>
        <w:ind w:left="426" w:hanging="426" w:hangingChars="202"/>
        <w:rPr>
          <w:color w:val="000000" w:themeColor="text1"/>
          <w14:textFill>
            <w14:solidFill>
              <w14:schemeClr w14:val="tx1"/>
            </w14:solidFill>
          </w14:textFill>
        </w:rPr>
      </w:pPr>
      <w:bookmarkStart w:id="409" w:name="_Hlk153789714"/>
      <w:bookmarkStart w:id="410" w:name="_Hlk90023019"/>
      <w:bookmarkStart w:id="411" w:name="_Hlk167981941"/>
      <w:r>
        <w:rPr>
          <w:rFonts w:hint="eastAsia"/>
          <w:color w:val="000000" w:themeColor="text1"/>
          <w14:textFill>
            <w14:solidFill>
              <w14:schemeClr w14:val="tx1"/>
            </w14:solidFill>
          </w14:textFill>
        </w:rPr>
        <w:t>按欠款方归集的期末余额前五名的应收账款和合同资产情况</w:t>
      </w:r>
    </w:p>
    <w:sdt>
      <w:sdtPr>
        <w:rPr>
          <w:rFonts w:hint="eastAsia"/>
          <w:color w:val="000000" w:themeColor="text1"/>
          <w14:textFill>
            <w14:solidFill>
              <w14:schemeClr w14:val="tx1"/>
            </w14:solidFill>
          </w14:textFill>
        </w:rPr>
        <w:alias w:val="是否适用：按欠款方归集的期末余额前五名的应收账款情况[双击切换]"/>
        <w:tag w:val="_GBC_9395e3af825547b4abf8734a6459492f"/>
        <w:id w:val="224660370"/>
        <w:placeholder>
          <w:docPart w:val="GBC22222222222222222222222222222"/>
        </w:placeholder>
      </w:sdtPr>
      <w:sdtEndPr>
        <w:rPr>
          <w:rFonts w:hint="eastAsia"/>
          <w:color w:val="000000" w:themeColor="text1"/>
          <w14:textFill>
            <w14:solidFill>
              <w14:schemeClr w14:val="tx1"/>
            </w14:solidFill>
          </w14:textFill>
        </w:rPr>
      </w:sdtEndPr>
      <w:sdtContent>
        <w:p w14:paraId="3C98C54D">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F77B58E">
      <w:pPr>
        <w:snapToGrid w:val="0"/>
        <w:spacing w:line="240" w:lineRule="atLeast"/>
        <w:rPr>
          <w:color w:val="000000" w:themeColor="text1"/>
          <w14:textFill>
            <w14:solidFill>
              <w14:schemeClr w14:val="tx1"/>
            </w14:solidFill>
          </w14:textFill>
        </w:rPr>
      </w:pPr>
    </w:p>
    <w:bookmarkEnd w:id="409"/>
    <w:bookmarkEnd w:id="410"/>
    <w:bookmarkEnd w:id="411"/>
    <w:p w14:paraId="57088AB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rFonts w:hint="eastAsia"/>
          <w:color w:val="000000" w:themeColor="text1"/>
          <w14:textFill>
            <w14:solidFill>
              <w14:schemeClr w14:val="tx1"/>
            </w14:solidFill>
          </w14:textFill>
        </w:rPr>
        <w:alias w:val="是否适用：母公司应收账款其他说明[双击切换]"/>
        <w:tag w:val="_GBC_22a2c0a255e04aacadf1c076323bc980"/>
        <w:id w:val="947116763"/>
        <w:placeholder>
          <w:docPart w:val="GBC22222222222222222222222222222"/>
        </w:placeholder>
      </w:sdtPr>
      <w:sdtEndPr>
        <w:rPr>
          <w:rFonts w:hint="eastAsia"/>
          <w:color w:val="000000" w:themeColor="text1"/>
          <w14:textFill>
            <w14:solidFill>
              <w14:schemeClr w14:val="tx1"/>
            </w14:solidFill>
          </w14:textFill>
        </w:rPr>
      </w:sdtEndPr>
      <w:sdtContent>
        <w:p w14:paraId="76E511C3">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E54A65">
      <w:pPr>
        <w:snapToGrid w:val="0"/>
        <w:spacing w:line="240" w:lineRule="atLeast"/>
        <w:rPr>
          <w:color w:val="000000" w:themeColor="text1"/>
          <w14:textFill>
            <w14:solidFill>
              <w14:schemeClr w14:val="tx1"/>
            </w14:solidFill>
          </w14:textFill>
        </w:rPr>
      </w:pPr>
    </w:p>
    <w:p w14:paraId="4110A01F">
      <w:pPr>
        <w:pStyle w:val="4"/>
        <w:numPr>
          <w:ilvl w:val="0"/>
          <w:numId w:val="103"/>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其他应收款</w:t>
      </w:r>
    </w:p>
    <w:p w14:paraId="1280D3A2">
      <w:pPr>
        <w:pStyle w:val="5"/>
        <w:rPr>
          <w:rFonts w:ascii="宋体" w:hAnsi="宋体"/>
          <w:color w:val="000000" w:themeColor="text1"/>
          <w14:textFill>
            <w14:solidFill>
              <w14:schemeClr w14:val="tx1"/>
            </w14:solidFill>
          </w14:textFill>
        </w:rPr>
      </w:pPr>
      <w:bookmarkStart w:id="412" w:name="_Hlk10546944"/>
      <w:r>
        <w:rPr>
          <w:rFonts w:hint="eastAsia" w:ascii="宋体" w:hAnsi="宋体"/>
          <w:color w:val="000000" w:themeColor="text1"/>
          <w14:textFill>
            <w14:solidFill>
              <w14:schemeClr w14:val="tx1"/>
            </w14:solidFill>
          </w14:textFill>
        </w:rPr>
        <w:t>项目列示</w:t>
      </w:r>
    </w:p>
    <w:sdt>
      <w:sdtPr>
        <w:rPr>
          <w:color w:val="000000" w:themeColor="text1"/>
          <w14:textFill>
            <w14:solidFill>
              <w14:schemeClr w14:val="tx1"/>
            </w14:solidFill>
          </w14:textFill>
        </w:rPr>
        <w:alias w:val="是否适用：母公司其他应收款分类列示[双击切换]"/>
        <w:tag w:val="_GBC_529e259f053b47d993fd4e3216204522"/>
        <w:id w:val="1961681747"/>
        <w:placeholder>
          <w:docPart w:val="GBC22222222222222222222222222222"/>
        </w:placeholder>
      </w:sdtPr>
      <w:sdtEndPr>
        <w:rPr>
          <w:color w:val="000000" w:themeColor="text1"/>
          <w14:textFill>
            <w14:solidFill>
              <w14:schemeClr w14:val="tx1"/>
            </w14:solidFill>
          </w14:textFill>
        </w:rPr>
      </w:sdtEndPr>
      <w:sdtContent>
        <w:p w14:paraId="60E9C85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4AB95D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其他应收款分类列示"/>
          <w:tag w:val="_GBC_306e86db57e64b00a9602dc7cbf81457"/>
          <w:id w:val="12597135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其他应收款分类列示"/>
          <w:tag w:val="_GBC_cd5866350ae3491e87e9f82a7ed2a7c3"/>
          <w:id w:val="-19430605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138"/>
        <w:gridCol w:w="2886"/>
        <w:gridCol w:w="2871"/>
      </w:tblGrid>
      <w:tr w14:paraId="4AD6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9b14d51b79194bdea749a527966a0a2e"/>
            <w:id w:val="-2003417453"/>
          </w:sdtPr>
          <w:sdtContent>
            <w:tc>
              <w:tcPr>
                <w:tcW w:w="1764" w:type="pct"/>
                <w:vAlign w:val="center"/>
              </w:tcPr>
              <w:p w14:paraId="571E46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1dd12447c07a4bf5b8eef82f2f9f5577"/>
            <w:id w:val="-784193752"/>
          </w:sdtPr>
          <w:sdtContent>
            <w:tc>
              <w:tcPr>
                <w:tcW w:w="1622" w:type="pct"/>
                <w:vAlign w:val="center"/>
              </w:tcPr>
              <w:p w14:paraId="48EBEF1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2701e42352ac4ea1ae4d64adf5d28e89"/>
            <w:id w:val="1789627449"/>
          </w:sdtPr>
          <w:sdtContent>
            <w:tc>
              <w:tcPr>
                <w:tcW w:w="1614" w:type="pct"/>
                <w:vAlign w:val="center"/>
              </w:tcPr>
              <w:p w14:paraId="2CA6714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4EBC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764" w:type="pct"/>
          </w:tcPr>
          <w:p w14:paraId="33CA9D9F">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应收利息</w:t>
            </w:r>
          </w:p>
        </w:tc>
        <w:tc>
          <w:tcPr>
            <w:tcW w:w="1622" w:type="pct"/>
            <w:vAlign w:val="center"/>
          </w:tcPr>
          <w:p w14:paraId="66A34325">
            <w:pPr>
              <w:jc w:val="right"/>
            </w:pPr>
            <w:r>
              <w:t>50,327,624.50</w:t>
            </w:r>
          </w:p>
        </w:tc>
        <w:tc>
          <w:tcPr>
            <w:tcW w:w="1614" w:type="pct"/>
            <w:vAlign w:val="center"/>
          </w:tcPr>
          <w:p w14:paraId="7128E382">
            <w:pPr>
              <w:jc w:val="right"/>
            </w:pPr>
            <w:r>
              <w:t>42,123,029.60</w:t>
            </w:r>
          </w:p>
        </w:tc>
      </w:tr>
      <w:tr w14:paraId="4781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764" w:type="pct"/>
          </w:tcPr>
          <w:p w14:paraId="50E383AF">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应收股利</w:t>
            </w:r>
          </w:p>
        </w:tc>
        <w:tc>
          <w:tcPr>
            <w:tcW w:w="1622" w:type="pct"/>
            <w:vAlign w:val="center"/>
          </w:tcPr>
          <w:p w14:paraId="7EA4782C">
            <w:pPr>
              <w:jc w:val="right"/>
            </w:pPr>
            <w:r>
              <w:t>19,171,026.48</w:t>
            </w:r>
          </w:p>
        </w:tc>
        <w:tc>
          <w:tcPr>
            <w:tcW w:w="1614" w:type="pct"/>
            <w:vAlign w:val="center"/>
          </w:tcPr>
          <w:p w14:paraId="173FBD2F">
            <w:pPr>
              <w:jc w:val="right"/>
            </w:pPr>
            <w:r>
              <w:t>19,171,026.48</w:t>
            </w:r>
          </w:p>
        </w:tc>
      </w:tr>
      <w:tr w14:paraId="33EC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764" w:type="pct"/>
          </w:tcPr>
          <w:p w14:paraId="78947992">
            <w:pPr>
              <w:ind w:right="5"/>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w:t>
            </w:r>
          </w:p>
        </w:tc>
        <w:tc>
          <w:tcPr>
            <w:tcW w:w="1622" w:type="pct"/>
            <w:vAlign w:val="center"/>
          </w:tcPr>
          <w:p w14:paraId="75EA36F1">
            <w:pPr>
              <w:jc w:val="right"/>
            </w:pPr>
            <w:r>
              <w:t>5,709,547,591.08</w:t>
            </w:r>
          </w:p>
        </w:tc>
        <w:tc>
          <w:tcPr>
            <w:tcW w:w="1614" w:type="pct"/>
            <w:vAlign w:val="center"/>
          </w:tcPr>
          <w:p w14:paraId="2C56BF60">
            <w:pPr>
              <w:jc w:val="right"/>
            </w:pPr>
            <w:r>
              <w:t>5,716,330,833.91</w:t>
            </w:r>
          </w:p>
        </w:tc>
      </w:tr>
      <w:tr w14:paraId="7EDB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764" w:type="pct"/>
            <w:vAlign w:val="center"/>
          </w:tcPr>
          <w:p w14:paraId="62CCD99C">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622" w:type="pct"/>
            <w:vAlign w:val="center"/>
          </w:tcPr>
          <w:p w14:paraId="1AA68622">
            <w:pPr>
              <w:jc w:val="right"/>
            </w:pPr>
            <w:r>
              <w:t>5,779,046,242.06</w:t>
            </w:r>
          </w:p>
        </w:tc>
        <w:tc>
          <w:tcPr>
            <w:tcW w:w="1614" w:type="pct"/>
            <w:vAlign w:val="center"/>
          </w:tcPr>
          <w:p w14:paraId="0681D609">
            <w:pPr>
              <w:jc w:val="right"/>
            </w:pPr>
            <w:r>
              <w:t>5,777,624,889.99</w:t>
            </w:r>
          </w:p>
        </w:tc>
      </w:tr>
    </w:tbl>
    <w:p w14:paraId="0F1FD194">
      <w:pPr>
        <w:rPr>
          <w:color w:val="000000" w:themeColor="text1"/>
          <w14:textFill>
            <w14:solidFill>
              <w14:schemeClr w14:val="tx1"/>
            </w14:solidFill>
          </w14:textFill>
        </w:rPr>
      </w:pPr>
      <w:r>
        <w:rPr>
          <w:rFonts w:hint="eastAsia"/>
          <w:color w:val="000000" w:themeColor="text1"/>
          <w14:textFill>
            <w14:solidFill>
              <w14:schemeClr w14:val="tx1"/>
            </w14:solidFill>
          </w14:textFill>
        </w:rPr>
        <w:t>注：上表中其他应收款指扣除应收利息、应收股利后的其他应收款。</w:t>
      </w:r>
    </w:p>
    <w:p w14:paraId="5468BC71">
      <w:pPr>
        <w:rPr>
          <w:color w:val="000000" w:themeColor="text1"/>
          <w14:textFill>
            <w14:solidFill>
              <w14:schemeClr w14:val="tx1"/>
            </w14:solidFill>
          </w14:textFill>
        </w:rPr>
      </w:pPr>
      <w:bookmarkStart w:id="413" w:name="_Hlk533797002"/>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母公司其他应收款分类列示其他说明[双击切换]"/>
        <w:tag w:val="_GBC_87c9afe4c5c54a4b93c9b78663bd8bf3"/>
        <w:id w:val="-1214106587"/>
        <w:placeholder>
          <w:docPart w:val="GBC22222222222222222222222222222"/>
        </w:placeholder>
      </w:sdtPr>
      <w:sdtEndPr>
        <w:rPr>
          <w:color w:val="000000" w:themeColor="text1"/>
          <w14:textFill>
            <w14:solidFill>
              <w14:schemeClr w14:val="tx1"/>
            </w14:solidFill>
          </w14:textFill>
        </w:rPr>
      </w:sdtEndPr>
      <w:sdtContent>
        <w:p w14:paraId="16A2001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113FBBD">
      <w:pPr>
        <w:rPr>
          <w:color w:val="000000" w:themeColor="text1"/>
          <w14:textFill>
            <w14:solidFill>
              <w14:schemeClr w14:val="tx1"/>
            </w14:solidFill>
          </w14:textFill>
        </w:rPr>
      </w:pPr>
    </w:p>
    <w:bookmarkEnd w:id="412"/>
    <w:bookmarkEnd w:id="413"/>
    <w:p w14:paraId="24AA973D">
      <w:pPr>
        <w:pStyle w:val="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应收利息</w:t>
      </w:r>
    </w:p>
    <w:p w14:paraId="2B3692B3">
      <w:pPr>
        <w:pStyle w:val="6"/>
        <w:numPr>
          <w:ilvl w:val="0"/>
          <w:numId w:val="105"/>
        </w:numPr>
      </w:pPr>
      <w:bookmarkStart w:id="414" w:name="_Hlk10547023"/>
      <w:bookmarkStart w:id="415" w:name="_Hlk10547033"/>
      <w:r>
        <w:rPr>
          <w:rFonts w:hint="eastAsia"/>
        </w:rPr>
        <w:t>应收利息分类</w:t>
      </w:r>
      <w:bookmarkEnd w:id="414"/>
    </w:p>
    <w:sdt>
      <w:sdtPr>
        <w:rPr>
          <w:color w:val="000000" w:themeColor="text1"/>
          <w14:textFill>
            <w14:solidFill>
              <w14:schemeClr w14:val="tx1"/>
            </w14:solidFill>
          </w14:textFill>
        </w:rPr>
        <w:alias w:val="是否适用：母公司应收利息分类[双击切换]"/>
        <w:tag w:val="_GBC_7b29d5fc39c94a909c39eedf47c8008f"/>
        <w:id w:val="-1287348835"/>
        <w:placeholder>
          <w:docPart w:val="GBC22222222222222222222222222222"/>
        </w:placeholder>
      </w:sdtPr>
      <w:sdtEndPr>
        <w:rPr>
          <w:color w:val="000000" w:themeColor="text1"/>
          <w14:textFill>
            <w14:solidFill>
              <w14:schemeClr w14:val="tx1"/>
            </w14:solidFill>
          </w14:textFill>
        </w:rPr>
      </w:sdtEndPr>
      <w:sdtContent>
        <w:p w14:paraId="5ED776B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9BD9894">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应收利息分类"/>
          <w:tag w:val="_GBC_408b4f91762b4062b2ff33bf6cd2f04a"/>
          <w:id w:val="-678093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应收利息分类"/>
          <w:tag w:val="_GBC_d9e4522b2a3a4b999e2ea654ffe832f2"/>
          <w:id w:val="-19789914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415"/>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778"/>
        <w:gridCol w:w="3049"/>
        <w:gridCol w:w="3066"/>
      </w:tblGrid>
      <w:tr w14:paraId="2539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8f65ffa073004814b7588e5d550e6d55"/>
            <w:id w:val="-596944715"/>
          </w:sdtPr>
          <w:sdtContent>
            <w:tc>
              <w:tcPr>
                <w:tcW w:w="1562" w:type="pct"/>
              </w:tcPr>
              <w:p w14:paraId="0C7168A4">
                <w:pPr>
                  <w:autoSpaceDE w:val="0"/>
                  <w:autoSpaceDN w:val="0"/>
                  <w:adjustRightInd w:val="0"/>
                  <w:snapToGrid w:val="0"/>
                  <w:spacing w:line="240" w:lineRule="atLeast"/>
                  <w:jc w:val="center"/>
                  <w:rPr>
                    <w:color w:val="000000" w:themeColor="text1"/>
                    <w14:textFill>
                      <w14:solidFill>
                        <w14:schemeClr w14:val="tx1"/>
                      </w14:solidFill>
                    </w14:textFill>
                  </w:rPr>
                </w:pPr>
                <w:bookmarkStart w:id="416" w:name="_Hlk10547054"/>
                <w:bookmarkStart w:id="417" w:name="_Hlk10547064"/>
                <w:r>
                  <w:rPr>
                    <w:rFonts w:hint="eastAsia"/>
                    <w:color w:val="000000" w:themeColor="text1"/>
                    <w14:textFill>
                      <w14:solidFill>
                        <w14:schemeClr w14:val="tx1"/>
                      </w14:solidFill>
                    </w14:textFill>
                  </w:rPr>
                  <w:t>项目</w:t>
                </w:r>
              </w:p>
            </w:tc>
          </w:sdtContent>
        </w:sdt>
        <w:sdt>
          <w:sdtPr>
            <w:tag w:val="_PLD_8d7c73e7970a4d649b30978c67eac30e"/>
            <w:id w:val="1681474918"/>
          </w:sdtPr>
          <w:sdtContent>
            <w:tc>
              <w:tcPr>
                <w:tcW w:w="1714" w:type="pct"/>
              </w:tcPr>
              <w:p w14:paraId="42F56E97">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8e50ae20c9bb42bab157bb221e1a1d60"/>
            <w:id w:val="-1239086553"/>
          </w:sdtPr>
          <w:sdtContent>
            <w:tc>
              <w:tcPr>
                <w:tcW w:w="1724" w:type="pct"/>
              </w:tcPr>
              <w:p w14:paraId="0D399453">
                <w:pPr>
                  <w:autoSpaceDE w:val="0"/>
                  <w:autoSpaceDN w:val="0"/>
                  <w:adjustRightInd w:val="0"/>
                  <w:snapToGrid w:val="0"/>
                  <w:spacing w:line="24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C24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562" w:type="pct"/>
          </w:tcPr>
          <w:p w14:paraId="10ED6A26">
            <w:pPr>
              <w:autoSpaceDE w:val="0"/>
              <w:autoSpaceDN w:val="0"/>
              <w:adjustRightInd w:val="0"/>
              <w:snapToGrid w:val="0"/>
              <w:spacing w:line="240" w:lineRule="atLeast"/>
              <w:jc w:val="center"/>
            </w:pPr>
            <w:r>
              <w:t>资金拆借</w:t>
            </w:r>
          </w:p>
        </w:tc>
        <w:tc>
          <w:tcPr>
            <w:tcW w:w="1714" w:type="pct"/>
          </w:tcPr>
          <w:p w14:paraId="78F46932">
            <w:pPr>
              <w:ind w:right="105" w:rightChars="50"/>
              <w:jc w:val="right"/>
            </w:pPr>
            <w:r>
              <w:t>50,327,624.50</w:t>
            </w:r>
          </w:p>
        </w:tc>
        <w:tc>
          <w:tcPr>
            <w:tcW w:w="1724" w:type="pct"/>
          </w:tcPr>
          <w:p w14:paraId="1F62A241">
            <w:pPr>
              <w:ind w:right="105" w:rightChars="50"/>
              <w:jc w:val="right"/>
            </w:pPr>
            <w:r>
              <w:t>42,123,029.60</w:t>
            </w:r>
          </w:p>
        </w:tc>
      </w:tr>
      <w:tr w14:paraId="4B5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562" w:type="pct"/>
          </w:tcPr>
          <w:p w14:paraId="0A48500A">
            <w:pPr>
              <w:autoSpaceDE w:val="0"/>
              <w:autoSpaceDN w:val="0"/>
              <w:adjustRightInd w:val="0"/>
              <w:snapToGrid w:val="0"/>
              <w:spacing w:line="240" w:lineRule="atLeast"/>
              <w:jc w:val="center"/>
            </w:pPr>
            <w:r>
              <w:rPr>
                <w:rFonts w:hint="eastAsia"/>
              </w:rPr>
              <w:t>合计</w:t>
            </w:r>
          </w:p>
        </w:tc>
        <w:tc>
          <w:tcPr>
            <w:tcW w:w="1714" w:type="pct"/>
          </w:tcPr>
          <w:p w14:paraId="43782AFA">
            <w:pPr>
              <w:ind w:right="105" w:rightChars="50"/>
              <w:jc w:val="right"/>
            </w:pPr>
            <w:r>
              <w:t>50,327,624.50</w:t>
            </w:r>
          </w:p>
        </w:tc>
        <w:tc>
          <w:tcPr>
            <w:tcW w:w="1724" w:type="pct"/>
          </w:tcPr>
          <w:p w14:paraId="42D9E4E6">
            <w:pPr>
              <w:ind w:right="105" w:rightChars="50"/>
              <w:jc w:val="right"/>
            </w:pPr>
            <w:r>
              <w:t>42,123,029.60</w:t>
            </w:r>
          </w:p>
        </w:tc>
      </w:tr>
    </w:tbl>
    <w:p w14:paraId="3E000835"/>
    <w:p w14:paraId="3958D13F">
      <w:pPr>
        <w:pStyle w:val="6"/>
        <w:numPr>
          <w:ilvl w:val="0"/>
          <w:numId w:val="105"/>
        </w:numPr>
      </w:pPr>
      <w:r>
        <w:rPr>
          <w:rFonts w:hint="eastAsia"/>
        </w:rPr>
        <w:t>重要逾期利息</w:t>
      </w:r>
      <w:bookmarkEnd w:id="416"/>
    </w:p>
    <w:sdt>
      <w:sdtPr>
        <w:rPr>
          <w:color w:val="000000" w:themeColor="text1"/>
          <w14:textFill>
            <w14:solidFill>
              <w14:schemeClr w14:val="tx1"/>
            </w14:solidFill>
          </w14:textFill>
        </w:rPr>
        <w:alias w:val="是否适用：母公司重要逾期利息[双击切换]"/>
        <w:tag w:val="_GBC_2527ddfc737d4b8c8fa3ca7d6387408d"/>
        <w:id w:val="184030396"/>
        <w:placeholder>
          <w:docPart w:val="GBC22222222222222222222222222222"/>
        </w:placeholder>
      </w:sdtPr>
      <w:sdtEndPr>
        <w:rPr>
          <w:color w:val="000000" w:themeColor="text1"/>
          <w14:textFill>
            <w14:solidFill>
              <w14:schemeClr w14:val="tx1"/>
            </w14:solidFill>
          </w14:textFill>
        </w:rPr>
      </w:sdtEndPr>
      <w:sdtContent>
        <w:p w14:paraId="0BC0D89B">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BE23783">
      <w:pPr>
        <w:rPr>
          <w:color w:val="000000" w:themeColor="text1"/>
          <w14:textFill>
            <w14:solidFill>
              <w14:schemeClr w14:val="tx1"/>
            </w14:solidFill>
          </w14:textFill>
        </w:rPr>
      </w:pPr>
    </w:p>
    <w:bookmarkEnd w:id="417"/>
    <w:p w14:paraId="1E21C038">
      <w:pPr>
        <w:pStyle w:val="6"/>
        <w:numPr>
          <w:ilvl w:val="0"/>
          <w:numId w:val="105"/>
        </w:numPr>
      </w:pPr>
      <w:bookmarkStart w:id="418" w:name="_Hlk153789950"/>
      <w:bookmarkStart w:id="419" w:name="_Hlk167983171"/>
      <w:bookmarkStart w:id="420" w:name="_Hlk154149455"/>
      <w:r>
        <w:rPr>
          <w:rFonts w:hint="eastAsia"/>
        </w:rPr>
        <w:t>按坏账计提方法分类披露</w:t>
      </w:r>
    </w:p>
    <w:sdt>
      <w:sdtPr>
        <w:rPr>
          <w:color w:val="000000" w:themeColor="text1"/>
          <w14:textFill>
            <w14:solidFill>
              <w14:schemeClr w14:val="tx1"/>
            </w14:solidFill>
          </w14:textFill>
        </w:rPr>
        <w:alias w:val="是否适用：按坏账计提方法分类披露[双击切换]"/>
        <w:tag w:val="_GBC_9b6b7378a5064d4da42ce1b114ef0dd2"/>
        <w:id w:val="-990553170"/>
        <w:placeholder>
          <w:docPart w:val="GBC22222222222222222222222222222"/>
        </w:placeholder>
      </w:sdtPr>
      <w:sdtEndPr>
        <w:rPr>
          <w:color w:val="000000" w:themeColor="text1"/>
          <w14:textFill>
            <w14:solidFill>
              <w14:schemeClr w14:val="tx1"/>
            </w14:solidFill>
          </w14:textFill>
        </w:rPr>
      </w:sdtEndPr>
      <w:sdtContent>
        <w:p w14:paraId="490AE6E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D44D47B">
      <w:pPr>
        <w:rPr>
          <w:color w:val="000000" w:themeColor="text1"/>
          <w14:textFill>
            <w14:solidFill>
              <w14:schemeClr w14:val="tx1"/>
            </w14:solidFill>
          </w14:textFill>
        </w:rPr>
      </w:pPr>
    </w:p>
    <w:p w14:paraId="1372EE53">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母公司按单项计提坏账准备的详细情况[双击切换]"/>
        <w:tag w:val="_GBC_9e66e9365aa445c3891c917c0b2cb0f8"/>
        <w:id w:val="1886514123"/>
        <w:placeholder>
          <w:docPart w:val="GBC22222222222222222222222222222"/>
        </w:placeholder>
      </w:sdtPr>
      <w:sdtEndPr>
        <w:rPr>
          <w:color w:val="000000" w:themeColor="text1"/>
          <w14:textFill>
            <w14:solidFill>
              <w14:schemeClr w14:val="tx1"/>
            </w14:solidFill>
          </w14:textFill>
        </w:rPr>
      </w:sdtEndPr>
      <w:sdtContent>
        <w:p w14:paraId="5BEF195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0D3369B">
      <w:pPr>
        <w:rPr>
          <w:color w:val="000000" w:themeColor="text1"/>
          <w14:textFill>
            <w14:solidFill>
              <w14:schemeClr w14:val="tx1"/>
            </w14:solidFill>
          </w14:textFill>
        </w:rPr>
      </w:pPr>
    </w:p>
    <w:p w14:paraId="54A63F3A">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母公司按单项计提坏账准备的说明[双击切换]"/>
        <w:tag w:val="_GBC_61cf7a42166c410985a3f556c1a407d3"/>
        <w:id w:val="1130130967"/>
        <w:placeholder>
          <w:docPart w:val="GBC22222222222222222222222222222"/>
        </w:placeholder>
      </w:sdtPr>
      <w:sdtEndPr>
        <w:rPr>
          <w:color w:val="000000" w:themeColor="text1"/>
          <w14:textFill>
            <w14:solidFill>
              <w14:schemeClr w14:val="tx1"/>
            </w14:solidFill>
          </w14:textFill>
        </w:rPr>
      </w:sdtEndPr>
      <w:sdtContent>
        <w:p w14:paraId="02BA970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8848A6D">
      <w:pPr>
        <w:rPr>
          <w:color w:val="000000" w:themeColor="text1"/>
          <w14:textFill>
            <w14:solidFill>
              <w14:schemeClr w14:val="tx1"/>
            </w14:solidFill>
          </w14:textFill>
        </w:rPr>
      </w:pPr>
    </w:p>
    <w:p w14:paraId="29B99A61">
      <w:pPr>
        <w:rPr>
          <w:rFonts w:ascii="Calibri" w:hAnsi="Calibri" w:cs="Times New Roman"/>
          <w:bCs/>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color w:val="000000" w:themeColor="text1"/>
          <w:szCs w:val="22"/>
          <w14:textFill>
            <w14:solidFill>
              <w14:schemeClr w14:val="tx1"/>
            </w14:solidFill>
          </w14:textFill>
        </w:rPr>
        <w:alias w:val="是否适用：母公司按组合计提坏账准备的详细情况[双击切换]"/>
        <w:tag w:val="_GBC_d3043e47b1544d94a13ce780dd85e9fc"/>
        <w:id w:val="-900444633"/>
        <w:placeholder>
          <w:docPart w:val="GBC22222222222222222222222222222"/>
        </w:placeholder>
      </w:sdtPr>
      <w:sdtEndPr>
        <w:rPr>
          <w:rFonts w:ascii="Calibri" w:hAnsi="Calibri" w:cs="Times New Roman"/>
          <w:bCs/>
          <w:color w:val="000000" w:themeColor="text1"/>
          <w:szCs w:val="22"/>
          <w14:textFill>
            <w14:solidFill>
              <w14:schemeClr w14:val="tx1"/>
            </w14:solidFill>
          </w14:textFill>
        </w:rPr>
      </w:sdtEndPr>
      <w:sdtContent>
        <w:p w14:paraId="273C097C">
          <w:pPr>
            <w:rPr>
              <w:color w:val="000000" w:themeColor="text1"/>
              <w14:textFill>
                <w14:solidFill>
                  <w14:schemeClr w14:val="tx1"/>
                </w14:solidFill>
              </w14:textFill>
            </w:rPr>
          </w:pP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color w:val="000000" w:themeColor="text1"/>
              <w:szCs w:val="22"/>
              <w14:textFill>
                <w14:solidFill>
                  <w14:schemeClr w14:val="tx1"/>
                </w14:solidFill>
              </w14:textFill>
            </w:rPr>
            <w:fldChar w:fldCharType="end"/>
          </w: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color w:val="000000" w:themeColor="text1"/>
              <w:szCs w:val="22"/>
              <w14:textFill>
                <w14:solidFill>
                  <w14:schemeClr w14:val="tx1"/>
                </w14:solidFill>
              </w14:textFill>
            </w:rPr>
            <w:fldChar w:fldCharType="end"/>
          </w:r>
        </w:p>
      </w:sdtContent>
    </w:sdt>
    <w:p w14:paraId="0E95C435">
      <w:pPr>
        <w:rPr>
          <w:rFonts w:ascii="Calibri" w:hAnsi="Calibri" w:cs="Times New Roman"/>
          <w:b/>
          <w:bCs/>
          <w:color w:val="000000" w:themeColor="text1"/>
          <w:szCs w:val="22"/>
          <w14:textFill>
            <w14:solidFill>
              <w14:schemeClr w14:val="tx1"/>
            </w14:solidFill>
          </w14:textFill>
        </w:rPr>
      </w:pPr>
    </w:p>
    <w:bookmarkEnd w:id="418"/>
    <w:bookmarkEnd w:id="419"/>
    <w:bookmarkEnd w:id="420"/>
    <w:p w14:paraId="749548FB">
      <w:pPr>
        <w:pStyle w:val="6"/>
        <w:numPr>
          <w:ilvl w:val="0"/>
          <w:numId w:val="105"/>
        </w:numPr>
      </w:pPr>
      <w:bookmarkStart w:id="421" w:name="_Hlk10547083"/>
      <w:bookmarkEnd w:id="421"/>
      <w:bookmarkStart w:id="422" w:name="_Hlk10547096"/>
      <w:r>
        <w:rPr>
          <w:rFonts w:hint="eastAsia"/>
        </w:rPr>
        <w:t>按预期信用损失一般模型计提坏账准备</w:t>
      </w:r>
    </w:p>
    <w:sdt>
      <w:sdtPr>
        <w:rPr>
          <w:color w:val="000000" w:themeColor="text1"/>
          <w14:textFill>
            <w14:solidFill>
              <w14:schemeClr w14:val="tx1"/>
            </w14:solidFill>
          </w14:textFill>
        </w:rPr>
        <w:alias w:val="是否适用：母公司应收利息坏账准备调节表[双击切换]"/>
        <w:tag w:val="_GBC_051d1f4329834464b99226954bb8040d"/>
        <w:id w:val="-2031254710"/>
        <w:placeholder>
          <w:docPart w:val="GBC22222222222222222222222222222"/>
        </w:placeholder>
      </w:sdtPr>
      <w:sdtEndPr>
        <w:rPr>
          <w:color w:val="000000" w:themeColor="text1"/>
          <w14:textFill>
            <w14:solidFill>
              <w14:schemeClr w14:val="tx1"/>
            </w14:solidFill>
          </w14:textFill>
        </w:rPr>
      </w:sdtEndPr>
      <w:sdtContent>
        <w:p w14:paraId="155D5A1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7CBE811">
      <w:pPr>
        <w:rPr>
          <w:color w:val="000000" w:themeColor="text1"/>
          <w14:textFill>
            <w14:solidFill>
              <w14:schemeClr w14:val="tx1"/>
            </w14:solidFill>
          </w14:textFill>
        </w:rPr>
      </w:pPr>
    </w:p>
    <w:bookmarkEnd w:id="422"/>
    <w:p w14:paraId="78A02879">
      <w:pPr>
        <w:pStyle w:val="6"/>
        <w:numPr>
          <w:ilvl w:val="0"/>
          <w:numId w:val="105"/>
        </w:numPr>
      </w:pPr>
      <w:bookmarkStart w:id="423" w:name="_Hlk154149866"/>
      <w:bookmarkStart w:id="424" w:name="_Hlk167984472"/>
      <w:bookmarkStart w:id="425" w:name="_Hlk10547119"/>
      <w:bookmarkStart w:id="426" w:name="_Hlk10547128"/>
      <w:r>
        <w:rPr>
          <w:rFonts w:hint="eastAsia"/>
        </w:rPr>
        <w:t>坏账准备的情况</w:t>
      </w:r>
    </w:p>
    <w:sdt>
      <w:sdtPr>
        <w:rPr>
          <w:color w:val="000000" w:themeColor="text1"/>
          <w14:textFill>
            <w14:solidFill>
              <w14:schemeClr w14:val="tx1"/>
            </w14:solidFill>
          </w14:textFill>
        </w:rPr>
        <w:alias w:val="是否适用：母公司坏账准备情况[双击切换]"/>
        <w:tag w:val="_GBC_4dc2b543f39042eeba6f1a6da14a23c7"/>
        <w:id w:val="319244684"/>
        <w:placeholder>
          <w:docPart w:val="GBC22222222222222222222222222222"/>
        </w:placeholder>
      </w:sdtPr>
      <w:sdtEndPr>
        <w:rPr>
          <w:color w:val="000000" w:themeColor="text1"/>
          <w14:textFill>
            <w14:solidFill>
              <w14:schemeClr w14:val="tx1"/>
            </w14:solidFill>
          </w14:textFill>
        </w:rPr>
      </w:sdtEndPr>
      <w:sdtContent>
        <w:p w14:paraId="006DC64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15A5ABC">
      <w:pPr>
        <w:rPr>
          <w:color w:val="000000" w:themeColor="text1"/>
          <w14:textFill>
            <w14:solidFill>
              <w14:schemeClr w14:val="tx1"/>
            </w14:solidFill>
          </w14:textFill>
        </w:rPr>
      </w:pPr>
    </w:p>
    <w:p w14:paraId="3142BF4E">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本期坏账准备收回或转回金额重要的[双击切换]"/>
        <w:tag w:val="_GBC_279266492b924c379c68ded1cd456b96"/>
        <w:id w:val="-998417921"/>
        <w:placeholder>
          <w:docPart w:val="GBC22222222222222222222222222222"/>
        </w:placeholder>
      </w:sdtPr>
      <w:sdtEndPr>
        <w:rPr>
          <w:color w:val="000000" w:themeColor="text1"/>
          <w14:textFill>
            <w14:solidFill>
              <w14:schemeClr w14:val="tx1"/>
            </w14:solidFill>
          </w14:textFill>
        </w:rPr>
      </w:sdtEndPr>
      <w:sdtContent>
        <w:p w14:paraId="0BAAA80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7D70F50">
      <w:pPr>
        <w:rPr>
          <w:color w:val="000000" w:themeColor="text1"/>
          <w14:textFill>
            <w14:solidFill>
              <w14:schemeClr w14:val="tx1"/>
            </w14:solidFill>
          </w14:textFill>
        </w:rPr>
      </w:pPr>
    </w:p>
    <w:p w14:paraId="784BFED3">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母公司坏账准备情况的说明"/>
        <w:tag w:val="_GBC_3ab55111e91142e6a9275bfe02be4915"/>
        <w:id w:val="-312407606"/>
        <w:placeholder>
          <w:docPart w:val="GBC22222222222222222222222222222"/>
        </w:placeholder>
      </w:sdtPr>
      <w:sdtEndPr>
        <w:rPr>
          <w:color w:val="000000" w:themeColor="text1"/>
          <w14:textFill>
            <w14:solidFill>
              <w14:schemeClr w14:val="tx1"/>
            </w14:solidFill>
          </w14:textFill>
        </w:rPr>
      </w:sdtEndPr>
      <w:sdtContent>
        <w:p w14:paraId="1DCA6A97">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5CE0286B">
      <w:pPr>
        <w:ind w:right="-1594" w:rightChars="-759"/>
        <w:rPr>
          <w:color w:val="000000" w:themeColor="text1"/>
          <w14:textFill>
            <w14:solidFill>
              <w14:schemeClr w14:val="tx1"/>
            </w14:solidFill>
          </w14:textFill>
        </w:rPr>
      </w:pPr>
    </w:p>
    <w:p w14:paraId="42D7FCC3">
      <w:pPr>
        <w:pStyle w:val="6"/>
        <w:numPr>
          <w:ilvl w:val="0"/>
          <w:numId w:val="105"/>
        </w:numPr>
      </w:pPr>
      <w:r>
        <w:rPr>
          <w:rFonts w:hint="eastAsia"/>
        </w:rPr>
        <w:t>本期实际核销的应收利息情况</w:t>
      </w:r>
    </w:p>
    <w:sdt>
      <w:sdtPr>
        <w:rPr>
          <w:color w:val="000000" w:themeColor="text1"/>
          <w14:textFill>
            <w14:solidFill>
              <w14:schemeClr w14:val="tx1"/>
            </w14:solidFill>
          </w14:textFill>
        </w:rPr>
        <w:alias w:val="是否适用：实际核销的情况[双击切换]"/>
        <w:tag w:val="_GBC_e26e6d4104e24b8ba3faa4e27a6c1045"/>
        <w:id w:val="-466352965"/>
        <w:placeholder>
          <w:docPart w:val="GBC22222222222222222222222222222"/>
        </w:placeholder>
      </w:sdtPr>
      <w:sdtEndPr>
        <w:rPr>
          <w:color w:val="000000" w:themeColor="text1"/>
          <w14:textFill>
            <w14:solidFill>
              <w14:schemeClr w14:val="tx1"/>
            </w14:solidFill>
          </w14:textFill>
        </w:rPr>
      </w:sdtEndPr>
      <w:sdtContent>
        <w:p w14:paraId="2B59332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BAD6743">
      <w:pPr>
        <w:rPr>
          <w:color w:val="000000" w:themeColor="text1"/>
          <w14:textFill>
            <w14:solidFill>
              <w14:schemeClr w14:val="tx1"/>
            </w14:solidFill>
          </w14:textFill>
        </w:rPr>
      </w:pPr>
    </w:p>
    <w:p w14:paraId="6488C459">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其中重要的应收利息核销情况</w:t>
      </w:r>
    </w:p>
    <w:sdt>
      <w:sdtPr>
        <w:rPr>
          <w:rFonts w:hint="eastAsia"/>
          <w:color w:val="000000" w:themeColor="text1"/>
          <w14:textFill>
            <w14:solidFill>
              <w14:schemeClr w14:val="tx1"/>
            </w14:solidFill>
          </w14:textFill>
        </w:rPr>
        <w:alias w:val="是否适用：母公司重要的核销情况[双击切换]"/>
        <w:tag w:val="_GBC_60da80ce578f488fb72578d4541af9c0"/>
        <w:id w:val="-970437491"/>
        <w:placeholder>
          <w:docPart w:val="GBC22222222222222222222222222222"/>
        </w:placeholder>
      </w:sdtPr>
      <w:sdtEndPr>
        <w:rPr>
          <w:rFonts w:hint="eastAsia"/>
          <w:color w:val="000000" w:themeColor="text1"/>
          <w14:textFill>
            <w14:solidFill>
              <w14:schemeClr w14:val="tx1"/>
            </w14:solidFill>
          </w14:textFill>
        </w:rPr>
      </w:sdtEndPr>
      <w:sdtContent>
        <w:p w14:paraId="33F32DC0">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D49E2A0">
      <w:pPr>
        <w:rPr>
          <w:color w:val="000000" w:themeColor="text1"/>
          <w14:textFill>
            <w14:solidFill>
              <w14:schemeClr w14:val="tx1"/>
            </w14:solidFill>
          </w14:textFill>
        </w:rPr>
      </w:pPr>
    </w:p>
    <w:p w14:paraId="5EB0CC63">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母公司核销说明[双击切换]"/>
        <w:tag w:val="_GBC_ae6210dfe1cb4aa880cbee38195c69fa"/>
        <w:id w:val="449132109"/>
        <w:placeholder>
          <w:docPart w:val="GBC22222222222222222222222222222"/>
        </w:placeholder>
      </w:sdtPr>
      <w:sdtEndPr>
        <w:rPr>
          <w:color w:val="000000" w:themeColor="text1"/>
          <w14:textFill>
            <w14:solidFill>
              <w14:schemeClr w14:val="tx1"/>
            </w14:solidFill>
          </w14:textFill>
        </w:rPr>
      </w:sdtEndPr>
      <w:sdtContent>
        <w:p w14:paraId="779D993C">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3AF18DD">
      <w:pPr>
        <w:rPr>
          <w:color w:val="000000" w:themeColor="text1"/>
          <w14:textFill>
            <w14:solidFill>
              <w14:schemeClr w14:val="tx1"/>
            </w14:solidFill>
          </w14:textFill>
        </w:rPr>
      </w:pPr>
    </w:p>
    <w:bookmarkEnd w:id="423"/>
    <w:bookmarkEnd w:id="424"/>
    <w:p w14:paraId="482E605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bookmarkEnd w:id="425"/>
    </w:p>
    <w:sdt>
      <w:sdtPr>
        <w:rPr>
          <w:color w:val="000000" w:themeColor="text1"/>
          <w14:textFill>
            <w14:solidFill>
              <w14:schemeClr w14:val="tx1"/>
            </w14:solidFill>
          </w14:textFill>
        </w:rPr>
        <w:alias w:val="是否适用：母公司应收利息其他说明[双击切换]"/>
        <w:tag w:val="_GBC_936c374258514f469f2c9bb36b889c43"/>
        <w:id w:val="1891458221"/>
        <w:placeholder>
          <w:docPart w:val="GBC22222222222222222222222222222"/>
        </w:placeholder>
      </w:sdtPr>
      <w:sdtEndPr>
        <w:rPr>
          <w:color w:val="000000" w:themeColor="text1"/>
          <w14:textFill>
            <w14:solidFill>
              <w14:schemeClr w14:val="tx1"/>
            </w14:solidFill>
          </w14:textFill>
        </w:rPr>
      </w:sdtEndPr>
      <w:sdtContent>
        <w:p w14:paraId="1A2E2A8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3E27C117">
      <w:pPr>
        <w:rPr>
          <w:color w:val="000000" w:themeColor="text1"/>
          <w14:textFill>
            <w14:solidFill>
              <w14:schemeClr w14:val="tx1"/>
            </w14:solidFill>
          </w14:textFill>
        </w:rPr>
      </w:pPr>
    </w:p>
    <w:bookmarkEnd w:id="426"/>
    <w:p w14:paraId="392D092F">
      <w:pPr>
        <w:pStyle w:val="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应收股利</w:t>
      </w:r>
    </w:p>
    <w:p w14:paraId="4344EB15">
      <w:pPr>
        <w:pStyle w:val="6"/>
        <w:numPr>
          <w:ilvl w:val="0"/>
          <w:numId w:val="106"/>
        </w:numPr>
      </w:pPr>
      <w:bookmarkStart w:id="427" w:name="_Hlk10547160"/>
      <w:bookmarkStart w:id="428" w:name="_Hlk10547171"/>
      <w:r>
        <w:rPr>
          <w:rFonts w:hint="eastAsia"/>
        </w:rPr>
        <w:t>应收股利</w:t>
      </w:r>
      <w:bookmarkEnd w:id="427"/>
    </w:p>
    <w:sdt>
      <w:sdtPr>
        <w:rPr>
          <w:color w:val="000000" w:themeColor="text1"/>
          <w14:textFill>
            <w14:solidFill>
              <w14:schemeClr w14:val="tx1"/>
            </w14:solidFill>
          </w14:textFill>
        </w:rPr>
        <w:alias w:val="是否适用：母公司应收股利[双击切换]"/>
        <w:tag w:val="_GBC_3f36acb68ddd426b990a146c5c14da80"/>
        <w:id w:val="-1218203273"/>
        <w:placeholder>
          <w:docPart w:val="GBC22222222222222222222222222222"/>
        </w:placeholder>
      </w:sdtPr>
      <w:sdtEndPr>
        <w:rPr>
          <w:color w:val="000000" w:themeColor="text1"/>
          <w14:textFill>
            <w14:solidFill>
              <w14:schemeClr w14:val="tx1"/>
            </w14:solidFill>
          </w14:textFill>
        </w:rPr>
      </w:sdtEndPr>
      <w:sdtContent>
        <w:p w14:paraId="3B90C05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213E54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应收股利"/>
          <w:tag w:val="_GBC_e366134590994916ad440e1f86811baf"/>
          <w:id w:val="-18061459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应收股利"/>
          <w:tag w:val="_GBC_775e6a0d5c9a4f36b4b0b9f8ccda5bad"/>
          <w:id w:val="12713550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428"/>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3"/>
        <w:gridCol w:w="2811"/>
        <w:gridCol w:w="2825"/>
      </w:tblGrid>
      <w:tr w14:paraId="177F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87c7fccab6c455e8950ee7fa77c8733"/>
            <w:id w:val="962858269"/>
          </w:sdtPr>
          <w:sdtContent>
            <w:tc>
              <w:tcPr>
                <w:tcW w:w="1886" w:type="pct"/>
                <w:vAlign w:val="center"/>
              </w:tcPr>
              <w:p w14:paraId="269C5F32">
                <w:pPr>
                  <w:jc w:val="center"/>
                  <w:rPr>
                    <w:color w:val="000000" w:themeColor="text1"/>
                    <w14:textFill>
                      <w14:solidFill>
                        <w14:schemeClr w14:val="tx1"/>
                      </w14:solidFill>
                    </w14:textFill>
                  </w:rPr>
                </w:pPr>
                <w:bookmarkStart w:id="429" w:name="_Hlk10547188"/>
                <w:bookmarkStart w:id="430" w:name="_Hlk10547199"/>
                <w:r>
                  <w:rPr>
                    <w:rFonts w:hint="eastAsia"/>
                    <w:color w:val="000000" w:themeColor="text1"/>
                    <w14:textFill>
                      <w14:solidFill>
                        <w14:schemeClr w14:val="tx1"/>
                      </w14:solidFill>
                    </w14:textFill>
                  </w:rPr>
                  <w:t>项目(或被投资单位)</w:t>
                </w:r>
              </w:p>
            </w:tc>
          </w:sdtContent>
        </w:sdt>
        <w:sdt>
          <w:sdtPr>
            <w:tag w:val="_PLD_71bd546e51944d7e86945cae947ca7e3"/>
            <w:id w:val="1363471211"/>
          </w:sdtPr>
          <w:sdtContent>
            <w:tc>
              <w:tcPr>
                <w:tcW w:w="1553" w:type="pct"/>
                <w:vAlign w:val="center"/>
              </w:tcPr>
              <w:p w14:paraId="2887B06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a057b5b882e84e6e85ec2267d16598c0"/>
            <w:id w:val="-785585101"/>
          </w:sdtPr>
          <w:sdtContent>
            <w:tc>
              <w:tcPr>
                <w:tcW w:w="1561" w:type="pct"/>
                <w:vAlign w:val="center"/>
              </w:tcPr>
              <w:p w14:paraId="0F40EA9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69A5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6" w:type="pct"/>
          </w:tcPr>
          <w:p w14:paraId="29414678">
            <w:pPr>
              <w:jc w:val="center"/>
            </w:pPr>
            <w:r>
              <w:t>重庆力帆内燃机有限公司</w:t>
            </w:r>
          </w:p>
        </w:tc>
        <w:tc>
          <w:tcPr>
            <w:tcW w:w="1553" w:type="pct"/>
          </w:tcPr>
          <w:p w14:paraId="028FC9B7">
            <w:pPr>
              <w:jc w:val="right"/>
            </w:pPr>
            <w:r>
              <w:t>19,171,026.48</w:t>
            </w:r>
          </w:p>
        </w:tc>
        <w:tc>
          <w:tcPr>
            <w:tcW w:w="1561" w:type="pct"/>
          </w:tcPr>
          <w:p w14:paraId="2272C29A">
            <w:pPr>
              <w:jc w:val="right"/>
            </w:pPr>
            <w:r>
              <w:t>19,171,026.48</w:t>
            </w:r>
          </w:p>
        </w:tc>
      </w:tr>
      <w:tr w14:paraId="0727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6" w:type="pct"/>
            <w:vAlign w:val="center"/>
          </w:tcPr>
          <w:p w14:paraId="4889410E">
            <w:pPr>
              <w:jc w:val="center"/>
            </w:pPr>
            <w:r>
              <w:rPr>
                <w:rFonts w:hint="eastAsia"/>
              </w:rPr>
              <w:t>合计</w:t>
            </w:r>
          </w:p>
        </w:tc>
        <w:tc>
          <w:tcPr>
            <w:tcW w:w="1553" w:type="pct"/>
          </w:tcPr>
          <w:p w14:paraId="62487DBC">
            <w:pPr>
              <w:jc w:val="right"/>
            </w:pPr>
            <w:r>
              <w:t>19,171,026.48</w:t>
            </w:r>
          </w:p>
        </w:tc>
        <w:tc>
          <w:tcPr>
            <w:tcW w:w="1561" w:type="pct"/>
          </w:tcPr>
          <w:p w14:paraId="6B11BEEF">
            <w:pPr>
              <w:jc w:val="right"/>
            </w:pPr>
            <w:r>
              <w:t>19,171,026.48</w:t>
            </w:r>
          </w:p>
        </w:tc>
      </w:tr>
    </w:tbl>
    <w:p w14:paraId="5A077613"/>
    <w:p w14:paraId="3400F52F">
      <w:pPr>
        <w:pStyle w:val="6"/>
        <w:numPr>
          <w:ilvl w:val="0"/>
          <w:numId w:val="106"/>
        </w:numPr>
      </w:pPr>
      <w:r>
        <w:rPr>
          <w:rFonts w:hint="eastAsia"/>
        </w:rPr>
        <w:t>重要的账龄超过1年的应收股利</w:t>
      </w:r>
      <w:bookmarkEnd w:id="429"/>
    </w:p>
    <w:sdt>
      <w:sdtPr>
        <w:rPr>
          <w:color w:val="000000" w:themeColor="text1"/>
          <w14:textFill>
            <w14:solidFill>
              <w14:schemeClr w14:val="tx1"/>
            </w14:solidFill>
          </w14:textFill>
        </w:rPr>
        <w:alias w:val="是否适用：母公司重要的账龄超过1年的应收股利[双击切换]"/>
        <w:tag w:val="_GBC_5ce593c40926400393bed620009e5006"/>
        <w:id w:val="-708186739"/>
        <w:placeholder>
          <w:docPart w:val="GBC22222222222222222222222222222"/>
        </w:placeholder>
      </w:sdtPr>
      <w:sdtEndPr>
        <w:rPr>
          <w:color w:val="000000" w:themeColor="text1"/>
          <w14:textFill>
            <w14:solidFill>
              <w14:schemeClr w14:val="tx1"/>
            </w14:solidFill>
          </w14:textFill>
        </w:rPr>
      </w:sdtEndPr>
      <w:sdtContent>
        <w:p w14:paraId="2E98884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C42BBB">
      <w:pPr>
        <w:rPr>
          <w:color w:val="000000" w:themeColor="text1"/>
          <w14:textFill>
            <w14:solidFill>
              <w14:schemeClr w14:val="tx1"/>
            </w14:solidFill>
          </w14:textFill>
        </w:rPr>
      </w:pPr>
    </w:p>
    <w:bookmarkEnd w:id="430"/>
    <w:p w14:paraId="402CBD66">
      <w:pPr>
        <w:pStyle w:val="6"/>
        <w:numPr>
          <w:ilvl w:val="0"/>
          <w:numId w:val="106"/>
        </w:numPr>
      </w:pPr>
      <w:bookmarkStart w:id="431" w:name="_Hlk153790907"/>
      <w:bookmarkStart w:id="432" w:name="_Hlk154150045"/>
      <w:bookmarkStart w:id="433" w:name="_Hlk168041814"/>
      <w:r>
        <w:rPr>
          <w:rFonts w:hint="eastAsia"/>
        </w:rPr>
        <w:t>按坏账计提方法分类披露</w:t>
      </w:r>
    </w:p>
    <w:sdt>
      <w:sdtPr>
        <w:rPr>
          <w:color w:val="000000" w:themeColor="text1"/>
          <w14:textFill>
            <w14:solidFill>
              <w14:schemeClr w14:val="tx1"/>
            </w14:solidFill>
          </w14:textFill>
        </w:rPr>
        <w:alias w:val="是否适用：母公司按坏账计提方法分类披露[双击切换]"/>
        <w:tag w:val="_GBC_606fd71a57c6434eaa16ce805f815d2e"/>
        <w:id w:val="-1708554906"/>
        <w:placeholder>
          <w:docPart w:val="GBC22222222222222222222222222222"/>
        </w:placeholder>
      </w:sdtPr>
      <w:sdtEndPr>
        <w:rPr>
          <w:color w:val="000000" w:themeColor="text1"/>
          <w14:textFill>
            <w14:solidFill>
              <w14:schemeClr w14:val="tx1"/>
            </w14:solidFill>
          </w14:textFill>
        </w:rPr>
      </w:sdtEndPr>
      <w:sdtContent>
        <w:p w14:paraId="63E877D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C69D5F9">
      <w:pPr>
        <w:rPr>
          <w:color w:val="000000" w:themeColor="text1"/>
          <w14:textFill>
            <w14:solidFill>
              <w14:schemeClr w14:val="tx1"/>
            </w14:solidFill>
          </w14:textFill>
        </w:rPr>
      </w:pPr>
    </w:p>
    <w:p w14:paraId="589A34E6">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w:t>
      </w:r>
    </w:p>
    <w:sdt>
      <w:sdtPr>
        <w:rPr>
          <w:color w:val="000000" w:themeColor="text1"/>
          <w14:textFill>
            <w14:solidFill>
              <w14:schemeClr w14:val="tx1"/>
            </w14:solidFill>
          </w14:textFill>
        </w:rPr>
        <w:alias w:val="是否适用：母公司按单项计提坏账准备的详细情况[双击切换]"/>
        <w:tag w:val="_GBC_02d5c836df9842559c42aa2f751aa5ba"/>
        <w:id w:val="20363520"/>
        <w:placeholder>
          <w:docPart w:val="GBC22222222222222222222222222222"/>
        </w:placeholder>
      </w:sdtPr>
      <w:sdtEndPr>
        <w:rPr>
          <w:color w:val="000000" w:themeColor="text1"/>
          <w14:textFill>
            <w14:solidFill>
              <w14:schemeClr w14:val="tx1"/>
            </w14:solidFill>
          </w14:textFill>
        </w:rPr>
      </w:sdtEndPr>
      <w:sdtContent>
        <w:p w14:paraId="7A65AD8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5389B56">
      <w:pPr>
        <w:rPr>
          <w:color w:val="000000" w:themeColor="text1"/>
          <w14:textFill>
            <w14:solidFill>
              <w14:schemeClr w14:val="tx1"/>
            </w14:solidFill>
          </w14:textFill>
        </w:rPr>
      </w:pPr>
    </w:p>
    <w:p w14:paraId="52FF57FC">
      <w:pPr>
        <w:rPr>
          <w:color w:val="000000" w:themeColor="text1"/>
          <w14:textFill>
            <w14:solidFill>
              <w14:schemeClr w14:val="tx1"/>
            </w14:solidFill>
          </w14:textFill>
        </w:rPr>
      </w:pPr>
      <w:r>
        <w:rPr>
          <w:rFonts w:hint="eastAsia"/>
          <w:color w:val="000000" w:themeColor="text1"/>
          <w14:textFill>
            <w14:solidFill>
              <w14:schemeClr w14:val="tx1"/>
            </w14:solidFill>
          </w14:textFill>
        </w:rPr>
        <w:t>按单项计提坏账准备的说明：</w:t>
      </w:r>
    </w:p>
    <w:sdt>
      <w:sdtPr>
        <w:rPr>
          <w:color w:val="000000" w:themeColor="text1"/>
          <w14:textFill>
            <w14:solidFill>
              <w14:schemeClr w14:val="tx1"/>
            </w14:solidFill>
          </w14:textFill>
        </w:rPr>
        <w:alias w:val="是否适用：母公司按单项计提坏账准备的说明[双击切换]"/>
        <w:tag w:val="_GBC_4af2b30a86cf42d091fd1188b15fbce6"/>
        <w:id w:val="-1993556332"/>
        <w:placeholder>
          <w:docPart w:val="GBC22222222222222222222222222222"/>
        </w:placeholder>
      </w:sdtPr>
      <w:sdtEndPr>
        <w:rPr>
          <w:color w:val="000000" w:themeColor="text1"/>
          <w14:textFill>
            <w14:solidFill>
              <w14:schemeClr w14:val="tx1"/>
            </w14:solidFill>
          </w14:textFill>
        </w:rPr>
      </w:sdtEndPr>
      <w:sdtContent>
        <w:p w14:paraId="1A6D748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8B918B0">
      <w:pPr>
        <w:rPr>
          <w:color w:val="000000" w:themeColor="text1"/>
          <w14:textFill>
            <w14:solidFill>
              <w14:schemeClr w14:val="tx1"/>
            </w14:solidFill>
          </w14:textFill>
        </w:rPr>
      </w:pPr>
    </w:p>
    <w:p w14:paraId="1D68D07F">
      <w:pPr>
        <w:rPr>
          <w:rFonts w:ascii="Calibri" w:hAnsi="Calibri" w:cs="Times New Roman"/>
          <w:bCs/>
          <w:color w:val="000000" w:themeColor="text1"/>
          <w:szCs w:val="22"/>
          <w14:textFill>
            <w14:solidFill>
              <w14:schemeClr w14:val="tx1"/>
            </w14:solidFill>
          </w14:textFill>
        </w:rPr>
      </w:pPr>
      <w:r>
        <w:rPr>
          <w:rFonts w:hint="eastAsia" w:ascii="Calibri" w:hAnsi="Calibri" w:cs="Times New Roman"/>
          <w:color w:val="000000" w:themeColor="text1"/>
          <w:szCs w:val="22"/>
          <w14:textFill>
            <w14:solidFill>
              <w14:schemeClr w14:val="tx1"/>
            </w14:solidFill>
          </w14:textFill>
        </w:rPr>
        <w:t>按组合计提坏账准备：</w:t>
      </w:r>
    </w:p>
    <w:sdt>
      <w:sdtPr>
        <w:rPr>
          <w:rFonts w:ascii="Calibri" w:hAnsi="Calibri" w:cs="Times New Roman"/>
          <w:bCs/>
          <w:color w:val="000000" w:themeColor="text1"/>
          <w:szCs w:val="22"/>
          <w14:textFill>
            <w14:solidFill>
              <w14:schemeClr w14:val="tx1"/>
            </w14:solidFill>
          </w14:textFill>
        </w:rPr>
        <w:alias w:val="是否适用：母公司按组合计提坏账准备的详细情况[双击切换]"/>
        <w:tag w:val="_GBC_9f9d44f1ec164a3da4b2c14d4d129121"/>
        <w:id w:val="-1620062570"/>
        <w:placeholder>
          <w:docPart w:val="GBC22222222222222222222222222222"/>
        </w:placeholder>
      </w:sdtPr>
      <w:sdtEndPr>
        <w:rPr>
          <w:rFonts w:ascii="Calibri" w:hAnsi="Calibri" w:cs="Times New Roman"/>
          <w:bCs/>
          <w:color w:val="000000" w:themeColor="text1"/>
          <w:szCs w:val="22"/>
          <w14:textFill>
            <w14:solidFill>
              <w14:schemeClr w14:val="tx1"/>
            </w14:solidFill>
          </w14:textFill>
        </w:rPr>
      </w:sdtEndPr>
      <w:sdtContent>
        <w:p w14:paraId="15F6AC2A">
          <w:pPr>
            <w:rPr>
              <w:color w:val="000000" w:themeColor="text1"/>
              <w14:textFill>
                <w14:solidFill>
                  <w14:schemeClr w14:val="tx1"/>
                </w14:solidFill>
              </w14:textFill>
            </w:rPr>
          </w:pP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□适用 </w:instrText>
          </w:r>
          <w:r>
            <w:rPr>
              <w:rFonts w:ascii="宋体" w:hAnsi="宋体" w:cs="Times New Roman"/>
              <w:bCs/>
              <w:color w:val="000000" w:themeColor="text1"/>
              <w:szCs w:val="22"/>
              <w14:textFill>
                <w14:solidFill>
                  <w14:schemeClr w14:val="tx1"/>
                </w14:solidFill>
              </w14:textFill>
            </w:rPr>
            <w:fldChar w:fldCharType="end"/>
          </w:r>
          <w:r>
            <w:rPr>
              <w:rFonts w:ascii="宋体" w:hAnsi="宋体" w:cs="Times New Roman"/>
              <w:bCs/>
              <w:color w:val="000000" w:themeColor="text1"/>
              <w:szCs w:val="22"/>
              <w14:textFill>
                <w14:solidFill>
                  <w14:schemeClr w14:val="tx1"/>
                </w14:solidFill>
              </w14:textFill>
            </w:rPr>
            <w:fldChar w:fldCharType="begin"/>
          </w:r>
          <w:r>
            <w:rPr>
              <w:rFonts w:ascii="宋体" w:hAnsi="宋体" w:cs="Times New Roman"/>
              <w:color w:val="000000" w:themeColor="text1"/>
              <w:szCs w:val="22"/>
              <w14:textFill>
                <w14:solidFill>
                  <w14:schemeClr w14:val="tx1"/>
                </w14:solidFill>
              </w14:textFill>
            </w:rPr>
            <w:instrText xml:space="preserve"> MACROBUTTON  SnrToggleCheckbox √不适用 </w:instrText>
          </w:r>
          <w:r>
            <w:rPr>
              <w:rFonts w:ascii="宋体" w:hAnsi="宋体" w:cs="Times New Roman"/>
              <w:bCs/>
              <w:color w:val="000000" w:themeColor="text1"/>
              <w:szCs w:val="22"/>
              <w14:textFill>
                <w14:solidFill>
                  <w14:schemeClr w14:val="tx1"/>
                </w14:solidFill>
              </w14:textFill>
            </w:rPr>
            <w:fldChar w:fldCharType="end"/>
          </w:r>
        </w:p>
      </w:sdtContent>
    </w:sdt>
    <w:p w14:paraId="74711988">
      <w:pPr>
        <w:rPr>
          <w:color w:val="000000" w:themeColor="text1"/>
          <w14:textFill>
            <w14:solidFill>
              <w14:schemeClr w14:val="tx1"/>
            </w14:solidFill>
          </w14:textFill>
        </w:rPr>
      </w:pPr>
    </w:p>
    <w:p w14:paraId="3FA15C61">
      <w:pPr>
        <w:rPr>
          <w:rFonts w:ascii="Calibri" w:hAnsi="Calibri" w:cs="Times New Roman"/>
          <w:b/>
          <w:bCs/>
          <w:color w:val="000000" w:themeColor="text1"/>
          <w:szCs w:val="22"/>
          <w14:textFill>
            <w14:solidFill>
              <w14:schemeClr w14:val="tx1"/>
            </w14:solidFill>
          </w14:textFill>
        </w:rPr>
      </w:pPr>
    </w:p>
    <w:bookmarkEnd w:id="431"/>
    <w:bookmarkEnd w:id="432"/>
    <w:bookmarkEnd w:id="433"/>
    <w:p w14:paraId="4465EDF7">
      <w:pPr>
        <w:pStyle w:val="6"/>
        <w:numPr>
          <w:ilvl w:val="0"/>
          <w:numId w:val="106"/>
        </w:numPr>
      </w:pPr>
      <w:bookmarkStart w:id="434" w:name="_Hlk10547212"/>
      <w:bookmarkEnd w:id="434"/>
      <w:bookmarkStart w:id="435" w:name="_Hlk10547224"/>
      <w:r>
        <w:rPr>
          <w:rFonts w:hint="eastAsia"/>
        </w:rPr>
        <w:t>按预期信用损失一般模型计提坏账准备</w:t>
      </w:r>
    </w:p>
    <w:sdt>
      <w:sdtPr>
        <w:rPr>
          <w:color w:val="000000" w:themeColor="text1"/>
          <w14:textFill>
            <w14:solidFill>
              <w14:schemeClr w14:val="tx1"/>
            </w14:solidFill>
          </w14:textFill>
        </w:rPr>
        <w:alias w:val="是否适用：母公司应收股利坏账准备调节表[双击切换]"/>
        <w:tag w:val="_GBC_9d130aecb6cb4874ac083fcdce5ee739"/>
        <w:id w:val="-1167944240"/>
        <w:placeholder>
          <w:docPart w:val="GBC22222222222222222222222222222"/>
        </w:placeholder>
      </w:sdtPr>
      <w:sdtEndPr>
        <w:rPr>
          <w:color w:val="000000" w:themeColor="text1"/>
          <w14:textFill>
            <w14:solidFill>
              <w14:schemeClr w14:val="tx1"/>
            </w14:solidFill>
          </w14:textFill>
        </w:rPr>
      </w:sdtEndPr>
      <w:sdtContent>
        <w:p w14:paraId="0265926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E62BF91">
      <w:pPr>
        <w:rPr>
          <w:color w:val="000000" w:themeColor="text1"/>
          <w14:textFill>
            <w14:solidFill>
              <w14:schemeClr w14:val="tx1"/>
            </w14:solidFill>
          </w14:textFill>
        </w:rPr>
      </w:pPr>
    </w:p>
    <w:bookmarkEnd w:id="435"/>
    <w:p w14:paraId="3F607D9F">
      <w:pPr>
        <w:pStyle w:val="6"/>
        <w:numPr>
          <w:ilvl w:val="0"/>
          <w:numId w:val="106"/>
        </w:numPr>
      </w:pPr>
      <w:bookmarkStart w:id="436" w:name="_Hlk168042003"/>
      <w:bookmarkStart w:id="437" w:name="_Hlk153792018"/>
      <w:bookmarkStart w:id="438" w:name="_Hlk154150256"/>
      <w:r>
        <w:rPr>
          <w:rFonts w:hint="eastAsia"/>
        </w:rPr>
        <w:t>坏账准备的情况</w:t>
      </w:r>
    </w:p>
    <w:sdt>
      <w:sdtPr>
        <w:rPr>
          <w:color w:val="000000" w:themeColor="text1"/>
          <w14:textFill>
            <w14:solidFill>
              <w14:schemeClr w14:val="tx1"/>
            </w14:solidFill>
          </w14:textFill>
        </w:rPr>
        <w:alias w:val="是否适用：母公司坏账准备情况[双击切换]"/>
        <w:tag w:val="_GBC_4359768bbe6b4db5aaabe9fec181f50a"/>
        <w:id w:val="-1378701279"/>
        <w:placeholder>
          <w:docPart w:val="GBC22222222222222222222222222222"/>
        </w:placeholder>
      </w:sdtPr>
      <w:sdtEndPr>
        <w:rPr>
          <w:color w:val="000000" w:themeColor="text1"/>
          <w14:textFill>
            <w14:solidFill>
              <w14:schemeClr w14:val="tx1"/>
            </w14:solidFill>
          </w14:textFill>
        </w:rPr>
      </w:sdtEndPr>
      <w:sdtContent>
        <w:p w14:paraId="3404AA7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07E5654">
      <w:pPr>
        <w:rPr>
          <w:color w:val="000000" w:themeColor="text1"/>
          <w14:textFill>
            <w14:solidFill>
              <w14:schemeClr w14:val="tx1"/>
            </w14:solidFill>
          </w14:textFill>
        </w:rPr>
      </w:pPr>
    </w:p>
    <w:p w14:paraId="2D8D596A">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其中本期坏账准备收回或转回金额重要的：</w:t>
      </w:r>
    </w:p>
    <w:sdt>
      <w:sdtPr>
        <w:rPr>
          <w:color w:val="000000" w:themeColor="text1"/>
          <w14:textFill>
            <w14:solidFill>
              <w14:schemeClr w14:val="tx1"/>
            </w14:solidFill>
          </w14:textFill>
        </w:rPr>
        <w:alias w:val="是否适用：母公司本期坏账准备收回或转回金额重要的[双击切换]"/>
        <w:tag w:val="_GBC_15c983ff27c348dab992de66b12c1147"/>
        <w:id w:val="1431625746"/>
        <w:placeholder>
          <w:docPart w:val="GBC22222222222222222222222222222"/>
        </w:placeholder>
      </w:sdtPr>
      <w:sdtEndPr>
        <w:rPr>
          <w:color w:val="000000" w:themeColor="text1"/>
          <w14:textFill>
            <w14:solidFill>
              <w14:schemeClr w14:val="tx1"/>
            </w14:solidFill>
          </w14:textFill>
        </w:rPr>
      </w:sdtEndPr>
      <w:sdtContent>
        <w:p w14:paraId="0FC62D6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6214F44">
      <w:pPr>
        <w:rPr>
          <w:color w:val="000000" w:themeColor="text1"/>
          <w14:textFill>
            <w14:solidFill>
              <w14:schemeClr w14:val="tx1"/>
            </w14:solidFill>
          </w14:textFill>
        </w:rPr>
      </w:pPr>
    </w:p>
    <w:p w14:paraId="1E1FF808">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母公司坏账准备情况的说明"/>
        <w:tag w:val="_GBC_c23d2aac5be544dab9d6cfeb3fe4c5b9"/>
        <w:id w:val="1879741847"/>
        <w:placeholder>
          <w:docPart w:val="GBC22222222222222222222222222222"/>
        </w:placeholder>
      </w:sdtPr>
      <w:sdtEndPr>
        <w:rPr>
          <w:color w:val="000000" w:themeColor="text1"/>
          <w14:textFill>
            <w14:solidFill>
              <w14:schemeClr w14:val="tx1"/>
            </w14:solidFill>
          </w14:textFill>
        </w:rPr>
      </w:sdtEndPr>
      <w:sdtContent>
        <w:p w14:paraId="0D2A286E">
          <w:pPr>
            <w:ind w:right="42" w:rightChars="20"/>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449153DC">
      <w:pPr>
        <w:ind w:right="-1594" w:rightChars="-759"/>
        <w:rPr>
          <w:color w:val="000000" w:themeColor="text1"/>
          <w14:textFill>
            <w14:solidFill>
              <w14:schemeClr w14:val="tx1"/>
            </w14:solidFill>
          </w14:textFill>
        </w:rPr>
      </w:pPr>
    </w:p>
    <w:p w14:paraId="5381DBA0">
      <w:pPr>
        <w:pStyle w:val="6"/>
        <w:numPr>
          <w:ilvl w:val="0"/>
          <w:numId w:val="106"/>
        </w:numPr>
      </w:pPr>
      <w:bookmarkStart w:id="439" w:name="_Hlk155883151"/>
      <w:r>
        <w:rPr>
          <w:rFonts w:hint="eastAsia"/>
        </w:rPr>
        <w:t>本期实际核销的应收股利情况</w:t>
      </w:r>
    </w:p>
    <w:sdt>
      <w:sdtPr>
        <w:rPr>
          <w:color w:val="000000" w:themeColor="text1"/>
          <w14:textFill>
            <w14:solidFill>
              <w14:schemeClr w14:val="tx1"/>
            </w14:solidFill>
          </w14:textFill>
        </w:rPr>
        <w:alias w:val="是否适用：母公司实际核销的情况[双击切换]"/>
        <w:tag w:val="_GBC_aa389cb741114553a4e1a7aed4aa319e"/>
        <w:id w:val="305592656"/>
        <w:placeholder>
          <w:docPart w:val="GBC22222222222222222222222222222"/>
        </w:placeholder>
      </w:sdtPr>
      <w:sdtEndPr>
        <w:rPr>
          <w:color w:val="000000" w:themeColor="text1"/>
          <w14:textFill>
            <w14:solidFill>
              <w14:schemeClr w14:val="tx1"/>
            </w14:solidFill>
          </w14:textFill>
        </w:rPr>
      </w:sdtEndPr>
      <w:sdtContent>
        <w:p w14:paraId="5264B25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EB72565">
      <w:pPr>
        <w:rPr>
          <w:color w:val="000000" w:themeColor="text1"/>
          <w14:textFill>
            <w14:solidFill>
              <w14:schemeClr w14:val="tx1"/>
            </w14:solidFill>
          </w14:textFill>
        </w:rPr>
      </w:pPr>
    </w:p>
    <w:bookmarkEnd w:id="439"/>
    <w:p w14:paraId="524EFF97">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其中重要的应收股利核销情况</w:t>
      </w:r>
    </w:p>
    <w:sdt>
      <w:sdtPr>
        <w:rPr>
          <w:rFonts w:hint="eastAsia"/>
          <w:color w:val="000000" w:themeColor="text1"/>
          <w14:textFill>
            <w14:solidFill>
              <w14:schemeClr w14:val="tx1"/>
            </w14:solidFill>
          </w14:textFill>
        </w:rPr>
        <w:alias w:val="是否适用：母公司重要的核销情况[双击切换]"/>
        <w:tag w:val="_GBC_146148b0997846e4bafed15556419cf8"/>
        <w:id w:val="-476372832"/>
        <w:placeholder>
          <w:docPart w:val="GBC22222222222222222222222222222"/>
        </w:placeholder>
      </w:sdtPr>
      <w:sdtEndPr>
        <w:rPr>
          <w:rFonts w:hint="eastAsia"/>
          <w:color w:val="000000" w:themeColor="text1"/>
          <w14:textFill>
            <w14:solidFill>
              <w14:schemeClr w14:val="tx1"/>
            </w14:solidFill>
          </w14:textFill>
        </w:rPr>
      </w:sdtEndPr>
      <w:sdtContent>
        <w:p w14:paraId="3E843D4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674C555">
      <w:pPr>
        <w:rPr>
          <w:color w:val="000000" w:themeColor="text1"/>
          <w14:textFill>
            <w14:solidFill>
              <w14:schemeClr w14:val="tx1"/>
            </w14:solidFill>
          </w14:textFill>
        </w:rPr>
      </w:pPr>
    </w:p>
    <w:p w14:paraId="5E889323">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核销说明：</w:t>
      </w:r>
    </w:p>
    <w:sdt>
      <w:sdtPr>
        <w:rPr>
          <w:color w:val="000000" w:themeColor="text1"/>
          <w14:textFill>
            <w14:solidFill>
              <w14:schemeClr w14:val="tx1"/>
            </w14:solidFill>
          </w14:textFill>
        </w:rPr>
        <w:alias w:val="是否适用：母公司核销说明[双击切换]"/>
        <w:tag w:val="_GBC_61aa391f7973406cadb21e662d9b01ec"/>
        <w:id w:val="-202486621"/>
        <w:placeholder>
          <w:docPart w:val="GBC22222222222222222222222222222"/>
        </w:placeholder>
      </w:sdtPr>
      <w:sdtEndPr>
        <w:rPr>
          <w:color w:val="000000" w:themeColor="text1"/>
          <w14:textFill>
            <w14:solidFill>
              <w14:schemeClr w14:val="tx1"/>
            </w14:solidFill>
          </w14:textFill>
        </w:rPr>
      </w:sdtEndPr>
      <w:sdtContent>
        <w:p w14:paraId="67D17910">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85E5271">
      <w:pPr>
        <w:rPr>
          <w:color w:val="000000" w:themeColor="text1"/>
          <w14:textFill>
            <w14:solidFill>
              <w14:schemeClr w14:val="tx1"/>
            </w14:solidFill>
          </w14:textFill>
        </w:rPr>
      </w:pPr>
    </w:p>
    <w:bookmarkEnd w:id="436"/>
    <w:bookmarkEnd w:id="437"/>
    <w:bookmarkEnd w:id="438"/>
    <w:p w14:paraId="4C2E4E91">
      <w:pPr>
        <w:rPr>
          <w:color w:val="000000" w:themeColor="text1"/>
          <w14:textFill>
            <w14:solidFill>
              <w14:schemeClr w14:val="tx1"/>
            </w14:solidFill>
          </w14:textFill>
        </w:rPr>
      </w:pPr>
      <w:bookmarkStart w:id="440" w:name="_Hlk10547234"/>
      <w:bookmarkStart w:id="441" w:name="_Hlk10547244"/>
      <w:r>
        <w:rPr>
          <w:rFonts w:hint="eastAsia"/>
          <w:color w:val="000000" w:themeColor="text1"/>
          <w14:textFill>
            <w14:solidFill>
              <w14:schemeClr w14:val="tx1"/>
            </w14:solidFill>
          </w14:textFill>
        </w:rPr>
        <w:t>其他说明：</w:t>
      </w:r>
      <w:bookmarkEnd w:id="440"/>
    </w:p>
    <w:sdt>
      <w:sdtPr>
        <w:rPr>
          <w:color w:val="000000" w:themeColor="text1"/>
          <w14:textFill>
            <w14:solidFill>
              <w14:schemeClr w14:val="tx1"/>
            </w14:solidFill>
          </w14:textFill>
        </w:rPr>
        <w:alias w:val="是否适用：母公司应收股利其他说明[双击切换]"/>
        <w:tag w:val="_GBC_79a2eb8844e84fe3b78bb5ffcf2a57d5"/>
        <w:id w:val="1680457280"/>
        <w:placeholder>
          <w:docPart w:val="GBC22222222222222222222222222222"/>
        </w:placeholder>
      </w:sdtPr>
      <w:sdtEndPr>
        <w:rPr>
          <w:color w:val="000000" w:themeColor="text1"/>
          <w14:textFill>
            <w14:solidFill>
              <w14:schemeClr w14:val="tx1"/>
            </w14:solidFill>
          </w14:textFill>
        </w:rPr>
      </w:sdtEndPr>
      <w:sdtContent>
        <w:p w14:paraId="6246AB7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1C88D0B">
      <w:pPr>
        <w:rPr>
          <w:color w:val="000000" w:themeColor="text1"/>
          <w14:textFill>
            <w14:solidFill>
              <w14:schemeClr w14:val="tx1"/>
            </w14:solidFill>
          </w14:textFill>
        </w:rPr>
      </w:pPr>
    </w:p>
    <w:bookmarkEnd w:id="441"/>
    <w:p w14:paraId="56E08E0D">
      <w:pPr>
        <w:pStyle w:val="5"/>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其他应收款</w:t>
      </w:r>
    </w:p>
    <w:p w14:paraId="14EC6010">
      <w:pPr>
        <w:pStyle w:val="6"/>
        <w:numPr>
          <w:ilvl w:val="0"/>
          <w:numId w:val="107"/>
        </w:numPr>
        <w:ind w:left="425" w:hanging="425"/>
        <w:rPr>
          <w:rFonts w:cs="宋体" w:asciiTheme="minorHAnsi" w:hAnsiTheme="minorHAnsi"/>
          <w:color w:val="000000" w:themeColor="text1"/>
          <w:kern w:val="0"/>
          <w:szCs w:val="22"/>
          <w14:textFill>
            <w14:solidFill>
              <w14:schemeClr w14:val="tx1"/>
            </w14:solidFill>
          </w14:textFill>
        </w:rPr>
      </w:pPr>
      <w:bookmarkStart w:id="442" w:name="_Hlk153797719"/>
      <w:bookmarkStart w:id="443" w:name="_Hlk168042601"/>
      <w:r>
        <w:rPr>
          <w:rFonts w:hint="eastAsia" w:cs="宋体" w:asciiTheme="minorHAnsi" w:hAnsiTheme="minorHAnsi"/>
          <w:color w:val="000000" w:themeColor="text1"/>
          <w:kern w:val="0"/>
          <w:szCs w:val="22"/>
          <w14:textFill>
            <w14:solidFill>
              <w14:schemeClr w14:val="tx1"/>
            </w14:solidFill>
          </w14:textFill>
        </w:rPr>
        <w:t>按账龄披露</w:t>
      </w:r>
    </w:p>
    <w:sdt>
      <w:sdtPr>
        <w:rPr>
          <w:color w:val="000000" w:themeColor="text1"/>
          <w14:textFill>
            <w14:solidFill>
              <w14:schemeClr w14:val="tx1"/>
            </w14:solidFill>
          </w14:textFill>
        </w:rPr>
        <w:alias w:val="是否适用：母公司其他应收款按账龄披露[双击切换]"/>
        <w:tag w:val="_GBC_5b9c67da114b4f51b08890c9615bd1d4"/>
        <w:id w:val="1110012377"/>
        <w:placeholder>
          <w:docPart w:val="E5D2A530CA3B4DB5A9B8F2DD67FA1DB1"/>
        </w:placeholder>
      </w:sdtPr>
      <w:sdtEndPr>
        <w:rPr>
          <w:color w:val="000000" w:themeColor="text1"/>
          <w14:textFill>
            <w14:solidFill>
              <w14:schemeClr w14:val="tx1"/>
            </w14:solidFill>
          </w14:textFill>
        </w:rPr>
      </w:sdtEndPr>
      <w:sdtContent>
        <w:p w14:paraId="79253EE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6674C90">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其他应收款按账龄披露"/>
          <w:tag w:val="_GBC_6ab414dc01fc4a13acb3e3755a5cc201"/>
          <w:id w:val="-402517742"/>
          <w:placeholder>
            <w:docPart w:val="E5D2A530CA3B4DB5A9B8F2DD67FA1DB1"/>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其他应收款按账龄披露"/>
          <w:tag w:val="_GBC_043422dceaa24b4d9763b5cc6404b654"/>
          <w:id w:val="632061231"/>
          <w:placeholder>
            <w:docPart w:val="E5D2A530CA3B4DB5A9B8F2DD67FA1DB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73"/>
        <w:gridCol w:w="2993"/>
        <w:gridCol w:w="2993"/>
      </w:tblGrid>
      <w:tr w14:paraId="7C1A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f35a4cb8d9748a7bccbc4e491ccfe60"/>
            <w:id w:val="-109279504"/>
          </w:sdtPr>
          <w:sdtContent>
            <w:tc>
              <w:tcPr>
                <w:tcW w:w="1696" w:type="pct"/>
                <w:tcBorders>
                  <w:top w:val="single" w:color="auto" w:sz="4" w:space="0"/>
                  <w:left w:val="single" w:color="auto" w:sz="4" w:space="0"/>
                  <w:bottom w:val="single" w:color="auto" w:sz="4" w:space="0"/>
                  <w:right w:val="single" w:color="auto" w:sz="4" w:space="0"/>
                </w:tcBorders>
                <w:vAlign w:val="center"/>
              </w:tcPr>
              <w:p w14:paraId="6AE395C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21e0bb0de0cb4a07bdd466a200c90bfc"/>
            <w:id w:val="209927732"/>
          </w:sdtPr>
          <w:sdtContent>
            <w:tc>
              <w:tcPr>
                <w:tcW w:w="1652" w:type="pct"/>
                <w:tcBorders>
                  <w:top w:val="single" w:color="auto" w:sz="4" w:space="0"/>
                  <w:left w:val="single" w:color="auto" w:sz="4" w:space="0"/>
                  <w:bottom w:val="single" w:color="auto" w:sz="4" w:space="0"/>
                  <w:right w:val="single" w:color="auto" w:sz="4" w:space="0"/>
                </w:tcBorders>
                <w:vAlign w:val="center"/>
              </w:tcPr>
              <w:p w14:paraId="4165F04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期末账面余额</w:t>
                </w:r>
              </w:p>
            </w:tc>
          </w:sdtContent>
        </w:sdt>
        <w:tc>
          <w:tcPr>
            <w:tcW w:w="1652" w:type="pct"/>
            <w:tcBorders>
              <w:top w:val="single" w:color="auto" w:sz="4" w:space="0"/>
              <w:left w:val="single" w:color="auto" w:sz="4" w:space="0"/>
              <w:bottom w:val="single" w:color="auto" w:sz="4" w:space="0"/>
              <w:right w:val="single" w:color="auto" w:sz="4" w:space="0"/>
            </w:tcBorders>
          </w:tcPr>
          <w:sdt>
            <w:sdtPr>
              <w:tag w:val="_PLD_6e9631382f39495983e2cd57b3906040"/>
              <w:id w:val="-1717507336"/>
            </w:sdtPr>
            <w:sdtContent>
              <w:p w14:paraId="0975618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期初账面余额</w:t>
                </w:r>
              </w:p>
            </w:sdtContent>
          </w:sdt>
        </w:tc>
      </w:tr>
      <w:tr w14:paraId="1457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8df0e2537e2d4d3292953be1ba7504eb"/>
            <w:id w:val="-1984688969"/>
          </w:sdtPr>
          <w:sdtContent>
            <w:tc>
              <w:tcPr>
                <w:tcW w:w="1696" w:type="pct"/>
                <w:tcBorders>
                  <w:top w:val="single" w:color="auto" w:sz="4" w:space="0"/>
                  <w:left w:val="single" w:color="auto" w:sz="4" w:space="0"/>
                  <w:bottom w:val="single" w:color="auto" w:sz="4" w:space="0"/>
                  <w:right w:val="single" w:color="auto" w:sz="4" w:space="0"/>
                </w:tcBorders>
              </w:tcPr>
              <w:p w14:paraId="6937943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1年以内（含1年）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113C7674">
            <w:pPr>
              <w:jc w:val="right"/>
            </w:pPr>
            <w:r>
              <w:t>417,904,120.00</w:t>
            </w:r>
          </w:p>
        </w:tc>
        <w:tc>
          <w:tcPr>
            <w:tcW w:w="1652" w:type="pct"/>
            <w:tcBorders>
              <w:top w:val="single" w:color="auto" w:sz="4" w:space="0"/>
              <w:left w:val="single" w:color="auto" w:sz="4" w:space="0"/>
              <w:bottom w:val="single" w:color="auto" w:sz="4" w:space="0"/>
              <w:right w:val="single" w:color="auto" w:sz="4" w:space="0"/>
            </w:tcBorders>
            <w:vAlign w:val="center"/>
          </w:tcPr>
          <w:p w14:paraId="4F1EF4B9">
            <w:pPr>
              <w:jc w:val="right"/>
            </w:pPr>
            <w:r>
              <w:t>322,688,928.54</w:t>
            </w:r>
          </w:p>
        </w:tc>
      </w:tr>
      <w:sdt>
        <w:sdtPr>
          <w:rPr>
            <w:rFonts w:hint="eastAsia"/>
            <w:color w:val="000000" w:themeColor="text1"/>
            <w14:textFill>
              <w14:solidFill>
                <w14:schemeClr w14:val="tx1"/>
              </w14:solidFill>
            </w14:textFill>
          </w:rPr>
          <w:alias w:val="一年以内其他应收款金额明细"/>
          <w:tag w:val="_TUP_c742176b3ab849fb88f254a72bb03c20"/>
          <w:id w:val="246465334"/>
          <w:placeholder>
            <w:docPart w:val="12F04DAC8C954051BB2C14249380700F"/>
          </w:placeholder>
        </w:sdtPr>
        <w:sdtEndPr>
          <w:rPr>
            <w:rFonts w:hint="eastAsia"/>
            <w:color w:val="000000" w:themeColor="text1"/>
            <w14:textFill>
              <w14:solidFill>
                <w14:schemeClr w14:val="tx1"/>
              </w14:solidFill>
            </w14:textFill>
          </w:rPr>
        </w:sdtEndPr>
        <w:sdtContent>
          <w:tr w14:paraId="763A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2277BCFA">
                <w:pPr>
                  <w:jc w:val="center"/>
                </w:pPr>
                <w:r>
                  <w:t>0-6个月（含6个月）</w:t>
                </w:r>
              </w:p>
            </w:tc>
            <w:tc>
              <w:tcPr>
                <w:tcW w:w="1652" w:type="pct"/>
                <w:tcBorders>
                  <w:top w:val="single" w:color="auto" w:sz="4" w:space="0"/>
                  <w:left w:val="single" w:color="auto" w:sz="4" w:space="0"/>
                  <w:bottom w:val="single" w:color="auto" w:sz="4" w:space="0"/>
                  <w:right w:val="single" w:color="auto" w:sz="4" w:space="0"/>
                </w:tcBorders>
                <w:vAlign w:val="center"/>
              </w:tcPr>
              <w:p w14:paraId="0B11E071">
                <w:pPr>
                  <w:jc w:val="right"/>
                </w:pPr>
                <w:r>
                  <w:t>138,668,528.96</w:t>
                </w:r>
              </w:p>
            </w:tc>
            <w:tc>
              <w:tcPr>
                <w:tcW w:w="1652" w:type="pct"/>
                <w:tcBorders>
                  <w:top w:val="single" w:color="auto" w:sz="4" w:space="0"/>
                  <w:left w:val="single" w:color="auto" w:sz="4" w:space="0"/>
                  <w:bottom w:val="single" w:color="auto" w:sz="4" w:space="0"/>
                  <w:right w:val="single" w:color="auto" w:sz="4" w:space="0"/>
                </w:tcBorders>
                <w:vAlign w:val="center"/>
              </w:tcPr>
              <w:p w14:paraId="5D8C807E">
                <w:pPr>
                  <w:jc w:val="right"/>
                </w:pPr>
                <w:r>
                  <w:t>299,551,943.20</w:t>
                </w:r>
              </w:p>
            </w:tc>
          </w:tr>
        </w:sdtContent>
      </w:sdt>
      <w:sdt>
        <w:sdtPr>
          <w:rPr>
            <w:rFonts w:hint="eastAsia"/>
            <w:color w:val="000000" w:themeColor="text1"/>
            <w14:textFill>
              <w14:solidFill>
                <w14:schemeClr w14:val="tx1"/>
              </w14:solidFill>
            </w14:textFill>
          </w:rPr>
          <w:alias w:val="一年以内其他应收款金额明细"/>
          <w:tag w:val="_TUP_c742176b3ab849fb88f254a72bb03c20"/>
          <w:id w:val="1359007338"/>
          <w:placeholder>
            <w:docPart w:val="12F04DAC8C954051BB2C14249380700F"/>
          </w:placeholder>
        </w:sdtPr>
        <w:sdtEndPr>
          <w:rPr>
            <w:rFonts w:hint="eastAsia"/>
            <w:color w:val="000000" w:themeColor="text1"/>
            <w14:textFill>
              <w14:solidFill>
                <w14:schemeClr w14:val="tx1"/>
              </w14:solidFill>
            </w14:textFill>
          </w:rPr>
        </w:sdtEndPr>
        <w:sdtContent>
          <w:tr w14:paraId="5C38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96" w:type="pct"/>
                <w:tcBorders>
                  <w:top w:val="single" w:color="auto" w:sz="4" w:space="0"/>
                  <w:left w:val="single" w:color="auto" w:sz="4" w:space="0"/>
                  <w:bottom w:val="single" w:color="auto" w:sz="4" w:space="0"/>
                  <w:right w:val="single" w:color="auto" w:sz="4" w:space="0"/>
                </w:tcBorders>
              </w:tcPr>
              <w:p w14:paraId="10BF7A89">
                <w:pPr>
                  <w:jc w:val="center"/>
                </w:pPr>
                <w:r>
                  <w:t>7-12个月（含12个月）</w:t>
                </w:r>
              </w:p>
            </w:tc>
            <w:tc>
              <w:tcPr>
                <w:tcW w:w="1652" w:type="pct"/>
                <w:tcBorders>
                  <w:top w:val="single" w:color="auto" w:sz="4" w:space="0"/>
                  <w:left w:val="single" w:color="auto" w:sz="4" w:space="0"/>
                  <w:bottom w:val="single" w:color="auto" w:sz="4" w:space="0"/>
                  <w:right w:val="single" w:color="auto" w:sz="4" w:space="0"/>
                </w:tcBorders>
                <w:vAlign w:val="center"/>
              </w:tcPr>
              <w:p w14:paraId="745062D7">
                <w:pPr>
                  <w:jc w:val="right"/>
                </w:pPr>
                <w:r>
                  <w:t>279,235,591.04</w:t>
                </w:r>
              </w:p>
            </w:tc>
            <w:tc>
              <w:tcPr>
                <w:tcW w:w="1652" w:type="pct"/>
                <w:tcBorders>
                  <w:top w:val="single" w:color="auto" w:sz="4" w:space="0"/>
                  <w:left w:val="single" w:color="auto" w:sz="4" w:space="0"/>
                  <w:bottom w:val="single" w:color="auto" w:sz="4" w:space="0"/>
                  <w:right w:val="single" w:color="auto" w:sz="4" w:space="0"/>
                </w:tcBorders>
                <w:vAlign w:val="center"/>
              </w:tcPr>
              <w:p w14:paraId="1A0B2362">
                <w:pPr>
                  <w:jc w:val="right"/>
                </w:pPr>
                <w:r>
                  <w:t>23,136,985.34</w:t>
                </w:r>
              </w:p>
            </w:tc>
          </w:tr>
        </w:sdtContent>
      </w:sdt>
      <w:tr w14:paraId="201F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008e6e14e8844f782b3c3da46eece9e"/>
            <w:id w:val="444579881"/>
          </w:sdtPr>
          <w:sdtContent>
            <w:tc>
              <w:tcPr>
                <w:tcW w:w="1696" w:type="pct"/>
                <w:tcBorders>
                  <w:top w:val="single" w:color="auto" w:sz="4" w:space="0"/>
                  <w:left w:val="single" w:color="auto" w:sz="4" w:space="0"/>
                  <w:bottom w:val="single" w:color="auto" w:sz="4" w:space="0"/>
                  <w:right w:val="single" w:color="auto" w:sz="4" w:space="0"/>
                </w:tcBorders>
              </w:tcPr>
              <w:p w14:paraId="26F862E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1至2年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25D17C4F">
            <w:pPr>
              <w:jc w:val="right"/>
            </w:pPr>
            <w:r>
              <w:t>1,508,447,483.16</w:t>
            </w:r>
          </w:p>
        </w:tc>
        <w:tc>
          <w:tcPr>
            <w:tcW w:w="1652" w:type="pct"/>
            <w:tcBorders>
              <w:top w:val="single" w:color="auto" w:sz="4" w:space="0"/>
              <w:left w:val="single" w:color="auto" w:sz="4" w:space="0"/>
              <w:bottom w:val="single" w:color="auto" w:sz="4" w:space="0"/>
              <w:right w:val="single" w:color="auto" w:sz="4" w:space="0"/>
            </w:tcBorders>
            <w:vAlign w:val="center"/>
          </w:tcPr>
          <w:p w14:paraId="0DCA9776">
            <w:pPr>
              <w:jc w:val="right"/>
            </w:pPr>
            <w:r>
              <w:t>2,433,186,541.65</w:t>
            </w:r>
          </w:p>
        </w:tc>
      </w:tr>
      <w:tr w14:paraId="77A0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e6951d665494f92b328a25519437421"/>
            <w:id w:val="1226486659"/>
          </w:sdtPr>
          <w:sdtContent>
            <w:tc>
              <w:tcPr>
                <w:tcW w:w="1696" w:type="pct"/>
                <w:tcBorders>
                  <w:top w:val="single" w:color="auto" w:sz="4" w:space="0"/>
                  <w:left w:val="single" w:color="auto" w:sz="4" w:space="0"/>
                  <w:bottom w:val="single" w:color="auto" w:sz="4" w:space="0"/>
                  <w:right w:val="single" w:color="auto" w:sz="4" w:space="0"/>
                </w:tcBorders>
              </w:tcPr>
              <w:p w14:paraId="3C04845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2至3年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307A87F6">
            <w:pPr>
              <w:jc w:val="right"/>
            </w:pPr>
            <w:r>
              <w:t>1,213,304,093.42</w:t>
            </w:r>
          </w:p>
        </w:tc>
        <w:tc>
          <w:tcPr>
            <w:tcW w:w="1652" w:type="pct"/>
            <w:tcBorders>
              <w:top w:val="single" w:color="auto" w:sz="4" w:space="0"/>
              <w:left w:val="single" w:color="auto" w:sz="4" w:space="0"/>
              <w:bottom w:val="single" w:color="auto" w:sz="4" w:space="0"/>
              <w:right w:val="single" w:color="auto" w:sz="4" w:space="0"/>
            </w:tcBorders>
            <w:vAlign w:val="center"/>
          </w:tcPr>
          <w:p w14:paraId="7360E073">
            <w:pPr>
              <w:jc w:val="right"/>
            </w:pPr>
            <w:r>
              <w:t>2,034,757,736.75</w:t>
            </w:r>
          </w:p>
        </w:tc>
      </w:tr>
      <w:tr w14:paraId="68BF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19c8059c48ef46edb90d083a1536be0a"/>
            <w:id w:val="1734042082"/>
          </w:sdtPr>
          <w:sdtContent>
            <w:tc>
              <w:tcPr>
                <w:tcW w:w="1696" w:type="pct"/>
                <w:tcBorders>
                  <w:top w:val="single" w:color="auto" w:sz="4" w:space="0"/>
                  <w:left w:val="single" w:color="auto" w:sz="4" w:space="0"/>
                  <w:bottom w:val="single" w:color="auto" w:sz="4" w:space="0"/>
                  <w:right w:val="single" w:color="auto" w:sz="4" w:space="0"/>
                </w:tcBorders>
              </w:tcPr>
              <w:p w14:paraId="31D5F75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3至4年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7702E03D">
            <w:pPr>
              <w:jc w:val="right"/>
            </w:pPr>
            <w:r>
              <w:t>1,644,220,059.99</w:t>
            </w:r>
          </w:p>
        </w:tc>
        <w:tc>
          <w:tcPr>
            <w:tcW w:w="1652" w:type="pct"/>
            <w:tcBorders>
              <w:top w:val="single" w:color="auto" w:sz="4" w:space="0"/>
              <w:left w:val="single" w:color="auto" w:sz="4" w:space="0"/>
              <w:bottom w:val="single" w:color="auto" w:sz="4" w:space="0"/>
              <w:right w:val="single" w:color="auto" w:sz="4" w:space="0"/>
            </w:tcBorders>
            <w:vAlign w:val="center"/>
          </w:tcPr>
          <w:p w14:paraId="38994F29">
            <w:pPr>
              <w:jc w:val="right"/>
            </w:pPr>
          </w:p>
        </w:tc>
      </w:tr>
      <w:tr w14:paraId="5B09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298a3c895f14c3d8bc5f363374651da"/>
            <w:id w:val="-2069570338"/>
          </w:sdtPr>
          <w:sdtContent>
            <w:tc>
              <w:tcPr>
                <w:tcW w:w="1696" w:type="pct"/>
                <w:tcBorders>
                  <w:top w:val="single" w:color="auto" w:sz="4" w:space="0"/>
                  <w:left w:val="single" w:color="auto" w:sz="4" w:space="0"/>
                  <w:bottom w:val="single" w:color="auto" w:sz="4" w:space="0"/>
                  <w:right w:val="single" w:color="auto" w:sz="4" w:space="0"/>
                </w:tcBorders>
              </w:tcPr>
              <w:p w14:paraId="7BCD3AA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4至5年</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602DF601">
            <w:pPr>
              <w:jc w:val="right"/>
              <w:rPr>
                <w:rFonts w:ascii="宋体" w:hAnsi="宋体"/>
                <w:sz w:val="24"/>
                <w:szCs w:val="24"/>
              </w:rPr>
            </w:pPr>
            <w:r>
              <w:t>6,553.64</w:t>
            </w:r>
          </w:p>
        </w:tc>
        <w:tc>
          <w:tcPr>
            <w:tcW w:w="1652" w:type="pct"/>
            <w:tcBorders>
              <w:top w:val="single" w:color="auto" w:sz="4" w:space="0"/>
              <w:left w:val="single" w:color="auto" w:sz="4" w:space="0"/>
              <w:bottom w:val="single" w:color="auto" w:sz="4" w:space="0"/>
              <w:right w:val="single" w:color="auto" w:sz="4" w:space="0"/>
            </w:tcBorders>
            <w:vAlign w:val="center"/>
          </w:tcPr>
          <w:p w14:paraId="1DF82D12">
            <w:pPr>
              <w:jc w:val="right"/>
            </w:pPr>
            <w:r>
              <w:t>158,238,360.10</w:t>
            </w:r>
          </w:p>
        </w:tc>
      </w:tr>
      <w:tr w14:paraId="676B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ccc4cc7ed06d4ea3a540432ddce2561e"/>
            <w:id w:val="-1820639180"/>
          </w:sdtPr>
          <w:sdtContent>
            <w:tc>
              <w:tcPr>
                <w:tcW w:w="1696" w:type="pct"/>
                <w:tcBorders>
                  <w:top w:val="single" w:color="auto" w:sz="4" w:space="0"/>
                  <w:left w:val="single" w:color="auto" w:sz="4" w:space="0"/>
                  <w:bottom w:val="single" w:color="auto" w:sz="4" w:space="0"/>
                  <w:right w:val="single" w:color="auto" w:sz="4" w:space="0"/>
                </w:tcBorders>
              </w:tcPr>
              <w:p w14:paraId="657F93E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5年以上</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30B38B6A">
            <w:pPr>
              <w:jc w:val="right"/>
            </w:pPr>
            <w:r>
              <w:t>929,128,902.95</w:t>
            </w:r>
          </w:p>
        </w:tc>
        <w:tc>
          <w:tcPr>
            <w:tcW w:w="1652" w:type="pct"/>
            <w:tcBorders>
              <w:top w:val="single" w:color="auto" w:sz="4" w:space="0"/>
              <w:left w:val="single" w:color="auto" w:sz="4" w:space="0"/>
              <w:bottom w:val="single" w:color="auto" w:sz="4" w:space="0"/>
              <w:right w:val="single" w:color="auto" w:sz="4" w:space="0"/>
            </w:tcBorders>
            <w:vAlign w:val="center"/>
          </w:tcPr>
          <w:p w14:paraId="5B0AF6B1">
            <w:pPr>
              <w:jc w:val="right"/>
            </w:pPr>
            <w:r>
              <w:t>770,920,896.49</w:t>
            </w:r>
          </w:p>
        </w:tc>
      </w:tr>
      <w:tr w14:paraId="1DF7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c286552b3b484fc99df2efbca16217a3"/>
            <w:id w:val="-783966091"/>
          </w:sdtPr>
          <w:sdtContent>
            <w:tc>
              <w:tcPr>
                <w:tcW w:w="1696" w:type="pct"/>
                <w:tcBorders>
                  <w:top w:val="single" w:color="auto" w:sz="4" w:space="0"/>
                  <w:left w:val="single" w:color="auto" w:sz="4" w:space="0"/>
                  <w:bottom w:val="single" w:color="auto" w:sz="4" w:space="0"/>
                  <w:right w:val="single" w:color="auto" w:sz="4" w:space="0"/>
                </w:tcBorders>
                <w:vAlign w:val="center"/>
              </w:tcPr>
              <w:p w14:paraId="6F1452F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sdtContent>
        </w:sdt>
        <w:tc>
          <w:tcPr>
            <w:tcW w:w="1652" w:type="pct"/>
            <w:tcBorders>
              <w:top w:val="single" w:color="auto" w:sz="4" w:space="0"/>
              <w:left w:val="single" w:color="auto" w:sz="4" w:space="0"/>
              <w:bottom w:val="single" w:color="auto" w:sz="4" w:space="0"/>
              <w:right w:val="single" w:color="auto" w:sz="4" w:space="0"/>
            </w:tcBorders>
            <w:vAlign w:val="center"/>
          </w:tcPr>
          <w:p w14:paraId="2888A374">
            <w:pPr>
              <w:jc w:val="right"/>
            </w:pPr>
            <w:r>
              <w:t>5,713,011,213.16</w:t>
            </w:r>
          </w:p>
        </w:tc>
        <w:tc>
          <w:tcPr>
            <w:tcW w:w="1652" w:type="pct"/>
            <w:tcBorders>
              <w:top w:val="single" w:color="auto" w:sz="4" w:space="0"/>
              <w:left w:val="single" w:color="auto" w:sz="4" w:space="0"/>
              <w:bottom w:val="single" w:color="auto" w:sz="4" w:space="0"/>
              <w:right w:val="single" w:color="auto" w:sz="4" w:space="0"/>
            </w:tcBorders>
            <w:vAlign w:val="center"/>
          </w:tcPr>
          <w:p w14:paraId="5621A034">
            <w:pPr>
              <w:jc w:val="right"/>
            </w:pPr>
            <w:r>
              <w:t>5,719,792,463.53</w:t>
            </w:r>
          </w:p>
        </w:tc>
      </w:tr>
    </w:tbl>
    <w:p w14:paraId="7ACFE836"/>
    <w:p w14:paraId="1A38BB5D">
      <w:pPr>
        <w:rPr>
          <w:color w:val="000000" w:themeColor="text1"/>
          <w14:textFill>
            <w14:solidFill>
              <w14:schemeClr w14:val="tx1"/>
            </w14:solidFill>
          </w14:textFill>
        </w:rPr>
      </w:pPr>
    </w:p>
    <w:bookmarkEnd w:id="442"/>
    <w:bookmarkEnd w:id="443"/>
    <w:p w14:paraId="0ED77512">
      <w:pPr>
        <w:pStyle w:val="6"/>
        <w:numPr>
          <w:ilvl w:val="0"/>
          <w:numId w:val="108"/>
        </w:numPr>
      </w:pPr>
      <w:bookmarkStart w:id="444" w:name="_Hlk10547648"/>
      <w:r>
        <w:rPr>
          <w:rFonts w:hint="eastAsia"/>
        </w:rPr>
        <w:t>按款项性质分类情况</w:t>
      </w:r>
    </w:p>
    <w:sdt>
      <w:sdtPr>
        <w:rPr>
          <w:color w:val="000000" w:themeColor="text1"/>
          <w14:textFill>
            <w14:solidFill>
              <w14:schemeClr w14:val="tx1"/>
            </w14:solidFill>
          </w14:textFill>
        </w:rPr>
        <w:alias w:val="是否适用：母公司其他应收款按款项性质分类情况[双击切换]"/>
        <w:tag w:val="_GBC_101fec10ac1f41f39330610cac041192"/>
        <w:id w:val="144868169"/>
        <w:placeholder>
          <w:docPart w:val="GBC22222222222222222222222222222"/>
        </w:placeholder>
      </w:sdtPr>
      <w:sdtEndPr>
        <w:rPr>
          <w:color w:val="000000" w:themeColor="text1"/>
          <w14:textFill>
            <w14:solidFill>
              <w14:schemeClr w14:val="tx1"/>
            </w14:solidFill>
          </w14:textFill>
        </w:rPr>
      </w:sdtEndPr>
      <w:sdtContent>
        <w:p w14:paraId="61864B5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B56F217">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财务附注：母公司其他应收款按款项性质分类情况"/>
          <w:tag w:val="_GBC_cdfadb9bdd864b32a99df11dec001a83"/>
          <w:id w:val="-3956674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财务附注：母公司其他应收款按款项性质分类情况"/>
          <w:tag w:val="_GBC_cac854cfb75144bc86635f44f78d6611"/>
          <w:id w:val="-21207578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444"/>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2980"/>
        <w:gridCol w:w="2992"/>
      </w:tblGrid>
      <w:tr w14:paraId="2709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7d39f4d1fd488e93d36af61d0bebfd"/>
            <w:id w:val="352152672"/>
          </w:sdtPr>
          <w:sdtContent>
            <w:tc>
              <w:tcPr>
                <w:tcW w:w="1700" w:type="pct"/>
                <w:vAlign w:val="center"/>
              </w:tcPr>
              <w:p w14:paraId="4DED1BE5">
                <w:pPr>
                  <w:jc w:val="center"/>
                  <w:rPr>
                    <w:color w:val="000000" w:themeColor="text1"/>
                    <w14:textFill>
                      <w14:solidFill>
                        <w14:schemeClr w14:val="tx1"/>
                      </w14:solidFill>
                    </w14:textFill>
                  </w:rPr>
                </w:pPr>
                <w:bookmarkStart w:id="445" w:name="_Hlk10547765"/>
                <w:r>
                  <w:rPr>
                    <w:rFonts w:hint="eastAsia"/>
                    <w:color w:val="000000" w:themeColor="text1"/>
                    <w14:textFill>
                      <w14:solidFill>
                        <w14:schemeClr w14:val="tx1"/>
                      </w14:solidFill>
                    </w14:textFill>
                  </w:rPr>
                  <w:t>款项性质</w:t>
                </w:r>
              </w:p>
            </w:tc>
          </w:sdtContent>
        </w:sdt>
        <w:sdt>
          <w:sdtPr>
            <w:tag w:val="_PLD_7853db088d0a4b218482e741ebbac8e0"/>
            <w:id w:val="108942569"/>
          </w:sdtPr>
          <w:sdtContent>
            <w:tc>
              <w:tcPr>
                <w:tcW w:w="1647" w:type="pct"/>
                <w:vAlign w:val="center"/>
              </w:tcPr>
              <w:p w14:paraId="1E6BAB2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期末账面余额</w:t>
                </w:r>
              </w:p>
            </w:tc>
          </w:sdtContent>
        </w:sdt>
        <w:sdt>
          <w:sdtPr>
            <w:tag w:val="_PLD_56ab744bffee4ad28664bdf9e16551e2"/>
            <w:id w:val="-995181090"/>
          </w:sdtPr>
          <w:sdtContent>
            <w:tc>
              <w:tcPr>
                <w:tcW w:w="1653" w:type="pct"/>
                <w:vAlign w:val="center"/>
              </w:tcPr>
              <w:p w14:paraId="373B957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期初账面余额</w:t>
                </w:r>
              </w:p>
            </w:tc>
          </w:sdtContent>
        </w:sdt>
      </w:tr>
      <w:tr w14:paraId="50D4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5F2639B2">
            <w:pPr>
              <w:jc w:val="center"/>
              <w:rPr>
                <w:highlight w:val="yellow"/>
              </w:rPr>
            </w:pPr>
            <w:r>
              <w:t>抵押保证金</w:t>
            </w:r>
          </w:p>
        </w:tc>
        <w:tc>
          <w:tcPr>
            <w:tcW w:w="1647" w:type="pct"/>
          </w:tcPr>
          <w:p w14:paraId="605CD2EB">
            <w:pPr>
              <w:jc w:val="right"/>
            </w:pPr>
            <w:r>
              <w:t>716,072.56</w:t>
            </w:r>
          </w:p>
        </w:tc>
        <w:tc>
          <w:tcPr>
            <w:tcW w:w="1653" w:type="pct"/>
          </w:tcPr>
          <w:p w14:paraId="3C16D9DA">
            <w:pPr>
              <w:jc w:val="right"/>
            </w:pPr>
            <w:r>
              <w:t>689,672.56</w:t>
            </w:r>
          </w:p>
        </w:tc>
      </w:tr>
      <w:tr w14:paraId="0A01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3444129D">
            <w:pPr>
              <w:jc w:val="center"/>
              <w:rPr>
                <w:highlight w:val="yellow"/>
              </w:rPr>
            </w:pPr>
            <w:r>
              <w:t>往来款</w:t>
            </w:r>
          </w:p>
        </w:tc>
        <w:tc>
          <w:tcPr>
            <w:tcW w:w="1647" w:type="pct"/>
          </w:tcPr>
          <w:p w14:paraId="31633570">
            <w:pPr>
              <w:jc w:val="right"/>
            </w:pPr>
            <w:r>
              <w:t>5,304,065,893.35</w:t>
            </w:r>
          </w:p>
        </w:tc>
        <w:tc>
          <w:tcPr>
            <w:tcW w:w="1653" w:type="pct"/>
          </w:tcPr>
          <w:p w14:paraId="4238DCFE">
            <w:pPr>
              <w:jc w:val="right"/>
            </w:pPr>
            <w:r>
              <w:t>5,310,848,243.72</w:t>
            </w:r>
          </w:p>
        </w:tc>
      </w:tr>
      <w:tr w14:paraId="1B5A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3A335285">
            <w:pPr>
              <w:jc w:val="center"/>
              <w:rPr>
                <w:highlight w:val="yellow"/>
              </w:rPr>
            </w:pPr>
            <w:r>
              <w:t>备用金</w:t>
            </w:r>
          </w:p>
        </w:tc>
        <w:tc>
          <w:tcPr>
            <w:tcW w:w="1647" w:type="pct"/>
          </w:tcPr>
          <w:p w14:paraId="5EE42F87">
            <w:pPr>
              <w:jc w:val="right"/>
            </w:pPr>
          </w:p>
        </w:tc>
        <w:tc>
          <w:tcPr>
            <w:tcW w:w="1653" w:type="pct"/>
          </w:tcPr>
          <w:p w14:paraId="659F5323">
            <w:pPr>
              <w:jc w:val="right"/>
            </w:pPr>
            <w:r>
              <w:t>23,800.00</w:t>
            </w:r>
          </w:p>
        </w:tc>
      </w:tr>
      <w:tr w14:paraId="0CCD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6059C9C4">
            <w:pPr>
              <w:jc w:val="center"/>
              <w:rPr>
                <w:highlight w:val="yellow"/>
              </w:rPr>
            </w:pPr>
            <w:r>
              <w:t>应收股权转让款</w:t>
            </w:r>
          </w:p>
        </w:tc>
        <w:tc>
          <w:tcPr>
            <w:tcW w:w="1647" w:type="pct"/>
          </w:tcPr>
          <w:p w14:paraId="7AD22AB6">
            <w:pPr>
              <w:jc w:val="right"/>
            </w:pPr>
            <w:r>
              <w:t>319,978,533.00</w:t>
            </w:r>
          </w:p>
        </w:tc>
        <w:tc>
          <w:tcPr>
            <w:tcW w:w="1653" w:type="pct"/>
          </w:tcPr>
          <w:p w14:paraId="37151109">
            <w:pPr>
              <w:jc w:val="right"/>
            </w:pPr>
            <w:r>
              <w:t>319,978,533.00</w:t>
            </w:r>
          </w:p>
        </w:tc>
      </w:tr>
      <w:tr w14:paraId="66D2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549F742D">
            <w:pPr>
              <w:jc w:val="center"/>
              <w:rPr>
                <w:highlight w:val="yellow"/>
              </w:rPr>
            </w:pPr>
            <w:r>
              <w:t>其他</w:t>
            </w:r>
          </w:p>
        </w:tc>
        <w:tc>
          <w:tcPr>
            <w:tcW w:w="1647" w:type="pct"/>
          </w:tcPr>
          <w:p w14:paraId="7580DDF2">
            <w:pPr>
              <w:jc w:val="right"/>
            </w:pPr>
            <w:r>
              <w:t>88,250,714.25</w:t>
            </w:r>
          </w:p>
        </w:tc>
        <w:tc>
          <w:tcPr>
            <w:tcW w:w="1653" w:type="pct"/>
          </w:tcPr>
          <w:p w14:paraId="67EE30C6">
            <w:pPr>
              <w:jc w:val="right"/>
            </w:pPr>
            <w:r>
              <w:t>88,252,214.25</w:t>
            </w:r>
          </w:p>
        </w:tc>
      </w:tr>
      <w:tr w14:paraId="087E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443CF17C">
            <w:pPr>
              <w:jc w:val="center"/>
              <w:rPr>
                <w:highlight w:val="yellow"/>
              </w:rPr>
            </w:pPr>
            <w:r>
              <w:t>小计</w:t>
            </w:r>
          </w:p>
        </w:tc>
        <w:tc>
          <w:tcPr>
            <w:tcW w:w="1647" w:type="pct"/>
          </w:tcPr>
          <w:p w14:paraId="16587E21">
            <w:pPr>
              <w:jc w:val="right"/>
            </w:pPr>
            <w:r>
              <w:t>5,713,011,213.16</w:t>
            </w:r>
          </w:p>
        </w:tc>
        <w:tc>
          <w:tcPr>
            <w:tcW w:w="1653" w:type="pct"/>
          </w:tcPr>
          <w:p w14:paraId="6655064A">
            <w:pPr>
              <w:jc w:val="right"/>
            </w:pPr>
            <w:r>
              <w:t>5,719,792,463.53</w:t>
            </w:r>
          </w:p>
        </w:tc>
      </w:tr>
      <w:tr w14:paraId="6CC1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73C4D078">
            <w:pPr>
              <w:jc w:val="center"/>
              <w:rPr>
                <w:highlight w:val="yellow"/>
              </w:rPr>
            </w:pPr>
            <w:r>
              <w:t>减：坏账准备</w:t>
            </w:r>
          </w:p>
        </w:tc>
        <w:tc>
          <w:tcPr>
            <w:tcW w:w="1647" w:type="pct"/>
          </w:tcPr>
          <w:p w14:paraId="157DC494">
            <w:pPr>
              <w:jc w:val="right"/>
            </w:pPr>
            <w:r>
              <w:t>3,463,622.08</w:t>
            </w:r>
          </w:p>
        </w:tc>
        <w:tc>
          <w:tcPr>
            <w:tcW w:w="1653" w:type="pct"/>
          </w:tcPr>
          <w:p w14:paraId="3A0D4789">
            <w:pPr>
              <w:jc w:val="right"/>
            </w:pPr>
            <w:r>
              <w:t>3,461,629.62</w:t>
            </w:r>
          </w:p>
        </w:tc>
      </w:tr>
      <w:tr w14:paraId="10F3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14:paraId="642B9184">
            <w:pPr>
              <w:jc w:val="center"/>
            </w:pPr>
            <w:r>
              <w:t>合计</w:t>
            </w:r>
          </w:p>
        </w:tc>
        <w:tc>
          <w:tcPr>
            <w:tcW w:w="1647" w:type="pct"/>
          </w:tcPr>
          <w:p w14:paraId="32CB66F6">
            <w:pPr>
              <w:jc w:val="right"/>
            </w:pPr>
            <w:r>
              <w:t>5,709,547,591.08</w:t>
            </w:r>
          </w:p>
        </w:tc>
        <w:tc>
          <w:tcPr>
            <w:tcW w:w="1653" w:type="pct"/>
          </w:tcPr>
          <w:p w14:paraId="20413177">
            <w:pPr>
              <w:jc w:val="right"/>
            </w:pPr>
            <w:r>
              <w:t>5,716,330,833.91</w:t>
            </w:r>
          </w:p>
        </w:tc>
      </w:tr>
    </w:tbl>
    <w:p w14:paraId="41591FC3"/>
    <w:p w14:paraId="39049B27">
      <w:pPr>
        <w:pStyle w:val="6"/>
        <w:numPr>
          <w:ilvl w:val="0"/>
          <w:numId w:val="108"/>
        </w:numPr>
      </w:pPr>
      <w:r>
        <w:rPr>
          <w:rFonts w:hint="eastAsia"/>
        </w:rPr>
        <w:t>坏账准备计提情况</w:t>
      </w:r>
    </w:p>
    <w:sdt>
      <w:sdtPr>
        <w:rPr>
          <w:color w:val="000000" w:themeColor="text1"/>
          <w14:textFill>
            <w14:solidFill>
              <w14:schemeClr w14:val="tx1"/>
            </w14:solidFill>
          </w14:textFill>
        </w:rPr>
        <w:alias w:val="是否适用：母公司其他应收款坏账准备调节表[双击切换]"/>
        <w:tag w:val="_GBC_550996ad46c8493eb98c011d7acf7dfb"/>
        <w:id w:val="1236511164"/>
        <w:placeholder>
          <w:docPart w:val="GBC22222222222222222222222222222"/>
        </w:placeholder>
      </w:sdtPr>
      <w:sdtEndPr>
        <w:rPr>
          <w:color w:val="000000" w:themeColor="text1"/>
          <w14:textFill>
            <w14:solidFill>
              <w14:schemeClr w14:val="tx1"/>
            </w14:solidFill>
          </w14:textFill>
        </w:rPr>
      </w:sdtEndPr>
      <w:sdtContent>
        <w:p w14:paraId="454D75F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AC2174">
      <w:pPr>
        <w:autoSpaceDE w:val="0"/>
        <w:autoSpaceDN w:val="0"/>
        <w:adjustRightInd w:val="0"/>
        <w:ind w:right="105" w:rightChars="5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其他应收款坏账准备调节表"/>
          <w:tag w:val="_GBC_10c7491cbac54cf6a1a375367db16baf"/>
          <w:id w:val="-1842987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其他应收款坏账准备调节表"/>
          <w:tag w:val="_GBC_01762fded69841c1b87d684f3bcfb97f"/>
          <w:id w:val="697781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560"/>
        <w:gridCol w:w="1985"/>
        <w:gridCol w:w="1985"/>
        <w:gridCol w:w="1707"/>
      </w:tblGrid>
      <w:tr w14:paraId="1A18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620ef8c0fe0407b955c4f58530e0b21"/>
            <w:id w:val="-1263536556"/>
          </w:sdtPr>
          <w:sdtContent>
            <w:tc>
              <w:tcPr>
                <w:tcW w:w="1001" w:type="pct"/>
                <w:vMerge w:val="restart"/>
                <w:vAlign w:val="center"/>
              </w:tcPr>
              <w:p w14:paraId="12279F30">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坏账准备</w:t>
                </w:r>
              </w:p>
            </w:tc>
          </w:sdtContent>
        </w:sdt>
        <w:sdt>
          <w:sdtPr>
            <w:tag w:val="_PLD_8699e9827a744831bf2fdadfa1ac52e1"/>
            <w:id w:val="1851217727"/>
          </w:sdtPr>
          <w:sdtContent>
            <w:tc>
              <w:tcPr>
                <w:tcW w:w="862" w:type="pct"/>
                <w:vAlign w:val="center"/>
              </w:tcPr>
              <w:p w14:paraId="442F8EC8">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第一阶段</w:t>
                </w:r>
              </w:p>
            </w:tc>
          </w:sdtContent>
        </w:sdt>
        <w:sdt>
          <w:sdtPr>
            <w:tag w:val="_PLD_d2f5c6d4cf0d4a86b39dc41f67fe87db"/>
            <w:id w:val="1356235881"/>
          </w:sdtPr>
          <w:sdtContent>
            <w:tc>
              <w:tcPr>
                <w:tcW w:w="1097" w:type="pct"/>
              </w:tcPr>
              <w:p w14:paraId="6DC150D3">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第二阶段</w:t>
                </w:r>
              </w:p>
            </w:tc>
          </w:sdtContent>
        </w:sdt>
        <w:sdt>
          <w:sdtPr>
            <w:tag w:val="_PLD_a09c7daba8c14a6498c7b83b77c97c72"/>
            <w:id w:val="187336556"/>
          </w:sdtPr>
          <w:sdtContent>
            <w:tc>
              <w:tcPr>
                <w:tcW w:w="1097" w:type="pct"/>
              </w:tcPr>
              <w:p w14:paraId="22484423">
                <w:pPr>
                  <w:pStyle w:val="58"/>
                  <w:spacing w:after="0"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第三阶段</w:t>
                </w:r>
              </w:p>
            </w:tc>
          </w:sdtContent>
        </w:sdt>
        <w:sdt>
          <w:sdtPr>
            <w:tag w:val="_PLD_1ec064a14a75404dac24adc5e6ddd253"/>
            <w:id w:val="-1588995524"/>
          </w:sdtPr>
          <w:sdtContent>
            <w:tc>
              <w:tcPr>
                <w:tcW w:w="943" w:type="pct"/>
                <w:vMerge w:val="restart"/>
                <w:vAlign w:val="center"/>
              </w:tcPr>
              <w:p w14:paraId="00A696DF">
                <w:pPr>
                  <w:pStyle w:val="58"/>
                  <w:spacing w:line="240" w:lineRule="auto"/>
                  <w:jc w:val="center"/>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合计</w:t>
                </w:r>
              </w:p>
            </w:tc>
          </w:sdtContent>
        </w:sdt>
      </w:tr>
      <w:tr w14:paraId="3B6A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Merge w:val="continue"/>
            <w:vAlign w:val="center"/>
          </w:tcPr>
          <w:p w14:paraId="3A23B78E">
            <w:pPr>
              <w:jc w:val="center"/>
              <w:rPr>
                <w:color w:val="000000" w:themeColor="text1"/>
                <w14:textFill>
                  <w14:solidFill>
                    <w14:schemeClr w14:val="tx1"/>
                  </w14:solidFill>
                </w14:textFill>
              </w:rPr>
            </w:pPr>
          </w:p>
        </w:tc>
        <w:sdt>
          <w:sdtPr>
            <w:tag w:val="_PLD_506da2a2f1db4ead819aa958edd702e2"/>
            <w:id w:val="-1574198469"/>
          </w:sdtPr>
          <w:sdtContent>
            <w:tc>
              <w:tcPr>
                <w:tcW w:w="862" w:type="pct"/>
                <w:shd w:val="clear" w:color="auto" w:fill="auto"/>
                <w:vAlign w:val="center"/>
              </w:tcPr>
              <w:p w14:paraId="4B65AF3C">
                <w:pPr>
                  <w:jc w:val="center"/>
                </w:pPr>
                <w:r>
                  <w:rPr>
                    <w:rFonts w:hint="eastAsia"/>
                  </w:rPr>
                  <w:t>未来12个月预期信用损失</w:t>
                </w:r>
              </w:p>
            </w:tc>
          </w:sdtContent>
        </w:sdt>
        <w:sdt>
          <w:sdtPr>
            <w:tag w:val="_PLD_23a6590eef0649d4af75d4845c12f263"/>
            <w:id w:val="1848982176"/>
          </w:sdtPr>
          <w:sdtContent>
            <w:tc>
              <w:tcPr>
                <w:tcW w:w="1097" w:type="pct"/>
                <w:shd w:val="clear" w:color="auto" w:fill="auto"/>
                <w:vAlign w:val="center"/>
              </w:tcPr>
              <w:p w14:paraId="538305B7">
                <w:pPr>
                  <w:jc w:val="center"/>
                </w:pPr>
                <w:r>
                  <w:rPr>
                    <w:rFonts w:hint="eastAsia"/>
                  </w:rPr>
                  <w:t>整个存续期预期信用损失(未发生信用减值)</w:t>
                </w:r>
              </w:p>
            </w:tc>
          </w:sdtContent>
        </w:sdt>
        <w:sdt>
          <w:sdtPr>
            <w:tag w:val="_PLD_44518f4265ac43078f96c79efe9dd487"/>
            <w:id w:val="1266113207"/>
          </w:sdtPr>
          <w:sdtContent>
            <w:tc>
              <w:tcPr>
                <w:tcW w:w="1097" w:type="pct"/>
                <w:shd w:val="clear" w:color="auto" w:fill="auto"/>
                <w:vAlign w:val="center"/>
              </w:tcPr>
              <w:p w14:paraId="18EE15BB">
                <w:pPr>
                  <w:jc w:val="center"/>
                </w:pPr>
                <w:r>
                  <w:rPr>
                    <w:rFonts w:hint="eastAsia"/>
                  </w:rPr>
                  <w:t>整个存续期预期信用损失(已发生信用减值)</w:t>
                </w:r>
              </w:p>
            </w:tc>
          </w:sdtContent>
        </w:sdt>
        <w:tc>
          <w:tcPr>
            <w:tcW w:w="943" w:type="pct"/>
            <w:vMerge w:val="continue"/>
          </w:tcPr>
          <w:p w14:paraId="30A8D9D7">
            <w:pPr>
              <w:jc w:val="center"/>
              <w:rPr>
                <w:color w:val="000000" w:themeColor="text1"/>
                <w14:textFill>
                  <w14:solidFill>
                    <w14:schemeClr w14:val="tx1"/>
                  </w14:solidFill>
                </w14:textFill>
              </w:rPr>
            </w:pPr>
          </w:p>
        </w:tc>
      </w:tr>
      <w:tr w14:paraId="4419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5B10EF1A">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2025年</w:t>
            </w:r>
            <w:r>
              <w:rPr>
                <w:rFonts w:hint="eastAsia" w:ascii="宋体" w:hAnsi="宋体" w:eastAsia="宋体" w:cs="宋体"/>
                <w:color w:val="000000" w:themeColor="text1"/>
                <w:sz w:val="21"/>
                <w:szCs w:val="21"/>
                <w:lang w:eastAsia="zh-CN"/>
                <w14:textFill>
                  <w14:solidFill>
                    <w14:schemeClr w14:val="tx1"/>
                  </w14:solidFill>
                </w14:textFill>
              </w:rPr>
              <w:t>1月1日余额</w:t>
            </w:r>
          </w:p>
        </w:tc>
        <w:tc>
          <w:tcPr>
            <w:tcW w:w="862" w:type="pct"/>
            <w:vAlign w:val="center"/>
          </w:tcPr>
          <w:p w14:paraId="64A3E27B">
            <w:pPr>
              <w:jc w:val="right"/>
            </w:pPr>
            <w:r>
              <w:t>3,461,629.62</w:t>
            </w:r>
          </w:p>
        </w:tc>
        <w:tc>
          <w:tcPr>
            <w:tcW w:w="1097" w:type="pct"/>
            <w:vAlign w:val="center"/>
          </w:tcPr>
          <w:p w14:paraId="1A6D077F">
            <w:pPr>
              <w:jc w:val="right"/>
            </w:pPr>
          </w:p>
        </w:tc>
        <w:tc>
          <w:tcPr>
            <w:tcW w:w="1097" w:type="pct"/>
            <w:vAlign w:val="center"/>
          </w:tcPr>
          <w:p w14:paraId="1B1044A3">
            <w:pPr>
              <w:jc w:val="right"/>
              <w:rPr>
                <w:rFonts w:eastAsia="Times New Roman" w:cs="Times New Roman"/>
                <w:sz w:val="20"/>
                <w:szCs w:val="20"/>
              </w:rPr>
            </w:pPr>
          </w:p>
        </w:tc>
        <w:tc>
          <w:tcPr>
            <w:tcW w:w="943" w:type="pct"/>
            <w:vAlign w:val="center"/>
          </w:tcPr>
          <w:p w14:paraId="3507BCE1">
            <w:pPr>
              <w:jc w:val="right"/>
              <w:rPr>
                <w:rFonts w:ascii="宋体" w:hAnsi="宋体"/>
                <w:sz w:val="24"/>
                <w:szCs w:val="24"/>
              </w:rPr>
            </w:pPr>
            <w:r>
              <w:t>3,461,629.62</w:t>
            </w:r>
          </w:p>
        </w:tc>
      </w:tr>
      <w:tr w14:paraId="6B6F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71823D4F">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2025年1月1日余额在本期</w:t>
            </w:r>
          </w:p>
        </w:tc>
        <w:tc>
          <w:tcPr>
            <w:tcW w:w="862" w:type="pct"/>
            <w:vAlign w:val="center"/>
          </w:tcPr>
          <w:p w14:paraId="595B8528">
            <w:pPr>
              <w:jc w:val="right"/>
            </w:pPr>
          </w:p>
        </w:tc>
        <w:tc>
          <w:tcPr>
            <w:tcW w:w="1097" w:type="pct"/>
            <w:vAlign w:val="center"/>
          </w:tcPr>
          <w:p w14:paraId="2E68712E">
            <w:pPr>
              <w:jc w:val="right"/>
              <w:rPr>
                <w:rFonts w:eastAsia="Times New Roman" w:cs="Times New Roman"/>
                <w:sz w:val="20"/>
                <w:szCs w:val="20"/>
              </w:rPr>
            </w:pPr>
          </w:p>
        </w:tc>
        <w:tc>
          <w:tcPr>
            <w:tcW w:w="1097" w:type="pct"/>
            <w:vAlign w:val="center"/>
          </w:tcPr>
          <w:p w14:paraId="39E2FF54">
            <w:pPr>
              <w:jc w:val="right"/>
              <w:rPr>
                <w:rFonts w:eastAsia="Times New Roman" w:cs="Times New Roman"/>
                <w:sz w:val="20"/>
                <w:szCs w:val="20"/>
              </w:rPr>
            </w:pPr>
          </w:p>
        </w:tc>
        <w:tc>
          <w:tcPr>
            <w:tcW w:w="943" w:type="pct"/>
            <w:vAlign w:val="center"/>
          </w:tcPr>
          <w:p w14:paraId="12ED3E7A">
            <w:pPr>
              <w:jc w:val="right"/>
              <w:rPr>
                <w:rFonts w:eastAsia="Times New Roman" w:cs="Times New Roman"/>
                <w:sz w:val="20"/>
                <w:szCs w:val="20"/>
              </w:rPr>
            </w:pPr>
          </w:p>
        </w:tc>
      </w:tr>
      <w:tr w14:paraId="21C9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05C08035">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--转入第二阶段</w:t>
            </w:r>
          </w:p>
        </w:tc>
        <w:tc>
          <w:tcPr>
            <w:tcW w:w="862" w:type="pct"/>
            <w:vAlign w:val="center"/>
          </w:tcPr>
          <w:p w14:paraId="4FD35432">
            <w:pPr>
              <w:jc w:val="right"/>
              <w:rPr>
                <w:rFonts w:eastAsia="Times New Roman" w:cs="Times New Roman"/>
                <w:sz w:val="20"/>
                <w:szCs w:val="20"/>
              </w:rPr>
            </w:pPr>
          </w:p>
        </w:tc>
        <w:tc>
          <w:tcPr>
            <w:tcW w:w="1097" w:type="pct"/>
            <w:vAlign w:val="center"/>
          </w:tcPr>
          <w:p w14:paraId="79B244F5">
            <w:pPr>
              <w:jc w:val="right"/>
              <w:rPr>
                <w:rFonts w:eastAsia="Times New Roman" w:cs="Times New Roman"/>
                <w:sz w:val="20"/>
                <w:szCs w:val="20"/>
              </w:rPr>
            </w:pPr>
          </w:p>
        </w:tc>
        <w:tc>
          <w:tcPr>
            <w:tcW w:w="1097" w:type="pct"/>
            <w:vAlign w:val="center"/>
          </w:tcPr>
          <w:p w14:paraId="65BC411C">
            <w:pPr>
              <w:jc w:val="right"/>
              <w:rPr>
                <w:rFonts w:eastAsia="Times New Roman" w:cs="Times New Roman"/>
                <w:sz w:val="20"/>
                <w:szCs w:val="20"/>
              </w:rPr>
            </w:pPr>
          </w:p>
        </w:tc>
        <w:tc>
          <w:tcPr>
            <w:tcW w:w="943" w:type="pct"/>
            <w:vAlign w:val="center"/>
          </w:tcPr>
          <w:p w14:paraId="5B1C69DB">
            <w:pPr>
              <w:jc w:val="right"/>
              <w:rPr>
                <w:rFonts w:eastAsia="Times New Roman" w:cs="Times New Roman"/>
                <w:sz w:val="20"/>
                <w:szCs w:val="20"/>
              </w:rPr>
            </w:pPr>
          </w:p>
        </w:tc>
      </w:tr>
      <w:tr w14:paraId="4FA2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25E2562A">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--转入第三阶段</w:t>
            </w:r>
          </w:p>
        </w:tc>
        <w:tc>
          <w:tcPr>
            <w:tcW w:w="862" w:type="pct"/>
            <w:vAlign w:val="center"/>
          </w:tcPr>
          <w:p w14:paraId="4A236933">
            <w:pPr>
              <w:jc w:val="right"/>
              <w:rPr>
                <w:rFonts w:eastAsia="Times New Roman" w:cs="Times New Roman"/>
                <w:sz w:val="20"/>
                <w:szCs w:val="20"/>
              </w:rPr>
            </w:pPr>
          </w:p>
        </w:tc>
        <w:tc>
          <w:tcPr>
            <w:tcW w:w="1097" w:type="pct"/>
            <w:vAlign w:val="center"/>
          </w:tcPr>
          <w:p w14:paraId="02C8B63A">
            <w:pPr>
              <w:jc w:val="right"/>
              <w:rPr>
                <w:rFonts w:eastAsia="Times New Roman" w:cs="Times New Roman"/>
                <w:sz w:val="20"/>
                <w:szCs w:val="20"/>
              </w:rPr>
            </w:pPr>
          </w:p>
        </w:tc>
        <w:tc>
          <w:tcPr>
            <w:tcW w:w="1097" w:type="pct"/>
            <w:vAlign w:val="center"/>
          </w:tcPr>
          <w:p w14:paraId="4453647A">
            <w:pPr>
              <w:jc w:val="right"/>
              <w:rPr>
                <w:rFonts w:eastAsia="Times New Roman" w:cs="Times New Roman"/>
                <w:sz w:val="20"/>
                <w:szCs w:val="20"/>
              </w:rPr>
            </w:pPr>
          </w:p>
        </w:tc>
        <w:tc>
          <w:tcPr>
            <w:tcW w:w="943" w:type="pct"/>
            <w:vAlign w:val="center"/>
          </w:tcPr>
          <w:p w14:paraId="5BC30ECD">
            <w:pPr>
              <w:jc w:val="right"/>
              <w:rPr>
                <w:rFonts w:eastAsia="Times New Roman" w:cs="Times New Roman"/>
                <w:sz w:val="20"/>
                <w:szCs w:val="20"/>
              </w:rPr>
            </w:pPr>
          </w:p>
        </w:tc>
      </w:tr>
      <w:tr w14:paraId="6DBE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06910567">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--转回第二阶段</w:t>
            </w:r>
          </w:p>
        </w:tc>
        <w:tc>
          <w:tcPr>
            <w:tcW w:w="862" w:type="pct"/>
            <w:vAlign w:val="center"/>
          </w:tcPr>
          <w:p w14:paraId="1539801B">
            <w:pPr>
              <w:jc w:val="right"/>
              <w:rPr>
                <w:rFonts w:eastAsia="Times New Roman" w:cs="Times New Roman"/>
                <w:sz w:val="20"/>
                <w:szCs w:val="20"/>
              </w:rPr>
            </w:pPr>
          </w:p>
        </w:tc>
        <w:tc>
          <w:tcPr>
            <w:tcW w:w="1097" w:type="pct"/>
            <w:vAlign w:val="center"/>
          </w:tcPr>
          <w:p w14:paraId="7BACCB7F">
            <w:pPr>
              <w:jc w:val="right"/>
              <w:rPr>
                <w:rFonts w:eastAsia="Times New Roman" w:cs="Times New Roman"/>
                <w:sz w:val="20"/>
                <w:szCs w:val="20"/>
              </w:rPr>
            </w:pPr>
          </w:p>
        </w:tc>
        <w:tc>
          <w:tcPr>
            <w:tcW w:w="1097" w:type="pct"/>
            <w:vAlign w:val="center"/>
          </w:tcPr>
          <w:p w14:paraId="394DAA46">
            <w:pPr>
              <w:jc w:val="right"/>
              <w:rPr>
                <w:rFonts w:eastAsia="Times New Roman" w:cs="Times New Roman"/>
                <w:sz w:val="20"/>
                <w:szCs w:val="20"/>
              </w:rPr>
            </w:pPr>
          </w:p>
        </w:tc>
        <w:tc>
          <w:tcPr>
            <w:tcW w:w="943" w:type="pct"/>
            <w:vAlign w:val="center"/>
          </w:tcPr>
          <w:p w14:paraId="17648855">
            <w:pPr>
              <w:jc w:val="right"/>
              <w:rPr>
                <w:rFonts w:eastAsia="Times New Roman" w:cs="Times New Roman"/>
                <w:sz w:val="20"/>
                <w:szCs w:val="20"/>
              </w:rPr>
            </w:pPr>
          </w:p>
        </w:tc>
      </w:tr>
      <w:tr w14:paraId="376D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2ABFED53">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--转回第一阶段</w:t>
            </w:r>
          </w:p>
        </w:tc>
        <w:tc>
          <w:tcPr>
            <w:tcW w:w="862" w:type="pct"/>
            <w:vAlign w:val="center"/>
          </w:tcPr>
          <w:p w14:paraId="540237AC">
            <w:pPr>
              <w:jc w:val="right"/>
              <w:rPr>
                <w:rFonts w:eastAsia="Times New Roman" w:cs="Times New Roman"/>
                <w:sz w:val="20"/>
                <w:szCs w:val="20"/>
              </w:rPr>
            </w:pPr>
          </w:p>
        </w:tc>
        <w:tc>
          <w:tcPr>
            <w:tcW w:w="1097" w:type="pct"/>
            <w:vAlign w:val="center"/>
          </w:tcPr>
          <w:p w14:paraId="11D94A4B">
            <w:pPr>
              <w:jc w:val="right"/>
              <w:rPr>
                <w:rFonts w:eastAsia="Times New Roman" w:cs="Times New Roman"/>
                <w:sz w:val="20"/>
                <w:szCs w:val="20"/>
              </w:rPr>
            </w:pPr>
          </w:p>
        </w:tc>
        <w:tc>
          <w:tcPr>
            <w:tcW w:w="1097" w:type="pct"/>
            <w:vAlign w:val="center"/>
          </w:tcPr>
          <w:p w14:paraId="79C29592">
            <w:pPr>
              <w:jc w:val="right"/>
              <w:rPr>
                <w:rFonts w:eastAsia="Times New Roman" w:cs="Times New Roman"/>
                <w:sz w:val="20"/>
                <w:szCs w:val="20"/>
              </w:rPr>
            </w:pPr>
          </w:p>
        </w:tc>
        <w:tc>
          <w:tcPr>
            <w:tcW w:w="943" w:type="pct"/>
            <w:vAlign w:val="center"/>
          </w:tcPr>
          <w:p w14:paraId="4E7022F3">
            <w:pPr>
              <w:jc w:val="right"/>
              <w:rPr>
                <w:rFonts w:eastAsia="Times New Roman" w:cs="Times New Roman"/>
                <w:sz w:val="20"/>
                <w:szCs w:val="20"/>
              </w:rPr>
            </w:pPr>
          </w:p>
        </w:tc>
      </w:tr>
      <w:tr w14:paraId="4C04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422A4F74">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本期计提</w:t>
            </w:r>
          </w:p>
        </w:tc>
        <w:tc>
          <w:tcPr>
            <w:tcW w:w="862" w:type="pct"/>
            <w:vAlign w:val="center"/>
          </w:tcPr>
          <w:p w14:paraId="2D510DBF">
            <w:pPr>
              <w:jc w:val="right"/>
              <w:rPr>
                <w:rFonts w:ascii="宋体" w:hAnsi="宋体"/>
                <w:sz w:val="24"/>
                <w:szCs w:val="24"/>
              </w:rPr>
            </w:pPr>
            <w:r>
              <w:t>25,792.46</w:t>
            </w:r>
          </w:p>
        </w:tc>
        <w:tc>
          <w:tcPr>
            <w:tcW w:w="1097" w:type="pct"/>
            <w:vAlign w:val="center"/>
          </w:tcPr>
          <w:p w14:paraId="56D9E031">
            <w:pPr>
              <w:jc w:val="right"/>
            </w:pPr>
          </w:p>
        </w:tc>
        <w:tc>
          <w:tcPr>
            <w:tcW w:w="1097" w:type="pct"/>
            <w:vAlign w:val="center"/>
          </w:tcPr>
          <w:p w14:paraId="6F775A99">
            <w:pPr>
              <w:jc w:val="right"/>
              <w:rPr>
                <w:rFonts w:eastAsia="Times New Roman" w:cs="Times New Roman"/>
                <w:sz w:val="20"/>
                <w:szCs w:val="20"/>
              </w:rPr>
            </w:pPr>
          </w:p>
        </w:tc>
        <w:tc>
          <w:tcPr>
            <w:tcW w:w="943" w:type="pct"/>
            <w:vAlign w:val="center"/>
          </w:tcPr>
          <w:p w14:paraId="4AEF7AF2">
            <w:pPr>
              <w:jc w:val="right"/>
              <w:rPr>
                <w:rFonts w:ascii="宋体" w:hAnsi="宋体"/>
                <w:sz w:val="24"/>
                <w:szCs w:val="24"/>
              </w:rPr>
            </w:pPr>
            <w:r>
              <w:t>25,792.46</w:t>
            </w:r>
          </w:p>
        </w:tc>
      </w:tr>
      <w:tr w14:paraId="398D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4DC8FBE0">
            <w:pPr>
              <w:pStyle w:val="58"/>
              <w:spacing w:after="0" w:line="240" w:lineRule="auto"/>
              <w:jc w:val="both"/>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本期转回</w:t>
            </w:r>
          </w:p>
        </w:tc>
        <w:tc>
          <w:tcPr>
            <w:tcW w:w="862" w:type="pct"/>
            <w:vAlign w:val="center"/>
          </w:tcPr>
          <w:p w14:paraId="2AEE044B">
            <w:pPr>
              <w:jc w:val="right"/>
            </w:pPr>
          </w:p>
        </w:tc>
        <w:tc>
          <w:tcPr>
            <w:tcW w:w="1097" w:type="pct"/>
            <w:vAlign w:val="center"/>
          </w:tcPr>
          <w:p w14:paraId="10B8D2DC">
            <w:pPr>
              <w:jc w:val="right"/>
              <w:rPr>
                <w:rFonts w:eastAsia="Times New Roman" w:cs="Times New Roman"/>
                <w:sz w:val="20"/>
                <w:szCs w:val="20"/>
              </w:rPr>
            </w:pPr>
          </w:p>
        </w:tc>
        <w:tc>
          <w:tcPr>
            <w:tcW w:w="1097" w:type="pct"/>
            <w:vAlign w:val="center"/>
          </w:tcPr>
          <w:p w14:paraId="7E6CB75D">
            <w:pPr>
              <w:jc w:val="right"/>
              <w:rPr>
                <w:rFonts w:eastAsia="Times New Roman" w:cs="Times New Roman"/>
                <w:sz w:val="20"/>
                <w:szCs w:val="20"/>
              </w:rPr>
            </w:pPr>
          </w:p>
        </w:tc>
        <w:tc>
          <w:tcPr>
            <w:tcW w:w="943" w:type="pct"/>
            <w:vAlign w:val="center"/>
          </w:tcPr>
          <w:p w14:paraId="1DBC8F97">
            <w:pPr>
              <w:jc w:val="right"/>
              <w:rPr>
                <w:rFonts w:eastAsia="Times New Roman" w:cs="Times New Roman"/>
                <w:sz w:val="20"/>
                <w:szCs w:val="20"/>
              </w:rPr>
            </w:pPr>
          </w:p>
        </w:tc>
      </w:tr>
      <w:tr w14:paraId="143C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0519AC2B">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本期转销</w:t>
            </w:r>
          </w:p>
        </w:tc>
        <w:tc>
          <w:tcPr>
            <w:tcW w:w="862" w:type="pct"/>
            <w:vAlign w:val="center"/>
          </w:tcPr>
          <w:p w14:paraId="4D09FFFC">
            <w:pPr>
              <w:jc w:val="right"/>
              <w:rPr>
                <w:rFonts w:eastAsia="Times New Roman" w:cs="Times New Roman"/>
                <w:sz w:val="20"/>
                <w:szCs w:val="20"/>
              </w:rPr>
            </w:pPr>
          </w:p>
        </w:tc>
        <w:tc>
          <w:tcPr>
            <w:tcW w:w="1097" w:type="pct"/>
            <w:vAlign w:val="center"/>
          </w:tcPr>
          <w:p w14:paraId="614B59AB">
            <w:pPr>
              <w:jc w:val="right"/>
              <w:rPr>
                <w:rFonts w:eastAsia="Times New Roman" w:cs="Times New Roman"/>
                <w:sz w:val="20"/>
                <w:szCs w:val="20"/>
              </w:rPr>
            </w:pPr>
          </w:p>
        </w:tc>
        <w:tc>
          <w:tcPr>
            <w:tcW w:w="1097" w:type="pct"/>
            <w:vAlign w:val="center"/>
          </w:tcPr>
          <w:p w14:paraId="0B479074">
            <w:pPr>
              <w:jc w:val="right"/>
              <w:rPr>
                <w:rFonts w:eastAsia="Times New Roman" w:cs="Times New Roman"/>
                <w:sz w:val="20"/>
                <w:szCs w:val="20"/>
              </w:rPr>
            </w:pPr>
          </w:p>
        </w:tc>
        <w:tc>
          <w:tcPr>
            <w:tcW w:w="943" w:type="pct"/>
            <w:vAlign w:val="center"/>
          </w:tcPr>
          <w:p w14:paraId="149B50EC">
            <w:pPr>
              <w:jc w:val="right"/>
              <w:rPr>
                <w:rFonts w:eastAsia="Times New Roman" w:cs="Times New Roman"/>
                <w:sz w:val="20"/>
                <w:szCs w:val="20"/>
              </w:rPr>
            </w:pPr>
          </w:p>
        </w:tc>
      </w:tr>
      <w:tr w14:paraId="64A8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1DED74CF">
            <w:pPr>
              <w:pStyle w:val="58"/>
              <w:spacing w:after="0" w:line="240" w:lineRule="auto"/>
              <w:jc w:val="both"/>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本期核销</w:t>
            </w:r>
          </w:p>
        </w:tc>
        <w:tc>
          <w:tcPr>
            <w:tcW w:w="862" w:type="pct"/>
            <w:vAlign w:val="center"/>
          </w:tcPr>
          <w:p w14:paraId="773AFF25">
            <w:pPr>
              <w:jc w:val="right"/>
              <w:rPr>
                <w:rFonts w:ascii="宋体" w:hAnsi="宋体"/>
                <w:sz w:val="24"/>
                <w:szCs w:val="24"/>
              </w:rPr>
            </w:pPr>
            <w:r>
              <w:t>23,800.00</w:t>
            </w:r>
          </w:p>
        </w:tc>
        <w:tc>
          <w:tcPr>
            <w:tcW w:w="1097" w:type="pct"/>
            <w:vAlign w:val="center"/>
          </w:tcPr>
          <w:p w14:paraId="6D063325">
            <w:pPr>
              <w:jc w:val="right"/>
            </w:pPr>
          </w:p>
        </w:tc>
        <w:tc>
          <w:tcPr>
            <w:tcW w:w="1097" w:type="pct"/>
            <w:vAlign w:val="center"/>
          </w:tcPr>
          <w:p w14:paraId="7351444D">
            <w:pPr>
              <w:jc w:val="right"/>
              <w:rPr>
                <w:rFonts w:eastAsia="Times New Roman" w:cs="Times New Roman"/>
                <w:sz w:val="20"/>
                <w:szCs w:val="20"/>
              </w:rPr>
            </w:pPr>
          </w:p>
        </w:tc>
        <w:tc>
          <w:tcPr>
            <w:tcW w:w="943" w:type="pct"/>
            <w:vAlign w:val="center"/>
          </w:tcPr>
          <w:p w14:paraId="3671AEC1">
            <w:pPr>
              <w:jc w:val="right"/>
              <w:rPr>
                <w:rFonts w:ascii="宋体" w:hAnsi="宋体"/>
                <w:sz w:val="24"/>
                <w:szCs w:val="24"/>
              </w:rPr>
            </w:pPr>
            <w:r>
              <w:t>23,800.00</w:t>
            </w:r>
          </w:p>
        </w:tc>
      </w:tr>
      <w:tr w14:paraId="21C3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180929B1">
            <w:pPr>
              <w:pStyle w:val="58"/>
              <w:spacing w:after="0" w:line="240" w:lineRule="auto"/>
              <w:jc w:val="both"/>
              <w:rPr>
                <w:rFonts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其他变动</w:t>
            </w:r>
          </w:p>
        </w:tc>
        <w:tc>
          <w:tcPr>
            <w:tcW w:w="862" w:type="pct"/>
            <w:vAlign w:val="center"/>
          </w:tcPr>
          <w:p w14:paraId="1A70CB99">
            <w:pPr>
              <w:jc w:val="right"/>
            </w:pPr>
          </w:p>
        </w:tc>
        <w:tc>
          <w:tcPr>
            <w:tcW w:w="1097" w:type="pct"/>
            <w:vAlign w:val="center"/>
          </w:tcPr>
          <w:p w14:paraId="40729F68">
            <w:pPr>
              <w:jc w:val="right"/>
              <w:rPr>
                <w:rFonts w:eastAsia="Times New Roman" w:cs="Times New Roman"/>
                <w:sz w:val="20"/>
                <w:szCs w:val="20"/>
              </w:rPr>
            </w:pPr>
          </w:p>
        </w:tc>
        <w:tc>
          <w:tcPr>
            <w:tcW w:w="1097" w:type="pct"/>
            <w:vAlign w:val="center"/>
          </w:tcPr>
          <w:p w14:paraId="6E7FF349">
            <w:pPr>
              <w:jc w:val="right"/>
              <w:rPr>
                <w:rFonts w:eastAsia="Times New Roman" w:cs="Times New Roman"/>
                <w:sz w:val="20"/>
                <w:szCs w:val="20"/>
              </w:rPr>
            </w:pPr>
          </w:p>
        </w:tc>
        <w:tc>
          <w:tcPr>
            <w:tcW w:w="943" w:type="pct"/>
            <w:vAlign w:val="center"/>
          </w:tcPr>
          <w:p w14:paraId="5704E3BB">
            <w:pPr>
              <w:jc w:val="right"/>
              <w:rPr>
                <w:rFonts w:eastAsia="Times New Roman" w:cs="Times New Roman"/>
                <w:sz w:val="20"/>
                <w:szCs w:val="20"/>
              </w:rPr>
            </w:pPr>
          </w:p>
        </w:tc>
      </w:tr>
      <w:tr w14:paraId="38A2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 w:type="pct"/>
            <w:vAlign w:val="center"/>
          </w:tcPr>
          <w:p w14:paraId="45DF52B5">
            <w:pPr>
              <w:pStyle w:val="58"/>
              <w:spacing w:after="0" w:line="240" w:lineRule="auto"/>
              <w:rPr>
                <w:rFonts w:ascii="宋体" w:hAnsi="宋体" w:eastAsia="宋体" w:cs="宋体"/>
                <w:color w:val="000000" w:themeColor="text1"/>
                <w:sz w:val="21"/>
                <w:szCs w:val="21"/>
                <w:lang w:eastAsia="zh-CN"/>
                <w14:textFill>
                  <w14:solidFill>
                    <w14:schemeClr w14:val="tx1"/>
                  </w14:solidFill>
                </w14:textFill>
              </w:rPr>
            </w:pPr>
            <w:r>
              <w:rPr>
                <w:rFonts w:ascii="宋体" w:hAnsi="宋体" w:eastAsia="宋体" w:cs="宋体"/>
                <w:color w:val="000000" w:themeColor="text1"/>
                <w:sz w:val="21"/>
                <w:szCs w:val="21"/>
                <w:lang w:eastAsia="zh-CN"/>
                <w14:textFill>
                  <w14:solidFill>
                    <w14:schemeClr w14:val="tx1"/>
                  </w14:solidFill>
                </w14:textFill>
              </w:rPr>
              <w:t>2025年6月30日</w:t>
            </w:r>
            <w:r>
              <w:rPr>
                <w:rFonts w:hint="eastAsia" w:ascii="宋体" w:hAnsi="宋体" w:eastAsia="宋体" w:cs="宋体"/>
                <w:color w:val="000000" w:themeColor="text1"/>
                <w:sz w:val="21"/>
                <w:szCs w:val="21"/>
                <w:lang w:eastAsia="zh-CN"/>
                <w14:textFill>
                  <w14:solidFill>
                    <w14:schemeClr w14:val="tx1"/>
                  </w14:solidFill>
                </w14:textFill>
              </w:rPr>
              <w:t>余额</w:t>
            </w:r>
          </w:p>
        </w:tc>
        <w:tc>
          <w:tcPr>
            <w:tcW w:w="862" w:type="pct"/>
            <w:vAlign w:val="center"/>
          </w:tcPr>
          <w:p w14:paraId="72525ABB">
            <w:pPr>
              <w:jc w:val="right"/>
              <w:rPr>
                <w:rFonts w:ascii="宋体" w:hAnsi="宋体"/>
                <w:sz w:val="24"/>
                <w:szCs w:val="24"/>
              </w:rPr>
            </w:pPr>
            <w:r>
              <w:t>3,463,622.08</w:t>
            </w:r>
          </w:p>
        </w:tc>
        <w:tc>
          <w:tcPr>
            <w:tcW w:w="1097" w:type="pct"/>
            <w:vAlign w:val="center"/>
          </w:tcPr>
          <w:p w14:paraId="77C32401">
            <w:pPr>
              <w:jc w:val="right"/>
            </w:pPr>
          </w:p>
        </w:tc>
        <w:tc>
          <w:tcPr>
            <w:tcW w:w="1097" w:type="pct"/>
            <w:vAlign w:val="center"/>
          </w:tcPr>
          <w:p w14:paraId="2C2C9AAB">
            <w:pPr>
              <w:jc w:val="right"/>
              <w:rPr>
                <w:rFonts w:eastAsia="Times New Roman" w:cs="Times New Roman"/>
                <w:sz w:val="20"/>
                <w:szCs w:val="20"/>
              </w:rPr>
            </w:pPr>
          </w:p>
        </w:tc>
        <w:tc>
          <w:tcPr>
            <w:tcW w:w="943" w:type="pct"/>
            <w:vAlign w:val="center"/>
          </w:tcPr>
          <w:p w14:paraId="35A6937B">
            <w:pPr>
              <w:jc w:val="right"/>
              <w:rPr>
                <w:rFonts w:ascii="宋体" w:hAnsi="宋体"/>
                <w:sz w:val="24"/>
                <w:szCs w:val="24"/>
              </w:rPr>
            </w:pPr>
            <w:r>
              <w:t>3,463,622.08</w:t>
            </w:r>
          </w:p>
        </w:tc>
      </w:tr>
    </w:tbl>
    <w:p w14:paraId="2BD228C5">
      <w:pPr>
        <w:rPr>
          <w:color w:val="000000" w:themeColor="text1"/>
          <w14:textFill>
            <w14:solidFill>
              <w14:schemeClr w14:val="tx1"/>
            </w14:solidFill>
          </w14:textFill>
        </w:rPr>
      </w:pPr>
    </w:p>
    <w:p w14:paraId="2F2EC863">
      <w:pPr>
        <w:autoSpaceDE w:val="0"/>
        <w:autoSpaceDN w:val="0"/>
        <w:adjustRightInd w:val="0"/>
        <w:ind w:right="105" w:rightChars="50"/>
        <w:rPr>
          <w:color w:val="000000" w:themeColor="text1"/>
          <w14:textFill>
            <w14:solidFill>
              <w14:schemeClr w14:val="tx1"/>
            </w14:solidFill>
          </w14:textFill>
        </w:rPr>
      </w:pPr>
      <w:r>
        <w:rPr>
          <w:rFonts w:hint="eastAsia"/>
          <w:color w:val="000000" w:themeColor="text1"/>
          <w14:textFill>
            <w14:solidFill>
              <w14:schemeClr w14:val="tx1"/>
            </w14:solidFill>
          </w14:textFill>
        </w:rPr>
        <w:t>各阶段划分依据和坏账准备计提比例</w:t>
      </w:r>
    </w:p>
    <w:sdt>
      <w:sdtPr>
        <w:rPr>
          <w:rFonts w:cs="Times New Roman"/>
          <w:bCs/>
          <w:color w:val="000000" w:themeColor="text1"/>
          <w:szCs w:val="22"/>
          <w14:textFill>
            <w14:solidFill>
              <w14:schemeClr w14:val="tx1"/>
            </w14:solidFill>
          </w14:textFill>
        </w:rPr>
        <w:alias w:val="其他应收款各阶段划分依据和坏账准备计提比例"/>
        <w:tag w:val="_GBC_d1deab3352d44521aa56c337c4c1cf70"/>
        <w:id w:val="-2065248067"/>
        <w:placeholder>
          <w:docPart w:val="GBC22222222222222222222222222222"/>
        </w:placeholder>
      </w:sdtPr>
      <w:sdtEndPr>
        <w:rPr>
          <w:rFonts w:cs="Times New Roman"/>
          <w:bCs/>
          <w:color w:val="000000" w:themeColor="text1"/>
          <w:szCs w:val="22"/>
          <w14:textFill>
            <w14:solidFill>
              <w14:schemeClr w14:val="tx1"/>
            </w14:solidFill>
          </w14:textFill>
        </w:rPr>
      </w:sdtEndPr>
      <w:sdtContent>
        <w:p w14:paraId="5CE04141">
          <w:pPr>
            <w:rPr>
              <w:rFonts w:cs="Times New Roman"/>
              <w:bCs/>
              <w:color w:val="000000" w:themeColor="text1"/>
              <w:szCs w:val="22"/>
              <w14:textFill>
                <w14:solidFill>
                  <w14:schemeClr w14:val="tx1"/>
                </w14:solidFill>
              </w14:textFill>
            </w:rPr>
          </w:pPr>
          <w:r>
            <w:rPr>
              <w:rFonts w:hint="eastAsia" w:cs="Times New Roman"/>
              <w:bCs/>
              <w:color w:val="000000" w:themeColor="text1"/>
              <w:szCs w:val="22"/>
              <w14:textFill>
                <w14:solidFill>
                  <w14:schemeClr w14:val="tx1"/>
                </w14:solidFill>
              </w14:textFill>
            </w:rPr>
            <w:t>无</w:t>
          </w:r>
        </w:p>
      </w:sdtContent>
    </w:sdt>
    <w:p w14:paraId="45BBFA62">
      <w:pPr>
        <w:rPr>
          <w:rFonts w:cs="Times New Roman"/>
          <w:bCs/>
          <w:color w:val="000000" w:themeColor="text1"/>
          <w:szCs w:val="22"/>
          <w14:textFill>
            <w14:solidFill>
              <w14:schemeClr w14:val="tx1"/>
            </w14:solidFill>
          </w14:textFill>
        </w:rPr>
      </w:pPr>
    </w:p>
    <w:p w14:paraId="22BB9344">
      <w:pPr>
        <w:pStyle w:val="73"/>
        <w:rPr>
          <w:color w:val="000000" w:themeColor="text1"/>
          <w14:textFill>
            <w14:solidFill>
              <w14:schemeClr w14:val="tx1"/>
            </w14:solidFill>
          </w14:textFill>
        </w:rPr>
      </w:pPr>
      <w:r>
        <w:rPr>
          <w:rFonts w:hint="eastAsia"/>
          <w:color w:val="000000" w:themeColor="text1"/>
          <w14:textFill>
            <w14:solidFill>
              <w14:schemeClr w14:val="tx1"/>
            </w14:solidFill>
          </w14:textFill>
        </w:rPr>
        <w:t>对本期发生损失准备变动的其他应收款账面余额显著变动的情况说明：</w:t>
      </w:r>
    </w:p>
    <w:sdt>
      <w:sdtPr>
        <w:rPr>
          <w:color w:val="000000" w:themeColor="text1"/>
          <w14:textFill>
            <w14:solidFill>
              <w14:schemeClr w14:val="tx1"/>
            </w14:solidFill>
          </w14:textFill>
        </w:rPr>
        <w:alias w:val="是否适用：母公司其他应收款本期发生损失准备变动且账面余额显著变动的情况说明[双击切换]"/>
        <w:tag w:val="_GBC_51a7e143899e4bf4887327bb018327b9"/>
        <w:id w:val="1394537992"/>
        <w:placeholder>
          <w:docPart w:val="GBC22222222222222222222222222222"/>
        </w:placeholder>
      </w:sdtPr>
      <w:sdtEndPr>
        <w:rPr>
          <w:color w:val="000000" w:themeColor="text1"/>
          <w14:textFill>
            <w14:solidFill>
              <w14:schemeClr w14:val="tx1"/>
            </w14:solidFill>
          </w14:textFill>
        </w:rPr>
      </w:sdtEndPr>
      <w:sdtContent>
        <w:p w14:paraId="1EA7405E">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74CC70B">
      <w:pPr>
        <w:rPr>
          <w:color w:val="000000" w:themeColor="text1"/>
          <w14:textFill>
            <w14:solidFill>
              <w14:schemeClr w14:val="tx1"/>
            </w14:solidFill>
          </w14:textFill>
        </w:rPr>
      </w:pPr>
    </w:p>
    <w:p w14:paraId="1EB716A0">
      <w:pPr>
        <w:rPr>
          <w:color w:val="000000" w:themeColor="text1"/>
          <w14:textFill>
            <w14:solidFill>
              <w14:schemeClr w14:val="tx1"/>
            </w14:solidFill>
          </w14:textFill>
        </w:rPr>
      </w:pPr>
      <w:r>
        <w:rPr>
          <w:rFonts w:hint="eastAsia"/>
          <w:color w:val="000000" w:themeColor="text1"/>
          <w14:textFill>
            <w14:solidFill>
              <w14:schemeClr w14:val="tx1"/>
            </w14:solidFill>
          </w14:textFill>
        </w:rPr>
        <w:t>本期坏账准备计提金额以及评估金融工具的信用风险是否显著增加的采用依据：</w:t>
      </w:r>
    </w:p>
    <w:sdt>
      <w:sdtPr>
        <w:rPr>
          <w:color w:val="000000" w:themeColor="text1"/>
          <w14:textFill>
            <w14:solidFill>
              <w14:schemeClr w14:val="tx1"/>
            </w14:solidFill>
          </w14:textFill>
        </w:rPr>
        <w:alias w:val="是否适用：母公司其他应收款坏账准备计提金额以及评估金融工具的信用风险是否显著增加的采用依据[双击切换]"/>
        <w:tag w:val="_GBC_d5682930254743bebaaf3c46f4513c04"/>
        <w:id w:val="-209348333"/>
        <w:placeholder>
          <w:docPart w:val="GBC22222222222222222222222222222"/>
        </w:placeholder>
      </w:sdtPr>
      <w:sdtEndPr>
        <w:rPr>
          <w:color w:val="000000" w:themeColor="text1"/>
          <w14:textFill>
            <w14:solidFill>
              <w14:schemeClr w14:val="tx1"/>
            </w14:solidFill>
          </w14:textFill>
        </w:rPr>
      </w:sdtEndPr>
      <w:sdtContent>
        <w:p w14:paraId="473C72B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B793932">
      <w:pPr>
        <w:rPr>
          <w:color w:val="000000" w:themeColor="text1"/>
          <w14:textFill>
            <w14:solidFill>
              <w14:schemeClr w14:val="tx1"/>
            </w14:solidFill>
          </w14:textFill>
        </w:rPr>
      </w:pPr>
    </w:p>
    <w:bookmarkEnd w:id="445"/>
    <w:p w14:paraId="54BFF087">
      <w:pPr>
        <w:pStyle w:val="6"/>
        <w:numPr>
          <w:ilvl w:val="0"/>
          <w:numId w:val="108"/>
        </w:numPr>
      </w:pPr>
      <w:bookmarkStart w:id="446" w:name="_Hlk10548122"/>
      <w:r>
        <w:rPr>
          <w:rFonts w:hint="eastAsia"/>
        </w:rPr>
        <w:t>坏账准备的情况</w:t>
      </w:r>
    </w:p>
    <w:sdt>
      <w:sdtPr>
        <w:rPr>
          <w:color w:val="000000" w:themeColor="text1"/>
          <w14:textFill>
            <w14:solidFill>
              <w14:schemeClr w14:val="tx1"/>
            </w14:solidFill>
          </w14:textFill>
        </w:rPr>
        <w:alias w:val="是否适用：其他应收款坏账准备[双击切换]"/>
        <w:tag w:val="_GBC_746f45a984d44f56a795e5587d8e7cf2"/>
        <w:id w:val="-1089068674"/>
        <w:placeholder>
          <w:docPart w:val="GBC22222222222222222222222222222"/>
        </w:placeholder>
      </w:sdtPr>
      <w:sdtEndPr>
        <w:rPr>
          <w:color w:val="000000" w:themeColor="text1"/>
          <w14:textFill>
            <w14:solidFill>
              <w14:schemeClr w14:val="tx1"/>
            </w14:solidFill>
          </w14:textFill>
        </w:rPr>
      </w:sdtEndPr>
      <w:sdtContent>
        <w:p w14:paraId="2C1306D8">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8F8AE01">
      <w:pPr>
        <w:pStyle w:val="68"/>
        <w:snapToGrid w:val="0"/>
        <w:spacing w:line="240" w:lineRule="atLeast"/>
        <w:ind w:left="425" w:firstLine="0" w:firstLineChars="0"/>
        <w:jc w:val="righ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color w:val="000000" w:themeColor="text1"/>
            <w:szCs w:val="21"/>
            <w14:textFill>
              <w14:solidFill>
                <w14:schemeClr w14:val="tx1"/>
              </w14:solidFill>
            </w14:textFill>
          </w:rPr>
          <w:alias w:val="单位：其他应收款坏账准备"/>
          <w:tag w:val="_GBC_61bb3d08ce2d41d5ad87b4c691e409ad"/>
          <w:id w:val="4678720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color w:val="000000" w:themeColor="text1"/>
            <w:szCs w:val="21"/>
            <w14:textFill>
              <w14:solidFill>
                <w14:schemeClr w14:val="tx1"/>
              </w14:solidFill>
            </w14:textFill>
          </w:rPr>
          <w:alias w:val="币种：其他应收款坏账准备"/>
          <w:tag w:val="_GBC_d9e85c814c564e7782149971f7c23ba2"/>
          <w:id w:val="-3166442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bookmarkEnd w:id="446"/>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409"/>
        <w:gridCol w:w="1329"/>
        <w:gridCol w:w="1286"/>
        <w:gridCol w:w="1185"/>
        <w:gridCol w:w="1264"/>
        <w:gridCol w:w="1257"/>
        <w:gridCol w:w="1329"/>
      </w:tblGrid>
      <w:tr w14:paraId="06BC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b515a63c0e744098c94b279d63caf4e"/>
            <w:id w:val="-1284800371"/>
          </w:sdtPr>
          <w:sdtContent>
            <w:tc>
              <w:tcPr>
                <w:tcW w:w="795" w:type="pct"/>
                <w:vMerge w:val="restart"/>
                <w:shd w:val="clear" w:color="auto" w:fill="FFFFFF"/>
                <w:vAlign w:val="center"/>
              </w:tcPr>
              <w:p w14:paraId="3FE3131E">
                <w:pPr>
                  <w:jc w:val="center"/>
                  <w:rPr>
                    <w:color w:val="000000" w:themeColor="text1"/>
                    <w14:textFill>
                      <w14:solidFill>
                        <w14:schemeClr w14:val="tx1"/>
                      </w14:solidFill>
                    </w14:textFill>
                  </w:rPr>
                </w:pPr>
                <w:bookmarkStart w:id="447" w:name="_Hlk168055794"/>
                <w:r>
                  <w:rPr>
                    <w:color w:val="000000" w:themeColor="text1"/>
                    <w14:textFill>
                      <w14:solidFill>
                        <w14:schemeClr w14:val="tx1"/>
                      </w14:solidFill>
                    </w14:textFill>
                  </w:rPr>
                  <w:t>类别</w:t>
                </w:r>
              </w:p>
            </w:tc>
          </w:sdtContent>
        </w:sdt>
        <w:sdt>
          <w:sdtPr>
            <w:tag w:val="_PLD_a39850dac4d142e8b7a712dce9edad36"/>
            <w:id w:val="172222594"/>
          </w:sdtPr>
          <w:sdtContent>
            <w:tc>
              <w:tcPr>
                <w:tcW w:w="671" w:type="pct"/>
                <w:vMerge w:val="restart"/>
                <w:shd w:val="clear" w:color="auto" w:fill="FFFFFF"/>
                <w:vAlign w:val="center"/>
              </w:tcPr>
              <w:p w14:paraId="56E59F0A">
                <w:pPr>
                  <w:jc w:val="center"/>
                  <w:rPr>
                    <w:color w:val="000000" w:themeColor="text1"/>
                    <w14:textFill>
                      <w14:solidFill>
                        <w14:schemeClr w14:val="tx1"/>
                      </w14:solidFill>
                    </w14:textFill>
                  </w:rPr>
                </w:pPr>
                <w:r>
                  <w:rPr>
                    <w:color w:val="000000" w:themeColor="text1"/>
                    <w14:textFill>
                      <w14:solidFill>
                        <w14:schemeClr w14:val="tx1"/>
                      </w14:solidFill>
                    </w14:textFill>
                  </w:rPr>
                  <w:t>期初余额</w:t>
                </w:r>
              </w:p>
            </w:tc>
          </w:sdtContent>
        </w:sdt>
        <w:sdt>
          <w:sdtPr>
            <w:tag w:val="_PLD_96686c7add8a4f2a8fa109c753f44a0b"/>
            <w:id w:val="836509672"/>
          </w:sdtPr>
          <w:sdtContent>
            <w:tc>
              <w:tcPr>
                <w:tcW w:w="2824" w:type="pct"/>
                <w:gridSpan w:val="4"/>
                <w:shd w:val="clear" w:color="auto" w:fill="FFFFFF"/>
                <w:vAlign w:val="center"/>
              </w:tcPr>
              <w:p w14:paraId="49232E0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本期变动</w:t>
                </w:r>
                <w:r>
                  <w:rPr>
                    <w:color w:val="000000" w:themeColor="text1"/>
                    <w14:textFill>
                      <w14:solidFill>
                        <w14:schemeClr w14:val="tx1"/>
                      </w14:solidFill>
                    </w14:textFill>
                  </w:rPr>
                  <w:t>金额</w:t>
                </w:r>
              </w:p>
            </w:tc>
          </w:sdtContent>
        </w:sdt>
        <w:sdt>
          <w:sdtPr>
            <w:tag w:val="_PLD_2aef0abd937f4f5283fac84c8a1afc2d"/>
            <w:id w:val="1649394249"/>
          </w:sdtPr>
          <w:sdtContent>
            <w:tc>
              <w:tcPr>
                <w:tcW w:w="710" w:type="pct"/>
                <w:vMerge w:val="restart"/>
                <w:shd w:val="clear" w:color="auto" w:fill="FFFFFF"/>
                <w:vAlign w:val="center"/>
              </w:tcPr>
              <w:p w14:paraId="7B1A4C34">
                <w:pPr>
                  <w:jc w:val="center"/>
                  <w:rPr>
                    <w:color w:val="000000" w:themeColor="text1"/>
                    <w14:textFill>
                      <w14:solidFill>
                        <w14:schemeClr w14:val="tx1"/>
                      </w14:solidFill>
                    </w14:textFill>
                  </w:rPr>
                </w:pPr>
                <w:r>
                  <w:rPr>
                    <w:color w:val="000000" w:themeColor="text1"/>
                    <w14:textFill>
                      <w14:solidFill>
                        <w14:schemeClr w14:val="tx1"/>
                      </w14:solidFill>
                    </w14:textFill>
                  </w:rPr>
                  <w:t>期末余额</w:t>
                </w:r>
              </w:p>
            </w:tc>
          </w:sdtContent>
        </w:sdt>
      </w:tr>
      <w:tr w14:paraId="01A0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5" w:type="pct"/>
            <w:vMerge w:val="continue"/>
            <w:shd w:val="clear" w:color="auto" w:fill="FFFFFF"/>
          </w:tcPr>
          <w:p w14:paraId="408438DD">
            <w:pPr>
              <w:jc w:val="center"/>
              <w:rPr>
                <w:color w:val="000000" w:themeColor="text1"/>
                <w14:textFill>
                  <w14:solidFill>
                    <w14:schemeClr w14:val="tx1"/>
                  </w14:solidFill>
                </w14:textFill>
              </w:rPr>
            </w:pPr>
          </w:p>
        </w:tc>
        <w:tc>
          <w:tcPr>
            <w:tcW w:w="671" w:type="pct"/>
            <w:vMerge w:val="continue"/>
            <w:shd w:val="clear" w:color="auto" w:fill="FFFFFF"/>
          </w:tcPr>
          <w:p w14:paraId="60C09C41">
            <w:pPr>
              <w:jc w:val="center"/>
              <w:rPr>
                <w:color w:val="000000" w:themeColor="text1"/>
                <w14:textFill>
                  <w14:solidFill>
                    <w14:schemeClr w14:val="tx1"/>
                  </w14:solidFill>
                </w14:textFill>
              </w:rPr>
            </w:pPr>
          </w:p>
        </w:tc>
        <w:sdt>
          <w:sdtPr>
            <w:tag w:val="_PLD_0d882cd108804ecc85c8ea70ca9a0022"/>
            <w:id w:val="-695771886"/>
          </w:sdtPr>
          <w:sdtContent>
            <w:tc>
              <w:tcPr>
                <w:tcW w:w="727" w:type="pct"/>
                <w:shd w:val="clear" w:color="auto" w:fill="FFFFFF"/>
                <w:vAlign w:val="center"/>
              </w:tcPr>
              <w:p w14:paraId="4C18164F">
                <w:pPr>
                  <w:jc w:val="center"/>
                  <w:rPr>
                    <w:color w:val="000000" w:themeColor="text1"/>
                    <w14:textFill>
                      <w14:solidFill>
                        <w14:schemeClr w14:val="tx1"/>
                      </w14:solidFill>
                    </w14:textFill>
                  </w:rPr>
                </w:pPr>
                <w:r>
                  <w:rPr>
                    <w:color w:val="000000" w:themeColor="text1"/>
                    <w14:textFill>
                      <w14:solidFill>
                        <w14:schemeClr w14:val="tx1"/>
                      </w14:solidFill>
                    </w14:textFill>
                  </w:rPr>
                  <w:t>计提</w:t>
                </w:r>
              </w:p>
            </w:tc>
          </w:sdtContent>
        </w:sdt>
        <w:sdt>
          <w:sdtPr>
            <w:tag w:val="_PLD_e2116bf770074307b5326d2e261c8b91"/>
            <w:id w:val="-559095099"/>
          </w:sdtPr>
          <w:sdtContent>
            <w:tc>
              <w:tcPr>
                <w:tcW w:w="671" w:type="pct"/>
                <w:shd w:val="clear" w:color="auto" w:fill="FFFFFF"/>
                <w:vAlign w:val="center"/>
              </w:tcPr>
              <w:p w14:paraId="71C36F7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收回或转回</w:t>
                </w:r>
              </w:p>
            </w:tc>
          </w:sdtContent>
        </w:sdt>
        <w:sdt>
          <w:sdtPr>
            <w:tag w:val="_PLD_ecb1755ff206448580b99e0999e516f9"/>
            <w:id w:val="-25556501"/>
          </w:sdtPr>
          <w:sdtContent>
            <w:tc>
              <w:tcPr>
                <w:tcW w:w="715" w:type="pct"/>
                <w:shd w:val="clear" w:color="auto" w:fill="FFFFFF"/>
                <w:vAlign w:val="center"/>
              </w:tcPr>
              <w:p w14:paraId="3347576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转销或核销</w:t>
                </w:r>
              </w:p>
            </w:tc>
          </w:sdtContent>
        </w:sdt>
        <w:tc>
          <w:tcPr>
            <w:tcW w:w="711" w:type="pct"/>
            <w:shd w:val="clear" w:color="auto" w:fill="FFFFFF"/>
            <w:vAlign w:val="center"/>
          </w:tcPr>
          <w:sdt>
            <w:sdtPr>
              <w:tag w:val="_PLD_1b39a62bca3c4844a14e6b043f874971"/>
              <w:id w:val="-897510942"/>
            </w:sdtPr>
            <w:sdtContent>
              <w:p w14:paraId="7AF0B96A">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其他变动</w:t>
                </w:r>
              </w:p>
            </w:sdtContent>
          </w:sdt>
        </w:tc>
        <w:tc>
          <w:tcPr>
            <w:tcW w:w="710" w:type="pct"/>
            <w:vMerge w:val="continue"/>
            <w:shd w:val="clear" w:color="auto" w:fill="FFFFFF"/>
          </w:tcPr>
          <w:p w14:paraId="48025999">
            <w:pPr>
              <w:jc w:val="right"/>
              <w:rPr>
                <w:color w:val="000000" w:themeColor="text1"/>
                <w14:textFill>
                  <w14:solidFill>
                    <w14:schemeClr w14:val="tx1"/>
                  </w14:solidFill>
                </w14:textFill>
              </w:rPr>
            </w:pPr>
          </w:p>
        </w:tc>
      </w:tr>
      <w:tr w14:paraId="231B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5" w:type="pct"/>
          </w:tcPr>
          <w:p w14:paraId="0F4DF442">
            <w:r>
              <w:t>其他应收款坏账准备</w:t>
            </w:r>
          </w:p>
        </w:tc>
        <w:tc>
          <w:tcPr>
            <w:tcW w:w="671" w:type="pct"/>
            <w:vAlign w:val="center"/>
          </w:tcPr>
          <w:p w14:paraId="74F75122">
            <w:pPr>
              <w:jc w:val="right"/>
            </w:pPr>
            <w:r>
              <w:t>3,461,629.62</w:t>
            </w:r>
          </w:p>
        </w:tc>
        <w:tc>
          <w:tcPr>
            <w:tcW w:w="727" w:type="pct"/>
            <w:vAlign w:val="center"/>
          </w:tcPr>
          <w:p w14:paraId="101B2273">
            <w:pPr>
              <w:jc w:val="right"/>
            </w:pPr>
            <w:r>
              <w:t>25,792.46</w:t>
            </w:r>
          </w:p>
        </w:tc>
        <w:tc>
          <w:tcPr>
            <w:tcW w:w="671" w:type="pct"/>
            <w:vAlign w:val="center"/>
          </w:tcPr>
          <w:p w14:paraId="0806C4EE">
            <w:pPr>
              <w:jc w:val="right"/>
            </w:pPr>
          </w:p>
        </w:tc>
        <w:tc>
          <w:tcPr>
            <w:tcW w:w="715" w:type="pct"/>
            <w:vAlign w:val="center"/>
          </w:tcPr>
          <w:p w14:paraId="27D0E104">
            <w:pPr>
              <w:jc w:val="right"/>
            </w:pPr>
            <w:r>
              <w:t>23,800.00</w:t>
            </w:r>
          </w:p>
        </w:tc>
        <w:tc>
          <w:tcPr>
            <w:tcW w:w="711" w:type="pct"/>
            <w:vAlign w:val="center"/>
          </w:tcPr>
          <w:p w14:paraId="34D7FD2F">
            <w:pPr>
              <w:jc w:val="right"/>
            </w:pPr>
          </w:p>
        </w:tc>
        <w:tc>
          <w:tcPr>
            <w:tcW w:w="710" w:type="pct"/>
            <w:vAlign w:val="center"/>
          </w:tcPr>
          <w:p w14:paraId="25B02184">
            <w:pPr>
              <w:jc w:val="right"/>
            </w:pPr>
            <w:r>
              <w:t>3,463,622.08</w:t>
            </w:r>
          </w:p>
        </w:tc>
      </w:tr>
      <w:tr w14:paraId="70E9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95" w:type="pct"/>
          </w:tcPr>
          <w:p w14:paraId="4F112B61">
            <w:pPr>
              <w:jc w:val="center"/>
            </w:pPr>
            <w:r>
              <w:rPr>
                <w:rFonts w:hint="eastAsia"/>
              </w:rPr>
              <w:t>合计</w:t>
            </w:r>
          </w:p>
        </w:tc>
        <w:tc>
          <w:tcPr>
            <w:tcW w:w="671" w:type="pct"/>
            <w:vAlign w:val="center"/>
          </w:tcPr>
          <w:p w14:paraId="4B87F885">
            <w:pPr>
              <w:jc w:val="right"/>
            </w:pPr>
            <w:r>
              <w:t>3,461,629.62</w:t>
            </w:r>
          </w:p>
        </w:tc>
        <w:tc>
          <w:tcPr>
            <w:tcW w:w="727" w:type="pct"/>
            <w:vAlign w:val="center"/>
          </w:tcPr>
          <w:p w14:paraId="7C1C0EA0">
            <w:pPr>
              <w:jc w:val="right"/>
            </w:pPr>
            <w:r>
              <w:t>25,792.46</w:t>
            </w:r>
          </w:p>
        </w:tc>
        <w:tc>
          <w:tcPr>
            <w:tcW w:w="671" w:type="pct"/>
            <w:vAlign w:val="center"/>
          </w:tcPr>
          <w:p w14:paraId="04B55AD8">
            <w:pPr>
              <w:jc w:val="right"/>
            </w:pPr>
          </w:p>
        </w:tc>
        <w:tc>
          <w:tcPr>
            <w:tcW w:w="715" w:type="pct"/>
            <w:vAlign w:val="center"/>
          </w:tcPr>
          <w:p w14:paraId="101DEEF3">
            <w:pPr>
              <w:jc w:val="right"/>
            </w:pPr>
            <w:r>
              <w:t>23,800.00</w:t>
            </w:r>
          </w:p>
        </w:tc>
        <w:tc>
          <w:tcPr>
            <w:tcW w:w="711" w:type="pct"/>
            <w:vAlign w:val="center"/>
          </w:tcPr>
          <w:p w14:paraId="3C953018">
            <w:pPr>
              <w:jc w:val="right"/>
            </w:pPr>
          </w:p>
        </w:tc>
        <w:tc>
          <w:tcPr>
            <w:tcW w:w="710" w:type="pct"/>
            <w:vAlign w:val="center"/>
          </w:tcPr>
          <w:p w14:paraId="5DD4A7A1">
            <w:pPr>
              <w:jc w:val="right"/>
            </w:pPr>
            <w:r>
              <w:t>3,463,622.08</w:t>
            </w:r>
          </w:p>
        </w:tc>
      </w:tr>
    </w:tbl>
    <w:p w14:paraId="51CE9B40"/>
    <w:p w14:paraId="5F7CB5C2">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其中本期坏账准备转回或收回金额重要的：</w:t>
      </w:r>
    </w:p>
    <w:sdt>
      <w:sdtPr>
        <w:rPr>
          <w:color w:val="000000" w:themeColor="text1"/>
          <w14:textFill>
            <w14:solidFill>
              <w14:schemeClr w14:val="tx1"/>
            </w14:solidFill>
          </w14:textFill>
        </w:rPr>
        <w:alias w:val="是否适用：母公司其他应收款坏账准备转回或收回金额重要的[双击切换]"/>
        <w:tag w:val="_GBC_98cb10e0ff8642ad9141960d4dbb7d85"/>
        <w:id w:val="1249389995"/>
        <w:placeholder>
          <w:docPart w:val="GBC22222222222222222222222222222"/>
        </w:placeholder>
      </w:sdtPr>
      <w:sdtEndPr>
        <w:rPr>
          <w:color w:val="000000" w:themeColor="text1"/>
          <w14:textFill>
            <w14:solidFill>
              <w14:schemeClr w14:val="tx1"/>
            </w14:solidFill>
          </w14:textFill>
        </w:rPr>
      </w:sdtEndPr>
      <w:sdtContent>
        <w:p w14:paraId="75F95B0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D11900B">
      <w:pPr>
        <w:rPr>
          <w:color w:val="000000" w:themeColor="text1"/>
          <w14:textFill>
            <w14:solidFill>
              <w14:schemeClr w14:val="tx1"/>
            </w14:solidFill>
          </w14:textFill>
        </w:rPr>
      </w:pPr>
    </w:p>
    <w:p w14:paraId="200D5CBA">
      <w:pPr>
        <w:ind w:right="-1594" w:rightChars="-759"/>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其他应收款坏账准备情况的说明"/>
        <w:tag w:val="_GBC_83e986a007b44d029c897d7f19741e02"/>
        <w:id w:val="1111636360"/>
        <w:placeholder>
          <w:docPart w:val="GBC22222222222222222222222222222"/>
        </w:placeholder>
      </w:sdtPr>
      <w:sdtEndPr>
        <w:rPr>
          <w:color w:val="000000" w:themeColor="text1"/>
          <w14:textFill>
            <w14:solidFill>
              <w14:schemeClr w14:val="tx1"/>
            </w14:solidFill>
          </w14:textFill>
        </w:rPr>
      </w:sdtEndPr>
      <w:sdtContent>
        <w:p w14:paraId="293F6F34">
          <w:pPr>
            <w:ind w:right="-1594" w:rightChars="-759"/>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04BB370F">
      <w:pPr>
        <w:ind w:right="-1594" w:rightChars="-759"/>
        <w:rPr>
          <w:color w:val="000000" w:themeColor="text1"/>
          <w14:textFill>
            <w14:solidFill>
              <w14:schemeClr w14:val="tx1"/>
            </w14:solidFill>
          </w14:textFill>
        </w:rPr>
      </w:pPr>
    </w:p>
    <w:bookmarkEnd w:id="447"/>
    <w:p w14:paraId="3AC356C0">
      <w:pPr>
        <w:pStyle w:val="6"/>
        <w:numPr>
          <w:ilvl w:val="0"/>
          <w:numId w:val="108"/>
        </w:numPr>
      </w:pPr>
      <w:r>
        <w:rPr>
          <w:rFonts w:hint="eastAsia"/>
        </w:rPr>
        <w:t>本期实际核销的其他应收款情况</w:t>
      </w:r>
    </w:p>
    <w:sdt>
      <w:sdtPr>
        <w:rPr>
          <w:color w:val="000000" w:themeColor="text1"/>
          <w14:textFill>
            <w14:solidFill>
              <w14:schemeClr w14:val="tx1"/>
            </w14:solidFill>
          </w14:textFill>
        </w:rPr>
        <w:alias w:val="是否适用：母公司本期实际核销的其他应收款情况[双击切换]"/>
        <w:tag w:val="_GBC_dd1095756d2b471688ce5b700380fafc"/>
        <w:id w:val="1776210448"/>
        <w:placeholder>
          <w:docPart w:val="GBC22222222222222222222222222222"/>
        </w:placeholder>
      </w:sdtPr>
      <w:sdtEndPr>
        <w:rPr>
          <w:color w:val="000000" w:themeColor="text1"/>
          <w14:textFill>
            <w14:solidFill>
              <w14:schemeClr w14:val="tx1"/>
            </w14:solidFill>
          </w14:textFill>
        </w:rPr>
      </w:sdtEndPr>
      <w:sdtContent>
        <w:p w14:paraId="77B5280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C0B1F4C">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财务附注：本报告期实际核销的其他应收款项情况"/>
          <w:tag w:val="_GBC_6bfb7b987dd0421ca8824f9ee0b789b6"/>
          <w:id w:val="1295268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财务附注：本报告期实际核销的其他应收款项情况"/>
          <w:tag w:val="_GBC_25dd773e7ed148488e339621c5c5cd77"/>
          <w:id w:val="14570582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430"/>
        <w:gridCol w:w="4465"/>
      </w:tblGrid>
      <w:tr w14:paraId="30C6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bda66a88a0f43378c0d9cdba5902b4e"/>
            <w:id w:val="184108664"/>
          </w:sdtPr>
          <w:sdtContent>
            <w:tc>
              <w:tcPr>
                <w:tcW w:w="2490" w:type="pct"/>
              </w:tcPr>
              <w:p w14:paraId="4AFD3050">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8cfc3ffe2fb944188661469f397542a4"/>
            <w:id w:val="-1140958213"/>
          </w:sdtPr>
          <w:sdtContent>
            <w:tc>
              <w:tcPr>
                <w:tcW w:w="2510" w:type="pct"/>
              </w:tcPr>
              <w:p w14:paraId="5F37BBBE">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核销金额</w:t>
                </w:r>
              </w:p>
            </w:tc>
          </w:sdtContent>
        </w:sdt>
      </w:tr>
      <w:tr w14:paraId="0BE7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2490" w:type="pct"/>
          </w:tcPr>
          <w:p w14:paraId="3E76754E">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实际核销的其他应收款</w:t>
            </w:r>
          </w:p>
        </w:tc>
        <w:tc>
          <w:tcPr>
            <w:tcW w:w="2510" w:type="pct"/>
          </w:tcPr>
          <w:p w14:paraId="64D5507A">
            <w:pPr>
              <w:ind w:right="73"/>
              <w:jc w:val="right"/>
            </w:pPr>
            <w:r>
              <w:t>23,800.00</w:t>
            </w:r>
          </w:p>
        </w:tc>
      </w:tr>
    </w:tbl>
    <w:p w14:paraId="4D17B60A">
      <w:pPr>
        <w:rPr>
          <w:color w:val="000000" w:themeColor="text1"/>
          <w14:textFill>
            <w14:solidFill>
              <w14:schemeClr w14:val="tx1"/>
            </w14:solidFill>
          </w14:textFill>
        </w:rPr>
      </w:pPr>
    </w:p>
    <w:p w14:paraId="26197946">
      <w:pPr>
        <w:rPr>
          <w:color w:val="000000" w:themeColor="text1"/>
          <w14:textFill>
            <w14:solidFill>
              <w14:schemeClr w14:val="tx1"/>
            </w14:solidFill>
          </w14:textFill>
        </w:rPr>
      </w:pPr>
      <w:r>
        <w:rPr>
          <w:rFonts w:hint="eastAsia"/>
          <w:color w:val="000000" w:themeColor="text1"/>
          <w14:textFill>
            <w14:solidFill>
              <w14:schemeClr w14:val="tx1"/>
            </w14:solidFill>
          </w14:textFill>
        </w:rPr>
        <w:t>其中重要的其他应收款核销情况：</w:t>
      </w:r>
    </w:p>
    <w:sdt>
      <w:sdtPr>
        <w:rPr>
          <w:color w:val="000000" w:themeColor="text1"/>
          <w14:textFill>
            <w14:solidFill>
              <w14:schemeClr w14:val="tx1"/>
            </w14:solidFill>
          </w14:textFill>
        </w:rPr>
        <w:alias w:val="是否适用：母公司其中重要的其他应收款核销情况[双击切换]"/>
        <w:tag w:val="_GBC_5dff1eacde3a41d6914cb7afef2e2acf"/>
        <w:id w:val="-93941851"/>
        <w:placeholder>
          <w:docPart w:val="GBC22222222222222222222222222222"/>
        </w:placeholder>
      </w:sdtPr>
      <w:sdtEndPr>
        <w:rPr>
          <w:color w:val="000000" w:themeColor="text1"/>
          <w14:textFill>
            <w14:solidFill>
              <w14:schemeClr w14:val="tx1"/>
            </w14:solidFill>
          </w14:textFill>
        </w:rPr>
      </w:sdtEndPr>
      <w:sdtContent>
        <w:p w14:paraId="069CC03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6ECF5F0">
      <w:pPr>
        <w:rPr>
          <w:color w:val="000000" w:themeColor="text1"/>
          <w14:textFill>
            <w14:solidFill>
              <w14:schemeClr w14:val="tx1"/>
            </w14:solidFill>
          </w14:textFill>
        </w:rPr>
      </w:pPr>
    </w:p>
    <w:p w14:paraId="7AE88C86">
      <w:pPr>
        <w:snapToGrid w:val="0"/>
        <w:spacing w:line="240" w:lineRule="atLeast"/>
        <w:rPr>
          <w:color w:val="000000" w:themeColor="text1"/>
          <w14:textFill>
            <w14:solidFill>
              <w14:schemeClr w14:val="tx1"/>
            </w14:solidFill>
          </w14:textFill>
        </w:rPr>
      </w:pPr>
      <w:r>
        <w:rPr>
          <w:rFonts w:hint="eastAsia"/>
          <w:color w:val="000000" w:themeColor="text1"/>
          <w14:textFill>
            <w14:solidFill>
              <w14:schemeClr w14:val="tx1"/>
            </w14:solidFill>
          </w14:textFill>
        </w:rPr>
        <w:t>其他应收款核销说明：</w:t>
      </w:r>
    </w:p>
    <w:sdt>
      <w:sdtPr>
        <w:rPr>
          <w:bCs/>
          <w:color w:val="000000" w:themeColor="text1"/>
          <w14:textFill>
            <w14:solidFill>
              <w14:schemeClr w14:val="tx1"/>
            </w14:solidFill>
          </w14:textFill>
        </w:rPr>
        <w:alias w:val="是否适用：母公司其他应收款核销说明[双击切换]"/>
        <w:tag w:val="_GBC_7e98a555990349648a39fba0c7228ab7"/>
        <w:id w:val="-102806064"/>
        <w:placeholder>
          <w:docPart w:val="GBC22222222222222222222222222222"/>
        </w:placeholder>
      </w:sdtPr>
      <w:sdtEndPr>
        <w:rPr>
          <w:bCs/>
          <w:color w:val="000000" w:themeColor="text1"/>
          <w14:textFill>
            <w14:solidFill>
              <w14:schemeClr w14:val="tx1"/>
            </w14:solidFill>
          </w14:textFill>
        </w:rPr>
      </w:sdtEndPr>
      <w:sdtContent>
        <w:p w14:paraId="4C2EA9F0">
          <w:pPr>
            <w:snapToGrid w:val="0"/>
            <w:spacing w:line="240" w:lineRule="atLeast"/>
            <w:rPr>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p w14:paraId="0C09356B">
      <w:pPr>
        <w:rPr>
          <w:color w:val="000000" w:themeColor="text1"/>
          <w14:textFill>
            <w14:solidFill>
              <w14:schemeClr w14:val="tx1"/>
            </w14:solidFill>
          </w14:textFill>
        </w:rPr>
      </w:pPr>
    </w:p>
    <w:p w14:paraId="60704E57">
      <w:pPr>
        <w:pStyle w:val="6"/>
        <w:numPr>
          <w:ilvl w:val="0"/>
          <w:numId w:val="108"/>
        </w:numPr>
      </w:pPr>
      <w:r>
        <w:rPr>
          <w:rFonts w:hint="eastAsia"/>
        </w:rPr>
        <w:t>按欠款方归集的期末余额前五名的其他应收款情况</w:t>
      </w:r>
    </w:p>
    <w:sdt>
      <w:sdtPr>
        <w:rPr>
          <w:color w:val="000000" w:themeColor="text1"/>
          <w14:textFill>
            <w14:solidFill>
              <w14:schemeClr w14:val="tx1"/>
            </w14:solidFill>
          </w14:textFill>
        </w:rPr>
        <w:alias w:val="是否适用：母公司按欠款方归集的期末余额前五名的其他应收款情况[双击切换]"/>
        <w:tag w:val="_GBC_c31bd7806af645a4b98780e353753bee"/>
        <w:id w:val="-2128308725"/>
        <w:placeholder>
          <w:docPart w:val="GBC22222222222222222222222222222"/>
        </w:placeholder>
      </w:sdtPr>
      <w:sdtEndPr>
        <w:rPr>
          <w:color w:val="000000" w:themeColor="text1"/>
          <w14:textFill>
            <w14:solidFill>
              <w14:schemeClr w14:val="tx1"/>
            </w14:solidFill>
          </w14:textFill>
        </w:rPr>
      </w:sdtEndPr>
      <w:sdtContent>
        <w:p w14:paraId="47763593">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2D5BDFFE">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财务附注：其他应收账款前五名欠款情况"/>
          <w:tag w:val="_GBC_5eaec4085c10422f90a7a09ee515d922"/>
          <w:id w:val="20446287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财务附注：其他应收账款前五名欠款情况"/>
          <w:tag w:val="_GBC_76fb156b47fb495eb1748f1f6ffdfc64"/>
          <w:id w:val="-19987168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704"/>
        <w:gridCol w:w="1605"/>
        <w:gridCol w:w="1474"/>
        <w:gridCol w:w="1273"/>
        <w:gridCol w:w="1246"/>
        <w:gridCol w:w="1593"/>
      </w:tblGrid>
      <w:tr w14:paraId="4A5B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1bf4103fa73c4527ab273af4182bdac9"/>
            <w:id w:val="-434365412"/>
          </w:sdtPr>
          <w:sdtContent>
            <w:tc>
              <w:tcPr>
                <w:tcW w:w="961" w:type="pct"/>
                <w:vAlign w:val="center"/>
              </w:tcPr>
              <w:p w14:paraId="01BA65F0">
                <w:pPr>
                  <w:ind w:right="105"/>
                  <w:jc w:val="center"/>
                  <w:rPr>
                    <w:color w:val="000000" w:themeColor="text1"/>
                    <w14:textFill>
                      <w14:solidFill>
                        <w14:schemeClr w14:val="tx1"/>
                      </w14:solidFill>
                    </w14:textFill>
                  </w:rPr>
                </w:pPr>
                <w:bookmarkStart w:id="448" w:name="_Hlk153798113"/>
                <w:bookmarkStart w:id="449" w:name="_Hlk168057150"/>
                <w:r>
                  <w:rPr>
                    <w:rFonts w:hint="eastAsia"/>
                    <w:color w:val="000000" w:themeColor="text1"/>
                    <w14:textFill>
                      <w14:solidFill>
                        <w14:schemeClr w14:val="tx1"/>
                      </w14:solidFill>
                    </w14:textFill>
                  </w:rPr>
                  <w:t>单位名称</w:t>
                </w:r>
              </w:p>
            </w:tc>
          </w:sdtContent>
        </w:sdt>
        <w:sdt>
          <w:sdtPr>
            <w:tag w:val="_PLD_2272ceae47e74a6489bfeb2c73aa1f4a"/>
            <w:id w:val="-1676185328"/>
          </w:sdtPr>
          <w:sdtContent>
            <w:tc>
              <w:tcPr>
                <w:tcW w:w="885" w:type="pct"/>
                <w:vAlign w:val="center"/>
              </w:tcPr>
              <w:p w14:paraId="184E73FA">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13e1362304be4663873f1e8f72848948"/>
            <w:id w:val="-674580193"/>
          </w:sdtPr>
          <w:sdtContent>
            <w:tc>
              <w:tcPr>
                <w:tcW w:w="832" w:type="pct"/>
                <w:vAlign w:val="center"/>
              </w:tcPr>
              <w:p w14:paraId="171BAB1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占其他应收款期末余额合计数的比例(</w:t>
                </w:r>
                <w:r>
                  <w:rPr>
                    <w:color w:val="000000" w:themeColor="text1"/>
                    <w14:textFill>
                      <w14:solidFill>
                        <w14:schemeClr w14:val="tx1"/>
                      </w14:solidFill>
                    </w14:textFill>
                  </w:rPr>
                  <w:t>%)</w:t>
                </w:r>
              </w:p>
            </w:tc>
          </w:sdtContent>
        </w:sdt>
        <w:sdt>
          <w:sdtPr>
            <w:tag w:val="_PLD_13e90710aaf8432b8989b8a8d1ceae0c"/>
            <w:id w:val="1061981823"/>
          </w:sdtPr>
          <w:sdtContent>
            <w:tc>
              <w:tcPr>
                <w:tcW w:w="719" w:type="pct"/>
                <w:vAlign w:val="center"/>
              </w:tcPr>
              <w:p w14:paraId="6105421E">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款项的性质</w:t>
                </w:r>
              </w:p>
            </w:tc>
          </w:sdtContent>
        </w:sdt>
        <w:sdt>
          <w:sdtPr>
            <w:tag w:val="_PLD_fcefa3ecef954c579974ef8beaeadf3a"/>
            <w:id w:val="-353348209"/>
          </w:sdtPr>
          <w:sdtContent>
            <w:tc>
              <w:tcPr>
                <w:tcW w:w="704" w:type="pct"/>
                <w:vAlign w:val="center"/>
              </w:tcPr>
              <w:p w14:paraId="310EF6C3">
                <w:pPr>
                  <w:ind w:right="73"/>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账龄</w:t>
                </w:r>
              </w:p>
            </w:tc>
          </w:sdtContent>
        </w:sdt>
        <w:sdt>
          <w:sdtPr>
            <w:tag w:val="_PLD_f2c7137b0fd6426d9d9640429eb47701"/>
            <w:id w:val="-1261449400"/>
          </w:sdtPr>
          <w:sdtContent>
            <w:tc>
              <w:tcPr>
                <w:tcW w:w="899" w:type="pct"/>
                <w:vAlign w:val="center"/>
              </w:tcPr>
              <w:p w14:paraId="4F8751C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坏账准备</w:t>
                </w:r>
              </w:p>
              <w:p w14:paraId="46A7DCA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tr>
      <w:tr w14:paraId="2B59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61" w:type="pct"/>
            <w:vAlign w:val="center"/>
          </w:tcPr>
          <w:p w14:paraId="7BF613F5">
            <w:pPr>
              <w:ind w:right="105"/>
            </w:pPr>
            <w:r>
              <w:t>重庆力帆实业集团销售有限公司</w:t>
            </w:r>
          </w:p>
        </w:tc>
        <w:tc>
          <w:tcPr>
            <w:tcW w:w="885" w:type="pct"/>
            <w:vAlign w:val="center"/>
          </w:tcPr>
          <w:p w14:paraId="176145AD">
            <w:pPr>
              <w:ind w:right="73"/>
              <w:jc w:val="right"/>
            </w:pPr>
            <w:r>
              <w:t>2,555,934,343.81</w:t>
            </w:r>
          </w:p>
        </w:tc>
        <w:tc>
          <w:tcPr>
            <w:tcW w:w="832" w:type="pct"/>
            <w:vAlign w:val="center"/>
          </w:tcPr>
          <w:p w14:paraId="7D4E9968">
            <w:pPr>
              <w:jc w:val="right"/>
            </w:pPr>
            <w:r>
              <w:t>44.74</w:t>
            </w:r>
          </w:p>
        </w:tc>
        <w:tc>
          <w:tcPr>
            <w:tcW w:w="719" w:type="pct"/>
            <w:vAlign w:val="center"/>
          </w:tcPr>
          <w:p w14:paraId="688F0C9B">
            <w:pPr>
              <w:ind w:right="73"/>
              <w:jc w:val="center"/>
            </w:pPr>
            <w:r>
              <w:t>往来款</w:t>
            </w:r>
          </w:p>
        </w:tc>
        <w:tc>
          <w:tcPr>
            <w:tcW w:w="704" w:type="pct"/>
            <w:vAlign w:val="center"/>
          </w:tcPr>
          <w:p w14:paraId="79FC9FFE">
            <w:pPr>
              <w:ind w:right="73"/>
              <w:jc w:val="center"/>
            </w:pPr>
            <w:r>
              <w:t>0-6个月、1-2年、2-3年、3-4年</w:t>
            </w:r>
          </w:p>
        </w:tc>
        <w:tc>
          <w:tcPr>
            <w:tcW w:w="899" w:type="pct"/>
            <w:vAlign w:val="center"/>
          </w:tcPr>
          <w:p w14:paraId="32279E9A">
            <w:pPr>
              <w:jc w:val="right"/>
            </w:pPr>
          </w:p>
        </w:tc>
      </w:tr>
      <w:tr w14:paraId="0702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61" w:type="pct"/>
            <w:vAlign w:val="center"/>
          </w:tcPr>
          <w:p w14:paraId="6B0D0BC9">
            <w:pPr>
              <w:ind w:right="105"/>
            </w:pPr>
            <w:r>
              <w:t>力帆集团重庆万光新能源科技有限公司</w:t>
            </w:r>
          </w:p>
        </w:tc>
        <w:tc>
          <w:tcPr>
            <w:tcW w:w="885" w:type="pct"/>
            <w:vAlign w:val="center"/>
          </w:tcPr>
          <w:p w14:paraId="149EB997">
            <w:pPr>
              <w:ind w:right="73"/>
              <w:jc w:val="right"/>
            </w:pPr>
            <w:r>
              <w:t>993,343,708.66</w:t>
            </w:r>
          </w:p>
        </w:tc>
        <w:tc>
          <w:tcPr>
            <w:tcW w:w="832" w:type="pct"/>
            <w:vAlign w:val="center"/>
          </w:tcPr>
          <w:p w14:paraId="03961F37">
            <w:pPr>
              <w:jc w:val="right"/>
            </w:pPr>
            <w:r>
              <w:t>17.39</w:t>
            </w:r>
          </w:p>
        </w:tc>
        <w:tc>
          <w:tcPr>
            <w:tcW w:w="719" w:type="pct"/>
            <w:vAlign w:val="center"/>
          </w:tcPr>
          <w:p w14:paraId="6F566561">
            <w:pPr>
              <w:ind w:right="73"/>
              <w:jc w:val="center"/>
            </w:pPr>
            <w:r>
              <w:t>往来款</w:t>
            </w:r>
          </w:p>
        </w:tc>
        <w:tc>
          <w:tcPr>
            <w:tcW w:w="704" w:type="pct"/>
            <w:vAlign w:val="center"/>
          </w:tcPr>
          <w:p w14:paraId="5930F6FD">
            <w:pPr>
              <w:ind w:right="73"/>
              <w:jc w:val="center"/>
            </w:pPr>
            <w:r>
              <w:t>1-2年</w:t>
            </w:r>
          </w:p>
        </w:tc>
        <w:tc>
          <w:tcPr>
            <w:tcW w:w="899" w:type="pct"/>
            <w:vAlign w:val="center"/>
          </w:tcPr>
          <w:p w14:paraId="58D8CF13">
            <w:pPr>
              <w:jc w:val="right"/>
            </w:pPr>
          </w:p>
        </w:tc>
      </w:tr>
      <w:tr w14:paraId="00E9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61" w:type="pct"/>
            <w:vAlign w:val="center"/>
          </w:tcPr>
          <w:p w14:paraId="13FFA3F2">
            <w:pPr>
              <w:ind w:right="105"/>
            </w:pPr>
            <w:r>
              <w:t>力帆国际(控股)有限公司</w:t>
            </w:r>
          </w:p>
        </w:tc>
        <w:tc>
          <w:tcPr>
            <w:tcW w:w="885" w:type="pct"/>
            <w:vAlign w:val="center"/>
          </w:tcPr>
          <w:p w14:paraId="669676F5">
            <w:pPr>
              <w:ind w:right="73"/>
              <w:jc w:val="right"/>
            </w:pPr>
            <w:r>
              <w:t>767,556,975.27</w:t>
            </w:r>
          </w:p>
        </w:tc>
        <w:tc>
          <w:tcPr>
            <w:tcW w:w="832" w:type="pct"/>
            <w:vAlign w:val="center"/>
          </w:tcPr>
          <w:p w14:paraId="4CDAD12B">
            <w:pPr>
              <w:jc w:val="right"/>
            </w:pPr>
            <w:r>
              <w:t>13.44</w:t>
            </w:r>
          </w:p>
        </w:tc>
        <w:tc>
          <w:tcPr>
            <w:tcW w:w="719" w:type="pct"/>
            <w:vAlign w:val="center"/>
          </w:tcPr>
          <w:p w14:paraId="26D89013">
            <w:pPr>
              <w:ind w:right="73"/>
              <w:jc w:val="center"/>
            </w:pPr>
            <w:r>
              <w:t>往来款</w:t>
            </w:r>
          </w:p>
        </w:tc>
        <w:tc>
          <w:tcPr>
            <w:tcW w:w="704" w:type="pct"/>
            <w:vAlign w:val="center"/>
          </w:tcPr>
          <w:p w14:paraId="7CC2FB39">
            <w:pPr>
              <w:ind w:right="73"/>
              <w:jc w:val="center"/>
            </w:pPr>
            <w:r>
              <w:t>5年以上</w:t>
            </w:r>
          </w:p>
        </w:tc>
        <w:tc>
          <w:tcPr>
            <w:tcW w:w="899" w:type="pct"/>
            <w:vAlign w:val="center"/>
          </w:tcPr>
          <w:p w14:paraId="2626CA28">
            <w:pPr>
              <w:jc w:val="right"/>
            </w:pPr>
          </w:p>
        </w:tc>
      </w:tr>
      <w:tr w14:paraId="65DB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61" w:type="pct"/>
            <w:vAlign w:val="center"/>
          </w:tcPr>
          <w:p w14:paraId="128ED71B">
            <w:pPr>
              <w:ind w:right="105"/>
            </w:pPr>
            <w:r>
              <w:t>重庆睿蓝汽车制造有限公司</w:t>
            </w:r>
          </w:p>
        </w:tc>
        <w:tc>
          <w:tcPr>
            <w:tcW w:w="885" w:type="pct"/>
            <w:vAlign w:val="center"/>
          </w:tcPr>
          <w:p w14:paraId="2B1FF834">
            <w:pPr>
              <w:ind w:right="73"/>
              <w:jc w:val="right"/>
            </w:pPr>
            <w:r>
              <w:t>665,559,086.29</w:t>
            </w:r>
          </w:p>
        </w:tc>
        <w:tc>
          <w:tcPr>
            <w:tcW w:w="832" w:type="pct"/>
            <w:vAlign w:val="center"/>
          </w:tcPr>
          <w:p w14:paraId="25D08D51">
            <w:pPr>
              <w:jc w:val="right"/>
            </w:pPr>
            <w:r>
              <w:t>11.65</w:t>
            </w:r>
          </w:p>
        </w:tc>
        <w:tc>
          <w:tcPr>
            <w:tcW w:w="719" w:type="pct"/>
            <w:vAlign w:val="center"/>
          </w:tcPr>
          <w:p w14:paraId="4C421661">
            <w:pPr>
              <w:ind w:right="73"/>
              <w:jc w:val="center"/>
            </w:pPr>
            <w:r>
              <w:t>往来款</w:t>
            </w:r>
          </w:p>
        </w:tc>
        <w:tc>
          <w:tcPr>
            <w:tcW w:w="704" w:type="pct"/>
            <w:vAlign w:val="center"/>
          </w:tcPr>
          <w:p w14:paraId="3F3ADE65">
            <w:pPr>
              <w:ind w:right="73"/>
              <w:jc w:val="center"/>
            </w:pPr>
            <w:r>
              <w:t>0-6个月、7-12个月、1-2年、2-3年</w:t>
            </w:r>
          </w:p>
        </w:tc>
        <w:tc>
          <w:tcPr>
            <w:tcW w:w="899" w:type="pct"/>
            <w:vAlign w:val="center"/>
          </w:tcPr>
          <w:p w14:paraId="3928484B">
            <w:pPr>
              <w:jc w:val="right"/>
            </w:pPr>
          </w:p>
        </w:tc>
      </w:tr>
      <w:tr w14:paraId="137E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61" w:type="pct"/>
            <w:vAlign w:val="center"/>
          </w:tcPr>
          <w:p w14:paraId="3EEC4F80">
            <w:pPr>
              <w:ind w:right="105"/>
            </w:pPr>
            <w:r>
              <w:t>重庆力帆摩托车产销有限公司</w:t>
            </w:r>
          </w:p>
        </w:tc>
        <w:tc>
          <w:tcPr>
            <w:tcW w:w="885" w:type="pct"/>
            <w:vAlign w:val="center"/>
          </w:tcPr>
          <w:p w14:paraId="07FD001B">
            <w:pPr>
              <w:ind w:right="73"/>
              <w:jc w:val="right"/>
            </w:pPr>
            <w:r>
              <w:t>316,642,111.78</w:t>
            </w:r>
          </w:p>
        </w:tc>
        <w:tc>
          <w:tcPr>
            <w:tcW w:w="832" w:type="pct"/>
            <w:vAlign w:val="center"/>
          </w:tcPr>
          <w:p w14:paraId="3A43C0BF">
            <w:pPr>
              <w:jc w:val="right"/>
            </w:pPr>
            <w:r>
              <w:t>5.54</w:t>
            </w:r>
          </w:p>
        </w:tc>
        <w:tc>
          <w:tcPr>
            <w:tcW w:w="719" w:type="pct"/>
            <w:vAlign w:val="center"/>
          </w:tcPr>
          <w:p w14:paraId="42A7568C">
            <w:pPr>
              <w:ind w:right="73"/>
              <w:jc w:val="center"/>
            </w:pPr>
            <w:r>
              <w:t>应收股权转让款</w:t>
            </w:r>
          </w:p>
        </w:tc>
        <w:tc>
          <w:tcPr>
            <w:tcW w:w="704" w:type="pct"/>
            <w:vAlign w:val="center"/>
          </w:tcPr>
          <w:p w14:paraId="1529F206">
            <w:pPr>
              <w:ind w:right="73"/>
              <w:jc w:val="center"/>
            </w:pPr>
            <w:r>
              <w:t>1-2年</w:t>
            </w:r>
          </w:p>
        </w:tc>
        <w:tc>
          <w:tcPr>
            <w:tcW w:w="899" w:type="pct"/>
            <w:vAlign w:val="center"/>
          </w:tcPr>
          <w:p w14:paraId="04CCFC6C">
            <w:pPr>
              <w:jc w:val="right"/>
            </w:pPr>
          </w:p>
        </w:tc>
      </w:tr>
      <w:tr w14:paraId="2778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961" w:type="pct"/>
            <w:vAlign w:val="center"/>
          </w:tcPr>
          <w:p w14:paraId="4F95E87C">
            <w:pPr>
              <w:ind w:right="105"/>
              <w:jc w:val="center"/>
            </w:pPr>
            <w:r>
              <w:rPr>
                <w:rFonts w:hint="eastAsia"/>
              </w:rPr>
              <w:t>合计</w:t>
            </w:r>
          </w:p>
        </w:tc>
        <w:tc>
          <w:tcPr>
            <w:tcW w:w="885" w:type="pct"/>
            <w:vAlign w:val="center"/>
          </w:tcPr>
          <w:p w14:paraId="1930A797">
            <w:pPr>
              <w:ind w:right="73"/>
              <w:jc w:val="right"/>
            </w:pPr>
            <w:r>
              <w:t>5,299,036,225.81</w:t>
            </w:r>
          </w:p>
        </w:tc>
        <w:tc>
          <w:tcPr>
            <w:tcW w:w="832" w:type="pct"/>
            <w:vAlign w:val="center"/>
          </w:tcPr>
          <w:p w14:paraId="7E4A9A51">
            <w:pPr>
              <w:jc w:val="right"/>
            </w:pPr>
            <w:r>
              <w:t>92.75</w:t>
            </w:r>
          </w:p>
        </w:tc>
        <w:tc>
          <w:tcPr>
            <w:tcW w:w="719" w:type="pct"/>
            <w:vAlign w:val="center"/>
          </w:tcPr>
          <w:p w14:paraId="32D21261">
            <w:pPr>
              <w:ind w:right="73"/>
              <w:jc w:val="center"/>
            </w:pPr>
          </w:p>
        </w:tc>
        <w:tc>
          <w:tcPr>
            <w:tcW w:w="704" w:type="pct"/>
            <w:vAlign w:val="center"/>
          </w:tcPr>
          <w:p w14:paraId="4D1E84EA">
            <w:pPr>
              <w:ind w:right="73"/>
              <w:jc w:val="center"/>
            </w:pPr>
          </w:p>
        </w:tc>
        <w:tc>
          <w:tcPr>
            <w:tcW w:w="899" w:type="pct"/>
            <w:vAlign w:val="center"/>
          </w:tcPr>
          <w:p w14:paraId="05BA4D5F">
            <w:pPr>
              <w:jc w:val="right"/>
            </w:pPr>
          </w:p>
        </w:tc>
      </w:tr>
    </w:tbl>
    <w:p w14:paraId="1DCE6E0E"/>
    <w:p w14:paraId="44D139F3">
      <w:pPr>
        <w:pStyle w:val="6"/>
        <w:numPr>
          <w:ilvl w:val="0"/>
          <w:numId w:val="108"/>
        </w:numPr>
      </w:pPr>
      <w:r>
        <w:rPr>
          <w:rFonts w:hint="eastAsia"/>
        </w:rPr>
        <w:t>因资金集中管理而列报于其他应收款</w:t>
      </w:r>
    </w:p>
    <w:sdt>
      <w:sdtPr>
        <w:rPr>
          <w:color w:val="000000" w:themeColor="text1"/>
          <w14:textFill>
            <w14:solidFill>
              <w14:schemeClr w14:val="tx1"/>
            </w14:solidFill>
          </w14:textFill>
        </w:rPr>
        <w:alias w:val="是否适用：母公司因资金集中管理而列报于其他应收款[双击切换]"/>
        <w:tag w:val="_GBC_e0997ad9657c40258adda569dcfcbb5a"/>
        <w:id w:val="1534544615"/>
        <w:placeholder>
          <w:docPart w:val="GBC22222222222222222222222222222"/>
        </w:placeholder>
      </w:sdtPr>
      <w:sdtEndPr>
        <w:rPr>
          <w:color w:val="000000" w:themeColor="text1"/>
          <w14:textFill>
            <w14:solidFill>
              <w14:schemeClr w14:val="tx1"/>
            </w14:solidFill>
          </w14:textFill>
        </w:rPr>
      </w:sdtEndPr>
      <w:sdtContent>
        <w:p w14:paraId="0E12AC61">
          <w:pPr>
            <w:snapToGrid w:val="0"/>
            <w:spacing w:line="240" w:lineRule="atLeast"/>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61080CB">
      <w:pPr>
        <w:snapToGrid w:val="0"/>
        <w:spacing w:line="240" w:lineRule="atLeast"/>
        <w:rPr>
          <w:color w:val="000000" w:themeColor="text1"/>
          <w14:textFill>
            <w14:solidFill>
              <w14:schemeClr w14:val="tx1"/>
            </w14:solidFill>
          </w14:textFill>
        </w:rPr>
      </w:pPr>
    </w:p>
    <w:bookmarkEnd w:id="448"/>
    <w:bookmarkEnd w:id="449"/>
    <w:p w14:paraId="5527E1AF">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说明：</w:t>
      </w:r>
    </w:p>
    <w:sdt>
      <w:sdtPr>
        <w:rPr>
          <w:color w:val="000000" w:themeColor="text1"/>
          <w14:textFill>
            <w14:solidFill>
              <w14:schemeClr w14:val="tx1"/>
            </w14:solidFill>
          </w14:textFill>
        </w:rPr>
        <w:alias w:val="是否适用：母公司其他应收款的其他说明[双击切换]"/>
        <w:tag w:val="_GBC_2e0f632cbc7d4916b89bf8824f4b71f0"/>
        <w:id w:val="-680891615"/>
        <w:placeholder>
          <w:docPart w:val="GBC22222222222222222222222222222"/>
        </w:placeholder>
      </w:sdtPr>
      <w:sdtEndPr>
        <w:rPr>
          <w:color w:val="000000" w:themeColor="text1"/>
          <w14:textFill>
            <w14:solidFill>
              <w14:schemeClr w14:val="tx1"/>
            </w14:solidFill>
          </w14:textFill>
        </w:rPr>
      </w:sdtEndPr>
      <w:sdtContent>
        <w:p w14:paraId="6D87E05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0A1B5D9">
      <w:pPr>
        <w:rPr>
          <w:color w:val="000000" w:themeColor="text1"/>
          <w14:textFill>
            <w14:solidFill>
              <w14:schemeClr w14:val="tx1"/>
            </w14:solidFill>
          </w14:textFill>
        </w:rPr>
      </w:pPr>
    </w:p>
    <w:p w14:paraId="5B34D1D7">
      <w:pPr>
        <w:rPr>
          <w:color w:val="000000" w:themeColor="text1"/>
          <w14:textFill>
            <w14:solidFill>
              <w14:schemeClr w14:val="tx1"/>
            </w14:solidFill>
          </w14:textFill>
        </w:rPr>
        <w:sectPr>
          <w:pgSz w:w="11906" w:h="16838"/>
          <w:pgMar w:top="1525" w:right="1276" w:bottom="1440" w:left="1797" w:header="856" w:footer="992" w:gutter="0"/>
          <w:cols w:space="425" w:num="1"/>
          <w:docGrid w:linePitch="312" w:charSpace="0"/>
        </w:sectPr>
      </w:pPr>
    </w:p>
    <w:p w14:paraId="53E00A85">
      <w:pPr>
        <w:pStyle w:val="4"/>
        <w:numPr>
          <w:ilvl w:val="0"/>
          <w:numId w:val="103"/>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长期股权投资</w:t>
      </w:r>
    </w:p>
    <w:sdt>
      <w:sdtPr>
        <w:rPr>
          <w:color w:val="000000" w:themeColor="text1"/>
          <w14:textFill>
            <w14:solidFill>
              <w14:schemeClr w14:val="tx1"/>
            </w14:solidFill>
          </w14:textFill>
        </w:rPr>
        <w:alias w:val="是否适用：母公司长期股权投资[双击切换]"/>
        <w:tag w:val="_GBC_61071b9a58624e83bfc4232808751b95"/>
        <w:id w:val="887232671"/>
        <w:lock w:val="contentLocked"/>
        <w:placeholder>
          <w:docPart w:val="GBC22222222222222222222222222222"/>
        </w:placeholder>
      </w:sdtPr>
      <w:sdtEndPr>
        <w:rPr>
          <w:color w:val="000000" w:themeColor="text1"/>
          <w14:textFill>
            <w14:solidFill>
              <w14:schemeClr w14:val="tx1"/>
            </w14:solidFill>
          </w14:textFill>
        </w:rPr>
      </w:sdtEndPr>
      <w:sdtContent>
        <w:p w14:paraId="676AC5D9">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16AC378">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财务附注：长期股权投资"/>
          <w:tag w:val="_GBC_ee2c3454a2494dfca9c0a07bba82ed3d"/>
          <w:id w:val="-4478488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财务附注：长期股权投资"/>
          <w:tag w:val="_GBC_4b4d1a2b986f475e8058a041d2f5a6f9"/>
          <w:id w:val="-4797635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3565"/>
        <w:gridCol w:w="1750"/>
        <w:gridCol w:w="1711"/>
        <w:gridCol w:w="1711"/>
        <w:gridCol w:w="1753"/>
        <w:gridCol w:w="1731"/>
        <w:gridCol w:w="1714"/>
      </w:tblGrid>
      <w:tr w14:paraId="085B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9c4a2f49545484e8b3a149f64c9d21f"/>
            <w:id w:val="-219220551"/>
          </w:sdtPr>
          <w:sdtContent>
            <w:tc>
              <w:tcPr>
                <w:tcW w:w="1279" w:type="pct"/>
                <w:vMerge w:val="restart"/>
                <w:vAlign w:val="center"/>
              </w:tcPr>
              <w:p w14:paraId="23A59E29">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f7d0566caa554c4c823029a05c5319eb"/>
            <w:id w:val="415358820"/>
          </w:sdtPr>
          <w:sdtContent>
            <w:tc>
              <w:tcPr>
                <w:tcW w:w="1856" w:type="pct"/>
                <w:gridSpan w:val="3"/>
                <w:vAlign w:val="center"/>
              </w:tcPr>
              <w:p w14:paraId="3825B2D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期末余额</w:t>
                </w:r>
              </w:p>
            </w:tc>
          </w:sdtContent>
        </w:sdt>
        <w:sdt>
          <w:sdtPr>
            <w:tag w:val="_PLD_9d2cfae2492a49c2b441d1371a5e4673"/>
            <w:id w:val="1564367986"/>
          </w:sdtPr>
          <w:sdtContent>
            <w:tc>
              <w:tcPr>
                <w:tcW w:w="1865" w:type="pct"/>
                <w:gridSpan w:val="3"/>
                <w:vAlign w:val="center"/>
              </w:tcPr>
              <w:p w14:paraId="550E6BE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期初余额</w:t>
                </w:r>
              </w:p>
            </w:tc>
          </w:sdtContent>
        </w:sdt>
      </w:tr>
      <w:tr w14:paraId="59EA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279" w:type="pct"/>
            <w:vMerge w:val="continue"/>
            <w:vAlign w:val="center"/>
          </w:tcPr>
          <w:p w14:paraId="4ED0C9CF">
            <w:pPr>
              <w:jc w:val="center"/>
              <w:rPr>
                <w:color w:val="000000" w:themeColor="text1"/>
                <w14:textFill>
                  <w14:solidFill>
                    <w14:schemeClr w14:val="tx1"/>
                  </w14:solidFill>
                </w14:textFill>
              </w:rPr>
            </w:pPr>
          </w:p>
        </w:tc>
        <w:sdt>
          <w:sdtPr>
            <w:tag w:val="_PLD_9f664b17996c45f08a57544a9ec7e340"/>
            <w:id w:val="-388580253"/>
          </w:sdtPr>
          <w:sdtContent>
            <w:tc>
              <w:tcPr>
                <w:tcW w:w="628" w:type="pct"/>
                <w:vAlign w:val="center"/>
              </w:tcPr>
              <w:p w14:paraId="2E9CB7E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5c150a7367994fc29e7f8b50d7ff2eab"/>
            <w:id w:val="-2138636347"/>
          </w:sdtPr>
          <w:sdtContent>
            <w:tc>
              <w:tcPr>
                <w:tcW w:w="614" w:type="pct"/>
                <w:vAlign w:val="center"/>
              </w:tcPr>
              <w:p w14:paraId="00D212B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w:t>
                </w:r>
              </w:p>
            </w:tc>
          </w:sdtContent>
        </w:sdt>
        <w:sdt>
          <w:sdtPr>
            <w:tag w:val="_PLD_3db48da0eacd49568929884577dae51b"/>
            <w:id w:val="-1929117824"/>
          </w:sdtPr>
          <w:sdtContent>
            <w:tc>
              <w:tcPr>
                <w:tcW w:w="614" w:type="pct"/>
                <w:vAlign w:val="center"/>
              </w:tcPr>
              <w:p w14:paraId="42436E8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sdt>
          <w:sdtPr>
            <w:tag w:val="_PLD_00d8a1d3b6754b52929b2c46a2e716c9"/>
            <w:id w:val="1221024902"/>
          </w:sdtPr>
          <w:sdtContent>
            <w:tc>
              <w:tcPr>
                <w:tcW w:w="629" w:type="pct"/>
                <w:vAlign w:val="center"/>
              </w:tcPr>
              <w:p w14:paraId="19E5880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账面余额</w:t>
                </w:r>
              </w:p>
            </w:tc>
          </w:sdtContent>
        </w:sdt>
        <w:sdt>
          <w:sdtPr>
            <w:tag w:val="_PLD_0f2c77fc41ea456bab34653dee178805"/>
            <w:id w:val="-417795405"/>
          </w:sdtPr>
          <w:sdtContent>
            <w:tc>
              <w:tcPr>
                <w:tcW w:w="621" w:type="pct"/>
                <w:vAlign w:val="center"/>
              </w:tcPr>
              <w:p w14:paraId="7293537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减值准备</w:t>
                </w:r>
              </w:p>
            </w:tc>
          </w:sdtContent>
        </w:sdt>
        <w:sdt>
          <w:sdtPr>
            <w:tag w:val="_PLD_9ae07ed9769c419fa280d4c5ad3f03d7"/>
            <w:id w:val="-9217360"/>
          </w:sdtPr>
          <w:sdtContent>
            <w:tc>
              <w:tcPr>
                <w:tcW w:w="615" w:type="pct"/>
                <w:vAlign w:val="center"/>
              </w:tcPr>
              <w:p w14:paraId="38C38C9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账面价值</w:t>
                </w:r>
              </w:p>
            </w:tc>
          </w:sdtContent>
        </w:sdt>
      </w:tr>
      <w:tr w14:paraId="3AEA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279" w:type="pct"/>
          </w:tcPr>
          <w:p w14:paraId="4553973B">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对子公司投资</w:t>
            </w:r>
          </w:p>
        </w:tc>
        <w:tc>
          <w:tcPr>
            <w:tcW w:w="628" w:type="pct"/>
            <w:vAlign w:val="center"/>
          </w:tcPr>
          <w:p w14:paraId="52203A32">
            <w:pPr>
              <w:jc w:val="right"/>
            </w:pPr>
            <w:r>
              <w:t>4,573,539,287.40</w:t>
            </w:r>
          </w:p>
        </w:tc>
        <w:tc>
          <w:tcPr>
            <w:tcW w:w="614" w:type="pct"/>
            <w:vAlign w:val="center"/>
          </w:tcPr>
          <w:p w14:paraId="580BF4D5">
            <w:pPr>
              <w:jc w:val="right"/>
            </w:pPr>
            <w:r>
              <w:t>11,646,895.84</w:t>
            </w:r>
          </w:p>
        </w:tc>
        <w:tc>
          <w:tcPr>
            <w:tcW w:w="614" w:type="pct"/>
            <w:vAlign w:val="center"/>
          </w:tcPr>
          <w:p w14:paraId="5E3E57DE">
            <w:pPr>
              <w:jc w:val="right"/>
            </w:pPr>
            <w:r>
              <w:t>4,561,892,391.56</w:t>
            </w:r>
          </w:p>
        </w:tc>
        <w:tc>
          <w:tcPr>
            <w:tcW w:w="629" w:type="pct"/>
            <w:vAlign w:val="center"/>
          </w:tcPr>
          <w:p w14:paraId="075EB7D8">
            <w:pPr>
              <w:jc w:val="right"/>
            </w:pPr>
            <w:r>
              <w:t>4,573,539,287.40</w:t>
            </w:r>
          </w:p>
        </w:tc>
        <w:tc>
          <w:tcPr>
            <w:tcW w:w="621" w:type="pct"/>
            <w:vAlign w:val="center"/>
          </w:tcPr>
          <w:p w14:paraId="4FB4060E">
            <w:pPr>
              <w:jc w:val="right"/>
            </w:pPr>
            <w:r>
              <w:t>11,646,895.84</w:t>
            </w:r>
          </w:p>
        </w:tc>
        <w:tc>
          <w:tcPr>
            <w:tcW w:w="615" w:type="pct"/>
            <w:vAlign w:val="center"/>
          </w:tcPr>
          <w:p w14:paraId="16D7BCFC">
            <w:pPr>
              <w:jc w:val="right"/>
            </w:pPr>
            <w:r>
              <w:t>4,561,892,391.56</w:t>
            </w:r>
          </w:p>
        </w:tc>
      </w:tr>
      <w:tr w14:paraId="4DB9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279" w:type="pct"/>
          </w:tcPr>
          <w:p w14:paraId="6BA32E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对联营、合营企业投资</w:t>
            </w:r>
          </w:p>
        </w:tc>
        <w:tc>
          <w:tcPr>
            <w:tcW w:w="628" w:type="pct"/>
            <w:vAlign w:val="center"/>
          </w:tcPr>
          <w:p w14:paraId="626E7C18">
            <w:pPr>
              <w:jc w:val="right"/>
            </w:pPr>
            <w:r>
              <w:t>3,640,239,634.89</w:t>
            </w:r>
          </w:p>
        </w:tc>
        <w:tc>
          <w:tcPr>
            <w:tcW w:w="614" w:type="pct"/>
            <w:vAlign w:val="center"/>
          </w:tcPr>
          <w:p w14:paraId="71D913CA">
            <w:pPr>
              <w:jc w:val="right"/>
            </w:pPr>
            <w:r>
              <w:t>1,404,263,267.23</w:t>
            </w:r>
          </w:p>
        </w:tc>
        <w:tc>
          <w:tcPr>
            <w:tcW w:w="614" w:type="pct"/>
            <w:vAlign w:val="center"/>
          </w:tcPr>
          <w:p w14:paraId="7674F20D">
            <w:pPr>
              <w:jc w:val="right"/>
            </w:pPr>
            <w:r>
              <w:t>2,235,976,367.66</w:t>
            </w:r>
          </w:p>
        </w:tc>
        <w:tc>
          <w:tcPr>
            <w:tcW w:w="629" w:type="pct"/>
            <w:vAlign w:val="center"/>
          </w:tcPr>
          <w:p w14:paraId="0488683C">
            <w:pPr>
              <w:jc w:val="right"/>
            </w:pPr>
            <w:r>
              <w:t>3,610,420,227.82</w:t>
            </w:r>
          </w:p>
        </w:tc>
        <w:tc>
          <w:tcPr>
            <w:tcW w:w="621" w:type="pct"/>
            <w:vAlign w:val="center"/>
          </w:tcPr>
          <w:p w14:paraId="501227E2">
            <w:pPr>
              <w:jc w:val="right"/>
            </w:pPr>
            <w:r>
              <w:t>1,404,263,267.23</w:t>
            </w:r>
          </w:p>
        </w:tc>
        <w:tc>
          <w:tcPr>
            <w:tcW w:w="615" w:type="pct"/>
            <w:vAlign w:val="center"/>
          </w:tcPr>
          <w:p w14:paraId="65938358">
            <w:pPr>
              <w:jc w:val="right"/>
            </w:pPr>
            <w:r>
              <w:t>2,206,156,960.59</w:t>
            </w:r>
          </w:p>
        </w:tc>
      </w:tr>
      <w:tr w14:paraId="3249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279" w:type="pct"/>
            <w:vAlign w:val="center"/>
          </w:tcPr>
          <w:p w14:paraId="4DE27C8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628" w:type="pct"/>
            <w:vAlign w:val="center"/>
          </w:tcPr>
          <w:p w14:paraId="3DBF83CB">
            <w:pPr>
              <w:jc w:val="right"/>
            </w:pPr>
            <w:r>
              <w:t>8,213,778,922.29</w:t>
            </w:r>
          </w:p>
        </w:tc>
        <w:tc>
          <w:tcPr>
            <w:tcW w:w="614" w:type="pct"/>
            <w:vAlign w:val="center"/>
          </w:tcPr>
          <w:p w14:paraId="27885780">
            <w:pPr>
              <w:jc w:val="right"/>
            </w:pPr>
            <w:r>
              <w:t>1,415,910,163.07</w:t>
            </w:r>
          </w:p>
        </w:tc>
        <w:tc>
          <w:tcPr>
            <w:tcW w:w="614" w:type="pct"/>
            <w:vAlign w:val="center"/>
          </w:tcPr>
          <w:p w14:paraId="37E26A65">
            <w:pPr>
              <w:jc w:val="right"/>
            </w:pPr>
            <w:r>
              <w:t>6,797,868,759.22</w:t>
            </w:r>
          </w:p>
        </w:tc>
        <w:tc>
          <w:tcPr>
            <w:tcW w:w="629" w:type="pct"/>
            <w:vAlign w:val="center"/>
          </w:tcPr>
          <w:p w14:paraId="190DBB38">
            <w:pPr>
              <w:jc w:val="right"/>
            </w:pPr>
            <w:r>
              <w:t>8,183,959,515.22</w:t>
            </w:r>
          </w:p>
        </w:tc>
        <w:tc>
          <w:tcPr>
            <w:tcW w:w="621" w:type="pct"/>
            <w:vAlign w:val="center"/>
          </w:tcPr>
          <w:p w14:paraId="78D74608">
            <w:pPr>
              <w:jc w:val="right"/>
            </w:pPr>
            <w:r>
              <w:t>1,415,910,163.07</w:t>
            </w:r>
          </w:p>
        </w:tc>
        <w:tc>
          <w:tcPr>
            <w:tcW w:w="615" w:type="pct"/>
            <w:vAlign w:val="center"/>
          </w:tcPr>
          <w:p w14:paraId="7B661B8F">
            <w:pPr>
              <w:jc w:val="right"/>
            </w:pPr>
            <w:r>
              <w:t>6,768,049,352.15</w:t>
            </w:r>
          </w:p>
        </w:tc>
      </w:tr>
    </w:tbl>
    <w:p w14:paraId="7E14659F">
      <w:pPr>
        <w:rPr>
          <w:color w:val="000000" w:themeColor="text1"/>
          <w14:textFill>
            <w14:solidFill>
              <w14:schemeClr w14:val="tx1"/>
            </w14:solidFill>
          </w14:textFill>
        </w:rPr>
      </w:pPr>
    </w:p>
    <w:p w14:paraId="56AD263F">
      <w:pPr>
        <w:pStyle w:val="5"/>
        <w:numPr>
          <w:ilvl w:val="0"/>
          <w:numId w:val="109"/>
        </w:numPr>
        <w:rPr>
          <w:rFonts w:ascii="宋体" w:hAnsi="宋体"/>
          <w:color w:val="000000" w:themeColor="text1"/>
          <w14:textFill>
            <w14:solidFill>
              <w14:schemeClr w14:val="tx1"/>
            </w14:solidFill>
          </w14:textFill>
        </w:rPr>
      </w:pPr>
      <w:bookmarkStart w:id="450" w:name="_Hlk199854867"/>
      <w:r>
        <w:rPr>
          <w:rFonts w:hint="eastAsia" w:ascii="宋体" w:hAnsi="宋体"/>
          <w:color w:val="000000" w:themeColor="text1"/>
          <w14:textFill>
            <w14:solidFill>
              <w14:schemeClr w14:val="tx1"/>
            </w14:solidFill>
          </w14:textFill>
        </w:rPr>
        <w:t>对子公司投资</w:t>
      </w:r>
    </w:p>
    <w:sdt>
      <w:sdtPr>
        <w:rPr>
          <w:color w:val="000000" w:themeColor="text1"/>
          <w14:textFill>
            <w14:solidFill>
              <w14:schemeClr w14:val="tx1"/>
            </w14:solidFill>
          </w14:textFill>
        </w:rPr>
        <w:alias w:val="是否适用：母公司对子公司投资[双击切换]"/>
        <w:tag w:val="_GBC_c52cee49247d42a9a79deabbd4c8635c"/>
        <w:id w:val="2034919499"/>
        <w:placeholder>
          <w:docPart w:val="GBC22222222222222222222222222222"/>
        </w:placeholder>
      </w:sdtPr>
      <w:sdtEndPr>
        <w:rPr>
          <w:color w:val="000000" w:themeColor="text1"/>
          <w14:textFill>
            <w14:solidFill>
              <w14:schemeClr w14:val="tx1"/>
            </w14:solidFill>
          </w14:textFill>
        </w:rPr>
      </w:sdtEndPr>
      <w:sdtContent>
        <w:p w14:paraId="6B47E70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0F5FA42">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财务附注：对子公司投资"/>
          <w:tag w:val="_GBC_84c410d0b81f42e3adfddc3699487310"/>
          <w:id w:val="17378217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财务附注：对子公司投资"/>
          <w:tag w:val="_GBC_97fad72310ba4b849377b0e1cebf7303"/>
          <w:id w:val="-3995952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450"/>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1730"/>
        <w:gridCol w:w="1440"/>
        <w:gridCol w:w="1584"/>
        <w:gridCol w:w="1296"/>
        <w:gridCol w:w="1586"/>
        <w:gridCol w:w="1076"/>
        <w:gridCol w:w="1713"/>
        <w:gridCol w:w="1508"/>
      </w:tblGrid>
      <w:tr w14:paraId="2B78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sdt>
          <w:sdtPr>
            <w:tag w:val="_PLD_5e30a804ceaa4024b238d79c66b2f2dd"/>
            <w:id w:val="-1867748736"/>
          </w:sdtPr>
          <w:sdtContent>
            <w:tc>
              <w:tcPr>
                <w:tcW w:w="765" w:type="pct"/>
                <w:vMerge w:val="restart"/>
                <w:tcBorders>
                  <w:top w:val="single" w:color="auto" w:sz="4" w:space="0"/>
                  <w:left w:val="single" w:color="auto" w:sz="4" w:space="0"/>
                  <w:right w:val="single" w:color="auto" w:sz="4" w:space="0"/>
                </w:tcBorders>
                <w:vAlign w:val="center"/>
              </w:tcPr>
              <w:p w14:paraId="39B3D74A">
                <w:pPr>
                  <w:ind w:left="-53" w:leftChars="-25" w:right="-53" w:rightChars="-25"/>
                  <w:jc w:val="center"/>
                </w:pPr>
                <w:bookmarkStart w:id="451" w:name="_Hlk199855034"/>
                <w:bookmarkStart w:id="452" w:name="_Hlk106375342"/>
                <w:r>
                  <w:rPr>
                    <w:rFonts w:hint="eastAsia"/>
                  </w:rPr>
                  <w:t>被投资单位</w:t>
                </w:r>
              </w:p>
            </w:tc>
          </w:sdtContent>
        </w:sdt>
        <w:sdt>
          <w:sdtPr>
            <w:tag w:val="_PLD_414e7de75190451298fb101077dd4f51"/>
            <w:id w:val="292336634"/>
          </w:sdtPr>
          <w:sdtContent>
            <w:tc>
              <w:tcPr>
                <w:tcW w:w="614" w:type="pct"/>
                <w:vMerge w:val="restart"/>
                <w:tcBorders>
                  <w:top w:val="single" w:color="auto" w:sz="4" w:space="0"/>
                  <w:left w:val="single" w:color="auto" w:sz="4" w:space="0"/>
                  <w:right w:val="single" w:color="auto" w:sz="4" w:space="0"/>
                </w:tcBorders>
                <w:vAlign w:val="center"/>
              </w:tcPr>
              <w:p w14:paraId="4098C045">
                <w:pPr>
                  <w:ind w:left="-53" w:leftChars="-25" w:right="-53" w:rightChars="-25"/>
                  <w:jc w:val="center"/>
                </w:pPr>
                <w:r>
                  <w:rPr>
                    <w:rFonts w:hint="eastAsia"/>
                  </w:rPr>
                  <w:t>期初余额（账面价值）</w:t>
                </w:r>
              </w:p>
            </w:tc>
          </w:sdtContent>
        </w:sdt>
        <w:sdt>
          <w:sdtPr>
            <w:tag w:val="_PLD_13c296ca5c774a46b83afc3a9c08fdab"/>
            <w:id w:val="-728384106"/>
          </w:sdtPr>
          <w:sdtContent>
            <w:tc>
              <w:tcPr>
                <w:tcW w:w="511" w:type="pct"/>
                <w:vMerge w:val="restart"/>
                <w:tcBorders>
                  <w:top w:val="single" w:color="auto" w:sz="4" w:space="0"/>
                  <w:left w:val="single" w:color="auto" w:sz="4" w:space="0"/>
                  <w:right w:val="single" w:color="auto" w:sz="4" w:space="0"/>
                </w:tcBorders>
                <w:vAlign w:val="center"/>
              </w:tcPr>
              <w:p w14:paraId="4916481E">
                <w:pPr>
                  <w:ind w:left="-53" w:leftChars="-25" w:right="-53" w:rightChars="-25"/>
                  <w:jc w:val="center"/>
                </w:pPr>
                <w:r>
                  <w:rPr>
                    <w:rFonts w:hint="eastAsia"/>
                  </w:rPr>
                  <w:t>减值准备期初余额</w:t>
                </w:r>
              </w:p>
            </w:tc>
          </w:sdtContent>
        </w:sdt>
        <w:sdt>
          <w:sdtPr>
            <w:tag w:val="_PLD_38d284e511fe4000a53245d837ffe0fb"/>
            <w:id w:val="-2117270975"/>
          </w:sdtPr>
          <w:sdtContent>
            <w:tc>
              <w:tcPr>
                <w:tcW w:w="1967" w:type="pct"/>
                <w:gridSpan w:val="4"/>
                <w:tcBorders>
                  <w:top w:val="single" w:color="auto" w:sz="4" w:space="0"/>
                  <w:left w:val="single" w:color="auto" w:sz="4" w:space="0"/>
                  <w:bottom w:val="single" w:color="auto" w:sz="4" w:space="0"/>
                  <w:right w:val="single" w:color="auto" w:sz="4" w:space="0"/>
                </w:tcBorders>
                <w:vAlign w:val="center"/>
              </w:tcPr>
              <w:p w14:paraId="628A66F4">
                <w:pPr>
                  <w:ind w:left="-53" w:leftChars="-25" w:right="-53" w:rightChars="-25"/>
                  <w:jc w:val="center"/>
                </w:pPr>
                <w:r>
                  <w:rPr>
                    <w:rFonts w:hint="eastAsia"/>
                  </w:rPr>
                  <w:t>本期增减变动</w:t>
                </w:r>
              </w:p>
            </w:tc>
          </w:sdtContent>
        </w:sdt>
        <w:sdt>
          <w:sdtPr>
            <w:tag w:val="_PLD_f92255f6ae8b4ccdb039b28bf9204156"/>
            <w:id w:val="-997106438"/>
          </w:sdtPr>
          <w:sdtContent>
            <w:tc>
              <w:tcPr>
                <w:tcW w:w="608" w:type="pct"/>
                <w:vMerge w:val="restart"/>
                <w:tcBorders>
                  <w:top w:val="single" w:color="auto" w:sz="4" w:space="0"/>
                  <w:left w:val="single" w:color="auto" w:sz="4" w:space="0"/>
                  <w:right w:val="single" w:color="auto" w:sz="4" w:space="0"/>
                </w:tcBorders>
                <w:vAlign w:val="center"/>
              </w:tcPr>
              <w:p w14:paraId="1BD20AF9">
                <w:pPr>
                  <w:ind w:left="-53" w:leftChars="-25" w:right="-53" w:rightChars="-25"/>
                  <w:jc w:val="center"/>
                </w:pPr>
                <w:r>
                  <w:rPr>
                    <w:rFonts w:hint="eastAsia"/>
                  </w:rPr>
                  <w:t>期末余额（账面价值）</w:t>
                </w:r>
              </w:p>
            </w:tc>
          </w:sdtContent>
        </w:sdt>
        <w:sdt>
          <w:sdtPr>
            <w:tag w:val="_PLD_2f11e6808a6f4c8b9936f3229bb0c312"/>
            <w:id w:val="820157167"/>
          </w:sdtPr>
          <w:sdtContent>
            <w:tc>
              <w:tcPr>
                <w:tcW w:w="535" w:type="pct"/>
                <w:vMerge w:val="restart"/>
                <w:tcBorders>
                  <w:top w:val="single" w:color="auto" w:sz="4" w:space="0"/>
                  <w:left w:val="single" w:color="auto" w:sz="4" w:space="0"/>
                  <w:right w:val="single" w:color="auto" w:sz="4" w:space="0"/>
                </w:tcBorders>
                <w:vAlign w:val="center"/>
              </w:tcPr>
              <w:p w14:paraId="33D1DB3F">
                <w:pPr>
                  <w:ind w:left="-53" w:leftChars="-25" w:right="-53" w:rightChars="-25"/>
                  <w:jc w:val="center"/>
                </w:pPr>
                <w:r>
                  <w:rPr>
                    <w:rFonts w:hint="eastAsia"/>
                  </w:rPr>
                  <w:t>减值准备期末余额</w:t>
                </w:r>
              </w:p>
            </w:tc>
          </w:sdtContent>
        </w:sdt>
      </w:tr>
      <w:tr w14:paraId="0A67B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65" w:type="pct"/>
            <w:vMerge w:val="continue"/>
            <w:tcBorders>
              <w:left w:val="single" w:color="auto" w:sz="4" w:space="0"/>
              <w:bottom w:val="single" w:color="auto" w:sz="4" w:space="0"/>
              <w:right w:val="single" w:color="auto" w:sz="4" w:space="0"/>
            </w:tcBorders>
            <w:vAlign w:val="center"/>
          </w:tcPr>
          <w:p w14:paraId="76E5E944">
            <w:pPr>
              <w:ind w:left="-53" w:leftChars="-25" w:right="-53" w:rightChars="-25"/>
              <w:jc w:val="center"/>
            </w:pPr>
          </w:p>
        </w:tc>
        <w:tc>
          <w:tcPr>
            <w:tcW w:w="614" w:type="pct"/>
            <w:vMerge w:val="continue"/>
            <w:tcBorders>
              <w:left w:val="single" w:color="auto" w:sz="4" w:space="0"/>
              <w:bottom w:val="single" w:color="auto" w:sz="4" w:space="0"/>
              <w:right w:val="single" w:color="auto" w:sz="4" w:space="0"/>
            </w:tcBorders>
            <w:vAlign w:val="center"/>
          </w:tcPr>
          <w:p w14:paraId="6E840A62">
            <w:pPr>
              <w:ind w:left="-53" w:leftChars="-25" w:right="-53" w:rightChars="-25"/>
              <w:jc w:val="center"/>
            </w:pPr>
          </w:p>
        </w:tc>
        <w:tc>
          <w:tcPr>
            <w:tcW w:w="511" w:type="pct"/>
            <w:vMerge w:val="continue"/>
            <w:tcBorders>
              <w:left w:val="single" w:color="auto" w:sz="4" w:space="0"/>
              <w:bottom w:val="single" w:color="auto" w:sz="4" w:space="0"/>
              <w:right w:val="single" w:color="auto" w:sz="4" w:space="0"/>
            </w:tcBorders>
            <w:vAlign w:val="center"/>
          </w:tcPr>
          <w:p w14:paraId="5EDAD760">
            <w:pPr>
              <w:ind w:left="-53" w:leftChars="-25" w:right="-53" w:rightChars="-25"/>
              <w:jc w:val="center"/>
            </w:pPr>
          </w:p>
        </w:tc>
        <w:sdt>
          <w:sdtPr>
            <w:tag w:val="_PLD_f5b021383bb548b49923eb6da9f9508b"/>
            <w:id w:val="652112547"/>
          </w:sdtPr>
          <w:sdtContent>
            <w:tc>
              <w:tcPr>
                <w:tcW w:w="562" w:type="pct"/>
                <w:tcBorders>
                  <w:top w:val="single" w:color="auto" w:sz="4" w:space="0"/>
                  <w:left w:val="single" w:color="auto" w:sz="4" w:space="0"/>
                  <w:bottom w:val="single" w:color="auto" w:sz="4" w:space="0"/>
                  <w:right w:val="single" w:color="auto" w:sz="4" w:space="0"/>
                </w:tcBorders>
                <w:vAlign w:val="center"/>
              </w:tcPr>
              <w:p w14:paraId="5614CDC1">
                <w:pPr>
                  <w:ind w:left="-53" w:leftChars="-25" w:right="-53" w:rightChars="-25"/>
                  <w:jc w:val="center"/>
                </w:pPr>
                <w:r>
                  <w:rPr>
                    <w:rFonts w:hint="eastAsia"/>
                  </w:rPr>
                  <w:t>追加投资</w:t>
                </w:r>
              </w:p>
            </w:tc>
          </w:sdtContent>
        </w:sdt>
        <w:sdt>
          <w:sdtPr>
            <w:tag w:val="_PLD_b8d09cf97c8b48a3aaf395198d3c74de"/>
            <w:id w:val="648398639"/>
          </w:sdtPr>
          <w:sdtContent>
            <w:tc>
              <w:tcPr>
                <w:tcW w:w="460" w:type="pct"/>
                <w:tcBorders>
                  <w:left w:val="single" w:color="auto" w:sz="4" w:space="0"/>
                  <w:bottom w:val="single" w:color="auto" w:sz="4" w:space="0"/>
                  <w:right w:val="single" w:color="auto" w:sz="4" w:space="0"/>
                </w:tcBorders>
                <w:vAlign w:val="center"/>
              </w:tcPr>
              <w:p w14:paraId="38DC62BA">
                <w:pPr>
                  <w:ind w:left="-53" w:leftChars="-25" w:right="-53" w:rightChars="-25"/>
                  <w:jc w:val="center"/>
                </w:pPr>
                <w:r>
                  <w:rPr>
                    <w:rFonts w:hint="eastAsia"/>
                  </w:rPr>
                  <w:t>减少投资</w:t>
                </w:r>
              </w:p>
            </w:tc>
          </w:sdtContent>
        </w:sdt>
        <w:sdt>
          <w:sdtPr>
            <w:tag w:val="_PLD_65083c46ec1c4666ad2656e7657e9fd1"/>
            <w:id w:val="-842242706"/>
          </w:sdtPr>
          <w:sdtContent>
            <w:tc>
              <w:tcPr>
                <w:tcW w:w="563" w:type="pct"/>
                <w:tcBorders>
                  <w:left w:val="single" w:color="auto" w:sz="4" w:space="0"/>
                  <w:bottom w:val="single" w:color="auto" w:sz="4" w:space="0"/>
                  <w:right w:val="single" w:color="auto" w:sz="4" w:space="0"/>
                </w:tcBorders>
                <w:vAlign w:val="center"/>
              </w:tcPr>
              <w:p w14:paraId="4930A237">
                <w:pPr>
                  <w:ind w:left="-53" w:leftChars="-25" w:right="-53" w:rightChars="-25"/>
                  <w:jc w:val="center"/>
                </w:pPr>
                <w:r>
                  <w:rPr>
                    <w:rFonts w:hint="eastAsia"/>
                  </w:rPr>
                  <w:t>计提减值准备</w:t>
                </w:r>
              </w:p>
            </w:tc>
          </w:sdtContent>
        </w:sdt>
        <w:sdt>
          <w:sdtPr>
            <w:tag w:val="_PLD_2fd0b6df5fee4d3a8b432fa87f15d3c6"/>
            <w:id w:val="-1763672651"/>
          </w:sdtPr>
          <w:sdtContent>
            <w:tc>
              <w:tcPr>
                <w:tcW w:w="382" w:type="pct"/>
                <w:tcBorders>
                  <w:left w:val="single" w:color="auto" w:sz="4" w:space="0"/>
                  <w:bottom w:val="single" w:color="auto" w:sz="4" w:space="0"/>
                  <w:right w:val="single" w:color="auto" w:sz="4" w:space="0"/>
                </w:tcBorders>
                <w:vAlign w:val="center"/>
              </w:tcPr>
              <w:p w14:paraId="4E7962F6">
                <w:pPr>
                  <w:ind w:left="-53" w:leftChars="-25" w:right="-53" w:rightChars="-25"/>
                  <w:jc w:val="center"/>
                </w:pPr>
                <w:r>
                  <w:rPr>
                    <w:rFonts w:hint="eastAsia"/>
                  </w:rPr>
                  <w:t>其他</w:t>
                </w:r>
              </w:p>
            </w:tc>
          </w:sdtContent>
        </w:sdt>
        <w:tc>
          <w:tcPr>
            <w:tcW w:w="608" w:type="pct"/>
            <w:vMerge w:val="continue"/>
            <w:tcBorders>
              <w:left w:val="single" w:color="auto" w:sz="4" w:space="0"/>
              <w:bottom w:val="single" w:color="auto" w:sz="4" w:space="0"/>
              <w:right w:val="single" w:color="auto" w:sz="4" w:space="0"/>
            </w:tcBorders>
            <w:vAlign w:val="center"/>
          </w:tcPr>
          <w:p w14:paraId="789F3B12">
            <w:pPr>
              <w:ind w:left="-53" w:leftChars="-25" w:right="-53" w:rightChars="-25"/>
              <w:jc w:val="center"/>
            </w:pPr>
          </w:p>
        </w:tc>
        <w:tc>
          <w:tcPr>
            <w:tcW w:w="535" w:type="pct"/>
            <w:vMerge w:val="continue"/>
            <w:tcBorders>
              <w:left w:val="single" w:color="auto" w:sz="4" w:space="0"/>
              <w:bottom w:val="single" w:color="auto" w:sz="4" w:space="0"/>
              <w:right w:val="single" w:color="auto" w:sz="4" w:space="0"/>
            </w:tcBorders>
            <w:vAlign w:val="center"/>
          </w:tcPr>
          <w:p w14:paraId="1C713451">
            <w:pPr>
              <w:ind w:left="-53" w:leftChars="-25" w:right="-53" w:rightChars="-25"/>
              <w:jc w:val="center"/>
            </w:pPr>
          </w:p>
        </w:tc>
      </w:tr>
      <w:tr w14:paraId="746C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14C17A81">
            <w:pPr>
              <w:ind w:left="-53" w:leftChars="-25" w:right="-53" w:rightChars="-25"/>
            </w:pPr>
            <w:r>
              <w:t>重庆无线绿洲通信技术有限公司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216788BB">
            <w:pPr>
              <w:ind w:left="-53" w:leftChars="-25" w:right="-53" w:rightChars="-25"/>
              <w:jc w:val="right"/>
            </w:pPr>
            <w:r>
              <w:t>300,572,821.33</w:t>
            </w:r>
          </w:p>
        </w:tc>
        <w:tc>
          <w:tcPr>
            <w:tcW w:w="511" w:type="pct"/>
            <w:tcBorders>
              <w:top w:val="single" w:color="auto" w:sz="4" w:space="0"/>
              <w:left w:val="single" w:color="auto" w:sz="4" w:space="0"/>
              <w:bottom w:val="single" w:color="auto" w:sz="4" w:space="0"/>
              <w:right w:val="single" w:color="auto" w:sz="4" w:space="0"/>
            </w:tcBorders>
            <w:vAlign w:val="center"/>
          </w:tcPr>
          <w:p w14:paraId="4BA368AF">
            <w:pPr>
              <w:ind w:left="-53" w:leftChars="-25" w:right="-53" w:rightChars="-25"/>
              <w:jc w:val="right"/>
            </w:pPr>
          </w:p>
        </w:tc>
        <w:tc>
          <w:tcPr>
            <w:tcW w:w="562" w:type="pct"/>
            <w:tcBorders>
              <w:top w:val="single" w:color="auto" w:sz="4" w:space="0"/>
              <w:left w:val="single" w:color="auto" w:sz="4" w:space="0"/>
              <w:bottom w:val="single" w:color="auto" w:sz="4" w:space="0"/>
              <w:right w:val="single" w:color="auto" w:sz="4" w:space="0"/>
            </w:tcBorders>
          </w:tcPr>
          <w:p w14:paraId="3C0168C2">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7E1B47E5">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334125ED">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657F643C">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1AAABC47">
            <w:pPr>
              <w:ind w:left="-53" w:leftChars="-25" w:right="-53" w:rightChars="-25"/>
              <w:jc w:val="right"/>
            </w:pPr>
            <w:r>
              <w:t>300,572,821.33</w:t>
            </w:r>
          </w:p>
        </w:tc>
        <w:tc>
          <w:tcPr>
            <w:tcW w:w="535" w:type="pct"/>
            <w:tcBorders>
              <w:top w:val="single" w:color="auto" w:sz="4" w:space="0"/>
              <w:left w:val="single" w:color="auto" w:sz="4" w:space="0"/>
              <w:bottom w:val="single" w:color="auto" w:sz="4" w:space="0"/>
              <w:right w:val="single" w:color="auto" w:sz="4" w:space="0"/>
            </w:tcBorders>
            <w:vAlign w:val="center"/>
          </w:tcPr>
          <w:p w14:paraId="2A72C304">
            <w:pPr>
              <w:ind w:left="-53" w:leftChars="-25" w:right="-53" w:rightChars="-25"/>
              <w:jc w:val="right"/>
            </w:pPr>
          </w:p>
        </w:tc>
      </w:tr>
      <w:tr w14:paraId="099C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BF019A7">
            <w:pPr>
              <w:ind w:left="-53" w:leftChars="-25" w:right="-53" w:rightChars="-25"/>
            </w:pPr>
            <w:r>
              <w:t>重庆力帆摩托车发动机有限公司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57A59F57">
            <w:pPr>
              <w:ind w:left="-53" w:leftChars="-25" w:right="-53" w:rightChars="-25"/>
              <w:jc w:val="right"/>
            </w:pPr>
            <w:r>
              <w:t>219,239,522.13</w:t>
            </w:r>
          </w:p>
        </w:tc>
        <w:tc>
          <w:tcPr>
            <w:tcW w:w="511" w:type="pct"/>
            <w:tcBorders>
              <w:top w:val="single" w:color="auto" w:sz="4" w:space="0"/>
              <w:left w:val="single" w:color="auto" w:sz="4" w:space="0"/>
              <w:bottom w:val="single" w:color="auto" w:sz="4" w:space="0"/>
              <w:right w:val="single" w:color="auto" w:sz="4" w:space="0"/>
            </w:tcBorders>
            <w:vAlign w:val="center"/>
          </w:tcPr>
          <w:p w14:paraId="19E018A4">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369B8863">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1CDE3313">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42369516">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146DF858">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127D34A7">
            <w:pPr>
              <w:ind w:left="-53" w:leftChars="-25" w:right="-53" w:rightChars="-25"/>
              <w:jc w:val="right"/>
            </w:pPr>
            <w:r>
              <w:t>219,239,522.13</w:t>
            </w:r>
          </w:p>
        </w:tc>
        <w:tc>
          <w:tcPr>
            <w:tcW w:w="535" w:type="pct"/>
            <w:tcBorders>
              <w:top w:val="single" w:color="auto" w:sz="4" w:space="0"/>
              <w:left w:val="single" w:color="auto" w:sz="4" w:space="0"/>
              <w:bottom w:val="single" w:color="auto" w:sz="4" w:space="0"/>
              <w:right w:val="single" w:color="auto" w:sz="4" w:space="0"/>
            </w:tcBorders>
            <w:vAlign w:val="center"/>
          </w:tcPr>
          <w:p w14:paraId="611FC110">
            <w:pPr>
              <w:ind w:left="-53" w:leftChars="-25" w:right="-53" w:rightChars="-25"/>
              <w:jc w:val="right"/>
              <w:rPr>
                <w:rFonts w:eastAsia="Times New Roman" w:cs="Times New Roman"/>
                <w:sz w:val="20"/>
                <w:szCs w:val="20"/>
              </w:rPr>
            </w:pPr>
          </w:p>
        </w:tc>
      </w:tr>
      <w:tr w14:paraId="7AEC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24FA6F7">
            <w:pPr>
              <w:ind w:left="-53" w:leftChars="-25" w:right="-53" w:rightChars="-25"/>
            </w:pPr>
            <w:r>
              <w:t>重庆力帆速骓进出口贸易有限公司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194B7746">
            <w:pPr>
              <w:ind w:left="-53" w:leftChars="-25" w:right="-53" w:rightChars="-25"/>
              <w:jc w:val="right"/>
            </w:pPr>
            <w:r>
              <w:t>550,782.79</w:t>
            </w:r>
          </w:p>
        </w:tc>
        <w:tc>
          <w:tcPr>
            <w:tcW w:w="511" w:type="pct"/>
            <w:tcBorders>
              <w:top w:val="single" w:color="auto" w:sz="4" w:space="0"/>
              <w:left w:val="single" w:color="auto" w:sz="4" w:space="0"/>
              <w:bottom w:val="single" w:color="auto" w:sz="4" w:space="0"/>
              <w:right w:val="single" w:color="auto" w:sz="4" w:space="0"/>
            </w:tcBorders>
            <w:vAlign w:val="center"/>
          </w:tcPr>
          <w:p w14:paraId="5B42EC7F">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32D6E8F6">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2AB9D3B2">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0F654C6A">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4179239F">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400B6114">
            <w:pPr>
              <w:ind w:left="-53" w:leftChars="-25" w:right="-53" w:rightChars="-25"/>
              <w:jc w:val="right"/>
            </w:pPr>
            <w:r>
              <w:t>550,782.79</w:t>
            </w:r>
          </w:p>
        </w:tc>
        <w:tc>
          <w:tcPr>
            <w:tcW w:w="535" w:type="pct"/>
            <w:tcBorders>
              <w:top w:val="single" w:color="auto" w:sz="4" w:space="0"/>
              <w:left w:val="single" w:color="auto" w:sz="4" w:space="0"/>
              <w:bottom w:val="single" w:color="auto" w:sz="4" w:space="0"/>
              <w:right w:val="single" w:color="auto" w:sz="4" w:space="0"/>
            </w:tcBorders>
            <w:vAlign w:val="center"/>
          </w:tcPr>
          <w:p w14:paraId="48FA4E98">
            <w:pPr>
              <w:ind w:left="-53" w:leftChars="-25" w:right="-53" w:rightChars="-25"/>
              <w:jc w:val="right"/>
              <w:rPr>
                <w:rFonts w:eastAsia="Times New Roman" w:cs="Times New Roman"/>
                <w:sz w:val="20"/>
                <w:szCs w:val="20"/>
              </w:rPr>
            </w:pPr>
          </w:p>
        </w:tc>
      </w:tr>
      <w:tr w14:paraId="600F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2B901E5A">
            <w:pPr>
              <w:ind w:left="-53" w:leftChars="-25" w:right="-53" w:rightChars="-25"/>
            </w:pPr>
            <w:r>
              <w:t>重庆力帆丰顺汽车销售有限公司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6D5A10C5">
            <w:pPr>
              <w:ind w:left="-53" w:leftChars="-25" w:right="-53" w:rightChars="-25"/>
              <w:jc w:val="right"/>
            </w:pPr>
            <w:r>
              <w:t>520,993.57</w:t>
            </w:r>
          </w:p>
        </w:tc>
        <w:tc>
          <w:tcPr>
            <w:tcW w:w="511" w:type="pct"/>
            <w:tcBorders>
              <w:top w:val="single" w:color="auto" w:sz="4" w:space="0"/>
              <w:left w:val="single" w:color="auto" w:sz="4" w:space="0"/>
              <w:bottom w:val="single" w:color="auto" w:sz="4" w:space="0"/>
              <w:right w:val="single" w:color="auto" w:sz="4" w:space="0"/>
            </w:tcBorders>
            <w:vAlign w:val="center"/>
          </w:tcPr>
          <w:p w14:paraId="77466E27">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5A83972D">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6A34E29B">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2B4FBF76">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73813C65">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3EC28D35">
            <w:pPr>
              <w:ind w:left="-53" w:leftChars="-25" w:right="-53" w:rightChars="-25"/>
              <w:jc w:val="right"/>
            </w:pPr>
            <w:r>
              <w:t>520,993.57</w:t>
            </w:r>
          </w:p>
        </w:tc>
        <w:tc>
          <w:tcPr>
            <w:tcW w:w="535" w:type="pct"/>
            <w:tcBorders>
              <w:top w:val="single" w:color="auto" w:sz="4" w:space="0"/>
              <w:left w:val="single" w:color="auto" w:sz="4" w:space="0"/>
              <w:bottom w:val="single" w:color="auto" w:sz="4" w:space="0"/>
              <w:right w:val="single" w:color="auto" w:sz="4" w:space="0"/>
            </w:tcBorders>
            <w:vAlign w:val="center"/>
          </w:tcPr>
          <w:p w14:paraId="563503C4">
            <w:pPr>
              <w:ind w:left="-53" w:leftChars="-25" w:right="-53" w:rightChars="-25"/>
              <w:jc w:val="right"/>
              <w:rPr>
                <w:rFonts w:eastAsia="Times New Roman" w:cs="Times New Roman"/>
                <w:sz w:val="20"/>
                <w:szCs w:val="20"/>
              </w:rPr>
            </w:pPr>
          </w:p>
        </w:tc>
      </w:tr>
      <w:tr w14:paraId="77BB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2F385335">
            <w:pPr>
              <w:ind w:left="-53" w:leftChars="-25" w:right="-53" w:rightChars="-25"/>
            </w:pPr>
            <w:r>
              <w:t>重庆力帆摩托车产销有限公司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1BD9AA84">
            <w:pPr>
              <w:ind w:left="-53" w:leftChars="-25" w:right="-53" w:rightChars="-25"/>
              <w:jc w:val="right"/>
            </w:pPr>
            <w:r>
              <w:t>802,673,825.89</w:t>
            </w:r>
          </w:p>
        </w:tc>
        <w:tc>
          <w:tcPr>
            <w:tcW w:w="511" w:type="pct"/>
            <w:tcBorders>
              <w:top w:val="single" w:color="auto" w:sz="4" w:space="0"/>
              <w:left w:val="single" w:color="auto" w:sz="4" w:space="0"/>
              <w:bottom w:val="single" w:color="auto" w:sz="4" w:space="0"/>
              <w:right w:val="single" w:color="auto" w:sz="4" w:space="0"/>
            </w:tcBorders>
            <w:vAlign w:val="center"/>
          </w:tcPr>
          <w:p w14:paraId="62D7BC7F">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6D24B966">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191DBEAE">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12D7E7F0">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7083B17E">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6F9F99C0">
            <w:pPr>
              <w:ind w:left="-53" w:leftChars="-25" w:right="-53" w:rightChars="-25"/>
              <w:jc w:val="right"/>
            </w:pPr>
            <w:r>
              <w:t>802,673,825.89</w:t>
            </w:r>
          </w:p>
        </w:tc>
        <w:tc>
          <w:tcPr>
            <w:tcW w:w="535" w:type="pct"/>
            <w:tcBorders>
              <w:top w:val="single" w:color="auto" w:sz="4" w:space="0"/>
              <w:left w:val="single" w:color="auto" w:sz="4" w:space="0"/>
              <w:bottom w:val="single" w:color="auto" w:sz="4" w:space="0"/>
              <w:right w:val="single" w:color="auto" w:sz="4" w:space="0"/>
            </w:tcBorders>
            <w:vAlign w:val="center"/>
          </w:tcPr>
          <w:p w14:paraId="0D53F71A">
            <w:pPr>
              <w:ind w:left="-53" w:leftChars="-25" w:right="-53" w:rightChars="-25"/>
              <w:jc w:val="right"/>
              <w:rPr>
                <w:rFonts w:eastAsia="Times New Roman" w:cs="Times New Roman"/>
                <w:sz w:val="20"/>
                <w:szCs w:val="20"/>
              </w:rPr>
            </w:pPr>
          </w:p>
        </w:tc>
      </w:tr>
      <w:tr w14:paraId="3000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67E0F0AD">
            <w:pPr>
              <w:ind w:left="-53" w:leftChars="-25" w:right="-53" w:rightChars="-25"/>
            </w:pPr>
            <w:r>
              <w:t>重庆力帆内燃机有限公司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0CB53439">
            <w:pPr>
              <w:ind w:left="-53" w:leftChars="-25" w:right="-53" w:rightChars="-25"/>
              <w:jc w:val="right"/>
            </w:pPr>
            <w:r>
              <w:t>62,085.73</w:t>
            </w:r>
          </w:p>
        </w:tc>
        <w:tc>
          <w:tcPr>
            <w:tcW w:w="511" w:type="pct"/>
            <w:tcBorders>
              <w:top w:val="single" w:color="auto" w:sz="4" w:space="0"/>
              <w:left w:val="single" w:color="auto" w:sz="4" w:space="0"/>
              <w:bottom w:val="single" w:color="auto" w:sz="4" w:space="0"/>
              <w:right w:val="single" w:color="auto" w:sz="4" w:space="0"/>
            </w:tcBorders>
            <w:vAlign w:val="center"/>
          </w:tcPr>
          <w:p w14:paraId="677756BE">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2F60A990">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1BE58639">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2AC4726B">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01FE025F">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3C6EF515">
            <w:pPr>
              <w:ind w:left="-53" w:leftChars="-25" w:right="-53" w:rightChars="-25"/>
              <w:jc w:val="right"/>
            </w:pPr>
            <w:r>
              <w:t>62,085.73</w:t>
            </w:r>
          </w:p>
        </w:tc>
        <w:tc>
          <w:tcPr>
            <w:tcW w:w="535" w:type="pct"/>
            <w:tcBorders>
              <w:top w:val="single" w:color="auto" w:sz="4" w:space="0"/>
              <w:left w:val="single" w:color="auto" w:sz="4" w:space="0"/>
              <w:bottom w:val="single" w:color="auto" w:sz="4" w:space="0"/>
              <w:right w:val="single" w:color="auto" w:sz="4" w:space="0"/>
            </w:tcBorders>
            <w:vAlign w:val="center"/>
          </w:tcPr>
          <w:p w14:paraId="6FD0B65F">
            <w:pPr>
              <w:ind w:left="-53" w:leftChars="-25" w:right="-53" w:rightChars="-25"/>
              <w:jc w:val="right"/>
              <w:rPr>
                <w:rFonts w:eastAsia="Times New Roman" w:cs="Times New Roman"/>
                <w:sz w:val="20"/>
                <w:szCs w:val="20"/>
              </w:rPr>
            </w:pPr>
          </w:p>
        </w:tc>
      </w:tr>
      <w:tr w14:paraId="0C11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3C53EA9B">
            <w:pPr>
              <w:ind w:left="-53" w:leftChars="-25" w:right="-53" w:rightChars="-25"/>
            </w:pPr>
            <w:r>
              <w:t>重庆力帆汽车发动机有限公司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67C67BC1">
            <w:pPr>
              <w:ind w:left="-53" w:leftChars="-25" w:right="-53" w:rightChars="-25"/>
              <w:jc w:val="right"/>
            </w:pPr>
            <w:r>
              <w:t>5,368,602.65</w:t>
            </w:r>
          </w:p>
        </w:tc>
        <w:tc>
          <w:tcPr>
            <w:tcW w:w="511" w:type="pct"/>
            <w:tcBorders>
              <w:top w:val="single" w:color="auto" w:sz="4" w:space="0"/>
              <w:left w:val="single" w:color="auto" w:sz="4" w:space="0"/>
              <w:bottom w:val="single" w:color="auto" w:sz="4" w:space="0"/>
              <w:right w:val="single" w:color="auto" w:sz="4" w:space="0"/>
            </w:tcBorders>
            <w:vAlign w:val="center"/>
          </w:tcPr>
          <w:p w14:paraId="1271ECF0">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0F532B51">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7CA6BA89">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44A54B91">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08A2A3C0">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1677027C">
            <w:pPr>
              <w:ind w:left="-53" w:leftChars="-25" w:right="-53" w:rightChars="-25"/>
              <w:jc w:val="right"/>
            </w:pPr>
            <w:r>
              <w:t>5,368,602.65</w:t>
            </w:r>
          </w:p>
        </w:tc>
        <w:tc>
          <w:tcPr>
            <w:tcW w:w="535" w:type="pct"/>
            <w:tcBorders>
              <w:top w:val="single" w:color="auto" w:sz="4" w:space="0"/>
              <w:left w:val="single" w:color="auto" w:sz="4" w:space="0"/>
              <w:bottom w:val="single" w:color="auto" w:sz="4" w:space="0"/>
              <w:right w:val="single" w:color="auto" w:sz="4" w:space="0"/>
            </w:tcBorders>
            <w:vAlign w:val="center"/>
          </w:tcPr>
          <w:p w14:paraId="0C6E1B88">
            <w:pPr>
              <w:ind w:left="-53" w:leftChars="-25" w:right="-53" w:rightChars="-25"/>
              <w:jc w:val="right"/>
              <w:rPr>
                <w:rFonts w:eastAsia="Times New Roman" w:cs="Times New Roman"/>
                <w:sz w:val="20"/>
                <w:szCs w:val="20"/>
              </w:rPr>
            </w:pPr>
          </w:p>
        </w:tc>
      </w:tr>
      <w:tr w14:paraId="1993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568743E1">
            <w:pPr>
              <w:ind w:left="-53" w:leftChars="-25" w:right="-53" w:rightChars="-25"/>
            </w:pPr>
            <w:r>
              <w:t>重庆力帆汽车销售有限公司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2061F4BD">
            <w:pPr>
              <w:ind w:left="-53" w:leftChars="-25" w:right="-53" w:rightChars="-25"/>
              <w:jc w:val="right"/>
            </w:pPr>
            <w:r>
              <w:t>5,674,943.13</w:t>
            </w:r>
          </w:p>
        </w:tc>
        <w:tc>
          <w:tcPr>
            <w:tcW w:w="511" w:type="pct"/>
            <w:tcBorders>
              <w:top w:val="single" w:color="auto" w:sz="4" w:space="0"/>
              <w:left w:val="single" w:color="auto" w:sz="4" w:space="0"/>
              <w:bottom w:val="single" w:color="auto" w:sz="4" w:space="0"/>
              <w:right w:val="single" w:color="auto" w:sz="4" w:space="0"/>
            </w:tcBorders>
            <w:vAlign w:val="center"/>
          </w:tcPr>
          <w:p w14:paraId="5795F0C1">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6601C149">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5649C8C9">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60278F8C">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2E8E9D84">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79C2700A">
            <w:pPr>
              <w:ind w:left="-53" w:leftChars="-25" w:right="-53" w:rightChars="-25"/>
              <w:jc w:val="right"/>
            </w:pPr>
            <w:r>
              <w:t>5,674,943.13</w:t>
            </w:r>
          </w:p>
        </w:tc>
        <w:tc>
          <w:tcPr>
            <w:tcW w:w="535" w:type="pct"/>
            <w:tcBorders>
              <w:top w:val="single" w:color="auto" w:sz="4" w:space="0"/>
              <w:left w:val="single" w:color="auto" w:sz="4" w:space="0"/>
              <w:bottom w:val="single" w:color="auto" w:sz="4" w:space="0"/>
              <w:right w:val="single" w:color="auto" w:sz="4" w:space="0"/>
            </w:tcBorders>
            <w:vAlign w:val="center"/>
          </w:tcPr>
          <w:p w14:paraId="52A8F0F0">
            <w:pPr>
              <w:ind w:left="-53" w:leftChars="-25" w:right="-53" w:rightChars="-25"/>
              <w:jc w:val="right"/>
              <w:rPr>
                <w:rFonts w:eastAsia="Times New Roman" w:cs="Times New Roman"/>
                <w:sz w:val="20"/>
                <w:szCs w:val="20"/>
              </w:rPr>
            </w:pPr>
          </w:p>
        </w:tc>
      </w:tr>
      <w:tr w14:paraId="1CAC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5716B283">
            <w:pPr>
              <w:ind w:left="-53" w:leftChars="-25" w:right="-53" w:rightChars="-25"/>
            </w:pPr>
            <w:r>
              <w:t>重庆力帆资产管理有限公司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13655DD0">
            <w:pPr>
              <w:ind w:left="-53" w:leftChars="-25" w:right="-53" w:rightChars="-25"/>
              <w:jc w:val="right"/>
            </w:pPr>
            <w:r>
              <w:t>274,641,600.00</w:t>
            </w:r>
          </w:p>
        </w:tc>
        <w:tc>
          <w:tcPr>
            <w:tcW w:w="511" w:type="pct"/>
            <w:tcBorders>
              <w:top w:val="single" w:color="auto" w:sz="4" w:space="0"/>
              <w:left w:val="single" w:color="auto" w:sz="4" w:space="0"/>
              <w:bottom w:val="single" w:color="auto" w:sz="4" w:space="0"/>
              <w:right w:val="single" w:color="auto" w:sz="4" w:space="0"/>
            </w:tcBorders>
            <w:vAlign w:val="center"/>
          </w:tcPr>
          <w:p w14:paraId="0BC6EEE2">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5F42251E">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3D51BA0A">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13D5AC1C">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3B8BF36E">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661FF9A5">
            <w:pPr>
              <w:ind w:left="-53" w:leftChars="-25" w:right="-53" w:rightChars="-25"/>
              <w:jc w:val="right"/>
            </w:pPr>
            <w:r>
              <w:t>274,641,600.00</w:t>
            </w:r>
          </w:p>
        </w:tc>
        <w:tc>
          <w:tcPr>
            <w:tcW w:w="535" w:type="pct"/>
            <w:tcBorders>
              <w:top w:val="single" w:color="auto" w:sz="4" w:space="0"/>
              <w:left w:val="single" w:color="auto" w:sz="4" w:space="0"/>
              <w:bottom w:val="single" w:color="auto" w:sz="4" w:space="0"/>
              <w:right w:val="single" w:color="auto" w:sz="4" w:space="0"/>
            </w:tcBorders>
            <w:vAlign w:val="center"/>
          </w:tcPr>
          <w:p w14:paraId="4D92E4A2">
            <w:pPr>
              <w:ind w:left="-53" w:leftChars="-25" w:right="-53" w:rightChars="-25"/>
              <w:jc w:val="right"/>
              <w:rPr>
                <w:rFonts w:eastAsia="Times New Roman" w:cs="Times New Roman"/>
                <w:sz w:val="20"/>
                <w:szCs w:val="20"/>
              </w:rPr>
            </w:pPr>
          </w:p>
        </w:tc>
      </w:tr>
      <w:tr w14:paraId="15B2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0E7C870A">
            <w:pPr>
              <w:ind w:left="-53" w:leftChars="-25" w:right="-53" w:rightChars="-25"/>
            </w:pPr>
            <w:r>
              <w:t>江门气派进出口有限公司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6B12B77C">
            <w:pPr>
              <w:ind w:left="-53" w:leftChars="-25" w:right="-53" w:rightChars="-25"/>
              <w:jc w:val="right"/>
            </w:pPr>
            <w:r>
              <w:t>388,937.92</w:t>
            </w:r>
          </w:p>
        </w:tc>
        <w:tc>
          <w:tcPr>
            <w:tcW w:w="511" w:type="pct"/>
            <w:tcBorders>
              <w:top w:val="single" w:color="auto" w:sz="4" w:space="0"/>
              <w:left w:val="single" w:color="auto" w:sz="4" w:space="0"/>
              <w:bottom w:val="single" w:color="auto" w:sz="4" w:space="0"/>
              <w:right w:val="single" w:color="auto" w:sz="4" w:space="0"/>
            </w:tcBorders>
            <w:vAlign w:val="center"/>
          </w:tcPr>
          <w:p w14:paraId="259E3898">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45893FB5">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1D734098">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75F8B750">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442BF5B4">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23AE1F38">
            <w:pPr>
              <w:ind w:left="-53" w:leftChars="-25" w:right="-53" w:rightChars="-25"/>
              <w:jc w:val="right"/>
            </w:pPr>
            <w:r>
              <w:t>388,937.92</w:t>
            </w:r>
          </w:p>
        </w:tc>
        <w:tc>
          <w:tcPr>
            <w:tcW w:w="535" w:type="pct"/>
            <w:tcBorders>
              <w:top w:val="single" w:color="auto" w:sz="4" w:space="0"/>
              <w:left w:val="single" w:color="auto" w:sz="4" w:space="0"/>
              <w:bottom w:val="single" w:color="auto" w:sz="4" w:space="0"/>
              <w:right w:val="single" w:color="auto" w:sz="4" w:space="0"/>
            </w:tcBorders>
            <w:vAlign w:val="center"/>
          </w:tcPr>
          <w:p w14:paraId="06B8CF81">
            <w:pPr>
              <w:ind w:left="-53" w:leftChars="-25" w:right="-53" w:rightChars="-25"/>
              <w:jc w:val="right"/>
              <w:rPr>
                <w:rFonts w:eastAsia="Times New Roman" w:cs="Times New Roman"/>
                <w:sz w:val="20"/>
                <w:szCs w:val="20"/>
              </w:rPr>
            </w:pPr>
          </w:p>
        </w:tc>
      </w:tr>
      <w:tr w14:paraId="30F2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061C82B1">
            <w:pPr>
              <w:ind w:left="-53" w:leftChars="-25" w:right="-53" w:rightChars="-25"/>
            </w:pPr>
            <w:r>
              <w:t>力帆集团重庆万光新能源科技有限公司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0F89469C">
            <w:pPr>
              <w:ind w:left="-53" w:leftChars="-25" w:right="-53" w:rightChars="-25"/>
              <w:jc w:val="right"/>
            </w:pPr>
            <w:r>
              <w:t>1,095,805,288.96</w:t>
            </w:r>
          </w:p>
        </w:tc>
        <w:tc>
          <w:tcPr>
            <w:tcW w:w="511" w:type="pct"/>
            <w:tcBorders>
              <w:top w:val="single" w:color="auto" w:sz="4" w:space="0"/>
              <w:left w:val="single" w:color="auto" w:sz="4" w:space="0"/>
              <w:bottom w:val="single" w:color="auto" w:sz="4" w:space="0"/>
              <w:right w:val="single" w:color="auto" w:sz="4" w:space="0"/>
            </w:tcBorders>
            <w:vAlign w:val="center"/>
          </w:tcPr>
          <w:p w14:paraId="4524E68E">
            <w:pPr>
              <w:ind w:left="-53" w:leftChars="-25" w:right="-53" w:rightChars="-25"/>
              <w:jc w:val="right"/>
              <w:rPr>
                <w:rFonts w:ascii="宋体" w:hAnsi="宋体"/>
                <w:sz w:val="24"/>
                <w:szCs w:val="24"/>
              </w:rPr>
            </w:pPr>
            <w:r>
              <w:t>9,391,318.43</w:t>
            </w:r>
          </w:p>
        </w:tc>
        <w:tc>
          <w:tcPr>
            <w:tcW w:w="562" w:type="pct"/>
            <w:tcBorders>
              <w:top w:val="single" w:color="auto" w:sz="4" w:space="0"/>
              <w:left w:val="single" w:color="auto" w:sz="4" w:space="0"/>
              <w:bottom w:val="single" w:color="auto" w:sz="4" w:space="0"/>
              <w:right w:val="single" w:color="auto" w:sz="4" w:space="0"/>
            </w:tcBorders>
          </w:tcPr>
          <w:p w14:paraId="49D39E0E">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2C3C4720">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44C77BD5">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0CE51BCF">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33C7A910">
            <w:pPr>
              <w:ind w:left="-53" w:leftChars="-25" w:right="-53" w:rightChars="-25"/>
              <w:jc w:val="right"/>
            </w:pPr>
            <w:r>
              <w:t>1,095,805,288.96</w:t>
            </w:r>
          </w:p>
        </w:tc>
        <w:tc>
          <w:tcPr>
            <w:tcW w:w="535" w:type="pct"/>
            <w:tcBorders>
              <w:top w:val="single" w:color="auto" w:sz="4" w:space="0"/>
              <w:left w:val="single" w:color="auto" w:sz="4" w:space="0"/>
              <w:bottom w:val="single" w:color="auto" w:sz="4" w:space="0"/>
              <w:right w:val="single" w:color="auto" w:sz="4" w:space="0"/>
            </w:tcBorders>
            <w:vAlign w:val="center"/>
          </w:tcPr>
          <w:p w14:paraId="699B85E4">
            <w:pPr>
              <w:ind w:left="-53" w:leftChars="-25" w:right="-53" w:rightChars="-25"/>
              <w:jc w:val="right"/>
              <w:rPr>
                <w:rFonts w:ascii="宋体" w:hAnsi="宋体"/>
                <w:sz w:val="24"/>
                <w:szCs w:val="24"/>
              </w:rPr>
            </w:pPr>
            <w:r>
              <w:t>9,391,318.43</w:t>
            </w:r>
          </w:p>
        </w:tc>
      </w:tr>
      <w:tr w14:paraId="571B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1CC2D5FA">
            <w:pPr>
              <w:ind w:left="-53" w:leftChars="-25" w:right="-53" w:rightChars="-25"/>
            </w:pPr>
            <w:r>
              <w:t>重庆力帆新能源汽车有限公司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0349B485">
            <w:pPr>
              <w:ind w:left="-53" w:leftChars="-25" w:right="-53" w:rightChars="-25"/>
              <w:jc w:val="right"/>
            </w:pPr>
            <w:r>
              <w:t>6,631,571.48</w:t>
            </w:r>
          </w:p>
        </w:tc>
        <w:tc>
          <w:tcPr>
            <w:tcW w:w="511" w:type="pct"/>
            <w:tcBorders>
              <w:top w:val="single" w:color="auto" w:sz="4" w:space="0"/>
              <w:left w:val="single" w:color="auto" w:sz="4" w:space="0"/>
              <w:bottom w:val="single" w:color="auto" w:sz="4" w:space="0"/>
              <w:right w:val="single" w:color="auto" w:sz="4" w:space="0"/>
            </w:tcBorders>
            <w:vAlign w:val="center"/>
          </w:tcPr>
          <w:p w14:paraId="0178BA4F">
            <w:pPr>
              <w:ind w:left="-53" w:leftChars="-25" w:right="-53" w:rightChars="-25"/>
              <w:jc w:val="right"/>
            </w:pPr>
          </w:p>
        </w:tc>
        <w:tc>
          <w:tcPr>
            <w:tcW w:w="562" w:type="pct"/>
            <w:tcBorders>
              <w:top w:val="single" w:color="auto" w:sz="4" w:space="0"/>
              <w:left w:val="single" w:color="auto" w:sz="4" w:space="0"/>
              <w:bottom w:val="single" w:color="auto" w:sz="4" w:space="0"/>
              <w:right w:val="single" w:color="auto" w:sz="4" w:space="0"/>
            </w:tcBorders>
          </w:tcPr>
          <w:p w14:paraId="05D55F82">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7F0E96B4">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7E36A2F8">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2F79F9E0">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7353C59B">
            <w:pPr>
              <w:ind w:left="-53" w:leftChars="-25" w:right="-53" w:rightChars="-25"/>
              <w:jc w:val="right"/>
            </w:pPr>
            <w:r>
              <w:t>6,631,571.48</w:t>
            </w:r>
          </w:p>
        </w:tc>
        <w:tc>
          <w:tcPr>
            <w:tcW w:w="535" w:type="pct"/>
            <w:tcBorders>
              <w:top w:val="single" w:color="auto" w:sz="4" w:space="0"/>
              <w:left w:val="single" w:color="auto" w:sz="4" w:space="0"/>
              <w:bottom w:val="single" w:color="auto" w:sz="4" w:space="0"/>
              <w:right w:val="single" w:color="auto" w:sz="4" w:space="0"/>
            </w:tcBorders>
            <w:vAlign w:val="center"/>
          </w:tcPr>
          <w:p w14:paraId="4FC7CFD5">
            <w:pPr>
              <w:ind w:left="-53" w:leftChars="-25" w:right="-53" w:rightChars="-25"/>
              <w:jc w:val="right"/>
            </w:pPr>
          </w:p>
        </w:tc>
      </w:tr>
      <w:tr w14:paraId="3E45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20B36470">
            <w:pPr>
              <w:ind w:left="-53" w:leftChars="-25" w:right="-53" w:rightChars="-25"/>
            </w:pPr>
            <w:r>
              <w:t>力帆俄罗斯车辆有限责任公司</w:t>
            </w:r>
          </w:p>
        </w:tc>
        <w:tc>
          <w:tcPr>
            <w:tcW w:w="614" w:type="pct"/>
            <w:tcBorders>
              <w:top w:val="single" w:color="auto" w:sz="4" w:space="0"/>
              <w:left w:val="single" w:color="auto" w:sz="4" w:space="0"/>
              <w:bottom w:val="single" w:color="auto" w:sz="4" w:space="0"/>
              <w:right w:val="single" w:color="auto" w:sz="4" w:space="0"/>
            </w:tcBorders>
            <w:vAlign w:val="center"/>
          </w:tcPr>
          <w:p w14:paraId="46FACD56">
            <w:pPr>
              <w:ind w:left="-53" w:leftChars="-25" w:right="-53" w:rightChars="-25"/>
              <w:jc w:val="right"/>
            </w:pPr>
            <w:r>
              <w:t>3,865,838.75</w:t>
            </w:r>
          </w:p>
        </w:tc>
        <w:tc>
          <w:tcPr>
            <w:tcW w:w="511" w:type="pct"/>
            <w:tcBorders>
              <w:top w:val="single" w:color="auto" w:sz="4" w:space="0"/>
              <w:left w:val="single" w:color="auto" w:sz="4" w:space="0"/>
              <w:bottom w:val="single" w:color="auto" w:sz="4" w:space="0"/>
              <w:right w:val="single" w:color="auto" w:sz="4" w:space="0"/>
            </w:tcBorders>
            <w:vAlign w:val="center"/>
          </w:tcPr>
          <w:p w14:paraId="0FB6298E">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3C50F1D2">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67CD443F">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309D97C8">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3E12C9E8">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265511A9">
            <w:pPr>
              <w:ind w:left="-53" w:leftChars="-25" w:right="-53" w:rightChars="-25"/>
              <w:jc w:val="right"/>
            </w:pPr>
            <w:r>
              <w:t>3,865,838.75</w:t>
            </w:r>
          </w:p>
        </w:tc>
        <w:tc>
          <w:tcPr>
            <w:tcW w:w="535" w:type="pct"/>
            <w:tcBorders>
              <w:top w:val="single" w:color="auto" w:sz="4" w:space="0"/>
              <w:left w:val="single" w:color="auto" w:sz="4" w:space="0"/>
              <w:bottom w:val="single" w:color="auto" w:sz="4" w:space="0"/>
              <w:right w:val="single" w:color="auto" w:sz="4" w:space="0"/>
            </w:tcBorders>
            <w:vAlign w:val="center"/>
          </w:tcPr>
          <w:p w14:paraId="65164372">
            <w:pPr>
              <w:ind w:left="-53" w:leftChars="-25" w:right="-53" w:rightChars="-25"/>
              <w:jc w:val="right"/>
              <w:rPr>
                <w:rFonts w:eastAsia="Times New Roman" w:cs="Times New Roman"/>
                <w:sz w:val="20"/>
                <w:szCs w:val="20"/>
              </w:rPr>
            </w:pPr>
          </w:p>
        </w:tc>
      </w:tr>
      <w:tr w14:paraId="7294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12DD731">
            <w:pPr>
              <w:ind w:left="-53" w:leftChars="-25" w:right="-53" w:rightChars="-25"/>
            </w:pPr>
            <w:r>
              <w:t>重庆力帆车辆研究院有限公司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16207189">
            <w:pPr>
              <w:ind w:left="-53" w:leftChars="-25" w:right="-53" w:rightChars="-25"/>
              <w:jc w:val="right"/>
            </w:pPr>
            <w:r>
              <w:t>100,000,000.00</w:t>
            </w:r>
          </w:p>
        </w:tc>
        <w:tc>
          <w:tcPr>
            <w:tcW w:w="511" w:type="pct"/>
            <w:tcBorders>
              <w:top w:val="single" w:color="auto" w:sz="4" w:space="0"/>
              <w:left w:val="single" w:color="auto" w:sz="4" w:space="0"/>
              <w:bottom w:val="single" w:color="auto" w:sz="4" w:space="0"/>
              <w:right w:val="single" w:color="auto" w:sz="4" w:space="0"/>
            </w:tcBorders>
            <w:vAlign w:val="center"/>
          </w:tcPr>
          <w:p w14:paraId="7CF18A44">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2BC0C6C0">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251EF5B8">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3F1E2EF2">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639BE7DF">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3CBDF128">
            <w:pPr>
              <w:ind w:left="-53" w:leftChars="-25" w:right="-53" w:rightChars="-25"/>
              <w:jc w:val="right"/>
            </w:pPr>
            <w:r>
              <w:t>100,000,000.00</w:t>
            </w:r>
          </w:p>
        </w:tc>
        <w:tc>
          <w:tcPr>
            <w:tcW w:w="535" w:type="pct"/>
            <w:tcBorders>
              <w:top w:val="single" w:color="auto" w:sz="4" w:space="0"/>
              <w:left w:val="single" w:color="auto" w:sz="4" w:space="0"/>
              <w:bottom w:val="single" w:color="auto" w:sz="4" w:space="0"/>
              <w:right w:val="single" w:color="auto" w:sz="4" w:space="0"/>
            </w:tcBorders>
            <w:vAlign w:val="center"/>
          </w:tcPr>
          <w:p w14:paraId="5EF358CA">
            <w:pPr>
              <w:ind w:left="-53" w:leftChars="-25" w:right="-53" w:rightChars="-25"/>
              <w:jc w:val="right"/>
              <w:rPr>
                <w:rFonts w:eastAsia="Times New Roman" w:cs="Times New Roman"/>
                <w:sz w:val="20"/>
                <w:szCs w:val="20"/>
              </w:rPr>
            </w:pPr>
          </w:p>
        </w:tc>
      </w:tr>
      <w:tr w14:paraId="14C3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8AE69DC">
            <w:pPr>
              <w:ind w:left="-53" w:leftChars="-25" w:right="-53" w:rightChars="-25"/>
            </w:pPr>
            <w:r>
              <w:t>河南力帆新能源电动车有限公司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704D26BE">
            <w:pPr>
              <w:ind w:left="-53" w:leftChars="-25" w:right="-53" w:rightChars="-25"/>
              <w:jc w:val="right"/>
            </w:pPr>
            <w:r>
              <w:t>-</w:t>
            </w:r>
          </w:p>
        </w:tc>
        <w:tc>
          <w:tcPr>
            <w:tcW w:w="511" w:type="pct"/>
            <w:tcBorders>
              <w:top w:val="single" w:color="auto" w:sz="4" w:space="0"/>
              <w:left w:val="single" w:color="auto" w:sz="4" w:space="0"/>
              <w:bottom w:val="single" w:color="auto" w:sz="4" w:space="0"/>
              <w:right w:val="single" w:color="auto" w:sz="4" w:space="0"/>
            </w:tcBorders>
            <w:vAlign w:val="center"/>
          </w:tcPr>
          <w:p w14:paraId="7E20A9D8">
            <w:pPr>
              <w:ind w:left="-53" w:leftChars="-25" w:right="-53" w:rightChars="-25"/>
              <w:jc w:val="right"/>
              <w:rPr>
                <w:rFonts w:ascii="宋体" w:hAnsi="宋体"/>
                <w:sz w:val="24"/>
                <w:szCs w:val="24"/>
              </w:rPr>
            </w:pPr>
            <w:r>
              <w:t>2,255,577.41</w:t>
            </w:r>
          </w:p>
        </w:tc>
        <w:tc>
          <w:tcPr>
            <w:tcW w:w="562" w:type="pct"/>
            <w:tcBorders>
              <w:top w:val="single" w:color="auto" w:sz="4" w:space="0"/>
              <w:left w:val="single" w:color="auto" w:sz="4" w:space="0"/>
              <w:bottom w:val="single" w:color="auto" w:sz="4" w:space="0"/>
              <w:right w:val="single" w:color="auto" w:sz="4" w:space="0"/>
            </w:tcBorders>
          </w:tcPr>
          <w:p w14:paraId="72B5CC40">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7A2CEF33">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1DA7E234">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0F9D6730">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1C7C2F44">
            <w:pPr>
              <w:ind w:left="-53" w:leftChars="-25" w:right="-53" w:rightChars="-25"/>
              <w:jc w:val="right"/>
            </w:pPr>
            <w:r>
              <w:t>-</w:t>
            </w:r>
          </w:p>
        </w:tc>
        <w:tc>
          <w:tcPr>
            <w:tcW w:w="535" w:type="pct"/>
            <w:tcBorders>
              <w:top w:val="single" w:color="auto" w:sz="4" w:space="0"/>
              <w:left w:val="single" w:color="auto" w:sz="4" w:space="0"/>
              <w:bottom w:val="single" w:color="auto" w:sz="4" w:space="0"/>
              <w:right w:val="single" w:color="auto" w:sz="4" w:space="0"/>
            </w:tcBorders>
            <w:vAlign w:val="center"/>
          </w:tcPr>
          <w:p w14:paraId="6E18E202">
            <w:pPr>
              <w:ind w:left="-53" w:leftChars="-25" w:right="-53" w:rightChars="-25"/>
              <w:jc w:val="right"/>
              <w:rPr>
                <w:rFonts w:ascii="宋体" w:hAnsi="宋体"/>
                <w:sz w:val="24"/>
                <w:szCs w:val="24"/>
              </w:rPr>
            </w:pPr>
            <w:r>
              <w:t>2,255,577.41</w:t>
            </w:r>
          </w:p>
        </w:tc>
      </w:tr>
      <w:tr w14:paraId="34F5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636ACD6A">
            <w:pPr>
              <w:ind w:left="-53" w:leftChars="-25" w:right="-53" w:rightChars="-25"/>
            </w:pPr>
            <w:r>
              <w:t>重庆睿蓝汽车科技有限公司杭州分公司</w:t>
            </w:r>
          </w:p>
        </w:tc>
        <w:tc>
          <w:tcPr>
            <w:tcW w:w="614" w:type="pct"/>
            <w:tcBorders>
              <w:top w:val="single" w:color="auto" w:sz="4" w:space="0"/>
              <w:left w:val="single" w:color="auto" w:sz="4" w:space="0"/>
              <w:bottom w:val="single" w:color="auto" w:sz="4" w:space="0"/>
              <w:right w:val="single" w:color="auto" w:sz="4" w:space="0"/>
            </w:tcBorders>
            <w:vAlign w:val="center"/>
          </w:tcPr>
          <w:p w14:paraId="5EA45424">
            <w:pPr>
              <w:ind w:left="-53" w:leftChars="-25" w:right="-53" w:rightChars="-25"/>
              <w:jc w:val="right"/>
            </w:pPr>
            <w:r>
              <w:t>5,452,468.56</w:t>
            </w:r>
          </w:p>
        </w:tc>
        <w:tc>
          <w:tcPr>
            <w:tcW w:w="511" w:type="pct"/>
            <w:tcBorders>
              <w:top w:val="single" w:color="auto" w:sz="4" w:space="0"/>
              <w:left w:val="single" w:color="auto" w:sz="4" w:space="0"/>
              <w:bottom w:val="single" w:color="auto" w:sz="4" w:space="0"/>
              <w:right w:val="single" w:color="auto" w:sz="4" w:space="0"/>
            </w:tcBorders>
            <w:vAlign w:val="center"/>
          </w:tcPr>
          <w:p w14:paraId="3C2D1363">
            <w:pPr>
              <w:ind w:left="-53" w:leftChars="-25" w:right="-53" w:rightChars="-25"/>
              <w:jc w:val="right"/>
            </w:pPr>
          </w:p>
        </w:tc>
        <w:tc>
          <w:tcPr>
            <w:tcW w:w="562" w:type="pct"/>
            <w:tcBorders>
              <w:top w:val="single" w:color="auto" w:sz="4" w:space="0"/>
              <w:left w:val="single" w:color="auto" w:sz="4" w:space="0"/>
              <w:bottom w:val="single" w:color="auto" w:sz="4" w:space="0"/>
              <w:right w:val="single" w:color="auto" w:sz="4" w:space="0"/>
            </w:tcBorders>
          </w:tcPr>
          <w:p w14:paraId="62A8BE04">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50D4EA89">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78AABC30">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09E44F0C">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03EB3B02">
            <w:pPr>
              <w:ind w:left="-53" w:leftChars="-25" w:right="-53" w:rightChars="-25"/>
              <w:jc w:val="right"/>
            </w:pPr>
            <w:r>
              <w:t>5,452,468.56</w:t>
            </w:r>
          </w:p>
        </w:tc>
        <w:tc>
          <w:tcPr>
            <w:tcW w:w="535" w:type="pct"/>
            <w:tcBorders>
              <w:top w:val="single" w:color="auto" w:sz="4" w:space="0"/>
              <w:left w:val="single" w:color="auto" w:sz="4" w:space="0"/>
              <w:bottom w:val="single" w:color="auto" w:sz="4" w:space="0"/>
              <w:right w:val="single" w:color="auto" w:sz="4" w:space="0"/>
            </w:tcBorders>
            <w:vAlign w:val="center"/>
          </w:tcPr>
          <w:p w14:paraId="1A25C355">
            <w:pPr>
              <w:ind w:left="-53" w:leftChars="-25" w:right="-53" w:rightChars="-25"/>
              <w:jc w:val="right"/>
            </w:pPr>
          </w:p>
        </w:tc>
      </w:tr>
      <w:tr w14:paraId="3898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1E286E7">
            <w:pPr>
              <w:ind w:left="-53" w:leftChars="-25" w:right="-53" w:rightChars="-25"/>
            </w:pPr>
            <w:r>
              <w:t>重庆睿蓝汽车研究院有限公司杭州分公司</w:t>
            </w:r>
          </w:p>
        </w:tc>
        <w:tc>
          <w:tcPr>
            <w:tcW w:w="614" w:type="pct"/>
            <w:tcBorders>
              <w:top w:val="single" w:color="auto" w:sz="4" w:space="0"/>
              <w:left w:val="single" w:color="auto" w:sz="4" w:space="0"/>
              <w:bottom w:val="single" w:color="auto" w:sz="4" w:space="0"/>
              <w:right w:val="single" w:color="auto" w:sz="4" w:space="0"/>
            </w:tcBorders>
            <w:vAlign w:val="center"/>
          </w:tcPr>
          <w:p w14:paraId="57B58D3B">
            <w:pPr>
              <w:ind w:left="-53" w:leftChars="-25" w:right="-53" w:rightChars="-25"/>
              <w:jc w:val="right"/>
            </w:pPr>
            <w:r>
              <w:t>4,106,938.08</w:t>
            </w:r>
          </w:p>
        </w:tc>
        <w:tc>
          <w:tcPr>
            <w:tcW w:w="511" w:type="pct"/>
            <w:tcBorders>
              <w:top w:val="single" w:color="auto" w:sz="4" w:space="0"/>
              <w:left w:val="single" w:color="auto" w:sz="4" w:space="0"/>
              <w:bottom w:val="single" w:color="auto" w:sz="4" w:space="0"/>
              <w:right w:val="single" w:color="auto" w:sz="4" w:space="0"/>
            </w:tcBorders>
            <w:vAlign w:val="center"/>
          </w:tcPr>
          <w:p w14:paraId="55B8FD95">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63A538E6">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70E91A21">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4F5E38C5">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6F593212">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7C703065">
            <w:pPr>
              <w:ind w:left="-53" w:leftChars="-25" w:right="-53" w:rightChars="-25"/>
              <w:jc w:val="right"/>
            </w:pPr>
            <w:r>
              <w:t>4,106,938.08</w:t>
            </w:r>
          </w:p>
        </w:tc>
        <w:tc>
          <w:tcPr>
            <w:tcW w:w="535" w:type="pct"/>
            <w:tcBorders>
              <w:top w:val="single" w:color="auto" w:sz="4" w:space="0"/>
              <w:left w:val="single" w:color="auto" w:sz="4" w:space="0"/>
              <w:bottom w:val="single" w:color="auto" w:sz="4" w:space="0"/>
              <w:right w:val="single" w:color="auto" w:sz="4" w:space="0"/>
            </w:tcBorders>
            <w:vAlign w:val="center"/>
          </w:tcPr>
          <w:p w14:paraId="2058CBD8">
            <w:pPr>
              <w:ind w:left="-53" w:leftChars="-25" w:right="-53" w:rightChars="-25"/>
              <w:jc w:val="right"/>
              <w:rPr>
                <w:rFonts w:eastAsia="Times New Roman" w:cs="Times New Roman"/>
                <w:sz w:val="20"/>
                <w:szCs w:val="20"/>
              </w:rPr>
            </w:pPr>
          </w:p>
        </w:tc>
      </w:tr>
      <w:tr w14:paraId="3BF4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51F2A437">
            <w:pPr>
              <w:ind w:left="-53" w:leftChars="-25" w:right="-53" w:rightChars="-25"/>
            </w:pPr>
            <w:r>
              <w:t>重庆派方摩托车有限公司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405AB7D9">
            <w:pPr>
              <w:ind w:left="-53" w:leftChars="-25" w:right="-53" w:rightChars="-25"/>
              <w:jc w:val="right"/>
            </w:pPr>
            <w:r>
              <w:t>27,303.36</w:t>
            </w:r>
          </w:p>
        </w:tc>
        <w:tc>
          <w:tcPr>
            <w:tcW w:w="511" w:type="pct"/>
            <w:tcBorders>
              <w:top w:val="single" w:color="auto" w:sz="4" w:space="0"/>
              <w:left w:val="single" w:color="auto" w:sz="4" w:space="0"/>
              <w:bottom w:val="single" w:color="auto" w:sz="4" w:space="0"/>
              <w:right w:val="single" w:color="auto" w:sz="4" w:space="0"/>
            </w:tcBorders>
            <w:vAlign w:val="center"/>
          </w:tcPr>
          <w:p w14:paraId="09DDA33A">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124CFDE1">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3AC81835">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5185CC3D">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6F576B23">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2E9FB082">
            <w:pPr>
              <w:ind w:left="-53" w:leftChars="-25" w:right="-53" w:rightChars="-25"/>
              <w:jc w:val="right"/>
            </w:pPr>
            <w:r>
              <w:t>27,303.36</w:t>
            </w:r>
          </w:p>
        </w:tc>
        <w:tc>
          <w:tcPr>
            <w:tcW w:w="535" w:type="pct"/>
            <w:tcBorders>
              <w:top w:val="single" w:color="auto" w:sz="4" w:space="0"/>
              <w:left w:val="single" w:color="auto" w:sz="4" w:space="0"/>
              <w:bottom w:val="single" w:color="auto" w:sz="4" w:space="0"/>
              <w:right w:val="single" w:color="auto" w:sz="4" w:space="0"/>
            </w:tcBorders>
            <w:vAlign w:val="center"/>
          </w:tcPr>
          <w:p w14:paraId="1167789F">
            <w:pPr>
              <w:ind w:left="-53" w:leftChars="-25" w:right="-53" w:rightChars="-25"/>
              <w:jc w:val="right"/>
              <w:rPr>
                <w:rFonts w:eastAsia="Times New Roman" w:cs="Times New Roman"/>
                <w:sz w:val="20"/>
                <w:szCs w:val="20"/>
              </w:rPr>
            </w:pPr>
          </w:p>
        </w:tc>
      </w:tr>
      <w:tr w14:paraId="470D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0E99439B">
            <w:pPr>
              <w:ind w:left="-53" w:leftChars="-25" w:right="-53" w:rightChars="-25"/>
            </w:pPr>
            <w:r>
              <w:t>重庆力帆瑞驰摩托车有限公司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388F4E79">
            <w:pPr>
              <w:ind w:left="-53" w:leftChars="-25" w:right="-53" w:rightChars="-25"/>
              <w:jc w:val="right"/>
            </w:pPr>
            <w:r>
              <w:t>2,533,408.05</w:t>
            </w:r>
          </w:p>
        </w:tc>
        <w:tc>
          <w:tcPr>
            <w:tcW w:w="511" w:type="pct"/>
            <w:tcBorders>
              <w:top w:val="single" w:color="auto" w:sz="4" w:space="0"/>
              <w:left w:val="single" w:color="auto" w:sz="4" w:space="0"/>
              <w:bottom w:val="single" w:color="auto" w:sz="4" w:space="0"/>
              <w:right w:val="single" w:color="auto" w:sz="4" w:space="0"/>
            </w:tcBorders>
            <w:vAlign w:val="center"/>
          </w:tcPr>
          <w:p w14:paraId="55163C73">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1D3A3313">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7EFED96B">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1A330837">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4264D7E7">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10D5FF35">
            <w:pPr>
              <w:ind w:left="-53" w:leftChars="-25" w:right="-53" w:rightChars="-25"/>
              <w:jc w:val="right"/>
            </w:pPr>
            <w:r>
              <w:t>2,533,408.05</w:t>
            </w:r>
          </w:p>
        </w:tc>
        <w:tc>
          <w:tcPr>
            <w:tcW w:w="535" w:type="pct"/>
            <w:tcBorders>
              <w:top w:val="single" w:color="auto" w:sz="4" w:space="0"/>
              <w:left w:val="single" w:color="auto" w:sz="4" w:space="0"/>
              <w:bottom w:val="single" w:color="auto" w:sz="4" w:space="0"/>
              <w:right w:val="single" w:color="auto" w:sz="4" w:space="0"/>
            </w:tcBorders>
            <w:vAlign w:val="center"/>
          </w:tcPr>
          <w:p w14:paraId="5B3FD3A5">
            <w:pPr>
              <w:ind w:left="-53" w:leftChars="-25" w:right="-53" w:rightChars="-25"/>
              <w:jc w:val="right"/>
              <w:rPr>
                <w:rFonts w:eastAsia="Times New Roman" w:cs="Times New Roman"/>
                <w:sz w:val="20"/>
                <w:szCs w:val="20"/>
              </w:rPr>
            </w:pPr>
          </w:p>
        </w:tc>
      </w:tr>
      <w:tr w14:paraId="23C3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13E13C03">
            <w:pPr>
              <w:ind w:left="-53" w:leftChars="-25" w:right="-53" w:rightChars="-25"/>
            </w:pPr>
            <w:r>
              <w:t>重庆千里速达进出口贸易有限公司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2033952C">
            <w:pPr>
              <w:ind w:left="-53" w:leftChars="-25" w:right="-53" w:rightChars="-25"/>
              <w:jc w:val="right"/>
            </w:pPr>
            <w:r>
              <w:t>82,239.39</w:t>
            </w:r>
          </w:p>
        </w:tc>
        <w:tc>
          <w:tcPr>
            <w:tcW w:w="511" w:type="pct"/>
            <w:tcBorders>
              <w:top w:val="single" w:color="auto" w:sz="4" w:space="0"/>
              <w:left w:val="single" w:color="auto" w:sz="4" w:space="0"/>
              <w:bottom w:val="single" w:color="auto" w:sz="4" w:space="0"/>
              <w:right w:val="single" w:color="auto" w:sz="4" w:space="0"/>
            </w:tcBorders>
            <w:vAlign w:val="center"/>
          </w:tcPr>
          <w:p w14:paraId="489F85A8">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661C304F">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52F02838">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3AFA2EC8">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4CD62988">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6EDC3F52">
            <w:pPr>
              <w:ind w:left="-53" w:leftChars="-25" w:right="-53" w:rightChars="-25"/>
              <w:jc w:val="right"/>
            </w:pPr>
            <w:r>
              <w:t>82,239.39</w:t>
            </w:r>
          </w:p>
        </w:tc>
        <w:tc>
          <w:tcPr>
            <w:tcW w:w="535" w:type="pct"/>
            <w:tcBorders>
              <w:top w:val="single" w:color="auto" w:sz="4" w:space="0"/>
              <w:left w:val="single" w:color="auto" w:sz="4" w:space="0"/>
              <w:bottom w:val="single" w:color="auto" w:sz="4" w:space="0"/>
              <w:right w:val="single" w:color="auto" w:sz="4" w:space="0"/>
            </w:tcBorders>
            <w:vAlign w:val="center"/>
          </w:tcPr>
          <w:p w14:paraId="3C7B0AF6">
            <w:pPr>
              <w:ind w:left="-53" w:leftChars="-25" w:right="-53" w:rightChars="-25"/>
              <w:jc w:val="right"/>
              <w:rPr>
                <w:rFonts w:eastAsia="Times New Roman" w:cs="Times New Roman"/>
                <w:sz w:val="20"/>
                <w:szCs w:val="20"/>
              </w:rPr>
            </w:pPr>
          </w:p>
        </w:tc>
      </w:tr>
      <w:tr w14:paraId="3930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6D5AC90E">
            <w:pPr>
              <w:ind w:left="-53" w:leftChars="-25" w:right="-53" w:rightChars="-25"/>
            </w:pPr>
            <w:r>
              <w:t>重庆力帆喜生活摩托车销售有限公司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0B5C61B7">
            <w:pPr>
              <w:ind w:left="-53" w:leftChars="-25" w:right="-53" w:rightChars="-25"/>
              <w:jc w:val="right"/>
            </w:pPr>
            <w:r>
              <w:t>218,425.20</w:t>
            </w:r>
          </w:p>
        </w:tc>
        <w:tc>
          <w:tcPr>
            <w:tcW w:w="511" w:type="pct"/>
            <w:tcBorders>
              <w:top w:val="single" w:color="auto" w:sz="4" w:space="0"/>
              <w:left w:val="single" w:color="auto" w:sz="4" w:space="0"/>
              <w:bottom w:val="single" w:color="auto" w:sz="4" w:space="0"/>
              <w:right w:val="single" w:color="auto" w:sz="4" w:space="0"/>
            </w:tcBorders>
            <w:vAlign w:val="center"/>
          </w:tcPr>
          <w:p w14:paraId="5B9427B6">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0FE6E11F">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5A206912">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08ABB61D">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082CACFA">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08AFD7B7">
            <w:pPr>
              <w:ind w:left="-53" w:leftChars="-25" w:right="-53" w:rightChars="-25"/>
              <w:jc w:val="right"/>
            </w:pPr>
            <w:r>
              <w:t>218,425.20</w:t>
            </w:r>
          </w:p>
        </w:tc>
        <w:tc>
          <w:tcPr>
            <w:tcW w:w="535" w:type="pct"/>
            <w:tcBorders>
              <w:top w:val="single" w:color="auto" w:sz="4" w:space="0"/>
              <w:left w:val="single" w:color="auto" w:sz="4" w:space="0"/>
              <w:bottom w:val="single" w:color="auto" w:sz="4" w:space="0"/>
              <w:right w:val="single" w:color="auto" w:sz="4" w:space="0"/>
            </w:tcBorders>
            <w:vAlign w:val="center"/>
          </w:tcPr>
          <w:p w14:paraId="3419AA46">
            <w:pPr>
              <w:ind w:left="-53" w:leftChars="-25" w:right="-53" w:rightChars="-25"/>
              <w:jc w:val="right"/>
              <w:rPr>
                <w:rFonts w:eastAsia="Times New Roman" w:cs="Times New Roman"/>
                <w:sz w:val="20"/>
                <w:szCs w:val="20"/>
              </w:rPr>
            </w:pPr>
          </w:p>
        </w:tc>
      </w:tr>
      <w:tr w14:paraId="63AF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C104111">
            <w:pPr>
              <w:ind w:left="-53" w:leftChars="-25" w:right="-53" w:rightChars="-25"/>
            </w:pPr>
            <w:r>
              <w:t>重庆力帆实业（集团）进出口有限公司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569D7F5E">
            <w:pPr>
              <w:ind w:left="-53" w:leftChars="-25" w:right="-53" w:rightChars="-25"/>
              <w:jc w:val="right"/>
            </w:pPr>
            <w:r>
              <w:t>1,305,092.88</w:t>
            </w:r>
          </w:p>
        </w:tc>
        <w:tc>
          <w:tcPr>
            <w:tcW w:w="511" w:type="pct"/>
            <w:tcBorders>
              <w:top w:val="single" w:color="auto" w:sz="4" w:space="0"/>
              <w:left w:val="single" w:color="auto" w:sz="4" w:space="0"/>
              <w:bottom w:val="single" w:color="auto" w:sz="4" w:space="0"/>
              <w:right w:val="single" w:color="auto" w:sz="4" w:space="0"/>
            </w:tcBorders>
            <w:vAlign w:val="center"/>
          </w:tcPr>
          <w:p w14:paraId="5DB5BC16">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5D0C2915">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35EEF8B3">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0FB22689">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48481795">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54CAC2F3">
            <w:pPr>
              <w:ind w:left="-53" w:leftChars="-25" w:right="-53" w:rightChars="-25"/>
              <w:jc w:val="right"/>
            </w:pPr>
            <w:r>
              <w:t>1,305,092.88</w:t>
            </w:r>
          </w:p>
        </w:tc>
        <w:tc>
          <w:tcPr>
            <w:tcW w:w="535" w:type="pct"/>
            <w:tcBorders>
              <w:top w:val="single" w:color="auto" w:sz="4" w:space="0"/>
              <w:left w:val="single" w:color="auto" w:sz="4" w:space="0"/>
              <w:bottom w:val="single" w:color="auto" w:sz="4" w:space="0"/>
              <w:right w:val="single" w:color="auto" w:sz="4" w:space="0"/>
            </w:tcBorders>
            <w:vAlign w:val="center"/>
          </w:tcPr>
          <w:p w14:paraId="1208869E">
            <w:pPr>
              <w:ind w:left="-53" w:leftChars="-25" w:right="-53" w:rightChars="-25"/>
              <w:jc w:val="right"/>
              <w:rPr>
                <w:rFonts w:eastAsia="Times New Roman" w:cs="Times New Roman"/>
                <w:sz w:val="20"/>
                <w:szCs w:val="20"/>
              </w:rPr>
            </w:pPr>
          </w:p>
        </w:tc>
      </w:tr>
      <w:tr w14:paraId="6320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02496386">
            <w:pPr>
              <w:ind w:left="-53" w:leftChars="-25" w:right="-53" w:rightChars="-25"/>
            </w:pPr>
            <w:r>
              <w:t>江门气派摩托车有限公司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2EAF2995">
            <w:pPr>
              <w:ind w:left="-53" w:leftChars="-25" w:right="-53" w:rightChars="-25"/>
              <w:jc w:val="right"/>
            </w:pPr>
            <w:r>
              <w:t>436,850.40</w:t>
            </w:r>
          </w:p>
        </w:tc>
        <w:tc>
          <w:tcPr>
            <w:tcW w:w="511" w:type="pct"/>
            <w:tcBorders>
              <w:top w:val="single" w:color="auto" w:sz="4" w:space="0"/>
              <w:left w:val="single" w:color="auto" w:sz="4" w:space="0"/>
              <w:bottom w:val="single" w:color="auto" w:sz="4" w:space="0"/>
              <w:right w:val="single" w:color="auto" w:sz="4" w:space="0"/>
            </w:tcBorders>
            <w:vAlign w:val="center"/>
          </w:tcPr>
          <w:p w14:paraId="59DA2977">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4C056775">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02CC7CD7">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7BF45051">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7667ADC2">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0121E3E7">
            <w:pPr>
              <w:ind w:left="-53" w:leftChars="-25" w:right="-53" w:rightChars="-25"/>
              <w:jc w:val="right"/>
            </w:pPr>
            <w:r>
              <w:t>436,850.40</w:t>
            </w:r>
          </w:p>
        </w:tc>
        <w:tc>
          <w:tcPr>
            <w:tcW w:w="535" w:type="pct"/>
            <w:tcBorders>
              <w:top w:val="single" w:color="auto" w:sz="4" w:space="0"/>
              <w:left w:val="single" w:color="auto" w:sz="4" w:space="0"/>
              <w:bottom w:val="single" w:color="auto" w:sz="4" w:space="0"/>
              <w:right w:val="single" w:color="auto" w:sz="4" w:space="0"/>
            </w:tcBorders>
            <w:vAlign w:val="center"/>
          </w:tcPr>
          <w:p w14:paraId="228AD6F7">
            <w:pPr>
              <w:ind w:left="-53" w:leftChars="-25" w:right="-53" w:rightChars="-25"/>
              <w:jc w:val="right"/>
              <w:rPr>
                <w:rFonts w:eastAsia="Times New Roman" w:cs="Times New Roman"/>
                <w:sz w:val="20"/>
                <w:szCs w:val="20"/>
              </w:rPr>
            </w:pPr>
          </w:p>
        </w:tc>
      </w:tr>
      <w:tr w14:paraId="2A67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31926AA">
            <w:pPr>
              <w:ind w:left="-53" w:leftChars="-25" w:right="-53" w:rightChars="-25"/>
            </w:pPr>
            <w:r>
              <w:t>重庆睿蓝汽车制造有限公司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256DCF8C">
            <w:pPr>
              <w:ind w:left="-53" w:leftChars="-25" w:right="-53" w:rightChars="-25"/>
              <w:jc w:val="right"/>
            </w:pPr>
            <w:r>
              <w:t>862,554,550.48</w:t>
            </w:r>
          </w:p>
        </w:tc>
        <w:tc>
          <w:tcPr>
            <w:tcW w:w="511" w:type="pct"/>
            <w:tcBorders>
              <w:top w:val="single" w:color="auto" w:sz="4" w:space="0"/>
              <w:left w:val="single" w:color="auto" w:sz="4" w:space="0"/>
              <w:bottom w:val="single" w:color="auto" w:sz="4" w:space="0"/>
              <w:right w:val="single" w:color="auto" w:sz="4" w:space="0"/>
            </w:tcBorders>
            <w:vAlign w:val="center"/>
          </w:tcPr>
          <w:p w14:paraId="0621BD4F">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5696B607">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590DE8BC">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3014A14C">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5F205335">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5979169B">
            <w:pPr>
              <w:ind w:left="-53" w:leftChars="-25" w:right="-53" w:rightChars="-25"/>
              <w:jc w:val="right"/>
            </w:pPr>
            <w:r>
              <w:t>862,554,550.48</w:t>
            </w:r>
          </w:p>
        </w:tc>
        <w:tc>
          <w:tcPr>
            <w:tcW w:w="535" w:type="pct"/>
            <w:tcBorders>
              <w:top w:val="single" w:color="auto" w:sz="4" w:space="0"/>
              <w:left w:val="single" w:color="auto" w:sz="4" w:space="0"/>
              <w:bottom w:val="single" w:color="auto" w:sz="4" w:space="0"/>
              <w:right w:val="single" w:color="auto" w:sz="4" w:space="0"/>
            </w:tcBorders>
            <w:vAlign w:val="center"/>
          </w:tcPr>
          <w:p w14:paraId="305D5B4E">
            <w:pPr>
              <w:ind w:left="-53" w:leftChars="-25" w:right="-53" w:rightChars="-25"/>
              <w:jc w:val="right"/>
              <w:rPr>
                <w:rFonts w:eastAsia="Times New Roman" w:cs="Times New Roman"/>
                <w:sz w:val="20"/>
                <w:szCs w:val="20"/>
              </w:rPr>
            </w:pPr>
          </w:p>
        </w:tc>
      </w:tr>
      <w:tr w14:paraId="0C04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51436C71">
            <w:pPr>
              <w:ind w:left="-53" w:leftChars="-25" w:right="-53" w:rightChars="-25"/>
            </w:pPr>
            <w:r>
              <w:t>重庆力聚进出口贸易有限公司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7268AAA9">
            <w:pPr>
              <w:ind w:left="-53" w:leftChars="-25" w:right="-53" w:rightChars="-25"/>
              <w:jc w:val="right"/>
            </w:pPr>
            <w:r>
              <w:t>43,685.04</w:t>
            </w:r>
          </w:p>
        </w:tc>
        <w:tc>
          <w:tcPr>
            <w:tcW w:w="511" w:type="pct"/>
            <w:tcBorders>
              <w:top w:val="single" w:color="auto" w:sz="4" w:space="0"/>
              <w:left w:val="single" w:color="auto" w:sz="4" w:space="0"/>
              <w:bottom w:val="single" w:color="auto" w:sz="4" w:space="0"/>
              <w:right w:val="single" w:color="auto" w:sz="4" w:space="0"/>
            </w:tcBorders>
            <w:vAlign w:val="center"/>
          </w:tcPr>
          <w:p w14:paraId="3298FECA">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42877921">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539DBE63">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44D53EF0">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480E6041">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63CE9EED">
            <w:pPr>
              <w:ind w:left="-53" w:leftChars="-25" w:right="-53" w:rightChars="-25"/>
              <w:jc w:val="right"/>
            </w:pPr>
            <w:r>
              <w:t>43,685.04</w:t>
            </w:r>
          </w:p>
        </w:tc>
        <w:tc>
          <w:tcPr>
            <w:tcW w:w="535" w:type="pct"/>
            <w:tcBorders>
              <w:top w:val="single" w:color="auto" w:sz="4" w:space="0"/>
              <w:left w:val="single" w:color="auto" w:sz="4" w:space="0"/>
              <w:bottom w:val="single" w:color="auto" w:sz="4" w:space="0"/>
              <w:right w:val="single" w:color="auto" w:sz="4" w:space="0"/>
            </w:tcBorders>
            <w:vAlign w:val="center"/>
          </w:tcPr>
          <w:p w14:paraId="2A81CC93">
            <w:pPr>
              <w:ind w:left="-53" w:leftChars="-25" w:right="-53" w:rightChars="-25"/>
              <w:jc w:val="right"/>
              <w:rPr>
                <w:rFonts w:eastAsia="Times New Roman" w:cs="Times New Roman"/>
                <w:sz w:val="20"/>
                <w:szCs w:val="20"/>
              </w:rPr>
            </w:pPr>
          </w:p>
        </w:tc>
      </w:tr>
      <w:tr w14:paraId="4827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48E45E4">
            <w:pPr>
              <w:ind w:left="-53" w:leftChars="-25" w:right="-53" w:rightChars="-25"/>
            </w:pPr>
            <w:r>
              <w:t>重庆睿蓝汽车科技有限公司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2610D45C">
            <w:pPr>
              <w:ind w:left="-53" w:leftChars="-25" w:right="-53" w:rightChars="-25"/>
              <w:jc w:val="right"/>
            </w:pPr>
            <w:r>
              <w:t>797,883,386.03</w:t>
            </w:r>
          </w:p>
        </w:tc>
        <w:tc>
          <w:tcPr>
            <w:tcW w:w="511" w:type="pct"/>
            <w:tcBorders>
              <w:top w:val="single" w:color="auto" w:sz="4" w:space="0"/>
              <w:left w:val="single" w:color="auto" w:sz="4" w:space="0"/>
              <w:bottom w:val="single" w:color="auto" w:sz="4" w:space="0"/>
              <w:right w:val="single" w:color="auto" w:sz="4" w:space="0"/>
            </w:tcBorders>
            <w:vAlign w:val="center"/>
          </w:tcPr>
          <w:p w14:paraId="0F65A8CE">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5360B671">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0140A3AF">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5CBB6139">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49626D34">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0FB51834">
            <w:pPr>
              <w:ind w:left="-53" w:leftChars="-25" w:right="-53" w:rightChars="-25"/>
              <w:jc w:val="right"/>
            </w:pPr>
            <w:r>
              <w:t>797,883,386.03</w:t>
            </w:r>
          </w:p>
        </w:tc>
        <w:tc>
          <w:tcPr>
            <w:tcW w:w="535" w:type="pct"/>
            <w:tcBorders>
              <w:top w:val="single" w:color="auto" w:sz="4" w:space="0"/>
              <w:left w:val="single" w:color="auto" w:sz="4" w:space="0"/>
              <w:bottom w:val="single" w:color="auto" w:sz="4" w:space="0"/>
              <w:right w:val="single" w:color="auto" w:sz="4" w:space="0"/>
            </w:tcBorders>
            <w:vAlign w:val="center"/>
          </w:tcPr>
          <w:p w14:paraId="6F4645AA">
            <w:pPr>
              <w:ind w:left="-53" w:leftChars="-25" w:right="-53" w:rightChars="-25"/>
              <w:jc w:val="right"/>
              <w:rPr>
                <w:rFonts w:eastAsia="Times New Roman" w:cs="Times New Roman"/>
                <w:sz w:val="20"/>
                <w:szCs w:val="20"/>
              </w:rPr>
            </w:pPr>
          </w:p>
        </w:tc>
      </w:tr>
      <w:tr w14:paraId="00F8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DCECD75">
            <w:pPr>
              <w:ind w:left="-53" w:leftChars="-25" w:right="-53" w:rightChars="-25"/>
            </w:pPr>
            <w:r>
              <w:t>重庆睿蓝汽车销售有限公司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3C2F88EC">
            <w:pPr>
              <w:ind w:left="-53" w:leftChars="-25" w:right="-53" w:rightChars="-25"/>
              <w:jc w:val="right"/>
            </w:pPr>
            <w:r>
              <w:t>2,533,742.40</w:t>
            </w:r>
          </w:p>
        </w:tc>
        <w:tc>
          <w:tcPr>
            <w:tcW w:w="511" w:type="pct"/>
            <w:tcBorders>
              <w:top w:val="single" w:color="auto" w:sz="4" w:space="0"/>
              <w:left w:val="single" w:color="auto" w:sz="4" w:space="0"/>
              <w:bottom w:val="single" w:color="auto" w:sz="4" w:space="0"/>
              <w:right w:val="single" w:color="auto" w:sz="4" w:space="0"/>
            </w:tcBorders>
            <w:vAlign w:val="center"/>
          </w:tcPr>
          <w:p w14:paraId="4F7EFF66">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6CDB8F86">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56F122EC">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58638F37">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312EA142">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1EC2EB2B">
            <w:pPr>
              <w:ind w:left="-53" w:leftChars="-25" w:right="-53" w:rightChars="-25"/>
              <w:jc w:val="right"/>
            </w:pPr>
            <w:r>
              <w:t>2,533,742.40</w:t>
            </w:r>
          </w:p>
        </w:tc>
        <w:tc>
          <w:tcPr>
            <w:tcW w:w="535" w:type="pct"/>
            <w:tcBorders>
              <w:top w:val="single" w:color="auto" w:sz="4" w:space="0"/>
              <w:left w:val="single" w:color="auto" w:sz="4" w:space="0"/>
              <w:bottom w:val="single" w:color="auto" w:sz="4" w:space="0"/>
              <w:right w:val="single" w:color="auto" w:sz="4" w:space="0"/>
            </w:tcBorders>
            <w:vAlign w:val="center"/>
          </w:tcPr>
          <w:p w14:paraId="042A91F3">
            <w:pPr>
              <w:ind w:left="-53" w:leftChars="-25" w:right="-53" w:rightChars="-25"/>
              <w:jc w:val="right"/>
              <w:rPr>
                <w:rFonts w:eastAsia="Times New Roman" w:cs="Times New Roman"/>
                <w:sz w:val="20"/>
                <w:szCs w:val="20"/>
              </w:rPr>
            </w:pPr>
          </w:p>
        </w:tc>
      </w:tr>
      <w:tr w14:paraId="6D4F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064B9D25">
            <w:pPr>
              <w:ind w:left="-53" w:leftChars="-25" w:right="-53" w:rightChars="-25"/>
            </w:pPr>
            <w:r>
              <w:t>重庆睿蓝汽车研究院有限公司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783ED195">
            <w:pPr>
              <w:ind w:left="-53" w:leftChars="-25" w:right="-53" w:rightChars="-25"/>
              <w:jc w:val="right"/>
            </w:pPr>
            <w:r>
              <w:t>655,280.64</w:t>
            </w:r>
          </w:p>
        </w:tc>
        <w:tc>
          <w:tcPr>
            <w:tcW w:w="511" w:type="pct"/>
            <w:tcBorders>
              <w:top w:val="single" w:color="auto" w:sz="4" w:space="0"/>
              <w:left w:val="single" w:color="auto" w:sz="4" w:space="0"/>
              <w:bottom w:val="single" w:color="auto" w:sz="4" w:space="0"/>
              <w:right w:val="single" w:color="auto" w:sz="4" w:space="0"/>
            </w:tcBorders>
            <w:vAlign w:val="center"/>
          </w:tcPr>
          <w:p w14:paraId="15E61071">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62723F27">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67F2E907">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5D409014">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33004C44">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4B1F942F">
            <w:pPr>
              <w:ind w:left="-53" w:leftChars="-25" w:right="-53" w:rightChars="-25"/>
              <w:jc w:val="right"/>
            </w:pPr>
            <w:r>
              <w:t>655,280.64</w:t>
            </w:r>
          </w:p>
        </w:tc>
        <w:tc>
          <w:tcPr>
            <w:tcW w:w="535" w:type="pct"/>
            <w:tcBorders>
              <w:top w:val="single" w:color="auto" w:sz="4" w:space="0"/>
              <w:left w:val="single" w:color="auto" w:sz="4" w:space="0"/>
              <w:bottom w:val="single" w:color="auto" w:sz="4" w:space="0"/>
              <w:right w:val="single" w:color="auto" w:sz="4" w:space="0"/>
            </w:tcBorders>
            <w:vAlign w:val="center"/>
          </w:tcPr>
          <w:p w14:paraId="1C6DBDBA">
            <w:pPr>
              <w:ind w:left="-53" w:leftChars="-25" w:right="-53" w:rightChars="-25"/>
              <w:jc w:val="right"/>
              <w:rPr>
                <w:rFonts w:eastAsia="Times New Roman" w:cs="Times New Roman"/>
                <w:sz w:val="20"/>
                <w:szCs w:val="20"/>
              </w:rPr>
            </w:pPr>
          </w:p>
        </w:tc>
      </w:tr>
      <w:tr w14:paraId="605B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358D8BB9">
            <w:pPr>
              <w:ind w:left="-53" w:leftChars="-25" w:right="-53" w:rightChars="-25"/>
            </w:pPr>
            <w:r>
              <w:t>力帆国际（控股）有限公司</w:t>
            </w:r>
          </w:p>
        </w:tc>
        <w:tc>
          <w:tcPr>
            <w:tcW w:w="614" w:type="pct"/>
            <w:tcBorders>
              <w:top w:val="single" w:color="auto" w:sz="4" w:space="0"/>
              <w:left w:val="single" w:color="auto" w:sz="4" w:space="0"/>
              <w:bottom w:val="single" w:color="auto" w:sz="4" w:space="0"/>
              <w:right w:val="single" w:color="auto" w:sz="4" w:space="0"/>
            </w:tcBorders>
            <w:vAlign w:val="center"/>
          </w:tcPr>
          <w:p w14:paraId="54CBB817">
            <w:pPr>
              <w:ind w:left="-53" w:leftChars="-25" w:right="-53" w:rightChars="-25"/>
              <w:jc w:val="right"/>
            </w:pPr>
            <w:r>
              <w:t>68,062,206.72</w:t>
            </w:r>
          </w:p>
        </w:tc>
        <w:tc>
          <w:tcPr>
            <w:tcW w:w="511" w:type="pct"/>
            <w:tcBorders>
              <w:top w:val="single" w:color="auto" w:sz="4" w:space="0"/>
              <w:left w:val="single" w:color="auto" w:sz="4" w:space="0"/>
              <w:bottom w:val="single" w:color="auto" w:sz="4" w:space="0"/>
              <w:right w:val="single" w:color="auto" w:sz="4" w:space="0"/>
            </w:tcBorders>
            <w:vAlign w:val="center"/>
          </w:tcPr>
          <w:p w14:paraId="2FBCCC3C">
            <w:pPr>
              <w:ind w:left="-53" w:leftChars="-25" w:right="-53" w:rightChars="-25"/>
              <w:jc w:val="right"/>
              <w:rPr>
                <w:rFonts w:eastAsia="Times New Roman" w:cs="Times New Roman"/>
                <w:sz w:val="20"/>
                <w:szCs w:val="20"/>
              </w:rPr>
            </w:pPr>
          </w:p>
        </w:tc>
        <w:tc>
          <w:tcPr>
            <w:tcW w:w="562" w:type="pct"/>
            <w:tcBorders>
              <w:top w:val="single" w:color="auto" w:sz="4" w:space="0"/>
              <w:left w:val="single" w:color="auto" w:sz="4" w:space="0"/>
              <w:bottom w:val="single" w:color="auto" w:sz="4" w:space="0"/>
              <w:right w:val="single" w:color="auto" w:sz="4" w:space="0"/>
            </w:tcBorders>
          </w:tcPr>
          <w:p w14:paraId="1233901D">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00B6036F">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46EB0FC7">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6F34FC13">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11DC1D58">
            <w:pPr>
              <w:ind w:left="-53" w:leftChars="-25" w:right="-53" w:rightChars="-25"/>
              <w:jc w:val="right"/>
            </w:pPr>
            <w:r>
              <w:t>68,062,206.72</w:t>
            </w:r>
          </w:p>
        </w:tc>
        <w:tc>
          <w:tcPr>
            <w:tcW w:w="535" w:type="pct"/>
            <w:tcBorders>
              <w:top w:val="single" w:color="auto" w:sz="4" w:space="0"/>
              <w:left w:val="single" w:color="auto" w:sz="4" w:space="0"/>
              <w:bottom w:val="single" w:color="auto" w:sz="4" w:space="0"/>
              <w:right w:val="single" w:color="auto" w:sz="4" w:space="0"/>
            </w:tcBorders>
            <w:vAlign w:val="center"/>
          </w:tcPr>
          <w:p w14:paraId="23686B3E">
            <w:pPr>
              <w:ind w:left="-53" w:leftChars="-25" w:right="-53" w:rightChars="-25"/>
              <w:jc w:val="right"/>
              <w:rPr>
                <w:rFonts w:eastAsia="Times New Roman" w:cs="Times New Roman"/>
                <w:sz w:val="20"/>
                <w:szCs w:val="20"/>
              </w:rPr>
            </w:pPr>
          </w:p>
        </w:tc>
      </w:tr>
      <w:tr w14:paraId="0203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pct"/>
            <w:tcBorders>
              <w:top w:val="single" w:color="auto" w:sz="4" w:space="0"/>
              <w:left w:val="single" w:color="auto" w:sz="4" w:space="0"/>
              <w:bottom w:val="single" w:color="auto" w:sz="4" w:space="0"/>
              <w:right w:val="single" w:color="auto" w:sz="4" w:space="0"/>
            </w:tcBorders>
            <w:vAlign w:val="center"/>
          </w:tcPr>
          <w:p w14:paraId="74E9B4A6">
            <w:pPr>
              <w:ind w:left="-53" w:leftChars="-25" w:right="-53" w:rightChars="-25"/>
              <w:jc w:val="center"/>
            </w:pPr>
            <w:r>
              <w:rPr>
                <w:rFonts w:hint="eastAsia"/>
              </w:rPr>
              <w:t>合计</w:t>
            </w:r>
          </w:p>
        </w:tc>
        <w:tc>
          <w:tcPr>
            <w:tcW w:w="614" w:type="pct"/>
            <w:tcBorders>
              <w:top w:val="single" w:color="auto" w:sz="4" w:space="0"/>
              <w:left w:val="single" w:color="auto" w:sz="4" w:space="0"/>
              <w:bottom w:val="single" w:color="auto" w:sz="4" w:space="0"/>
              <w:right w:val="single" w:color="auto" w:sz="4" w:space="0"/>
            </w:tcBorders>
          </w:tcPr>
          <w:p w14:paraId="4FF0BBA8">
            <w:pPr>
              <w:ind w:left="-53" w:leftChars="-25" w:right="-53" w:rightChars="-25"/>
              <w:jc w:val="right"/>
            </w:pPr>
            <w:r>
              <w:t>4,561,892,391.56</w:t>
            </w:r>
          </w:p>
        </w:tc>
        <w:tc>
          <w:tcPr>
            <w:tcW w:w="511" w:type="pct"/>
            <w:tcBorders>
              <w:top w:val="single" w:color="auto" w:sz="4" w:space="0"/>
              <w:left w:val="single" w:color="auto" w:sz="4" w:space="0"/>
              <w:bottom w:val="single" w:color="auto" w:sz="4" w:space="0"/>
              <w:right w:val="single" w:color="auto" w:sz="4" w:space="0"/>
            </w:tcBorders>
            <w:vAlign w:val="center"/>
          </w:tcPr>
          <w:p w14:paraId="7A1EE7E5">
            <w:pPr>
              <w:ind w:left="-53" w:leftChars="-25" w:right="-53" w:rightChars="-25"/>
              <w:jc w:val="right"/>
              <w:rPr>
                <w:rFonts w:ascii="宋体" w:hAnsi="宋体"/>
                <w:sz w:val="24"/>
                <w:szCs w:val="24"/>
              </w:rPr>
            </w:pPr>
            <w:r>
              <w:t>11,646,895.84</w:t>
            </w:r>
          </w:p>
        </w:tc>
        <w:tc>
          <w:tcPr>
            <w:tcW w:w="562" w:type="pct"/>
            <w:tcBorders>
              <w:top w:val="single" w:color="auto" w:sz="4" w:space="0"/>
              <w:left w:val="single" w:color="auto" w:sz="4" w:space="0"/>
              <w:bottom w:val="single" w:color="auto" w:sz="4" w:space="0"/>
              <w:right w:val="single" w:color="auto" w:sz="4" w:space="0"/>
            </w:tcBorders>
          </w:tcPr>
          <w:p w14:paraId="3A77ECFD">
            <w:pPr>
              <w:ind w:left="-53" w:leftChars="-25" w:right="-53" w:rightChars="-25"/>
              <w:jc w:val="right"/>
            </w:pPr>
          </w:p>
        </w:tc>
        <w:tc>
          <w:tcPr>
            <w:tcW w:w="460" w:type="pct"/>
            <w:tcBorders>
              <w:top w:val="single" w:color="auto" w:sz="4" w:space="0"/>
              <w:left w:val="single" w:color="auto" w:sz="4" w:space="0"/>
              <w:bottom w:val="single" w:color="auto" w:sz="4" w:space="0"/>
              <w:right w:val="single" w:color="auto" w:sz="4" w:space="0"/>
            </w:tcBorders>
          </w:tcPr>
          <w:p w14:paraId="46972A56">
            <w:pPr>
              <w:ind w:left="-53" w:leftChars="-25" w:right="-53" w:rightChars="-25"/>
              <w:jc w:val="right"/>
            </w:pPr>
          </w:p>
        </w:tc>
        <w:tc>
          <w:tcPr>
            <w:tcW w:w="563" w:type="pct"/>
            <w:tcBorders>
              <w:top w:val="single" w:color="auto" w:sz="4" w:space="0"/>
              <w:left w:val="single" w:color="auto" w:sz="4" w:space="0"/>
              <w:bottom w:val="single" w:color="auto" w:sz="4" w:space="0"/>
              <w:right w:val="single" w:color="auto" w:sz="4" w:space="0"/>
            </w:tcBorders>
          </w:tcPr>
          <w:p w14:paraId="2BD3D96D">
            <w:pPr>
              <w:ind w:left="-53" w:leftChars="-25" w:right="-53" w:rightChars="-25"/>
              <w:jc w:val="right"/>
            </w:pPr>
          </w:p>
        </w:tc>
        <w:tc>
          <w:tcPr>
            <w:tcW w:w="382" w:type="pct"/>
            <w:tcBorders>
              <w:top w:val="single" w:color="auto" w:sz="4" w:space="0"/>
              <w:left w:val="single" w:color="auto" w:sz="4" w:space="0"/>
              <w:bottom w:val="single" w:color="auto" w:sz="4" w:space="0"/>
              <w:right w:val="single" w:color="auto" w:sz="4" w:space="0"/>
            </w:tcBorders>
          </w:tcPr>
          <w:p w14:paraId="4F051815">
            <w:pPr>
              <w:ind w:left="-53" w:leftChars="-25" w:right="-53" w:rightChars="-25"/>
              <w:jc w:val="right"/>
            </w:pPr>
          </w:p>
        </w:tc>
        <w:tc>
          <w:tcPr>
            <w:tcW w:w="608" w:type="pct"/>
            <w:tcBorders>
              <w:top w:val="single" w:color="auto" w:sz="4" w:space="0"/>
              <w:left w:val="single" w:color="auto" w:sz="4" w:space="0"/>
              <w:bottom w:val="single" w:color="auto" w:sz="4" w:space="0"/>
              <w:right w:val="single" w:color="auto" w:sz="4" w:space="0"/>
            </w:tcBorders>
            <w:vAlign w:val="center"/>
          </w:tcPr>
          <w:p w14:paraId="521F47BC">
            <w:pPr>
              <w:ind w:left="-53" w:leftChars="-25" w:right="-53" w:rightChars="-25"/>
              <w:jc w:val="right"/>
            </w:pPr>
            <w:r>
              <w:t>4,561,892,391.56</w:t>
            </w:r>
          </w:p>
        </w:tc>
        <w:tc>
          <w:tcPr>
            <w:tcW w:w="535" w:type="pct"/>
            <w:tcBorders>
              <w:top w:val="single" w:color="auto" w:sz="4" w:space="0"/>
              <w:left w:val="single" w:color="auto" w:sz="4" w:space="0"/>
              <w:bottom w:val="single" w:color="auto" w:sz="4" w:space="0"/>
              <w:right w:val="single" w:color="auto" w:sz="4" w:space="0"/>
            </w:tcBorders>
            <w:vAlign w:val="center"/>
          </w:tcPr>
          <w:p w14:paraId="0B46AE28">
            <w:pPr>
              <w:ind w:left="-53" w:leftChars="-25" w:right="-53" w:rightChars="-25"/>
              <w:jc w:val="right"/>
              <w:rPr>
                <w:rFonts w:ascii="宋体" w:hAnsi="宋体"/>
                <w:sz w:val="24"/>
                <w:szCs w:val="24"/>
              </w:rPr>
            </w:pPr>
            <w:r>
              <w:t>11,646,895.84</w:t>
            </w:r>
          </w:p>
        </w:tc>
      </w:tr>
    </w:tbl>
    <w:p w14:paraId="3F9FB180"/>
    <w:p w14:paraId="6279E490">
      <w:pPr>
        <w:pStyle w:val="5"/>
        <w:numPr>
          <w:ilvl w:val="0"/>
          <w:numId w:val="10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对联营、合营企业投资</w:t>
      </w:r>
    </w:p>
    <w:sdt>
      <w:sdtPr>
        <w:rPr>
          <w:color w:val="000000" w:themeColor="text1"/>
          <w14:textFill>
            <w14:solidFill>
              <w14:schemeClr w14:val="tx1"/>
            </w14:solidFill>
          </w14:textFill>
        </w:rPr>
        <w:alias w:val="是否适用：母公司对联营、合营企业投资[双击切换]"/>
        <w:tag w:val="_GBC_0837f60a15fc4684b64085618adca8d2"/>
        <w:id w:val="-228077344"/>
        <w:placeholder>
          <w:docPart w:val="GBC22222222222222222222222222222"/>
        </w:placeholder>
      </w:sdtPr>
      <w:sdtEndPr>
        <w:rPr>
          <w:color w:val="000000" w:themeColor="text1"/>
          <w14:textFill>
            <w14:solidFill>
              <w14:schemeClr w14:val="tx1"/>
            </w14:solidFill>
          </w14:textFill>
        </w:rPr>
      </w:sdtEndPr>
      <w:sdtContent>
        <w:p w14:paraId="5BF03D9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156F946">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母公司财务附注：对联营、合营企业投资"/>
          <w:tag w:val="_GBC_d8af48cd34c54e749df777d4e6a5e2ed"/>
          <w:id w:val="-16683148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母公司财务附注：对联营、合营企业投资"/>
          <w:tag w:val="_GBC_5b4bb22c6cca42989bcd538938127ee2"/>
          <w:id w:val="-11321677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451"/>
    <w:bookmarkEnd w:id="452"/>
    <w:tbl>
      <w:tblPr>
        <w:tblStyle w:val="37"/>
        <w:tblW w:w="5235"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682"/>
        <w:gridCol w:w="1682"/>
        <w:gridCol w:w="401"/>
        <w:gridCol w:w="401"/>
        <w:gridCol w:w="1499"/>
        <w:gridCol w:w="1534"/>
        <w:gridCol w:w="950"/>
        <w:gridCol w:w="1407"/>
        <w:gridCol w:w="401"/>
        <w:gridCol w:w="413"/>
        <w:gridCol w:w="1682"/>
        <w:gridCol w:w="1690"/>
      </w:tblGrid>
      <w:tr w14:paraId="5B2D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abfaca7df388426499f44c3fb444b469"/>
            <w:id w:val="1376575566"/>
          </w:sdtPr>
          <w:sdtEndPr>
            <w:rPr>
              <w:rFonts w:asciiTheme="minorEastAsia" w:hAnsiTheme="minorEastAsia" w:eastAsiaTheme="minorEastAsia"/>
              <w:sz w:val="18"/>
              <w:szCs w:val="18"/>
            </w:rPr>
          </w:sdtEndPr>
          <w:sdtContent>
            <w:tc>
              <w:tcPr>
                <w:tcW w:w="342" w:type="pct"/>
                <w:vMerge w:val="restart"/>
                <w:tcBorders>
                  <w:top w:val="single" w:color="auto" w:sz="4" w:space="0"/>
                  <w:left w:val="single" w:color="auto" w:sz="4" w:space="0"/>
                  <w:right w:val="single" w:color="auto" w:sz="4" w:space="0"/>
                </w:tcBorders>
                <w:vAlign w:val="center"/>
              </w:tcPr>
              <w:p w14:paraId="2685E1B8">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bookmarkStart w:id="453" w:name="_Hlk155165896"/>
                <w:bookmarkStart w:id="454" w:name="_Hlk168057377"/>
                <w:r>
                  <w:rPr>
                    <w:rFonts w:hint="eastAsia" w:asciiTheme="minorEastAsia" w:hAnsiTheme="minorEastAsia" w:eastAsiaTheme="minorEastAsia"/>
                    <w:color w:val="000000" w:themeColor="text1"/>
                    <w:sz w:val="18"/>
                    <w:szCs w:val="18"/>
                    <w14:textFill>
                      <w14:solidFill>
                        <w14:schemeClr w14:val="tx1"/>
                      </w14:solidFill>
                    </w14:textFill>
                  </w:rPr>
                  <w:t>投资</w:t>
                </w:r>
              </w:p>
              <w:p w14:paraId="2A538645">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单位</w:t>
                </w:r>
              </w:p>
            </w:tc>
          </w:sdtContent>
        </w:sdt>
        <w:sdt>
          <w:sdtPr>
            <w:rPr>
              <w:rFonts w:asciiTheme="minorEastAsia" w:hAnsiTheme="minorEastAsia" w:eastAsiaTheme="minorEastAsia"/>
              <w:sz w:val="18"/>
              <w:szCs w:val="18"/>
            </w:rPr>
            <w:tag w:val="_PLD_05798c5c44604c97a951491f90362ede"/>
            <w:id w:val="1891840693"/>
          </w:sdtPr>
          <w:sdtEndPr>
            <w:rPr>
              <w:rFonts w:asciiTheme="minorEastAsia" w:hAnsiTheme="minorEastAsia" w:eastAsiaTheme="minorEastAsia"/>
              <w:sz w:val="18"/>
              <w:szCs w:val="18"/>
            </w:rPr>
          </w:sdtEndPr>
          <w:sdtContent>
            <w:tc>
              <w:tcPr>
                <w:tcW w:w="570" w:type="pct"/>
                <w:vMerge w:val="restart"/>
                <w:tcBorders>
                  <w:top w:val="single" w:color="auto" w:sz="4" w:space="0"/>
                  <w:left w:val="single" w:color="auto" w:sz="4" w:space="0"/>
                  <w:right w:val="single" w:color="auto" w:sz="4" w:space="0"/>
                </w:tcBorders>
                <w:vAlign w:val="center"/>
              </w:tcPr>
              <w:p w14:paraId="7BF01B58">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期初</w:t>
                </w:r>
              </w:p>
              <w:p w14:paraId="435D6F51">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余额（账面价值）</w:t>
                </w:r>
              </w:p>
            </w:tc>
          </w:sdtContent>
        </w:sdt>
        <w:tc>
          <w:tcPr>
            <w:tcW w:w="570" w:type="pct"/>
            <w:vMerge w:val="restart"/>
            <w:tcBorders>
              <w:top w:val="single" w:color="auto" w:sz="4" w:space="0"/>
              <w:left w:val="single" w:color="auto" w:sz="4" w:space="0"/>
              <w:right w:val="single" w:color="auto" w:sz="4" w:space="0"/>
            </w:tcBorders>
            <w:vAlign w:val="center"/>
          </w:tcPr>
          <w:sdt>
            <w:sdtPr>
              <w:rPr>
                <w:rFonts w:asciiTheme="minorEastAsia" w:hAnsiTheme="minorEastAsia" w:eastAsiaTheme="minorEastAsia"/>
                <w:sz w:val="18"/>
                <w:szCs w:val="18"/>
              </w:rPr>
              <w:tag w:val="_PLD_679614cb179b47cb8eca53d826d545ce"/>
              <w:id w:val="-1713726102"/>
            </w:sdtPr>
            <w:sdtEndPr>
              <w:rPr>
                <w:rFonts w:asciiTheme="minorEastAsia" w:hAnsiTheme="minorEastAsia" w:eastAsiaTheme="minorEastAsia"/>
                <w:sz w:val="18"/>
                <w:szCs w:val="18"/>
              </w:rPr>
            </w:sdtEndPr>
            <w:sdtContent>
              <w:p w14:paraId="6F7D8E89">
                <w:pPr>
                  <w:tabs>
                    <w:tab w:val="left" w:pos="370"/>
                  </w:tabs>
                  <w:ind w:left="-53" w:leftChars="-25" w:right="-53" w:rightChars="-2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减值准备期初余额</w:t>
                </w:r>
              </w:p>
            </w:sdtContent>
          </w:sdt>
        </w:tc>
        <w:sdt>
          <w:sdtPr>
            <w:rPr>
              <w:rFonts w:asciiTheme="minorEastAsia" w:hAnsiTheme="minorEastAsia" w:eastAsiaTheme="minorEastAsia"/>
              <w:sz w:val="18"/>
              <w:szCs w:val="18"/>
            </w:rPr>
            <w:tag w:val="_PLD_0a2bbaaacf944dc499773ce9e49a7a44"/>
            <w:id w:val="1025290930"/>
          </w:sdtPr>
          <w:sdtEndPr>
            <w:rPr>
              <w:rFonts w:asciiTheme="minorEastAsia" w:hAnsiTheme="minorEastAsia" w:eastAsiaTheme="minorEastAsia"/>
              <w:sz w:val="18"/>
              <w:szCs w:val="18"/>
            </w:rPr>
          </w:sdtEndPr>
          <w:sdtContent>
            <w:tc>
              <w:tcPr>
                <w:tcW w:w="2375" w:type="pct"/>
                <w:gridSpan w:val="8"/>
                <w:tcBorders>
                  <w:top w:val="single" w:color="auto" w:sz="4" w:space="0"/>
                  <w:left w:val="single" w:color="auto" w:sz="4" w:space="0"/>
                  <w:bottom w:val="single" w:color="auto" w:sz="4" w:space="0"/>
                  <w:right w:val="single" w:color="auto" w:sz="4" w:space="0"/>
                </w:tcBorders>
                <w:vAlign w:val="center"/>
              </w:tcPr>
              <w:p w14:paraId="587550F3">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本期增减变动</w:t>
                </w:r>
              </w:p>
            </w:tc>
          </w:sdtContent>
        </w:sdt>
        <w:sdt>
          <w:sdtPr>
            <w:rPr>
              <w:rFonts w:asciiTheme="minorEastAsia" w:hAnsiTheme="minorEastAsia" w:eastAsiaTheme="minorEastAsia"/>
              <w:sz w:val="18"/>
              <w:szCs w:val="18"/>
            </w:rPr>
            <w:tag w:val="_PLD_08d96ebd050e43e4a66f158230dee5ce"/>
            <w:id w:val="-1312322354"/>
          </w:sdtPr>
          <w:sdtEndPr>
            <w:rPr>
              <w:rFonts w:asciiTheme="minorEastAsia" w:hAnsiTheme="minorEastAsia" w:eastAsiaTheme="minorEastAsia"/>
              <w:sz w:val="18"/>
              <w:szCs w:val="18"/>
            </w:rPr>
          </w:sdtEndPr>
          <w:sdtContent>
            <w:tc>
              <w:tcPr>
                <w:tcW w:w="570" w:type="pct"/>
                <w:vMerge w:val="restart"/>
                <w:tcBorders>
                  <w:top w:val="single" w:color="auto" w:sz="4" w:space="0"/>
                  <w:left w:val="single" w:color="auto" w:sz="4" w:space="0"/>
                  <w:right w:val="single" w:color="auto" w:sz="4" w:space="0"/>
                </w:tcBorders>
                <w:vAlign w:val="center"/>
              </w:tcPr>
              <w:p w14:paraId="2E8CB9E5">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期末余额（账面价值）</w:t>
                </w:r>
              </w:p>
            </w:tc>
          </w:sdtContent>
        </w:sdt>
        <w:sdt>
          <w:sdtPr>
            <w:rPr>
              <w:rFonts w:asciiTheme="minorEastAsia" w:hAnsiTheme="minorEastAsia" w:eastAsiaTheme="minorEastAsia"/>
              <w:sz w:val="18"/>
              <w:szCs w:val="18"/>
            </w:rPr>
            <w:tag w:val="_PLD_7926cd06c0474fbd9ec1c3b927ae616d"/>
            <w:id w:val="183099892"/>
          </w:sdtPr>
          <w:sdtEndPr>
            <w:rPr>
              <w:rFonts w:asciiTheme="minorEastAsia" w:hAnsiTheme="minorEastAsia" w:eastAsiaTheme="minorEastAsia"/>
              <w:sz w:val="18"/>
              <w:szCs w:val="18"/>
            </w:rPr>
          </w:sdtEndPr>
          <w:sdtContent>
            <w:tc>
              <w:tcPr>
                <w:tcW w:w="570" w:type="pct"/>
                <w:vMerge w:val="restart"/>
                <w:tcBorders>
                  <w:top w:val="single" w:color="auto" w:sz="4" w:space="0"/>
                  <w:left w:val="single" w:color="auto" w:sz="4" w:space="0"/>
                  <w:right w:val="single" w:color="auto" w:sz="4" w:space="0"/>
                </w:tcBorders>
                <w:vAlign w:val="center"/>
              </w:tcPr>
              <w:p w14:paraId="306A1BEF">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减值准备期末余额</w:t>
                </w:r>
              </w:p>
            </w:tc>
          </w:sdtContent>
        </w:sdt>
      </w:tr>
      <w:tr w14:paraId="70DC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vMerge w:val="continue"/>
            <w:tcBorders>
              <w:left w:val="single" w:color="auto" w:sz="4" w:space="0"/>
              <w:bottom w:val="single" w:color="auto" w:sz="4" w:space="0"/>
              <w:right w:val="single" w:color="auto" w:sz="4" w:space="0"/>
            </w:tcBorders>
          </w:tcPr>
          <w:p w14:paraId="4158346B">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p>
        </w:tc>
        <w:tc>
          <w:tcPr>
            <w:tcW w:w="570" w:type="pct"/>
            <w:vMerge w:val="continue"/>
            <w:tcBorders>
              <w:left w:val="single" w:color="auto" w:sz="4" w:space="0"/>
              <w:bottom w:val="single" w:color="auto" w:sz="4" w:space="0"/>
              <w:right w:val="single" w:color="auto" w:sz="4" w:space="0"/>
            </w:tcBorders>
          </w:tcPr>
          <w:p w14:paraId="187D95AE">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p>
        </w:tc>
        <w:tc>
          <w:tcPr>
            <w:tcW w:w="570" w:type="pct"/>
            <w:vMerge w:val="continue"/>
            <w:tcBorders>
              <w:left w:val="single" w:color="auto" w:sz="4" w:space="0"/>
              <w:bottom w:val="single" w:color="auto" w:sz="4" w:space="0"/>
              <w:right w:val="single" w:color="auto" w:sz="4" w:space="0"/>
            </w:tcBorders>
          </w:tcPr>
          <w:p w14:paraId="6E898267">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p>
        </w:tc>
        <w:sdt>
          <w:sdtPr>
            <w:rPr>
              <w:rFonts w:asciiTheme="minorEastAsia" w:hAnsiTheme="minorEastAsia" w:eastAsiaTheme="minorEastAsia"/>
              <w:sz w:val="18"/>
              <w:szCs w:val="18"/>
            </w:rPr>
            <w:tag w:val="_PLD_c2a32165f0334d7c8fde829ff4c17575"/>
            <w:id w:val="-1487002824"/>
          </w:sdtPr>
          <w:sdtEndPr>
            <w:rPr>
              <w:rFonts w:asciiTheme="minorEastAsia" w:hAnsiTheme="minorEastAsia" w:eastAsiaTheme="minorEastAsia"/>
              <w:sz w:val="18"/>
              <w:szCs w:val="18"/>
            </w:rPr>
          </w:sdtEndPr>
          <w:sdtContent>
            <w:tc>
              <w:tcPr>
                <w:tcW w:w="136" w:type="pct"/>
                <w:tcBorders>
                  <w:top w:val="single" w:color="auto" w:sz="4" w:space="0"/>
                  <w:left w:val="single" w:color="auto" w:sz="4" w:space="0"/>
                  <w:bottom w:val="single" w:color="auto" w:sz="4" w:space="0"/>
                  <w:right w:val="single" w:color="auto" w:sz="4" w:space="0"/>
                </w:tcBorders>
                <w:vAlign w:val="center"/>
              </w:tcPr>
              <w:p w14:paraId="6F898041">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追加投资</w:t>
                </w:r>
              </w:p>
            </w:tc>
          </w:sdtContent>
        </w:sdt>
        <w:sdt>
          <w:sdtPr>
            <w:rPr>
              <w:rFonts w:asciiTheme="minorEastAsia" w:hAnsiTheme="minorEastAsia" w:eastAsiaTheme="minorEastAsia"/>
              <w:sz w:val="18"/>
              <w:szCs w:val="18"/>
            </w:rPr>
            <w:tag w:val="_PLD_71fe608b4d73467797eee694efbf7ebb"/>
            <w:id w:val="1958671136"/>
          </w:sdtPr>
          <w:sdtEndPr>
            <w:rPr>
              <w:rFonts w:asciiTheme="minorEastAsia" w:hAnsiTheme="minorEastAsia" w:eastAsiaTheme="minorEastAsia"/>
              <w:sz w:val="18"/>
              <w:szCs w:val="18"/>
            </w:rPr>
          </w:sdtEndPr>
          <w:sdtContent>
            <w:tc>
              <w:tcPr>
                <w:tcW w:w="136" w:type="pct"/>
                <w:tcBorders>
                  <w:top w:val="single" w:color="auto" w:sz="4" w:space="0"/>
                  <w:left w:val="single" w:color="auto" w:sz="4" w:space="0"/>
                  <w:bottom w:val="single" w:color="auto" w:sz="4" w:space="0"/>
                  <w:right w:val="single" w:color="auto" w:sz="4" w:space="0"/>
                </w:tcBorders>
                <w:vAlign w:val="center"/>
              </w:tcPr>
              <w:p w14:paraId="48AC9D4D">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减少投资</w:t>
                </w:r>
              </w:p>
            </w:tc>
          </w:sdtContent>
        </w:sdt>
        <w:sdt>
          <w:sdtPr>
            <w:rPr>
              <w:rFonts w:asciiTheme="minorEastAsia" w:hAnsiTheme="minorEastAsia" w:eastAsiaTheme="minorEastAsia"/>
              <w:sz w:val="18"/>
              <w:szCs w:val="18"/>
            </w:rPr>
            <w:tag w:val="_PLD_f05a50a0bc284599af7a40502cd10a40"/>
            <w:id w:val="-1824885426"/>
          </w:sdtPr>
          <w:sdtEndPr>
            <w:rPr>
              <w:rFonts w:asciiTheme="minorEastAsia" w:hAnsiTheme="minorEastAsia" w:eastAsiaTheme="minorEastAsia"/>
              <w:sz w:val="18"/>
              <w:szCs w:val="18"/>
            </w:rPr>
          </w:sdtEndPr>
          <w:sdtContent>
            <w:tc>
              <w:tcPr>
                <w:tcW w:w="508" w:type="pct"/>
                <w:tcBorders>
                  <w:top w:val="single" w:color="auto" w:sz="4" w:space="0"/>
                  <w:left w:val="single" w:color="auto" w:sz="4" w:space="0"/>
                  <w:bottom w:val="single" w:color="auto" w:sz="4" w:space="0"/>
                  <w:right w:val="single" w:color="auto" w:sz="4" w:space="0"/>
                </w:tcBorders>
                <w:vAlign w:val="center"/>
              </w:tcPr>
              <w:p w14:paraId="13E907B9">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权益法下确认的投资损益</w:t>
                </w:r>
              </w:p>
            </w:tc>
          </w:sdtContent>
        </w:sdt>
        <w:sdt>
          <w:sdtPr>
            <w:rPr>
              <w:rFonts w:asciiTheme="minorEastAsia" w:hAnsiTheme="minorEastAsia" w:eastAsiaTheme="minorEastAsia"/>
              <w:sz w:val="18"/>
              <w:szCs w:val="18"/>
            </w:rPr>
            <w:tag w:val="_PLD_02248a0958484589b824cff096f8d135"/>
            <w:id w:val="-1895188236"/>
          </w:sdtPr>
          <w:sdtEndPr>
            <w:rPr>
              <w:rFonts w:asciiTheme="minorEastAsia" w:hAnsiTheme="minorEastAsia" w:eastAsiaTheme="minorEastAsia"/>
              <w:sz w:val="18"/>
              <w:szCs w:val="18"/>
            </w:rPr>
          </w:sdtEndPr>
          <w:sdtContent>
            <w:tc>
              <w:tcPr>
                <w:tcW w:w="520" w:type="pct"/>
                <w:tcBorders>
                  <w:top w:val="single" w:color="auto" w:sz="4" w:space="0"/>
                  <w:left w:val="single" w:color="auto" w:sz="4" w:space="0"/>
                  <w:bottom w:val="single" w:color="auto" w:sz="4" w:space="0"/>
                  <w:right w:val="single" w:color="auto" w:sz="4" w:space="0"/>
                </w:tcBorders>
                <w:vAlign w:val="center"/>
              </w:tcPr>
              <w:p w14:paraId="6A7D13D2">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其他综合收益调整</w:t>
                </w:r>
              </w:p>
            </w:tc>
          </w:sdtContent>
        </w:sdt>
        <w:sdt>
          <w:sdtPr>
            <w:rPr>
              <w:rFonts w:asciiTheme="minorEastAsia" w:hAnsiTheme="minorEastAsia" w:eastAsiaTheme="minorEastAsia"/>
              <w:sz w:val="18"/>
              <w:szCs w:val="18"/>
            </w:rPr>
            <w:tag w:val="_PLD_7fb58b4af07a4b58a9b3d08dc004f3ee"/>
            <w:id w:val="-598562271"/>
          </w:sdtPr>
          <w:sdtEndPr>
            <w:rPr>
              <w:rFonts w:asciiTheme="minorEastAsia" w:hAnsiTheme="minorEastAsia" w:eastAsiaTheme="minorEastAsia"/>
              <w:sz w:val="18"/>
              <w:szCs w:val="18"/>
            </w:rPr>
          </w:sdtEndPr>
          <w:sdtContent>
            <w:tc>
              <w:tcPr>
                <w:tcW w:w="322" w:type="pct"/>
                <w:tcBorders>
                  <w:top w:val="single" w:color="auto" w:sz="4" w:space="0"/>
                  <w:left w:val="single" w:color="auto" w:sz="4" w:space="0"/>
                  <w:bottom w:val="single" w:color="auto" w:sz="4" w:space="0"/>
                  <w:right w:val="single" w:color="auto" w:sz="4" w:space="0"/>
                </w:tcBorders>
                <w:vAlign w:val="center"/>
              </w:tcPr>
              <w:p w14:paraId="4459EE06">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其他权益变动</w:t>
                </w:r>
              </w:p>
            </w:tc>
          </w:sdtContent>
        </w:sdt>
        <w:sdt>
          <w:sdtPr>
            <w:rPr>
              <w:rFonts w:asciiTheme="minorEastAsia" w:hAnsiTheme="minorEastAsia" w:eastAsiaTheme="minorEastAsia"/>
              <w:sz w:val="18"/>
              <w:szCs w:val="18"/>
            </w:rPr>
            <w:tag w:val="_PLD_222556d83dca4844b27c9b0b28e96430"/>
            <w:id w:val="652716532"/>
          </w:sdtPr>
          <w:sdtEndPr>
            <w:rPr>
              <w:rFonts w:asciiTheme="minorEastAsia" w:hAnsiTheme="minorEastAsia" w:eastAsiaTheme="minorEastAsia"/>
              <w:sz w:val="18"/>
              <w:szCs w:val="18"/>
            </w:rPr>
          </w:sdtEndPr>
          <w:sdtContent>
            <w:tc>
              <w:tcPr>
                <w:tcW w:w="477" w:type="pct"/>
                <w:tcBorders>
                  <w:top w:val="single" w:color="auto" w:sz="4" w:space="0"/>
                  <w:left w:val="single" w:color="auto" w:sz="4" w:space="0"/>
                  <w:bottom w:val="single" w:color="auto" w:sz="4" w:space="0"/>
                  <w:right w:val="single" w:color="auto" w:sz="4" w:space="0"/>
                </w:tcBorders>
                <w:vAlign w:val="center"/>
              </w:tcPr>
              <w:p w14:paraId="4CED26C8">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宣告发放现金股利或利润</w:t>
                </w:r>
              </w:p>
            </w:tc>
          </w:sdtContent>
        </w:sdt>
        <w:sdt>
          <w:sdtPr>
            <w:rPr>
              <w:rFonts w:asciiTheme="minorEastAsia" w:hAnsiTheme="minorEastAsia" w:eastAsiaTheme="minorEastAsia"/>
              <w:sz w:val="18"/>
              <w:szCs w:val="18"/>
            </w:rPr>
            <w:tag w:val="_PLD_3ccc36abfffc49a99807a98ffb9d12d5"/>
            <w:id w:val="1746539524"/>
          </w:sdtPr>
          <w:sdtEndPr>
            <w:rPr>
              <w:rFonts w:asciiTheme="minorEastAsia" w:hAnsiTheme="minorEastAsia" w:eastAsiaTheme="minorEastAsia"/>
              <w:sz w:val="18"/>
              <w:szCs w:val="18"/>
            </w:rPr>
          </w:sdtEndPr>
          <w:sdtContent>
            <w:tc>
              <w:tcPr>
                <w:tcW w:w="136" w:type="pct"/>
                <w:tcBorders>
                  <w:top w:val="single" w:color="auto" w:sz="4" w:space="0"/>
                  <w:left w:val="single" w:color="auto" w:sz="4" w:space="0"/>
                  <w:bottom w:val="single" w:color="auto" w:sz="4" w:space="0"/>
                  <w:right w:val="single" w:color="auto" w:sz="4" w:space="0"/>
                </w:tcBorders>
                <w:vAlign w:val="center"/>
              </w:tcPr>
              <w:p w14:paraId="66AEB755">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计提减值准备</w:t>
                </w:r>
              </w:p>
            </w:tc>
          </w:sdtContent>
        </w:sdt>
        <w:sdt>
          <w:sdtPr>
            <w:rPr>
              <w:rFonts w:asciiTheme="minorEastAsia" w:hAnsiTheme="minorEastAsia" w:eastAsiaTheme="minorEastAsia"/>
              <w:sz w:val="18"/>
              <w:szCs w:val="18"/>
            </w:rPr>
            <w:tag w:val="_PLD_a907ceb1e793491d9fd8ecad7300602c"/>
            <w:id w:val="627598364"/>
          </w:sdtPr>
          <w:sdtEndPr>
            <w:rPr>
              <w:rFonts w:asciiTheme="minorEastAsia" w:hAnsiTheme="minorEastAsia" w:eastAsiaTheme="minorEastAsia"/>
              <w:sz w:val="18"/>
              <w:szCs w:val="18"/>
            </w:rPr>
          </w:sdtEndPr>
          <w:sdtContent>
            <w:tc>
              <w:tcPr>
                <w:tcW w:w="137" w:type="pct"/>
                <w:tcBorders>
                  <w:top w:val="single" w:color="auto" w:sz="4" w:space="0"/>
                  <w:left w:val="single" w:color="auto" w:sz="4" w:space="0"/>
                  <w:bottom w:val="single" w:color="auto" w:sz="4" w:space="0"/>
                  <w:right w:val="single" w:color="auto" w:sz="4" w:space="0"/>
                </w:tcBorders>
                <w:vAlign w:val="center"/>
              </w:tcPr>
              <w:p w14:paraId="6D8429F1">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其他</w:t>
                </w:r>
              </w:p>
            </w:tc>
          </w:sdtContent>
        </w:sdt>
        <w:tc>
          <w:tcPr>
            <w:tcW w:w="570" w:type="pct"/>
            <w:vMerge w:val="continue"/>
            <w:tcBorders>
              <w:left w:val="single" w:color="auto" w:sz="4" w:space="0"/>
              <w:bottom w:val="single" w:color="auto" w:sz="4" w:space="0"/>
              <w:right w:val="single" w:color="auto" w:sz="4" w:space="0"/>
            </w:tcBorders>
          </w:tcPr>
          <w:p w14:paraId="67513D20">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p>
        </w:tc>
        <w:tc>
          <w:tcPr>
            <w:tcW w:w="570" w:type="pct"/>
            <w:vMerge w:val="continue"/>
            <w:tcBorders>
              <w:left w:val="single" w:color="auto" w:sz="4" w:space="0"/>
              <w:bottom w:val="single" w:color="auto" w:sz="4" w:space="0"/>
              <w:right w:val="single" w:color="auto" w:sz="4" w:space="0"/>
            </w:tcBorders>
          </w:tcPr>
          <w:p w14:paraId="1A85C13A">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p>
        </w:tc>
      </w:tr>
      <w:tr w14:paraId="5244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61dc54109424419aa8f35cf797c2d59e"/>
            <w:id w:val="-710040063"/>
          </w:sdtPr>
          <w:sdtEndPr>
            <w:rPr>
              <w:rFonts w:asciiTheme="minorEastAsia" w:hAnsiTheme="minorEastAsia" w:eastAsiaTheme="minorEastAsia"/>
              <w:sz w:val="18"/>
              <w:szCs w:val="18"/>
            </w:rPr>
          </w:sdtEndPr>
          <w:sdtContent>
            <w:tc>
              <w:tcPr>
                <w:tcW w:w="5000" w:type="pct"/>
                <w:gridSpan w:val="13"/>
                <w:tcBorders>
                  <w:top w:val="single" w:color="auto" w:sz="4" w:space="0"/>
                  <w:left w:val="single" w:color="auto" w:sz="4" w:space="0"/>
                  <w:bottom w:val="single" w:color="auto" w:sz="4" w:space="0"/>
                  <w:right w:val="single" w:color="auto" w:sz="4" w:space="0"/>
                </w:tcBorders>
              </w:tcPr>
              <w:p w14:paraId="0FEDF976">
                <w:pPr>
                  <w:ind w:left="-53" w:leftChars="-25" w:right="-53" w:rightChars="-25"/>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一、合营企业</w:t>
                </w:r>
              </w:p>
            </w:tc>
          </w:sdtContent>
        </w:sdt>
      </w:tr>
      <w:tr w14:paraId="2604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single" w:color="auto" w:sz="4" w:space="0"/>
              <w:bottom w:val="single" w:color="auto" w:sz="4" w:space="0"/>
              <w:right w:val="single" w:color="auto" w:sz="4" w:space="0"/>
            </w:tcBorders>
          </w:tcPr>
          <w:p w14:paraId="43FE4C77">
            <w:pPr>
              <w:ind w:left="-53" w:leftChars="-25" w:right="-53" w:rightChars="-25"/>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612D16B0">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16D6353D">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1DAC3B9A">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5637263B">
            <w:pPr>
              <w:ind w:left="-53" w:leftChars="-25" w:right="-53" w:rightChars="-25"/>
              <w:jc w:val="right"/>
              <w:rPr>
                <w:rFonts w:asciiTheme="minorEastAsia" w:hAnsiTheme="minorEastAsia" w:eastAsiaTheme="minorEastAsia"/>
                <w:sz w:val="18"/>
                <w:szCs w:val="18"/>
              </w:rPr>
            </w:pPr>
          </w:p>
        </w:tc>
        <w:tc>
          <w:tcPr>
            <w:tcW w:w="508" w:type="pct"/>
            <w:tcBorders>
              <w:top w:val="single" w:color="auto" w:sz="4" w:space="0"/>
              <w:left w:val="single" w:color="auto" w:sz="4" w:space="0"/>
              <w:bottom w:val="single" w:color="auto" w:sz="4" w:space="0"/>
              <w:right w:val="single" w:color="auto" w:sz="4" w:space="0"/>
            </w:tcBorders>
          </w:tcPr>
          <w:p w14:paraId="07C54395">
            <w:pPr>
              <w:ind w:left="-53" w:leftChars="-25" w:right="-53" w:rightChars="-25"/>
              <w:jc w:val="right"/>
              <w:rPr>
                <w:rFonts w:asciiTheme="minorEastAsia" w:hAnsiTheme="minorEastAsia" w:eastAsiaTheme="minorEastAsia"/>
                <w:sz w:val="18"/>
                <w:szCs w:val="18"/>
              </w:rPr>
            </w:pPr>
          </w:p>
        </w:tc>
        <w:tc>
          <w:tcPr>
            <w:tcW w:w="520" w:type="pct"/>
            <w:tcBorders>
              <w:top w:val="single" w:color="auto" w:sz="4" w:space="0"/>
              <w:left w:val="single" w:color="auto" w:sz="4" w:space="0"/>
              <w:bottom w:val="single" w:color="auto" w:sz="4" w:space="0"/>
              <w:right w:val="single" w:color="auto" w:sz="4" w:space="0"/>
            </w:tcBorders>
          </w:tcPr>
          <w:p w14:paraId="0115834D">
            <w:pPr>
              <w:ind w:left="-53" w:leftChars="-25" w:right="-53" w:rightChars="-25"/>
              <w:jc w:val="right"/>
              <w:rPr>
                <w:rFonts w:asciiTheme="minorEastAsia" w:hAnsiTheme="minorEastAsia" w:eastAsiaTheme="minorEastAsia"/>
                <w:sz w:val="18"/>
                <w:szCs w:val="18"/>
              </w:rPr>
            </w:pPr>
          </w:p>
        </w:tc>
        <w:tc>
          <w:tcPr>
            <w:tcW w:w="322" w:type="pct"/>
            <w:tcBorders>
              <w:top w:val="single" w:color="auto" w:sz="4" w:space="0"/>
              <w:left w:val="single" w:color="auto" w:sz="4" w:space="0"/>
              <w:bottom w:val="single" w:color="auto" w:sz="4" w:space="0"/>
              <w:right w:val="single" w:color="auto" w:sz="4" w:space="0"/>
            </w:tcBorders>
          </w:tcPr>
          <w:p w14:paraId="349BF047">
            <w:pPr>
              <w:ind w:left="-53" w:leftChars="-25" w:right="-53" w:rightChars="-25"/>
              <w:jc w:val="right"/>
              <w:rPr>
                <w:rFonts w:asciiTheme="minorEastAsia" w:hAnsiTheme="minorEastAsia" w:eastAsiaTheme="minorEastAsia"/>
                <w:sz w:val="18"/>
                <w:szCs w:val="18"/>
              </w:rPr>
            </w:pPr>
          </w:p>
        </w:tc>
        <w:tc>
          <w:tcPr>
            <w:tcW w:w="477" w:type="pct"/>
            <w:tcBorders>
              <w:top w:val="single" w:color="auto" w:sz="4" w:space="0"/>
              <w:left w:val="single" w:color="auto" w:sz="4" w:space="0"/>
              <w:bottom w:val="single" w:color="auto" w:sz="4" w:space="0"/>
              <w:right w:val="single" w:color="auto" w:sz="4" w:space="0"/>
            </w:tcBorders>
          </w:tcPr>
          <w:p w14:paraId="614072EE">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76711B6C">
            <w:pPr>
              <w:ind w:left="-53" w:leftChars="-25" w:right="-53" w:rightChars="-25"/>
              <w:jc w:val="right"/>
              <w:rPr>
                <w:rFonts w:asciiTheme="minorEastAsia" w:hAnsiTheme="minorEastAsia" w:eastAsiaTheme="minorEastAsia"/>
                <w:sz w:val="18"/>
                <w:szCs w:val="18"/>
              </w:rPr>
            </w:pPr>
          </w:p>
        </w:tc>
        <w:tc>
          <w:tcPr>
            <w:tcW w:w="137" w:type="pct"/>
            <w:tcBorders>
              <w:top w:val="single" w:color="auto" w:sz="4" w:space="0"/>
              <w:left w:val="single" w:color="auto" w:sz="4" w:space="0"/>
              <w:bottom w:val="single" w:color="auto" w:sz="4" w:space="0"/>
              <w:right w:val="single" w:color="auto" w:sz="4" w:space="0"/>
            </w:tcBorders>
          </w:tcPr>
          <w:p w14:paraId="59B30143">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0599E655">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0D0BD07D">
            <w:pPr>
              <w:ind w:left="-53" w:leftChars="-25" w:right="-53" w:rightChars="-25"/>
              <w:jc w:val="right"/>
              <w:rPr>
                <w:rFonts w:asciiTheme="minorEastAsia" w:hAnsiTheme="minorEastAsia" w:eastAsiaTheme="minorEastAsia"/>
                <w:sz w:val="18"/>
                <w:szCs w:val="18"/>
              </w:rPr>
            </w:pPr>
          </w:p>
        </w:tc>
      </w:tr>
      <w:tr w14:paraId="3616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single" w:color="auto" w:sz="4" w:space="0"/>
              <w:bottom w:val="single" w:color="auto" w:sz="4" w:space="0"/>
              <w:right w:val="single" w:color="auto" w:sz="4" w:space="0"/>
            </w:tcBorders>
          </w:tcPr>
          <w:p w14:paraId="4D600956">
            <w:pPr>
              <w:ind w:left="-53" w:leftChars="-25" w:right="-53" w:rightChars="-25"/>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177ABA22">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68523F80">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50FC73BC">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7E449A2D">
            <w:pPr>
              <w:ind w:left="-53" w:leftChars="-25" w:right="-53" w:rightChars="-25"/>
              <w:jc w:val="right"/>
              <w:rPr>
                <w:rFonts w:asciiTheme="minorEastAsia" w:hAnsiTheme="minorEastAsia" w:eastAsiaTheme="minorEastAsia"/>
                <w:sz w:val="18"/>
                <w:szCs w:val="18"/>
              </w:rPr>
            </w:pPr>
          </w:p>
        </w:tc>
        <w:tc>
          <w:tcPr>
            <w:tcW w:w="508" w:type="pct"/>
            <w:tcBorders>
              <w:top w:val="single" w:color="auto" w:sz="4" w:space="0"/>
              <w:left w:val="single" w:color="auto" w:sz="4" w:space="0"/>
              <w:bottom w:val="single" w:color="auto" w:sz="4" w:space="0"/>
              <w:right w:val="single" w:color="auto" w:sz="4" w:space="0"/>
            </w:tcBorders>
          </w:tcPr>
          <w:p w14:paraId="45EC8096">
            <w:pPr>
              <w:ind w:left="-53" w:leftChars="-25" w:right="-53" w:rightChars="-25"/>
              <w:jc w:val="right"/>
              <w:rPr>
                <w:rFonts w:asciiTheme="minorEastAsia" w:hAnsiTheme="minorEastAsia" w:eastAsiaTheme="minorEastAsia"/>
                <w:sz w:val="18"/>
                <w:szCs w:val="18"/>
              </w:rPr>
            </w:pPr>
          </w:p>
        </w:tc>
        <w:tc>
          <w:tcPr>
            <w:tcW w:w="520" w:type="pct"/>
            <w:tcBorders>
              <w:top w:val="single" w:color="auto" w:sz="4" w:space="0"/>
              <w:left w:val="single" w:color="auto" w:sz="4" w:space="0"/>
              <w:bottom w:val="single" w:color="auto" w:sz="4" w:space="0"/>
              <w:right w:val="single" w:color="auto" w:sz="4" w:space="0"/>
            </w:tcBorders>
          </w:tcPr>
          <w:p w14:paraId="557FE76B">
            <w:pPr>
              <w:ind w:left="-53" w:leftChars="-25" w:right="-53" w:rightChars="-25"/>
              <w:jc w:val="right"/>
              <w:rPr>
                <w:rFonts w:asciiTheme="minorEastAsia" w:hAnsiTheme="minorEastAsia" w:eastAsiaTheme="minorEastAsia"/>
                <w:sz w:val="18"/>
                <w:szCs w:val="18"/>
              </w:rPr>
            </w:pPr>
          </w:p>
        </w:tc>
        <w:tc>
          <w:tcPr>
            <w:tcW w:w="322" w:type="pct"/>
            <w:tcBorders>
              <w:top w:val="single" w:color="auto" w:sz="4" w:space="0"/>
              <w:left w:val="single" w:color="auto" w:sz="4" w:space="0"/>
              <w:bottom w:val="single" w:color="auto" w:sz="4" w:space="0"/>
              <w:right w:val="single" w:color="auto" w:sz="4" w:space="0"/>
            </w:tcBorders>
          </w:tcPr>
          <w:p w14:paraId="6CB55DCA">
            <w:pPr>
              <w:ind w:left="-53" w:leftChars="-25" w:right="-53" w:rightChars="-25"/>
              <w:jc w:val="right"/>
              <w:rPr>
                <w:rFonts w:asciiTheme="minorEastAsia" w:hAnsiTheme="minorEastAsia" w:eastAsiaTheme="minorEastAsia"/>
                <w:sz w:val="18"/>
                <w:szCs w:val="18"/>
              </w:rPr>
            </w:pPr>
          </w:p>
        </w:tc>
        <w:tc>
          <w:tcPr>
            <w:tcW w:w="477" w:type="pct"/>
            <w:tcBorders>
              <w:top w:val="single" w:color="auto" w:sz="4" w:space="0"/>
              <w:left w:val="single" w:color="auto" w:sz="4" w:space="0"/>
              <w:bottom w:val="single" w:color="auto" w:sz="4" w:space="0"/>
              <w:right w:val="single" w:color="auto" w:sz="4" w:space="0"/>
            </w:tcBorders>
          </w:tcPr>
          <w:p w14:paraId="7BBA6D20">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4BA82FAE">
            <w:pPr>
              <w:ind w:left="-53" w:leftChars="-25" w:right="-53" w:rightChars="-25"/>
              <w:jc w:val="right"/>
              <w:rPr>
                <w:rFonts w:asciiTheme="minorEastAsia" w:hAnsiTheme="minorEastAsia" w:eastAsiaTheme="minorEastAsia"/>
                <w:sz w:val="18"/>
                <w:szCs w:val="18"/>
              </w:rPr>
            </w:pPr>
          </w:p>
        </w:tc>
        <w:tc>
          <w:tcPr>
            <w:tcW w:w="137" w:type="pct"/>
            <w:tcBorders>
              <w:top w:val="single" w:color="auto" w:sz="4" w:space="0"/>
              <w:left w:val="single" w:color="auto" w:sz="4" w:space="0"/>
              <w:bottom w:val="single" w:color="auto" w:sz="4" w:space="0"/>
              <w:right w:val="single" w:color="auto" w:sz="4" w:space="0"/>
            </w:tcBorders>
          </w:tcPr>
          <w:p w14:paraId="6BE84AB4">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639514F6">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02AA9880">
            <w:pPr>
              <w:ind w:left="-53" w:leftChars="-25" w:right="-53" w:rightChars="-25"/>
              <w:jc w:val="right"/>
              <w:rPr>
                <w:rFonts w:asciiTheme="minorEastAsia" w:hAnsiTheme="minorEastAsia" w:eastAsiaTheme="minorEastAsia"/>
                <w:sz w:val="18"/>
                <w:szCs w:val="18"/>
              </w:rPr>
            </w:pPr>
          </w:p>
        </w:tc>
      </w:tr>
      <w:tr w14:paraId="1FA0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single" w:color="auto" w:sz="4" w:space="0"/>
              <w:bottom w:val="single" w:color="auto" w:sz="4" w:space="0"/>
              <w:right w:val="single" w:color="auto" w:sz="4" w:space="0"/>
            </w:tcBorders>
          </w:tcPr>
          <w:p w14:paraId="4828454B">
            <w:pPr>
              <w:ind w:left="-53" w:leftChars="-25" w:right="-53" w:rightChars="-25"/>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小计</w:t>
            </w:r>
          </w:p>
        </w:tc>
        <w:tc>
          <w:tcPr>
            <w:tcW w:w="570" w:type="pct"/>
            <w:tcBorders>
              <w:top w:val="single" w:color="auto" w:sz="4" w:space="0"/>
              <w:left w:val="single" w:color="auto" w:sz="4" w:space="0"/>
              <w:bottom w:val="single" w:color="auto" w:sz="4" w:space="0"/>
              <w:right w:val="single" w:color="auto" w:sz="4" w:space="0"/>
            </w:tcBorders>
          </w:tcPr>
          <w:p w14:paraId="6E937965">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562B1800">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2B46D547">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10187927">
            <w:pPr>
              <w:ind w:left="-53" w:leftChars="-25" w:right="-53" w:rightChars="-25"/>
              <w:jc w:val="right"/>
              <w:rPr>
                <w:rFonts w:asciiTheme="minorEastAsia" w:hAnsiTheme="minorEastAsia" w:eastAsiaTheme="minorEastAsia"/>
                <w:sz w:val="18"/>
                <w:szCs w:val="18"/>
              </w:rPr>
            </w:pPr>
          </w:p>
        </w:tc>
        <w:tc>
          <w:tcPr>
            <w:tcW w:w="508" w:type="pct"/>
            <w:tcBorders>
              <w:top w:val="single" w:color="auto" w:sz="4" w:space="0"/>
              <w:left w:val="single" w:color="auto" w:sz="4" w:space="0"/>
              <w:bottom w:val="single" w:color="auto" w:sz="4" w:space="0"/>
              <w:right w:val="single" w:color="auto" w:sz="4" w:space="0"/>
            </w:tcBorders>
          </w:tcPr>
          <w:p w14:paraId="0943B9D7">
            <w:pPr>
              <w:ind w:left="-53" w:leftChars="-25" w:right="-53" w:rightChars="-25"/>
              <w:jc w:val="right"/>
              <w:rPr>
                <w:rFonts w:asciiTheme="minorEastAsia" w:hAnsiTheme="minorEastAsia" w:eastAsiaTheme="minorEastAsia"/>
                <w:sz w:val="18"/>
                <w:szCs w:val="18"/>
              </w:rPr>
            </w:pPr>
          </w:p>
        </w:tc>
        <w:tc>
          <w:tcPr>
            <w:tcW w:w="520" w:type="pct"/>
            <w:tcBorders>
              <w:top w:val="single" w:color="auto" w:sz="4" w:space="0"/>
              <w:left w:val="single" w:color="auto" w:sz="4" w:space="0"/>
              <w:bottom w:val="single" w:color="auto" w:sz="4" w:space="0"/>
              <w:right w:val="single" w:color="auto" w:sz="4" w:space="0"/>
            </w:tcBorders>
          </w:tcPr>
          <w:p w14:paraId="08340899">
            <w:pPr>
              <w:ind w:left="-53" w:leftChars="-25" w:right="-53" w:rightChars="-25"/>
              <w:jc w:val="right"/>
              <w:rPr>
                <w:rFonts w:asciiTheme="minorEastAsia" w:hAnsiTheme="minorEastAsia" w:eastAsiaTheme="minorEastAsia"/>
                <w:sz w:val="18"/>
                <w:szCs w:val="18"/>
              </w:rPr>
            </w:pPr>
          </w:p>
        </w:tc>
        <w:tc>
          <w:tcPr>
            <w:tcW w:w="322" w:type="pct"/>
            <w:tcBorders>
              <w:top w:val="single" w:color="auto" w:sz="4" w:space="0"/>
              <w:left w:val="single" w:color="auto" w:sz="4" w:space="0"/>
              <w:bottom w:val="single" w:color="auto" w:sz="4" w:space="0"/>
              <w:right w:val="single" w:color="auto" w:sz="4" w:space="0"/>
            </w:tcBorders>
          </w:tcPr>
          <w:p w14:paraId="1F7341ED">
            <w:pPr>
              <w:ind w:left="-53" w:leftChars="-25" w:right="-53" w:rightChars="-25"/>
              <w:jc w:val="right"/>
              <w:rPr>
                <w:rFonts w:asciiTheme="minorEastAsia" w:hAnsiTheme="minorEastAsia" w:eastAsiaTheme="minorEastAsia"/>
                <w:sz w:val="18"/>
                <w:szCs w:val="18"/>
              </w:rPr>
            </w:pPr>
          </w:p>
        </w:tc>
        <w:tc>
          <w:tcPr>
            <w:tcW w:w="477" w:type="pct"/>
            <w:tcBorders>
              <w:top w:val="single" w:color="auto" w:sz="4" w:space="0"/>
              <w:left w:val="single" w:color="auto" w:sz="4" w:space="0"/>
              <w:bottom w:val="single" w:color="auto" w:sz="4" w:space="0"/>
              <w:right w:val="single" w:color="auto" w:sz="4" w:space="0"/>
            </w:tcBorders>
          </w:tcPr>
          <w:p w14:paraId="308FA2DD">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2776514C">
            <w:pPr>
              <w:ind w:left="-53" w:leftChars="-25" w:right="-53" w:rightChars="-25"/>
              <w:jc w:val="right"/>
              <w:rPr>
                <w:rFonts w:asciiTheme="minorEastAsia" w:hAnsiTheme="minorEastAsia" w:eastAsiaTheme="minorEastAsia"/>
                <w:sz w:val="18"/>
                <w:szCs w:val="18"/>
              </w:rPr>
            </w:pPr>
          </w:p>
        </w:tc>
        <w:tc>
          <w:tcPr>
            <w:tcW w:w="137" w:type="pct"/>
            <w:tcBorders>
              <w:top w:val="single" w:color="auto" w:sz="4" w:space="0"/>
              <w:left w:val="single" w:color="auto" w:sz="4" w:space="0"/>
              <w:bottom w:val="single" w:color="auto" w:sz="4" w:space="0"/>
              <w:right w:val="single" w:color="auto" w:sz="4" w:space="0"/>
            </w:tcBorders>
          </w:tcPr>
          <w:p w14:paraId="34CDDA4B">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72913374">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tcPr>
          <w:p w14:paraId="6C400F16">
            <w:pPr>
              <w:ind w:left="-53" w:leftChars="-25" w:right="-53" w:rightChars="-25"/>
              <w:jc w:val="right"/>
              <w:rPr>
                <w:rFonts w:asciiTheme="minorEastAsia" w:hAnsiTheme="minorEastAsia" w:eastAsiaTheme="minorEastAsia"/>
                <w:sz w:val="18"/>
                <w:szCs w:val="18"/>
              </w:rPr>
            </w:pPr>
          </w:p>
        </w:tc>
      </w:tr>
      <w:tr w14:paraId="6A84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90cc1e0799634510b44e4e55b4185a5a"/>
            <w:id w:val="-761913656"/>
          </w:sdtPr>
          <w:sdtEndPr>
            <w:rPr>
              <w:rFonts w:asciiTheme="minorEastAsia" w:hAnsiTheme="minorEastAsia" w:eastAsiaTheme="minorEastAsia"/>
              <w:sz w:val="18"/>
              <w:szCs w:val="18"/>
            </w:rPr>
          </w:sdtEndPr>
          <w:sdtContent>
            <w:tc>
              <w:tcPr>
                <w:tcW w:w="5000" w:type="pct"/>
                <w:gridSpan w:val="13"/>
                <w:tcBorders>
                  <w:top w:val="single" w:color="auto" w:sz="4" w:space="0"/>
                  <w:left w:val="single" w:color="auto" w:sz="4" w:space="0"/>
                  <w:bottom w:val="single" w:color="auto" w:sz="4" w:space="0"/>
                  <w:right w:val="single" w:color="auto" w:sz="4" w:space="0"/>
                </w:tcBorders>
              </w:tcPr>
              <w:p w14:paraId="65767DDA">
                <w:pPr>
                  <w:ind w:left="-53" w:leftChars="-25" w:right="-53" w:rightChars="-25"/>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二、联营企业</w:t>
                </w:r>
              </w:p>
            </w:tc>
          </w:sdtContent>
        </w:sdt>
      </w:tr>
      <w:tr w14:paraId="2B26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single" w:color="auto" w:sz="4" w:space="0"/>
              <w:bottom w:val="single" w:color="auto" w:sz="4" w:space="0"/>
              <w:right w:val="single" w:color="auto" w:sz="4" w:space="0"/>
            </w:tcBorders>
          </w:tcPr>
          <w:p w14:paraId="5D522BB5">
            <w:pPr>
              <w:ind w:left="-53" w:leftChars="-25" w:right="-53" w:rightChars="-25"/>
              <w:rPr>
                <w:rFonts w:asciiTheme="minorEastAsia" w:hAnsiTheme="minorEastAsia" w:eastAsiaTheme="minorEastAsia"/>
                <w:sz w:val="18"/>
                <w:szCs w:val="18"/>
              </w:rPr>
            </w:pPr>
            <w:r>
              <w:rPr>
                <w:rFonts w:asciiTheme="minorEastAsia" w:hAnsiTheme="minorEastAsia" w:eastAsiaTheme="minorEastAsia"/>
                <w:sz w:val="18"/>
                <w:szCs w:val="18"/>
              </w:rPr>
              <w:t>重庆银行股份有限公司</w:t>
            </w:r>
          </w:p>
        </w:tc>
        <w:tc>
          <w:tcPr>
            <w:tcW w:w="570" w:type="pct"/>
            <w:tcBorders>
              <w:top w:val="single" w:color="auto" w:sz="4" w:space="0"/>
              <w:left w:val="single" w:color="auto" w:sz="4" w:space="0"/>
              <w:bottom w:val="single" w:color="auto" w:sz="4" w:space="0"/>
              <w:right w:val="single" w:color="auto" w:sz="4" w:space="0"/>
            </w:tcBorders>
            <w:vAlign w:val="center"/>
          </w:tcPr>
          <w:p w14:paraId="12A9766C">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2,143,244,719.43</w:t>
            </w:r>
          </w:p>
        </w:tc>
        <w:tc>
          <w:tcPr>
            <w:tcW w:w="570" w:type="pct"/>
            <w:tcBorders>
              <w:top w:val="single" w:color="auto" w:sz="4" w:space="0"/>
              <w:left w:val="single" w:color="auto" w:sz="4" w:space="0"/>
              <w:bottom w:val="single" w:color="auto" w:sz="4" w:space="0"/>
              <w:right w:val="single" w:color="auto" w:sz="4" w:space="0"/>
            </w:tcBorders>
          </w:tcPr>
          <w:p w14:paraId="32A917FE">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369D55D3">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70DE83D0">
            <w:pPr>
              <w:ind w:left="-53" w:leftChars="-25" w:right="-53" w:rightChars="-25"/>
              <w:jc w:val="right"/>
              <w:rPr>
                <w:rFonts w:asciiTheme="minorEastAsia" w:hAnsiTheme="minorEastAsia" w:eastAsiaTheme="minorEastAsia"/>
                <w:sz w:val="18"/>
                <w:szCs w:val="18"/>
              </w:rPr>
            </w:pPr>
          </w:p>
        </w:tc>
        <w:tc>
          <w:tcPr>
            <w:tcW w:w="508" w:type="pct"/>
            <w:tcBorders>
              <w:top w:val="single" w:color="auto" w:sz="4" w:space="0"/>
              <w:left w:val="single" w:color="auto" w:sz="4" w:space="0"/>
              <w:bottom w:val="single" w:color="auto" w:sz="4" w:space="0"/>
              <w:right w:val="single" w:color="auto" w:sz="4" w:space="0"/>
            </w:tcBorders>
            <w:vAlign w:val="center"/>
          </w:tcPr>
          <w:p w14:paraId="57CD5F35">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112,893,603.26</w:t>
            </w:r>
          </w:p>
        </w:tc>
        <w:tc>
          <w:tcPr>
            <w:tcW w:w="520" w:type="pct"/>
            <w:tcBorders>
              <w:top w:val="single" w:color="auto" w:sz="4" w:space="0"/>
              <w:left w:val="single" w:color="auto" w:sz="4" w:space="0"/>
              <w:bottom w:val="single" w:color="auto" w:sz="4" w:space="0"/>
              <w:right w:val="single" w:color="auto" w:sz="4" w:space="0"/>
            </w:tcBorders>
            <w:vAlign w:val="center"/>
          </w:tcPr>
          <w:p w14:paraId="12E7ACC0">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-25,474,626.09</w:t>
            </w:r>
          </w:p>
        </w:tc>
        <w:tc>
          <w:tcPr>
            <w:tcW w:w="322" w:type="pct"/>
            <w:tcBorders>
              <w:top w:val="single" w:color="auto" w:sz="4" w:space="0"/>
              <w:left w:val="single" w:color="auto" w:sz="4" w:space="0"/>
              <w:bottom w:val="single" w:color="auto" w:sz="4" w:space="0"/>
              <w:right w:val="single" w:color="auto" w:sz="4" w:space="0"/>
            </w:tcBorders>
            <w:vAlign w:val="center"/>
          </w:tcPr>
          <w:p w14:paraId="6BBF67AD">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9,695.23</w:t>
            </w:r>
          </w:p>
        </w:tc>
        <w:tc>
          <w:tcPr>
            <w:tcW w:w="477" w:type="pct"/>
            <w:tcBorders>
              <w:top w:val="single" w:color="auto" w:sz="4" w:space="0"/>
              <w:left w:val="single" w:color="auto" w:sz="4" w:space="0"/>
              <w:bottom w:val="single" w:color="auto" w:sz="4" w:space="0"/>
              <w:right w:val="single" w:color="auto" w:sz="4" w:space="0"/>
            </w:tcBorders>
            <w:vAlign w:val="center"/>
          </w:tcPr>
          <w:p w14:paraId="26D3C010">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53,639,881.85</w:t>
            </w:r>
          </w:p>
        </w:tc>
        <w:tc>
          <w:tcPr>
            <w:tcW w:w="136" w:type="pct"/>
            <w:tcBorders>
              <w:top w:val="single" w:color="auto" w:sz="4" w:space="0"/>
              <w:left w:val="single" w:color="auto" w:sz="4" w:space="0"/>
              <w:bottom w:val="single" w:color="auto" w:sz="4" w:space="0"/>
              <w:right w:val="single" w:color="auto" w:sz="4" w:space="0"/>
            </w:tcBorders>
          </w:tcPr>
          <w:p w14:paraId="0230E02E">
            <w:pPr>
              <w:ind w:left="-53" w:leftChars="-25" w:right="-53" w:rightChars="-25"/>
              <w:jc w:val="right"/>
              <w:rPr>
                <w:rFonts w:asciiTheme="minorEastAsia" w:hAnsiTheme="minorEastAsia" w:eastAsiaTheme="minorEastAsia"/>
                <w:sz w:val="18"/>
                <w:szCs w:val="18"/>
              </w:rPr>
            </w:pPr>
          </w:p>
        </w:tc>
        <w:tc>
          <w:tcPr>
            <w:tcW w:w="137" w:type="pct"/>
            <w:tcBorders>
              <w:top w:val="single" w:color="auto" w:sz="4" w:space="0"/>
              <w:left w:val="single" w:color="auto" w:sz="4" w:space="0"/>
              <w:bottom w:val="single" w:color="auto" w:sz="4" w:space="0"/>
              <w:right w:val="single" w:color="auto" w:sz="4" w:space="0"/>
            </w:tcBorders>
          </w:tcPr>
          <w:p w14:paraId="4E74826F">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vAlign w:val="center"/>
          </w:tcPr>
          <w:p w14:paraId="4C174DB3">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2,177,033,509.98</w:t>
            </w:r>
          </w:p>
        </w:tc>
        <w:tc>
          <w:tcPr>
            <w:tcW w:w="570" w:type="pct"/>
            <w:tcBorders>
              <w:top w:val="single" w:color="auto" w:sz="4" w:space="0"/>
              <w:left w:val="single" w:color="auto" w:sz="4" w:space="0"/>
              <w:bottom w:val="single" w:color="auto" w:sz="4" w:space="0"/>
              <w:right w:val="single" w:color="auto" w:sz="4" w:space="0"/>
            </w:tcBorders>
          </w:tcPr>
          <w:p w14:paraId="4FB3B836">
            <w:pPr>
              <w:ind w:left="-53" w:leftChars="-25" w:right="-53" w:rightChars="-25"/>
              <w:jc w:val="right"/>
              <w:rPr>
                <w:rFonts w:asciiTheme="minorEastAsia" w:hAnsiTheme="minorEastAsia" w:eastAsiaTheme="minorEastAsia"/>
                <w:sz w:val="18"/>
                <w:szCs w:val="18"/>
              </w:rPr>
            </w:pPr>
          </w:p>
        </w:tc>
      </w:tr>
      <w:tr w14:paraId="60C5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single" w:color="auto" w:sz="4" w:space="0"/>
              <w:bottom w:val="single" w:color="auto" w:sz="4" w:space="0"/>
              <w:right w:val="single" w:color="auto" w:sz="4" w:space="0"/>
            </w:tcBorders>
          </w:tcPr>
          <w:p w14:paraId="63D02485">
            <w:pPr>
              <w:ind w:left="-53" w:leftChars="-25" w:right="-53" w:rightChars="-25"/>
              <w:rPr>
                <w:rFonts w:asciiTheme="minorEastAsia" w:hAnsiTheme="minorEastAsia" w:eastAsiaTheme="minorEastAsia"/>
                <w:sz w:val="18"/>
                <w:szCs w:val="18"/>
              </w:rPr>
            </w:pPr>
            <w:r>
              <w:rPr>
                <w:rFonts w:asciiTheme="minorEastAsia" w:hAnsiTheme="minorEastAsia" w:eastAsiaTheme="minorEastAsia"/>
                <w:sz w:val="18"/>
                <w:szCs w:val="18"/>
              </w:rPr>
              <w:t>力帆融资租赁（上海）有限公司</w:t>
            </w:r>
          </w:p>
        </w:tc>
        <w:tc>
          <w:tcPr>
            <w:tcW w:w="570" w:type="pct"/>
            <w:tcBorders>
              <w:top w:val="single" w:color="auto" w:sz="4" w:space="0"/>
              <w:left w:val="single" w:color="auto" w:sz="4" w:space="0"/>
              <w:bottom w:val="single" w:color="auto" w:sz="4" w:space="0"/>
              <w:right w:val="single" w:color="auto" w:sz="4" w:space="0"/>
            </w:tcBorders>
            <w:vAlign w:val="center"/>
          </w:tcPr>
          <w:p w14:paraId="4FF3FBC9">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48,153,339.21</w:t>
            </w:r>
          </w:p>
        </w:tc>
        <w:tc>
          <w:tcPr>
            <w:tcW w:w="570" w:type="pct"/>
            <w:tcBorders>
              <w:top w:val="single" w:color="auto" w:sz="4" w:space="0"/>
              <w:left w:val="single" w:color="auto" w:sz="4" w:space="0"/>
              <w:bottom w:val="single" w:color="auto" w:sz="4" w:space="0"/>
              <w:right w:val="single" w:color="auto" w:sz="4" w:space="0"/>
            </w:tcBorders>
          </w:tcPr>
          <w:p w14:paraId="0625DD8C">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545D8049">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2C69F3F1">
            <w:pPr>
              <w:ind w:left="-53" w:leftChars="-25" w:right="-53" w:rightChars="-25"/>
              <w:jc w:val="right"/>
              <w:rPr>
                <w:rFonts w:asciiTheme="minorEastAsia" w:hAnsiTheme="minorEastAsia" w:eastAsiaTheme="minorEastAsia"/>
                <w:sz w:val="18"/>
                <w:szCs w:val="18"/>
              </w:rPr>
            </w:pPr>
          </w:p>
        </w:tc>
        <w:tc>
          <w:tcPr>
            <w:tcW w:w="508" w:type="pct"/>
            <w:tcBorders>
              <w:top w:val="single" w:color="auto" w:sz="4" w:space="0"/>
              <w:left w:val="single" w:color="auto" w:sz="4" w:space="0"/>
              <w:bottom w:val="single" w:color="auto" w:sz="4" w:space="0"/>
              <w:right w:val="single" w:color="auto" w:sz="4" w:space="0"/>
            </w:tcBorders>
            <w:vAlign w:val="center"/>
          </w:tcPr>
          <w:p w14:paraId="24BCC148">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-4,026,608.06</w:t>
            </w:r>
          </w:p>
        </w:tc>
        <w:tc>
          <w:tcPr>
            <w:tcW w:w="520" w:type="pct"/>
            <w:tcBorders>
              <w:top w:val="single" w:color="auto" w:sz="4" w:space="0"/>
              <w:left w:val="single" w:color="auto" w:sz="4" w:space="0"/>
              <w:bottom w:val="single" w:color="auto" w:sz="4" w:space="0"/>
              <w:right w:val="single" w:color="auto" w:sz="4" w:space="0"/>
            </w:tcBorders>
          </w:tcPr>
          <w:p w14:paraId="51E717A9">
            <w:pPr>
              <w:ind w:left="-53" w:leftChars="-25" w:right="-53" w:rightChars="-25"/>
              <w:jc w:val="right"/>
              <w:rPr>
                <w:rFonts w:asciiTheme="minorEastAsia" w:hAnsiTheme="minorEastAsia" w:eastAsiaTheme="minorEastAsia"/>
                <w:sz w:val="18"/>
                <w:szCs w:val="18"/>
              </w:rPr>
            </w:pPr>
          </w:p>
        </w:tc>
        <w:tc>
          <w:tcPr>
            <w:tcW w:w="322" w:type="pct"/>
            <w:tcBorders>
              <w:top w:val="single" w:color="auto" w:sz="4" w:space="0"/>
              <w:left w:val="single" w:color="auto" w:sz="4" w:space="0"/>
              <w:bottom w:val="single" w:color="auto" w:sz="4" w:space="0"/>
              <w:right w:val="single" w:color="auto" w:sz="4" w:space="0"/>
            </w:tcBorders>
          </w:tcPr>
          <w:p w14:paraId="141C3152">
            <w:pPr>
              <w:ind w:left="-53" w:leftChars="-25" w:right="-53" w:rightChars="-25"/>
              <w:jc w:val="right"/>
              <w:rPr>
                <w:rFonts w:asciiTheme="minorEastAsia" w:hAnsiTheme="minorEastAsia" w:eastAsiaTheme="minorEastAsia"/>
                <w:sz w:val="18"/>
                <w:szCs w:val="18"/>
              </w:rPr>
            </w:pPr>
          </w:p>
        </w:tc>
        <w:tc>
          <w:tcPr>
            <w:tcW w:w="477" w:type="pct"/>
            <w:tcBorders>
              <w:top w:val="single" w:color="auto" w:sz="4" w:space="0"/>
              <w:left w:val="single" w:color="auto" w:sz="4" w:space="0"/>
              <w:bottom w:val="single" w:color="auto" w:sz="4" w:space="0"/>
              <w:right w:val="single" w:color="auto" w:sz="4" w:space="0"/>
            </w:tcBorders>
            <w:vAlign w:val="center"/>
          </w:tcPr>
          <w:p w14:paraId="079A5108">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tcPr>
          <w:p w14:paraId="5BD94E5C">
            <w:pPr>
              <w:ind w:left="-53" w:leftChars="-25" w:right="-53" w:rightChars="-25"/>
              <w:jc w:val="right"/>
              <w:rPr>
                <w:rFonts w:asciiTheme="minorEastAsia" w:hAnsiTheme="minorEastAsia" w:eastAsiaTheme="minorEastAsia"/>
                <w:sz w:val="18"/>
                <w:szCs w:val="18"/>
              </w:rPr>
            </w:pPr>
          </w:p>
        </w:tc>
        <w:tc>
          <w:tcPr>
            <w:tcW w:w="137" w:type="pct"/>
            <w:tcBorders>
              <w:top w:val="single" w:color="auto" w:sz="4" w:space="0"/>
              <w:left w:val="single" w:color="auto" w:sz="4" w:space="0"/>
              <w:bottom w:val="single" w:color="auto" w:sz="4" w:space="0"/>
              <w:right w:val="single" w:color="auto" w:sz="4" w:space="0"/>
            </w:tcBorders>
          </w:tcPr>
          <w:p w14:paraId="66D6C5E7">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vAlign w:val="center"/>
          </w:tcPr>
          <w:p w14:paraId="232DBB93">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44,126,731.15</w:t>
            </w:r>
          </w:p>
        </w:tc>
        <w:tc>
          <w:tcPr>
            <w:tcW w:w="570" w:type="pct"/>
            <w:tcBorders>
              <w:top w:val="single" w:color="auto" w:sz="4" w:space="0"/>
              <w:left w:val="single" w:color="auto" w:sz="4" w:space="0"/>
              <w:bottom w:val="single" w:color="auto" w:sz="4" w:space="0"/>
              <w:right w:val="single" w:color="auto" w:sz="4" w:space="0"/>
            </w:tcBorders>
          </w:tcPr>
          <w:p w14:paraId="45D40295">
            <w:pPr>
              <w:ind w:left="-53" w:leftChars="-25" w:right="-53" w:rightChars="-25"/>
              <w:jc w:val="right"/>
              <w:rPr>
                <w:rFonts w:asciiTheme="minorEastAsia" w:hAnsiTheme="minorEastAsia" w:eastAsiaTheme="minorEastAsia"/>
                <w:sz w:val="18"/>
                <w:szCs w:val="18"/>
              </w:rPr>
            </w:pPr>
          </w:p>
        </w:tc>
      </w:tr>
      <w:tr w14:paraId="45B7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single" w:color="auto" w:sz="4" w:space="0"/>
              <w:bottom w:val="single" w:color="auto" w:sz="4" w:space="0"/>
              <w:right w:val="single" w:color="auto" w:sz="4" w:space="0"/>
            </w:tcBorders>
          </w:tcPr>
          <w:p w14:paraId="49B3B1CC">
            <w:pPr>
              <w:ind w:left="-53" w:leftChars="-25" w:right="-53" w:rightChars="-25"/>
              <w:rPr>
                <w:rFonts w:asciiTheme="minorEastAsia" w:hAnsiTheme="minorEastAsia" w:eastAsiaTheme="minorEastAsia"/>
                <w:sz w:val="18"/>
                <w:szCs w:val="18"/>
              </w:rPr>
            </w:pPr>
            <w:r>
              <w:rPr>
                <w:rFonts w:asciiTheme="minorEastAsia" w:hAnsiTheme="minorEastAsia" w:eastAsiaTheme="minorEastAsia"/>
                <w:sz w:val="18"/>
                <w:szCs w:val="18"/>
              </w:rPr>
              <w:t>重庆力帆财务有限公司</w:t>
            </w:r>
          </w:p>
        </w:tc>
        <w:tc>
          <w:tcPr>
            <w:tcW w:w="570" w:type="pct"/>
            <w:tcBorders>
              <w:top w:val="single" w:color="auto" w:sz="4" w:space="0"/>
              <w:left w:val="single" w:color="auto" w:sz="4" w:space="0"/>
              <w:bottom w:val="single" w:color="auto" w:sz="4" w:space="0"/>
              <w:right w:val="single" w:color="auto" w:sz="4" w:space="0"/>
            </w:tcBorders>
            <w:vAlign w:val="center"/>
          </w:tcPr>
          <w:p w14:paraId="3495CA25">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14,758,901.95</w:t>
            </w:r>
          </w:p>
        </w:tc>
        <w:tc>
          <w:tcPr>
            <w:tcW w:w="570" w:type="pct"/>
            <w:tcBorders>
              <w:top w:val="single" w:color="auto" w:sz="4" w:space="0"/>
              <w:left w:val="single" w:color="auto" w:sz="4" w:space="0"/>
              <w:bottom w:val="single" w:color="auto" w:sz="4" w:space="0"/>
              <w:right w:val="single" w:color="auto" w:sz="4" w:space="0"/>
            </w:tcBorders>
            <w:vAlign w:val="center"/>
          </w:tcPr>
          <w:p w14:paraId="1E66EE3E">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1,404,263,267.23</w:t>
            </w:r>
          </w:p>
        </w:tc>
        <w:tc>
          <w:tcPr>
            <w:tcW w:w="136" w:type="pct"/>
            <w:tcBorders>
              <w:top w:val="single" w:color="auto" w:sz="4" w:space="0"/>
              <w:left w:val="single" w:color="auto" w:sz="4" w:space="0"/>
              <w:bottom w:val="single" w:color="auto" w:sz="4" w:space="0"/>
              <w:right w:val="single" w:color="auto" w:sz="4" w:space="0"/>
            </w:tcBorders>
            <w:vAlign w:val="center"/>
          </w:tcPr>
          <w:p w14:paraId="019A9F81">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vAlign w:val="center"/>
          </w:tcPr>
          <w:p w14:paraId="241E9FD9">
            <w:pPr>
              <w:ind w:left="-53" w:leftChars="-25" w:right="-53" w:rightChars="-25"/>
              <w:jc w:val="right"/>
              <w:rPr>
                <w:rFonts w:asciiTheme="minorEastAsia" w:hAnsiTheme="minorEastAsia" w:eastAsiaTheme="minorEastAsia"/>
                <w:sz w:val="18"/>
                <w:szCs w:val="18"/>
              </w:rPr>
            </w:pPr>
          </w:p>
        </w:tc>
        <w:tc>
          <w:tcPr>
            <w:tcW w:w="508" w:type="pct"/>
            <w:tcBorders>
              <w:top w:val="single" w:color="auto" w:sz="4" w:space="0"/>
              <w:left w:val="single" w:color="auto" w:sz="4" w:space="0"/>
              <w:bottom w:val="single" w:color="auto" w:sz="4" w:space="0"/>
              <w:right w:val="single" w:color="auto" w:sz="4" w:space="0"/>
            </w:tcBorders>
            <w:vAlign w:val="center"/>
          </w:tcPr>
          <w:p w14:paraId="2273AFFE">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57,224.58</w:t>
            </w:r>
          </w:p>
        </w:tc>
        <w:tc>
          <w:tcPr>
            <w:tcW w:w="520" w:type="pct"/>
            <w:tcBorders>
              <w:top w:val="single" w:color="auto" w:sz="4" w:space="0"/>
              <w:left w:val="single" w:color="auto" w:sz="4" w:space="0"/>
              <w:bottom w:val="single" w:color="auto" w:sz="4" w:space="0"/>
              <w:right w:val="single" w:color="auto" w:sz="4" w:space="0"/>
            </w:tcBorders>
            <w:vAlign w:val="center"/>
          </w:tcPr>
          <w:p w14:paraId="60786E10">
            <w:pPr>
              <w:ind w:left="-53" w:leftChars="-25" w:right="-53" w:rightChars="-25"/>
              <w:jc w:val="right"/>
              <w:rPr>
                <w:rFonts w:asciiTheme="minorEastAsia" w:hAnsiTheme="minorEastAsia" w:eastAsiaTheme="minorEastAsia"/>
                <w:sz w:val="18"/>
                <w:szCs w:val="18"/>
              </w:rPr>
            </w:pPr>
          </w:p>
        </w:tc>
        <w:tc>
          <w:tcPr>
            <w:tcW w:w="322" w:type="pct"/>
            <w:tcBorders>
              <w:top w:val="single" w:color="auto" w:sz="4" w:space="0"/>
              <w:left w:val="single" w:color="auto" w:sz="4" w:space="0"/>
              <w:bottom w:val="single" w:color="auto" w:sz="4" w:space="0"/>
              <w:right w:val="single" w:color="auto" w:sz="4" w:space="0"/>
            </w:tcBorders>
            <w:vAlign w:val="center"/>
          </w:tcPr>
          <w:p w14:paraId="43D7347E">
            <w:pPr>
              <w:ind w:left="-53" w:leftChars="-25" w:right="-53" w:rightChars="-25"/>
              <w:jc w:val="right"/>
              <w:rPr>
                <w:rFonts w:asciiTheme="minorEastAsia" w:hAnsiTheme="minorEastAsia" w:eastAsiaTheme="minorEastAsia"/>
                <w:sz w:val="18"/>
                <w:szCs w:val="18"/>
              </w:rPr>
            </w:pPr>
          </w:p>
        </w:tc>
        <w:tc>
          <w:tcPr>
            <w:tcW w:w="477" w:type="pct"/>
            <w:tcBorders>
              <w:top w:val="single" w:color="auto" w:sz="4" w:space="0"/>
              <w:left w:val="single" w:color="auto" w:sz="4" w:space="0"/>
              <w:bottom w:val="single" w:color="auto" w:sz="4" w:space="0"/>
              <w:right w:val="single" w:color="auto" w:sz="4" w:space="0"/>
            </w:tcBorders>
            <w:vAlign w:val="center"/>
          </w:tcPr>
          <w:p w14:paraId="1EFA349A">
            <w:pPr>
              <w:ind w:left="-53" w:leftChars="-25" w:right="-53" w:rightChars="-25"/>
              <w:jc w:val="right"/>
              <w:rPr>
                <w:rFonts w:cs="Times New Roman"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vAlign w:val="center"/>
          </w:tcPr>
          <w:p w14:paraId="142FAB9E">
            <w:pPr>
              <w:ind w:left="-53" w:leftChars="-25" w:right="-53" w:rightChars="-25"/>
              <w:jc w:val="right"/>
              <w:rPr>
                <w:rFonts w:asciiTheme="minorEastAsia" w:hAnsiTheme="minorEastAsia" w:eastAsiaTheme="minorEastAsia"/>
                <w:sz w:val="18"/>
                <w:szCs w:val="18"/>
              </w:rPr>
            </w:pPr>
          </w:p>
        </w:tc>
        <w:tc>
          <w:tcPr>
            <w:tcW w:w="137" w:type="pct"/>
            <w:tcBorders>
              <w:top w:val="single" w:color="auto" w:sz="4" w:space="0"/>
              <w:left w:val="single" w:color="auto" w:sz="4" w:space="0"/>
              <w:bottom w:val="single" w:color="auto" w:sz="4" w:space="0"/>
              <w:right w:val="single" w:color="auto" w:sz="4" w:space="0"/>
            </w:tcBorders>
            <w:vAlign w:val="center"/>
          </w:tcPr>
          <w:p w14:paraId="1F8CD5AF">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vAlign w:val="center"/>
          </w:tcPr>
          <w:p w14:paraId="56977C95">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14,816,126.53</w:t>
            </w:r>
          </w:p>
        </w:tc>
        <w:tc>
          <w:tcPr>
            <w:tcW w:w="570" w:type="pct"/>
            <w:tcBorders>
              <w:top w:val="single" w:color="auto" w:sz="4" w:space="0"/>
              <w:left w:val="single" w:color="auto" w:sz="4" w:space="0"/>
              <w:bottom w:val="single" w:color="auto" w:sz="4" w:space="0"/>
              <w:right w:val="single" w:color="auto" w:sz="4" w:space="0"/>
            </w:tcBorders>
            <w:vAlign w:val="center"/>
          </w:tcPr>
          <w:p w14:paraId="278DCFFF">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1,404,263,267.23</w:t>
            </w:r>
          </w:p>
        </w:tc>
      </w:tr>
      <w:tr w14:paraId="62F8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single" w:color="auto" w:sz="4" w:space="0"/>
              <w:bottom w:val="single" w:color="auto" w:sz="4" w:space="0"/>
              <w:right w:val="single" w:color="auto" w:sz="4" w:space="0"/>
            </w:tcBorders>
          </w:tcPr>
          <w:p w14:paraId="590FBBEE">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小计</w:t>
            </w:r>
          </w:p>
        </w:tc>
        <w:tc>
          <w:tcPr>
            <w:tcW w:w="570" w:type="pct"/>
            <w:tcBorders>
              <w:top w:val="single" w:color="auto" w:sz="4" w:space="0"/>
              <w:left w:val="single" w:color="auto" w:sz="4" w:space="0"/>
              <w:bottom w:val="single" w:color="auto" w:sz="4" w:space="0"/>
              <w:right w:val="single" w:color="auto" w:sz="4" w:space="0"/>
            </w:tcBorders>
            <w:vAlign w:val="center"/>
          </w:tcPr>
          <w:p w14:paraId="74BD097C">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2,206,156,960.59</w:t>
            </w:r>
          </w:p>
        </w:tc>
        <w:tc>
          <w:tcPr>
            <w:tcW w:w="570" w:type="pct"/>
            <w:tcBorders>
              <w:top w:val="single" w:color="auto" w:sz="4" w:space="0"/>
              <w:left w:val="single" w:color="auto" w:sz="4" w:space="0"/>
              <w:bottom w:val="single" w:color="auto" w:sz="4" w:space="0"/>
              <w:right w:val="single" w:color="auto" w:sz="4" w:space="0"/>
            </w:tcBorders>
            <w:vAlign w:val="center"/>
          </w:tcPr>
          <w:p w14:paraId="4563CA2A">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1,404,263,267.23</w:t>
            </w:r>
          </w:p>
        </w:tc>
        <w:tc>
          <w:tcPr>
            <w:tcW w:w="136" w:type="pct"/>
            <w:tcBorders>
              <w:top w:val="single" w:color="auto" w:sz="4" w:space="0"/>
              <w:left w:val="single" w:color="auto" w:sz="4" w:space="0"/>
              <w:bottom w:val="single" w:color="auto" w:sz="4" w:space="0"/>
              <w:right w:val="single" w:color="auto" w:sz="4" w:space="0"/>
            </w:tcBorders>
            <w:vAlign w:val="center"/>
          </w:tcPr>
          <w:p w14:paraId="0CDFCF54">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vAlign w:val="center"/>
          </w:tcPr>
          <w:p w14:paraId="4CDCE4C2">
            <w:pPr>
              <w:ind w:left="-53" w:leftChars="-25" w:right="-53" w:rightChars="-25"/>
              <w:jc w:val="right"/>
              <w:rPr>
                <w:rFonts w:asciiTheme="minorEastAsia" w:hAnsiTheme="minorEastAsia" w:eastAsiaTheme="minorEastAsia"/>
                <w:sz w:val="18"/>
                <w:szCs w:val="18"/>
              </w:rPr>
            </w:pPr>
          </w:p>
        </w:tc>
        <w:tc>
          <w:tcPr>
            <w:tcW w:w="508" w:type="pct"/>
            <w:tcBorders>
              <w:top w:val="single" w:color="auto" w:sz="4" w:space="0"/>
              <w:left w:val="single" w:color="auto" w:sz="4" w:space="0"/>
              <w:bottom w:val="single" w:color="auto" w:sz="4" w:space="0"/>
              <w:right w:val="single" w:color="auto" w:sz="4" w:space="0"/>
            </w:tcBorders>
            <w:vAlign w:val="center"/>
          </w:tcPr>
          <w:p w14:paraId="60101082">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108,924,219.78</w:t>
            </w:r>
          </w:p>
        </w:tc>
        <w:tc>
          <w:tcPr>
            <w:tcW w:w="520" w:type="pct"/>
            <w:tcBorders>
              <w:top w:val="single" w:color="auto" w:sz="4" w:space="0"/>
              <w:left w:val="single" w:color="auto" w:sz="4" w:space="0"/>
              <w:bottom w:val="single" w:color="auto" w:sz="4" w:space="0"/>
              <w:right w:val="single" w:color="auto" w:sz="4" w:space="0"/>
            </w:tcBorders>
            <w:vAlign w:val="center"/>
          </w:tcPr>
          <w:p w14:paraId="6A7AD0D2">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-25,474,626.09</w:t>
            </w:r>
          </w:p>
        </w:tc>
        <w:tc>
          <w:tcPr>
            <w:tcW w:w="322" w:type="pct"/>
            <w:tcBorders>
              <w:top w:val="single" w:color="auto" w:sz="4" w:space="0"/>
              <w:left w:val="single" w:color="auto" w:sz="4" w:space="0"/>
              <w:bottom w:val="single" w:color="auto" w:sz="4" w:space="0"/>
              <w:right w:val="single" w:color="auto" w:sz="4" w:space="0"/>
            </w:tcBorders>
            <w:vAlign w:val="center"/>
          </w:tcPr>
          <w:p w14:paraId="2F14B145">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9,695.23</w:t>
            </w:r>
          </w:p>
        </w:tc>
        <w:tc>
          <w:tcPr>
            <w:tcW w:w="477" w:type="pct"/>
            <w:tcBorders>
              <w:top w:val="single" w:color="auto" w:sz="4" w:space="0"/>
              <w:left w:val="single" w:color="auto" w:sz="4" w:space="0"/>
              <w:bottom w:val="single" w:color="auto" w:sz="4" w:space="0"/>
              <w:right w:val="single" w:color="auto" w:sz="4" w:space="0"/>
            </w:tcBorders>
            <w:vAlign w:val="center"/>
          </w:tcPr>
          <w:p w14:paraId="00227340">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53,639,881.85</w:t>
            </w:r>
          </w:p>
        </w:tc>
        <w:tc>
          <w:tcPr>
            <w:tcW w:w="136" w:type="pct"/>
            <w:tcBorders>
              <w:top w:val="single" w:color="auto" w:sz="4" w:space="0"/>
              <w:left w:val="single" w:color="auto" w:sz="4" w:space="0"/>
              <w:bottom w:val="single" w:color="auto" w:sz="4" w:space="0"/>
              <w:right w:val="single" w:color="auto" w:sz="4" w:space="0"/>
            </w:tcBorders>
            <w:vAlign w:val="center"/>
          </w:tcPr>
          <w:p w14:paraId="64370A95">
            <w:pPr>
              <w:ind w:left="-53" w:leftChars="-25" w:right="-53" w:rightChars="-25"/>
              <w:jc w:val="right"/>
              <w:rPr>
                <w:rFonts w:asciiTheme="minorEastAsia" w:hAnsiTheme="minorEastAsia" w:eastAsiaTheme="minorEastAsia"/>
                <w:sz w:val="18"/>
                <w:szCs w:val="18"/>
              </w:rPr>
            </w:pPr>
          </w:p>
        </w:tc>
        <w:tc>
          <w:tcPr>
            <w:tcW w:w="137" w:type="pct"/>
            <w:tcBorders>
              <w:top w:val="single" w:color="auto" w:sz="4" w:space="0"/>
              <w:left w:val="single" w:color="auto" w:sz="4" w:space="0"/>
              <w:bottom w:val="single" w:color="auto" w:sz="4" w:space="0"/>
              <w:right w:val="single" w:color="auto" w:sz="4" w:space="0"/>
            </w:tcBorders>
            <w:vAlign w:val="center"/>
          </w:tcPr>
          <w:p w14:paraId="4F78A9E6">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vAlign w:val="center"/>
          </w:tcPr>
          <w:p w14:paraId="050087CE">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2,235,976,367.66</w:t>
            </w:r>
          </w:p>
        </w:tc>
        <w:tc>
          <w:tcPr>
            <w:tcW w:w="570" w:type="pct"/>
            <w:tcBorders>
              <w:top w:val="single" w:color="auto" w:sz="4" w:space="0"/>
              <w:left w:val="single" w:color="auto" w:sz="4" w:space="0"/>
              <w:bottom w:val="single" w:color="auto" w:sz="4" w:space="0"/>
              <w:right w:val="single" w:color="auto" w:sz="4" w:space="0"/>
            </w:tcBorders>
            <w:vAlign w:val="center"/>
          </w:tcPr>
          <w:p w14:paraId="332CE81C">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1,404,263,267.23</w:t>
            </w:r>
          </w:p>
        </w:tc>
      </w:tr>
      <w:tr w14:paraId="65B1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tcBorders>
              <w:top w:val="single" w:color="auto" w:sz="4" w:space="0"/>
              <w:left w:val="single" w:color="auto" w:sz="4" w:space="0"/>
              <w:bottom w:val="single" w:color="auto" w:sz="4" w:space="0"/>
              <w:right w:val="single" w:color="auto" w:sz="4" w:space="0"/>
            </w:tcBorders>
            <w:vAlign w:val="center"/>
          </w:tcPr>
          <w:p w14:paraId="2ACBB00D">
            <w:pPr>
              <w:ind w:left="-53" w:leftChars="-25" w:right="-53" w:rightChars="-25"/>
              <w:jc w:val="center"/>
              <w:rPr>
                <w:rFonts w:asciiTheme="minorEastAsia" w:hAnsiTheme="minorEastAsia" w:eastAsiaTheme="minorEastAsia"/>
                <w:color w:val="000000" w:themeColor="text1"/>
                <w:sz w:val="18"/>
                <w:szCs w:val="18"/>
                <w14:textFill>
                  <w14:solidFill>
                    <w14:schemeClr w14:val="tx1"/>
                  </w14:solidFill>
                </w14:textFill>
              </w:rPr>
            </w:pPr>
            <w:r>
              <w:rPr>
                <w:rFonts w:hint="eastAsia" w:asciiTheme="minorEastAsia" w:hAnsiTheme="minorEastAsia" w:eastAsiaTheme="minorEastAsia"/>
                <w:color w:val="000000" w:themeColor="text1"/>
                <w:sz w:val="18"/>
                <w:szCs w:val="18"/>
                <w14:textFill>
                  <w14:solidFill>
                    <w14:schemeClr w14:val="tx1"/>
                  </w14:solidFill>
                </w14:textFill>
              </w:rPr>
              <w:t>合计</w:t>
            </w:r>
          </w:p>
        </w:tc>
        <w:tc>
          <w:tcPr>
            <w:tcW w:w="570" w:type="pct"/>
            <w:tcBorders>
              <w:top w:val="single" w:color="auto" w:sz="4" w:space="0"/>
              <w:left w:val="single" w:color="auto" w:sz="4" w:space="0"/>
              <w:bottom w:val="single" w:color="auto" w:sz="4" w:space="0"/>
              <w:right w:val="single" w:color="auto" w:sz="4" w:space="0"/>
            </w:tcBorders>
          </w:tcPr>
          <w:p w14:paraId="11613346">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2,206,156,960.59</w:t>
            </w:r>
          </w:p>
        </w:tc>
        <w:tc>
          <w:tcPr>
            <w:tcW w:w="570" w:type="pct"/>
            <w:tcBorders>
              <w:top w:val="single" w:color="auto" w:sz="4" w:space="0"/>
              <w:left w:val="single" w:color="auto" w:sz="4" w:space="0"/>
              <w:bottom w:val="single" w:color="auto" w:sz="4" w:space="0"/>
              <w:right w:val="single" w:color="auto" w:sz="4" w:space="0"/>
            </w:tcBorders>
            <w:vAlign w:val="center"/>
          </w:tcPr>
          <w:p w14:paraId="62F60A66">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1,404,263,267.23</w:t>
            </w:r>
          </w:p>
        </w:tc>
        <w:tc>
          <w:tcPr>
            <w:tcW w:w="136" w:type="pct"/>
            <w:tcBorders>
              <w:top w:val="single" w:color="auto" w:sz="4" w:space="0"/>
              <w:left w:val="single" w:color="auto" w:sz="4" w:space="0"/>
              <w:bottom w:val="single" w:color="auto" w:sz="4" w:space="0"/>
              <w:right w:val="single" w:color="auto" w:sz="4" w:space="0"/>
            </w:tcBorders>
            <w:vAlign w:val="center"/>
          </w:tcPr>
          <w:p w14:paraId="38E1DF3F">
            <w:pPr>
              <w:ind w:left="-53" w:leftChars="-25" w:right="-53" w:rightChars="-25"/>
              <w:jc w:val="right"/>
              <w:rPr>
                <w:rFonts w:asciiTheme="minorEastAsia" w:hAnsiTheme="minorEastAsia" w:eastAsiaTheme="minorEastAsia"/>
                <w:sz w:val="18"/>
                <w:szCs w:val="18"/>
              </w:rPr>
            </w:pPr>
          </w:p>
        </w:tc>
        <w:tc>
          <w:tcPr>
            <w:tcW w:w="136" w:type="pct"/>
            <w:tcBorders>
              <w:top w:val="single" w:color="auto" w:sz="4" w:space="0"/>
              <w:left w:val="single" w:color="auto" w:sz="4" w:space="0"/>
              <w:bottom w:val="single" w:color="auto" w:sz="4" w:space="0"/>
              <w:right w:val="single" w:color="auto" w:sz="4" w:space="0"/>
            </w:tcBorders>
            <w:vAlign w:val="center"/>
          </w:tcPr>
          <w:p w14:paraId="56C46C32">
            <w:pPr>
              <w:ind w:left="-53" w:leftChars="-25" w:right="-53" w:rightChars="-25"/>
              <w:jc w:val="right"/>
              <w:rPr>
                <w:rFonts w:asciiTheme="minorEastAsia" w:hAnsiTheme="minorEastAsia" w:eastAsiaTheme="minorEastAsia"/>
                <w:sz w:val="18"/>
                <w:szCs w:val="18"/>
              </w:rPr>
            </w:pPr>
          </w:p>
        </w:tc>
        <w:tc>
          <w:tcPr>
            <w:tcW w:w="508" w:type="pct"/>
            <w:tcBorders>
              <w:top w:val="single" w:color="auto" w:sz="4" w:space="0"/>
              <w:left w:val="single" w:color="auto" w:sz="4" w:space="0"/>
              <w:bottom w:val="single" w:color="auto" w:sz="4" w:space="0"/>
              <w:right w:val="single" w:color="auto" w:sz="4" w:space="0"/>
            </w:tcBorders>
            <w:vAlign w:val="center"/>
          </w:tcPr>
          <w:p w14:paraId="4C66778A">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108,924,219.78</w:t>
            </w:r>
          </w:p>
        </w:tc>
        <w:tc>
          <w:tcPr>
            <w:tcW w:w="520" w:type="pct"/>
            <w:tcBorders>
              <w:top w:val="single" w:color="auto" w:sz="4" w:space="0"/>
              <w:left w:val="single" w:color="auto" w:sz="4" w:space="0"/>
              <w:bottom w:val="single" w:color="auto" w:sz="4" w:space="0"/>
              <w:right w:val="single" w:color="auto" w:sz="4" w:space="0"/>
            </w:tcBorders>
            <w:vAlign w:val="center"/>
          </w:tcPr>
          <w:p w14:paraId="6E987588">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-25,474,626.09</w:t>
            </w:r>
          </w:p>
        </w:tc>
        <w:tc>
          <w:tcPr>
            <w:tcW w:w="322" w:type="pct"/>
            <w:tcBorders>
              <w:top w:val="single" w:color="auto" w:sz="4" w:space="0"/>
              <w:left w:val="single" w:color="auto" w:sz="4" w:space="0"/>
              <w:bottom w:val="single" w:color="auto" w:sz="4" w:space="0"/>
              <w:right w:val="single" w:color="auto" w:sz="4" w:space="0"/>
            </w:tcBorders>
            <w:vAlign w:val="center"/>
          </w:tcPr>
          <w:p w14:paraId="71024E81">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9,695.23</w:t>
            </w:r>
          </w:p>
        </w:tc>
        <w:tc>
          <w:tcPr>
            <w:tcW w:w="477" w:type="pct"/>
            <w:tcBorders>
              <w:top w:val="single" w:color="auto" w:sz="4" w:space="0"/>
              <w:left w:val="single" w:color="auto" w:sz="4" w:space="0"/>
              <w:bottom w:val="single" w:color="auto" w:sz="4" w:space="0"/>
              <w:right w:val="single" w:color="auto" w:sz="4" w:space="0"/>
            </w:tcBorders>
            <w:vAlign w:val="center"/>
          </w:tcPr>
          <w:p w14:paraId="23C7070B">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53,639,881.85</w:t>
            </w:r>
          </w:p>
        </w:tc>
        <w:tc>
          <w:tcPr>
            <w:tcW w:w="136" w:type="pct"/>
            <w:tcBorders>
              <w:top w:val="single" w:color="auto" w:sz="4" w:space="0"/>
              <w:left w:val="single" w:color="auto" w:sz="4" w:space="0"/>
              <w:bottom w:val="single" w:color="auto" w:sz="4" w:space="0"/>
              <w:right w:val="single" w:color="auto" w:sz="4" w:space="0"/>
            </w:tcBorders>
            <w:vAlign w:val="center"/>
          </w:tcPr>
          <w:p w14:paraId="3A91E5FC">
            <w:pPr>
              <w:ind w:left="-53" w:leftChars="-25" w:right="-53" w:rightChars="-25"/>
              <w:jc w:val="right"/>
              <w:rPr>
                <w:rFonts w:asciiTheme="minorEastAsia" w:hAnsiTheme="minorEastAsia" w:eastAsiaTheme="minorEastAsia"/>
                <w:sz w:val="18"/>
                <w:szCs w:val="18"/>
              </w:rPr>
            </w:pPr>
          </w:p>
        </w:tc>
        <w:tc>
          <w:tcPr>
            <w:tcW w:w="137" w:type="pct"/>
            <w:tcBorders>
              <w:top w:val="single" w:color="auto" w:sz="4" w:space="0"/>
              <w:left w:val="single" w:color="auto" w:sz="4" w:space="0"/>
              <w:bottom w:val="single" w:color="auto" w:sz="4" w:space="0"/>
              <w:right w:val="single" w:color="auto" w:sz="4" w:space="0"/>
            </w:tcBorders>
            <w:vAlign w:val="center"/>
          </w:tcPr>
          <w:p w14:paraId="19D9A12E">
            <w:pPr>
              <w:ind w:left="-53" w:leftChars="-25" w:right="-53" w:rightChars="-25"/>
              <w:jc w:val="right"/>
              <w:rPr>
                <w:rFonts w:asciiTheme="minorEastAsia" w:hAnsiTheme="minorEastAsia" w:eastAsiaTheme="minorEastAsia"/>
                <w:sz w:val="18"/>
                <w:szCs w:val="18"/>
              </w:rPr>
            </w:pPr>
          </w:p>
        </w:tc>
        <w:tc>
          <w:tcPr>
            <w:tcW w:w="570" w:type="pct"/>
            <w:tcBorders>
              <w:top w:val="single" w:color="auto" w:sz="4" w:space="0"/>
              <w:left w:val="single" w:color="auto" w:sz="4" w:space="0"/>
              <w:bottom w:val="single" w:color="auto" w:sz="4" w:space="0"/>
              <w:right w:val="single" w:color="auto" w:sz="4" w:space="0"/>
            </w:tcBorders>
            <w:vAlign w:val="center"/>
          </w:tcPr>
          <w:p w14:paraId="27A64C11">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2,235,976,367.66</w:t>
            </w:r>
          </w:p>
        </w:tc>
        <w:tc>
          <w:tcPr>
            <w:tcW w:w="570" w:type="pct"/>
            <w:tcBorders>
              <w:top w:val="single" w:color="auto" w:sz="4" w:space="0"/>
              <w:left w:val="single" w:color="auto" w:sz="4" w:space="0"/>
              <w:bottom w:val="single" w:color="auto" w:sz="4" w:space="0"/>
              <w:right w:val="single" w:color="auto" w:sz="4" w:space="0"/>
            </w:tcBorders>
            <w:vAlign w:val="center"/>
          </w:tcPr>
          <w:p w14:paraId="7E04CAC1">
            <w:pPr>
              <w:ind w:left="-53" w:leftChars="-25" w:right="-53" w:rightChars="-25"/>
              <w:jc w:val="right"/>
              <w:rPr>
                <w:rFonts w:asciiTheme="minorEastAsia" w:hAnsiTheme="minorEastAsia" w:eastAsiaTheme="minorEastAsia"/>
                <w:sz w:val="18"/>
                <w:szCs w:val="18"/>
              </w:rPr>
            </w:pPr>
            <w:r>
              <w:rPr>
                <w:rFonts w:asciiTheme="minorEastAsia" w:hAnsiTheme="minorEastAsia" w:eastAsiaTheme="minorEastAsia"/>
                <w:sz w:val="18"/>
                <w:szCs w:val="18"/>
              </w:rPr>
              <w:t>1,404,263,267.23</w:t>
            </w:r>
          </w:p>
        </w:tc>
      </w:tr>
    </w:tbl>
    <w:p w14:paraId="474A1E3E"/>
    <w:p w14:paraId="0CB0E143">
      <w:pPr>
        <w:pStyle w:val="5"/>
        <w:numPr>
          <w:ilvl w:val="0"/>
          <w:numId w:val="109"/>
        </w:num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长期股权投资的减值测试情况</w:t>
      </w:r>
    </w:p>
    <w:sdt>
      <w:sdtPr>
        <w:rPr>
          <w:color w:val="000000" w:themeColor="text1"/>
          <w14:textFill>
            <w14:solidFill>
              <w14:schemeClr w14:val="tx1"/>
            </w14:solidFill>
          </w14:textFill>
        </w:rPr>
        <w:alias w:val="是否适用：减值测试情况[双击切换]"/>
        <w:tag w:val="_GBC_c0857dc1a8eb4f79b18a90f9b4b26d58"/>
        <w:id w:val="927306692"/>
        <w:placeholder>
          <w:docPart w:val="GBC22222222222222222222222222222"/>
        </w:placeholder>
      </w:sdtPr>
      <w:sdtEndPr>
        <w:rPr>
          <w:color w:val="000000" w:themeColor="text1"/>
          <w14:textFill>
            <w14:solidFill>
              <w14:schemeClr w14:val="tx1"/>
            </w14:solidFill>
          </w14:textFill>
        </w:rPr>
      </w:sdtEndPr>
      <w:sdtContent>
        <w:p w14:paraId="70D2F9B5">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bookmarkEnd w:id="453"/>
    <w:bookmarkEnd w:id="454"/>
    <w:p w14:paraId="4E8D62E1">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母公司长期股权投资其他说明[双击切换]"/>
        <w:tag w:val="_GBC_8b70582854684459adc77f46cbf4aac7"/>
        <w:id w:val="604307135"/>
        <w:placeholder>
          <w:docPart w:val="GBC22222222222222222222222222222"/>
        </w:placeholder>
      </w:sdtPr>
      <w:sdtEndPr>
        <w:rPr>
          <w:color w:val="000000" w:themeColor="text1"/>
          <w14:textFill>
            <w14:solidFill>
              <w14:schemeClr w14:val="tx1"/>
            </w14:solidFill>
          </w14:textFill>
        </w:rPr>
      </w:sdtEndPr>
      <w:sdtContent>
        <w:p w14:paraId="498605C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C84C853">
      <w:pPr>
        <w:rPr>
          <w:color w:val="000000" w:themeColor="text1"/>
          <w14:textFill>
            <w14:solidFill>
              <w14:schemeClr w14:val="tx1"/>
            </w14:solidFill>
          </w14:textFill>
        </w:rPr>
      </w:pPr>
    </w:p>
    <w:p w14:paraId="0A6E148B">
      <w:pPr>
        <w:rPr>
          <w:color w:val="000000" w:themeColor="text1"/>
          <w14:textFill>
            <w14:solidFill>
              <w14:schemeClr w14:val="tx1"/>
            </w14:solidFill>
          </w14:textFill>
        </w:rPr>
        <w:sectPr>
          <w:pgSz w:w="16838" w:h="11906" w:orient="landscape"/>
          <w:pgMar w:top="1797" w:right="1525" w:bottom="1276" w:left="1440" w:header="856" w:footer="992" w:gutter="0"/>
          <w:cols w:space="425" w:num="1"/>
          <w:docGrid w:linePitch="312" w:charSpace="0"/>
        </w:sectPr>
      </w:pPr>
    </w:p>
    <w:p w14:paraId="6C1B51C8">
      <w:pPr>
        <w:pStyle w:val="4"/>
        <w:numPr>
          <w:ilvl w:val="0"/>
          <w:numId w:val="103"/>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营业收入和营业成本</w:t>
      </w:r>
    </w:p>
    <w:p w14:paraId="6C6A5CEA">
      <w:pPr>
        <w:pStyle w:val="5"/>
        <w:numPr>
          <w:ilvl w:val="0"/>
          <w:numId w:val="110"/>
        </w:numPr>
        <w:rPr>
          <w:rFonts w:ascii="宋体" w:hAnsi="宋体"/>
          <w:color w:val="000000" w:themeColor="text1"/>
          <w14:textFill>
            <w14:solidFill>
              <w14:schemeClr w14:val="tx1"/>
            </w14:solidFill>
          </w14:textFill>
        </w:rPr>
      </w:pPr>
      <w:bookmarkStart w:id="455" w:name="_Hlk10548568"/>
      <w:r>
        <w:rPr>
          <w:rFonts w:hint="eastAsia" w:ascii="宋体" w:hAnsi="宋体"/>
          <w:color w:val="000000" w:themeColor="text1"/>
          <w14:textFill>
            <w14:solidFill>
              <w14:schemeClr w14:val="tx1"/>
            </w14:solidFill>
          </w14:textFill>
        </w:rPr>
        <w:t>营业收入和营业成本情况</w:t>
      </w:r>
    </w:p>
    <w:sdt>
      <w:sdtPr>
        <w:rPr>
          <w:color w:val="000000" w:themeColor="text1"/>
          <w14:textFill>
            <w14:solidFill>
              <w14:schemeClr w14:val="tx1"/>
            </w14:solidFill>
          </w14:textFill>
        </w:rPr>
        <w:alias w:val="是否适用：母公司营业收入和营业成本[双击切换]"/>
        <w:tag w:val="_GBC_f62d83b1068f4bfaae3a590b0ac9f4d7"/>
        <w:id w:val="1448284501"/>
        <w:placeholder>
          <w:docPart w:val="GBC22222222222222222222222222222"/>
        </w:placeholder>
      </w:sdtPr>
      <w:sdtEndPr>
        <w:rPr>
          <w:color w:val="000000" w:themeColor="text1"/>
          <w14:textFill>
            <w14:solidFill>
              <w14:schemeClr w14:val="tx1"/>
            </w14:solidFill>
          </w14:textFill>
        </w:rPr>
      </w:sdtEndPr>
      <w:sdtContent>
        <w:p w14:paraId="731B3CF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7558AA2">
      <w:pPr>
        <w:pStyle w:val="68"/>
        <w:ind w:firstLine="0" w:firstLineChars="0"/>
        <w:jc w:val="right"/>
        <w:rPr>
          <w:rFonts w:ascii="宋体" w:hAnsi="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w:t>
      </w:r>
      <w:sdt>
        <w:sdtPr>
          <w:rPr>
            <w:rFonts w:hint="eastAsia" w:ascii="宋体" w:hAnsi="宋体"/>
            <w:bCs/>
            <w:color w:val="000000" w:themeColor="text1"/>
            <w:szCs w:val="21"/>
            <w14:textFill>
              <w14:solidFill>
                <w14:schemeClr w14:val="tx1"/>
              </w14:solidFill>
            </w14:textFill>
          </w:rPr>
          <w:alias w:val="单位：母公司财务附注：营业收入"/>
          <w:tag w:val="_GBC_40a730bb869a41578a25e9cb66f4e28e"/>
          <w:id w:val="10235894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元</w:t>
          </w:r>
        </w:sdtContent>
      </w:sdt>
      <w:r>
        <w:rPr>
          <w:rFonts w:hint="eastAsia" w:ascii="宋体" w:hAnsi="宋体"/>
          <w:color w:val="000000" w:themeColor="text1"/>
          <w:szCs w:val="21"/>
          <w14:textFill>
            <w14:solidFill>
              <w14:schemeClr w14:val="tx1"/>
            </w14:solidFill>
          </w14:textFill>
        </w:rPr>
        <w:t xml:space="preserve">  币种：</w:t>
      </w:r>
      <w:sdt>
        <w:sdtPr>
          <w:rPr>
            <w:rFonts w:hint="eastAsia" w:ascii="宋体" w:hAnsi="宋体"/>
            <w:bCs/>
            <w:color w:val="000000" w:themeColor="text1"/>
            <w:szCs w:val="21"/>
            <w14:textFill>
              <w14:solidFill>
                <w14:schemeClr w14:val="tx1"/>
              </w14:solidFill>
            </w14:textFill>
          </w:rPr>
          <w:alias w:val="币种：母公司财务附注：营业收入"/>
          <w:tag w:val="_GBC_1b6056b90b2c445a9b1bcdc97aa104ec"/>
          <w:id w:val="-19571654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color w:val="000000" w:themeColor="text1"/>
            <w:szCs w:val="21"/>
            <w14:textFill>
              <w14:solidFill>
                <w14:schemeClr w14:val="tx1"/>
              </w14:solidFill>
            </w14:textFill>
          </w:rPr>
        </w:sdtEndPr>
        <w:sdtContent>
          <w:r>
            <w:rPr>
              <w:rFonts w:hint="eastAsia" w:ascii="宋体" w:hAnsi="宋体"/>
              <w:color w:val="000000" w:themeColor="text1"/>
              <w:szCs w:val="2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5"/>
        <w:gridCol w:w="1650"/>
        <w:gridCol w:w="1650"/>
        <w:gridCol w:w="1500"/>
        <w:gridCol w:w="1424"/>
      </w:tblGrid>
      <w:tr w14:paraId="40D3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c9ae0da47e49d097992a176784945a"/>
            <w:id w:val="-970510436"/>
          </w:sdtPr>
          <w:sdtContent>
            <w:tc>
              <w:tcPr>
                <w:tcW w:w="1570" w:type="pct"/>
                <w:vMerge w:val="restart"/>
                <w:tcBorders>
                  <w:top w:val="single" w:color="auto" w:sz="4" w:space="0"/>
                  <w:left w:val="single" w:color="auto" w:sz="4" w:space="0"/>
                  <w:right w:val="single" w:color="auto" w:sz="4" w:space="0"/>
                </w:tcBorders>
                <w:vAlign w:val="center"/>
              </w:tcPr>
              <w:p w14:paraId="183AD6E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b47efcaea8ca428781485b2625b4c252"/>
            <w:id w:val="-992487142"/>
          </w:sdtPr>
          <w:sdtContent>
            <w:tc>
              <w:tcPr>
                <w:tcW w:w="1840" w:type="pct"/>
                <w:gridSpan w:val="2"/>
                <w:tcBorders>
                  <w:top w:val="single" w:color="auto" w:sz="4" w:space="0"/>
                  <w:left w:val="single" w:color="auto" w:sz="4" w:space="0"/>
                  <w:bottom w:val="single" w:color="auto" w:sz="4" w:space="0"/>
                  <w:right w:val="single" w:color="auto" w:sz="4" w:space="0"/>
                </w:tcBorders>
                <w:vAlign w:val="center"/>
              </w:tcPr>
              <w:p w14:paraId="67752E4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44320683f4394adcaf1711775bb320ef"/>
            <w:id w:val="921292289"/>
          </w:sdtPr>
          <w:sdtContent>
            <w:tc>
              <w:tcPr>
                <w:tcW w:w="1590" w:type="pct"/>
                <w:gridSpan w:val="2"/>
                <w:tcBorders>
                  <w:top w:val="single" w:color="auto" w:sz="4" w:space="0"/>
                  <w:left w:val="single" w:color="auto" w:sz="4" w:space="0"/>
                  <w:bottom w:val="single" w:color="auto" w:sz="4" w:space="0"/>
                  <w:right w:val="single" w:color="auto" w:sz="4" w:space="0"/>
                </w:tcBorders>
                <w:vAlign w:val="center"/>
              </w:tcPr>
              <w:p w14:paraId="32099F4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6876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vMerge w:val="continue"/>
            <w:tcBorders>
              <w:left w:val="single" w:color="auto" w:sz="4" w:space="0"/>
              <w:bottom w:val="single" w:color="auto" w:sz="4" w:space="0"/>
              <w:right w:val="single" w:color="auto" w:sz="4" w:space="0"/>
            </w:tcBorders>
            <w:vAlign w:val="center"/>
          </w:tcPr>
          <w:p w14:paraId="4B7DE16F">
            <w:pPr>
              <w:jc w:val="center"/>
              <w:rPr>
                <w:color w:val="000000" w:themeColor="text1"/>
                <w14:textFill>
                  <w14:solidFill>
                    <w14:schemeClr w14:val="tx1"/>
                  </w14:solidFill>
                </w14:textFill>
              </w:rPr>
            </w:pPr>
          </w:p>
        </w:tc>
        <w:sdt>
          <w:sdtPr>
            <w:tag w:val="_PLD_efb75dfbe3924c3a9f286eefd26b357f"/>
            <w:id w:val="1610075582"/>
          </w:sdtPr>
          <w:sdtContent>
            <w:tc>
              <w:tcPr>
                <w:tcW w:w="920" w:type="pct"/>
                <w:tcBorders>
                  <w:top w:val="single" w:color="auto" w:sz="4" w:space="0"/>
                  <w:left w:val="single" w:color="auto" w:sz="4" w:space="0"/>
                  <w:bottom w:val="single" w:color="auto" w:sz="4" w:space="0"/>
                  <w:right w:val="single" w:color="auto" w:sz="4" w:space="0"/>
                </w:tcBorders>
                <w:vAlign w:val="center"/>
              </w:tcPr>
              <w:p w14:paraId="3A97EEC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收入</w:t>
                </w:r>
              </w:p>
            </w:tc>
          </w:sdtContent>
        </w:sdt>
        <w:sdt>
          <w:sdtPr>
            <w:tag w:val="_PLD_9ecc7b9050c24dcebd801ee01e950a91"/>
            <w:id w:val="1523591967"/>
          </w:sdtPr>
          <w:sdtContent>
            <w:tc>
              <w:tcPr>
                <w:tcW w:w="920" w:type="pct"/>
                <w:tcBorders>
                  <w:top w:val="single" w:color="auto" w:sz="4" w:space="0"/>
                  <w:left w:val="single" w:color="auto" w:sz="4" w:space="0"/>
                  <w:bottom w:val="single" w:color="auto" w:sz="4" w:space="0"/>
                  <w:right w:val="single" w:color="auto" w:sz="4" w:space="0"/>
                </w:tcBorders>
                <w:vAlign w:val="center"/>
              </w:tcPr>
              <w:p w14:paraId="620CD57E">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成本</w:t>
                </w:r>
              </w:p>
            </w:tc>
          </w:sdtContent>
        </w:sdt>
        <w:sdt>
          <w:sdtPr>
            <w:tag w:val="_PLD_b2940b2f59f24f969eea718c85f99dda"/>
            <w:id w:val="-1981301635"/>
          </w:sdtPr>
          <w:sdtContent>
            <w:tc>
              <w:tcPr>
                <w:tcW w:w="837" w:type="pct"/>
                <w:tcBorders>
                  <w:top w:val="single" w:color="auto" w:sz="4" w:space="0"/>
                  <w:left w:val="single" w:color="auto" w:sz="4" w:space="0"/>
                  <w:bottom w:val="single" w:color="auto" w:sz="4" w:space="0"/>
                  <w:right w:val="single" w:color="auto" w:sz="4" w:space="0"/>
                </w:tcBorders>
                <w:vAlign w:val="center"/>
              </w:tcPr>
              <w:p w14:paraId="4BF753F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收入</w:t>
                </w:r>
              </w:p>
            </w:tc>
          </w:sdtContent>
        </w:sdt>
        <w:sdt>
          <w:sdtPr>
            <w:tag w:val="_PLD_971c170c70c24975ba7524e53623bf00"/>
            <w:id w:val="1592207234"/>
          </w:sdtPr>
          <w:sdtContent>
            <w:tc>
              <w:tcPr>
                <w:tcW w:w="753" w:type="pct"/>
                <w:tcBorders>
                  <w:top w:val="single" w:color="auto" w:sz="4" w:space="0"/>
                  <w:left w:val="single" w:color="auto" w:sz="4" w:space="0"/>
                  <w:bottom w:val="single" w:color="auto" w:sz="4" w:space="0"/>
                  <w:right w:val="single" w:color="auto" w:sz="4" w:space="0"/>
                </w:tcBorders>
                <w:vAlign w:val="center"/>
              </w:tcPr>
              <w:p w14:paraId="5E924D9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成本</w:t>
                </w:r>
              </w:p>
            </w:tc>
          </w:sdtContent>
        </w:sdt>
      </w:tr>
      <w:tr w14:paraId="1FFB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tcPr>
          <w:p w14:paraId="1DE68C5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主营业务</w:t>
            </w:r>
          </w:p>
        </w:tc>
        <w:tc>
          <w:tcPr>
            <w:tcW w:w="920" w:type="pct"/>
            <w:tcBorders>
              <w:top w:val="single" w:color="auto" w:sz="4" w:space="0"/>
              <w:left w:val="single" w:color="auto" w:sz="4" w:space="0"/>
              <w:bottom w:val="single" w:color="auto" w:sz="4" w:space="0"/>
              <w:right w:val="single" w:color="auto" w:sz="4" w:space="0"/>
            </w:tcBorders>
          </w:tcPr>
          <w:p w14:paraId="1F00BFA8">
            <w:pPr>
              <w:jc w:val="right"/>
            </w:pPr>
          </w:p>
        </w:tc>
        <w:tc>
          <w:tcPr>
            <w:tcW w:w="920" w:type="pct"/>
            <w:tcBorders>
              <w:top w:val="single" w:color="auto" w:sz="4" w:space="0"/>
              <w:left w:val="single" w:color="auto" w:sz="4" w:space="0"/>
              <w:bottom w:val="single" w:color="auto" w:sz="4" w:space="0"/>
              <w:right w:val="single" w:color="auto" w:sz="4" w:space="0"/>
            </w:tcBorders>
          </w:tcPr>
          <w:p w14:paraId="495107F9">
            <w:pPr>
              <w:jc w:val="right"/>
            </w:pPr>
          </w:p>
        </w:tc>
        <w:tc>
          <w:tcPr>
            <w:tcW w:w="837" w:type="pct"/>
            <w:tcBorders>
              <w:top w:val="single" w:color="auto" w:sz="4" w:space="0"/>
              <w:left w:val="single" w:color="auto" w:sz="4" w:space="0"/>
              <w:bottom w:val="single" w:color="auto" w:sz="4" w:space="0"/>
              <w:right w:val="single" w:color="auto" w:sz="4" w:space="0"/>
            </w:tcBorders>
          </w:tcPr>
          <w:p w14:paraId="17E9F137">
            <w:pPr>
              <w:jc w:val="right"/>
            </w:pPr>
          </w:p>
        </w:tc>
        <w:tc>
          <w:tcPr>
            <w:tcW w:w="753" w:type="pct"/>
            <w:tcBorders>
              <w:top w:val="single" w:color="auto" w:sz="4" w:space="0"/>
              <w:left w:val="single" w:color="auto" w:sz="4" w:space="0"/>
              <w:bottom w:val="single" w:color="auto" w:sz="4" w:space="0"/>
              <w:right w:val="single" w:color="auto" w:sz="4" w:space="0"/>
            </w:tcBorders>
          </w:tcPr>
          <w:p w14:paraId="1E58F576">
            <w:pPr>
              <w:jc w:val="right"/>
            </w:pPr>
          </w:p>
        </w:tc>
      </w:tr>
      <w:tr w14:paraId="6926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tcPr>
          <w:p w14:paraId="1D59B7F6">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其他业务</w:t>
            </w:r>
          </w:p>
        </w:tc>
        <w:tc>
          <w:tcPr>
            <w:tcW w:w="920" w:type="pct"/>
            <w:tcBorders>
              <w:top w:val="single" w:color="auto" w:sz="4" w:space="0"/>
              <w:left w:val="single" w:color="auto" w:sz="4" w:space="0"/>
              <w:bottom w:val="single" w:color="auto" w:sz="4" w:space="0"/>
              <w:right w:val="single" w:color="auto" w:sz="4" w:space="0"/>
            </w:tcBorders>
            <w:vAlign w:val="center"/>
          </w:tcPr>
          <w:p w14:paraId="02386622">
            <w:pPr>
              <w:jc w:val="right"/>
            </w:pPr>
            <w:r>
              <w:t>13,544,148.42</w:t>
            </w:r>
          </w:p>
        </w:tc>
        <w:tc>
          <w:tcPr>
            <w:tcW w:w="920" w:type="pct"/>
            <w:tcBorders>
              <w:top w:val="single" w:color="auto" w:sz="4" w:space="0"/>
              <w:left w:val="single" w:color="auto" w:sz="4" w:space="0"/>
              <w:bottom w:val="single" w:color="auto" w:sz="4" w:space="0"/>
              <w:right w:val="single" w:color="auto" w:sz="4" w:space="0"/>
            </w:tcBorders>
            <w:vAlign w:val="center"/>
          </w:tcPr>
          <w:p w14:paraId="3BA15B76">
            <w:pPr>
              <w:jc w:val="right"/>
            </w:pPr>
            <w:r>
              <w:t>9,797,485.81</w:t>
            </w:r>
          </w:p>
        </w:tc>
        <w:tc>
          <w:tcPr>
            <w:tcW w:w="837" w:type="pct"/>
            <w:tcBorders>
              <w:top w:val="single" w:color="auto" w:sz="4" w:space="0"/>
              <w:left w:val="single" w:color="auto" w:sz="4" w:space="0"/>
              <w:bottom w:val="single" w:color="auto" w:sz="4" w:space="0"/>
              <w:right w:val="single" w:color="auto" w:sz="4" w:space="0"/>
            </w:tcBorders>
            <w:vAlign w:val="center"/>
          </w:tcPr>
          <w:p w14:paraId="7813373E">
            <w:r>
              <w:t>13,583,797.31</w:t>
            </w:r>
          </w:p>
        </w:tc>
        <w:tc>
          <w:tcPr>
            <w:tcW w:w="753" w:type="pct"/>
            <w:tcBorders>
              <w:top w:val="single" w:color="auto" w:sz="4" w:space="0"/>
              <w:left w:val="single" w:color="auto" w:sz="4" w:space="0"/>
              <w:bottom w:val="single" w:color="auto" w:sz="4" w:space="0"/>
              <w:right w:val="single" w:color="auto" w:sz="4" w:space="0"/>
            </w:tcBorders>
            <w:vAlign w:val="center"/>
          </w:tcPr>
          <w:p w14:paraId="7BD393F8">
            <w:r>
              <w:t>10,170,659.19</w:t>
            </w:r>
          </w:p>
        </w:tc>
      </w:tr>
      <w:tr w14:paraId="4C21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tcBorders>
              <w:top w:val="single" w:color="auto" w:sz="4" w:space="0"/>
              <w:left w:val="single" w:color="auto" w:sz="4" w:space="0"/>
              <w:bottom w:val="single" w:color="auto" w:sz="4" w:space="0"/>
              <w:right w:val="single" w:color="auto" w:sz="4" w:space="0"/>
            </w:tcBorders>
            <w:vAlign w:val="center"/>
          </w:tcPr>
          <w:p w14:paraId="610A541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920" w:type="pct"/>
            <w:tcBorders>
              <w:top w:val="single" w:color="auto" w:sz="4" w:space="0"/>
              <w:left w:val="single" w:color="auto" w:sz="4" w:space="0"/>
              <w:bottom w:val="single" w:color="auto" w:sz="4" w:space="0"/>
              <w:right w:val="single" w:color="auto" w:sz="4" w:space="0"/>
            </w:tcBorders>
            <w:vAlign w:val="center"/>
          </w:tcPr>
          <w:p w14:paraId="75EF307E">
            <w:pPr>
              <w:jc w:val="right"/>
            </w:pPr>
            <w:r>
              <w:t>13,544,148.42</w:t>
            </w:r>
          </w:p>
        </w:tc>
        <w:tc>
          <w:tcPr>
            <w:tcW w:w="920" w:type="pct"/>
            <w:tcBorders>
              <w:top w:val="single" w:color="auto" w:sz="4" w:space="0"/>
              <w:left w:val="single" w:color="auto" w:sz="4" w:space="0"/>
              <w:bottom w:val="single" w:color="auto" w:sz="4" w:space="0"/>
              <w:right w:val="single" w:color="auto" w:sz="4" w:space="0"/>
            </w:tcBorders>
            <w:vAlign w:val="center"/>
          </w:tcPr>
          <w:p w14:paraId="04F187F4">
            <w:pPr>
              <w:jc w:val="right"/>
            </w:pPr>
            <w:r>
              <w:t>9,797,485.81</w:t>
            </w:r>
          </w:p>
        </w:tc>
        <w:tc>
          <w:tcPr>
            <w:tcW w:w="837" w:type="pct"/>
            <w:tcBorders>
              <w:top w:val="single" w:color="auto" w:sz="4" w:space="0"/>
              <w:left w:val="single" w:color="auto" w:sz="4" w:space="0"/>
              <w:bottom w:val="single" w:color="auto" w:sz="4" w:space="0"/>
              <w:right w:val="single" w:color="auto" w:sz="4" w:space="0"/>
            </w:tcBorders>
            <w:vAlign w:val="center"/>
          </w:tcPr>
          <w:p w14:paraId="06DC49AB">
            <w:r>
              <w:t>13,583,797.31</w:t>
            </w:r>
          </w:p>
        </w:tc>
        <w:tc>
          <w:tcPr>
            <w:tcW w:w="753" w:type="pct"/>
            <w:tcBorders>
              <w:top w:val="single" w:color="auto" w:sz="4" w:space="0"/>
              <w:left w:val="single" w:color="auto" w:sz="4" w:space="0"/>
              <w:bottom w:val="single" w:color="auto" w:sz="4" w:space="0"/>
              <w:right w:val="single" w:color="auto" w:sz="4" w:space="0"/>
            </w:tcBorders>
            <w:vAlign w:val="center"/>
          </w:tcPr>
          <w:p w14:paraId="6E3ED268">
            <w:r>
              <w:t>10,170,659.19</w:t>
            </w:r>
          </w:p>
        </w:tc>
      </w:tr>
    </w:tbl>
    <w:p w14:paraId="1A87755E">
      <w:pPr>
        <w:rPr>
          <w:color w:val="000000" w:themeColor="text1"/>
          <w14:textFill>
            <w14:solidFill>
              <w14:schemeClr w14:val="tx1"/>
            </w14:solidFill>
          </w14:textFill>
        </w:rPr>
      </w:pPr>
    </w:p>
    <w:bookmarkEnd w:id="455"/>
    <w:sdt>
      <w:sdtPr>
        <w:rPr>
          <w:rFonts w:hint="eastAsia" w:ascii="宋体" w:hAnsi="宋体" w:cs="宋体"/>
          <w:b w:val="0"/>
          <w:bCs w:val="0"/>
          <w:color w:val="000000" w:themeColor="text1"/>
          <w:kern w:val="0"/>
          <w:szCs w:val="24"/>
          <w14:textFill>
            <w14:solidFill>
              <w14:schemeClr w14:val="tx1"/>
            </w14:solidFill>
          </w14:textFill>
        </w:rPr>
        <w:alias w:val="模块:合同产生的收入的情况"/>
        <w:tag w:val="_SEC_55b67c614f984b14baf467a8376baa6d"/>
        <w:id w:val="247387410"/>
        <w:placeholder>
          <w:docPart w:val="GBC22222222222222222222222222222"/>
        </w:placeholder>
      </w:sdtPr>
      <w:sdtEndPr>
        <w:rPr>
          <w:rFonts w:hint="default" w:ascii="Times New Roman" w:hAnsi="Times New Roman" w:cs="宋体"/>
          <w:b w:val="0"/>
          <w:bCs w:val="0"/>
          <w:color w:val="000000" w:themeColor="text1"/>
          <w:kern w:val="0"/>
          <w:szCs w:val="21"/>
          <w14:textFill>
            <w14:solidFill>
              <w14:schemeClr w14:val="tx1"/>
            </w14:solidFill>
          </w14:textFill>
        </w:rPr>
      </w:sdtEndPr>
      <w:sdtContent>
        <w:p w14:paraId="0D2443D3">
          <w:pPr>
            <w:pStyle w:val="5"/>
            <w:numPr>
              <w:ilvl w:val="0"/>
              <w:numId w:val="110"/>
            </w:numPr>
            <w:rPr>
              <w:rFonts w:ascii="宋体" w:hAnsi="宋体"/>
              <w:color w:val="000000" w:themeColor="text1"/>
              <w14:textFill>
                <w14:solidFill>
                  <w14:schemeClr w14:val="tx1"/>
                </w14:solidFill>
              </w14:textFill>
            </w:rPr>
          </w:pPr>
          <w:bookmarkStart w:id="456" w:name="_Hlk153798384"/>
          <w:bookmarkStart w:id="457" w:name="_Hlk533798810"/>
          <w:bookmarkStart w:id="458" w:name="_Hlk168057792"/>
          <w:r>
            <w:rPr>
              <w:rFonts w:hint="eastAsia" w:ascii="宋体" w:hAnsi="宋体"/>
              <w:color w:val="000000" w:themeColor="text1"/>
              <w14:textFill>
                <w14:solidFill>
                  <w14:schemeClr w14:val="tx1"/>
                </w14:solidFill>
              </w14:textFill>
            </w:rPr>
            <w:t xml:space="preserve">营业收入、营业成本的分解信息 </w:t>
          </w:r>
        </w:p>
        <w:sdt>
          <w:sdtPr>
            <w:rPr>
              <w:rFonts w:ascii="宋体" w:hAnsi="宋体"/>
              <w:color w:val="000000" w:themeColor="text1"/>
              <w:szCs w:val="21"/>
              <w14:textFill>
                <w14:solidFill>
                  <w14:schemeClr w14:val="tx1"/>
                </w14:solidFill>
              </w14:textFill>
            </w:rPr>
            <w:alias w:val="是否适用：母公司营业收入、营业成本的分解信息 [双击切换]"/>
            <w:tag w:val="_GBC_f916612422c346448db58faef20dc792"/>
            <w:id w:val="123119419"/>
            <w:placeholder>
              <w:docPart w:val="GBC22222222222222222222222222222"/>
            </w:placeholder>
          </w:sdtPr>
          <w:sdtEndPr>
            <w:rPr>
              <w:rFonts w:ascii="宋体" w:hAnsi="宋体"/>
              <w:color w:val="000000" w:themeColor="text1"/>
              <w:szCs w:val="21"/>
              <w14:textFill>
                <w14:solidFill>
                  <w14:schemeClr w14:val="tx1"/>
                </w14:solidFill>
              </w14:textFill>
            </w:rPr>
          </w:sdtEndPr>
          <w:sdtContent>
            <w:p w14:paraId="24B513A9">
              <w:pPr>
                <w:pStyle w:val="68"/>
                <w:ind w:firstLine="0" w:firstLineChars="0"/>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 MACROBUTTON  SnrToggleCheckbox □适用 </w:instrText>
              </w:r>
              <w:r>
                <w:rPr>
                  <w:rFonts w:ascii="宋体" w:hAnsi="宋体"/>
                  <w:color w:val="000000" w:themeColor="text1"/>
                  <w:szCs w:val="21"/>
                  <w14:textFill>
                    <w14:solidFill>
                      <w14:schemeClr w14:val="tx1"/>
                    </w14:solidFill>
                  </w14:textFill>
                </w:rPr>
                <w:fldChar w:fldCharType="end"/>
              </w:r>
              <w:r>
                <w:rPr>
                  <w:rFonts w:ascii="宋体" w:hAnsi="宋体"/>
                  <w:color w:val="000000" w:themeColor="text1"/>
                  <w:szCs w:val="21"/>
                  <w14:textFill>
                    <w14:solidFill>
                      <w14:schemeClr w14:val="tx1"/>
                    </w14:solidFill>
                  </w14:textFill>
                </w:rPr>
                <w:fldChar w:fldCharType="begin"/>
              </w:r>
              <w:r>
                <w:rPr>
                  <w:rFonts w:ascii="宋体" w:hAnsi="宋体"/>
                  <w:color w:val="000000" w:themeColor="text1"/>
                  <w:szCs w:val="21"/>
                  <w14:textFill>
                    <w14:solidFill>
                      <w14:schemeClr w14:val="tx1"/>
                    </w14:solidFill>
                  </w14:textFill>
                </w:rPr>
                <w:instrText xml:space="preserve"> MACROBUTTON  SnrToggleCheckbox √不适用 </w:instrText>
              </w:r>
              <w:r>
                <w:rPr>
                  <w:rFonts w:ascii="宋体" w:hAnsi="宋体"/>
                  <w:color w:val="000000" w:themeColor="text1"/>
                  <w:szCs w:val="21"/>
                  <w14:textFill>
                    <w14:solidFill>
                      <w14:schemeClr w14:val="tx1"/>
                    </w14:solidFill>
                  </w14:textFill>
                </w:rPr>
                <w:fldChar w:fldCharType="end"/>
              </w:r>
            </w:p>
          </w:sdtContent>
        </w:sdt>
        <w:p w14:paraId="1BCD20E5">
          <w:pPr>
            <w:pStyle w:val="68"/>
            <w:ind w:firstLine="0" w:firstLineChars="0"/>
            <w:jc w:val="left"/>
            <w:rPr>
              <w:color w:val="000000" w:themeColor="text1"/>
              <w14:textFill>
                <w14:solidFill>
                  <w14:schemeClr w14:val="tx1"/>
                </w14:solidFill>
              </w14:textFill>
            </w:rPr>
          </w:pPr>
        </w:p>
        <w:p w14:paraId="77DAE99B">
          <w:pPr>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母公司营业收入、营业成本的分解信息说明 [双击切换]"/>
            <w:tag w:val="_GBC_adf50e989b9642a6a5b483866ecd2065"/>
            <w:id w:val="564995817"/>
            <w:placeholder>
              <w:docPart w:val="GBC22222222222222222222222222222"/>
            </w:placeholder>
          </w:sdtPr>
          <w:sdtEndPr>
            <w:rPr>
              <w:color w:val="000000" w:themeColor="text1"/>
              <w14:textFill>
                <w14:solidFill>
                  <w14:schemeClr w14:val="tx1"/>
                </w14:solidFill>
              </w14:textFill>
            </w:rPr>
          </w:sdtEndPr>
          <w:sdtContent>
            <w:p w14:paraId="6F284A3D">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ACCDE9E">
          <w:pPr>
            <w:rPr>
              <w:color w:val="000000" w:themeColor="text1"/>
              <w14:textFill>
                <w14:solidFill>
                  <w14:schemeClr w14:val="tx1"/>
                </w14:solidFill>
              </w14:textFill>
            </w:rPr>
          </w:pPr>
        </w:p>
      </w:sdtContent>
    </w:sdt>
    <w:bookmarkEnd w:id="456"/>
    <w:p w14:paraId="149EFCE6">
      <w:pPr>
        <w:pStyle w:val="5"/>
        <w:numPr>
          <w:ilvl w:val="0"/>
          <w:numId w:val="110"/>
        </w:numPr>
        <w:rPr>
          <w:rFonts w:ascii="宋体" w:hAnsi="宋体"/>
          <w:color w:val="000000" w:themeColor="text1"/>
          <w14:textFill>
            <w14:solidFill>
              <w14:schemeClr w14:val="tx1"/>
            </w14:solidFill>
          </w14:textFill>
        </w:rPr>
      </w:pPr>
      <w:bookmarkStart w:id="459" w:name="_Hlk155961563"/>
      <w:r>
        <w:rPr>
          <w:rFonts w:hint="eastAsia" w:ascii="宋体" w:hAnsi="宋体"/>
          <w:color w:val="000000" w:themeColor="text1"/>
          <w14:textFill>
            <w14:solidFill>
              <w14:schemeClr w14:val="tx1"/>
            </w14:solidFill>
          </w14:textFill>
        </w:rPr>
        <w:t>履约义务的说明</w:t>
      </w:r>
    </w:p>
    <w:sdt>
      <w:sdtPr>
        <w:rPr>
          <w:color w:val="000000" w:themeColor="text1"/>
          <w14:textFill>
            <w14:solidFill>
              <w14:schemeClr w14:val="tx1"/>
            </w14:solidFill>
          </w14:textFill>
        </w:rPr>
        <w:alias w:val="是否适用：履约义务的说明[双击切换]"/>
        <w:tag w:val="_GBC_7eb65f1aefb848c3be4d6abd4048aef7"/>
        <w:id w:val="-2060231463"/>
        <w:placeholder>
          <w:docPart w:val="GBC22222222222222222222222222222"/>
        </w:placeholder>
      </w:sdtPr>
      <w:sdtEndPr>
        <w:rPr>
          <w:color w:val="000000" w:themeColor="text1"/>
          <w14:textFill>
            <w14:solidFill>
              <w14:schemeClr w14:val="tx1"/>
            </w14:solidFill>
          </w14:textFill>
        </w:rPr>
      </w:sdtEndPr>
      <w:sdtContent>
        <w:p w14:paraId="19AA7A2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F7C3A36">
      <w:pPr>
        <w:rPr>
          <w:color w:val="000000" w:themeColor="text1"/>
          <w14:textFill>
            <w14:solidFill>
              <w14:schemeClr w14:val="tx1"/>
            </w14:solidFill>
          </w14:textFill>
        </w:rPr>
      </w:pPr>
    </w:p>
    <w:bookmarkEnd w:id="457"/>
    <w:bookmarkEnd w:id="459"/>
    <w:p w14:paraId="59777F69">
      <w:pPr>
        <w:pStyle w:val="5"/>
        <w:numPr>
          <w:ilvl w:val="0"/>
          <w:numId w:val="110"/>
        </w:numPr>
        <w:rPr>
          <w:rFonts w:ascii="宋体" w:hAnsi="宋体"/>
          <w:color w:val="000000" w:themeColor="text1"/>
          <w14:textFill>
            <w14:solidFill>
              <w14:schemeClr w14:val="tx1"/>
            </w14:solidFill>
          </w14:textFill>
        </w:rPr>
      </w:pPr>
      <w:bookmarkStart w:id="460" w:name="_Hlk533798958"/>
      <w:r>
        <w:rPr>
          <w:rFonts w:hint="eastAsia" w:ascii="宋体" w:hAnsi="宋体"/>
          <w:color w:val="000000" w:themeColor="text1"/>
          <w14:textFill>
            <w14:solidFill>
              <w14:schemeClr w14:val="tx1"/>
            </w14:solidFill>
          </w14:textFill>
        </w:rPr>
        <w:t>分摊至剩余履约义务的说明</w:t>
      </w:r>
    </w:p>
    <w:sdt>
      <w:sdtPr>
        <w:rPr>
          <w:color w:val="000000" w:themeColor="text1"/>
          <w14:textFill>
            <w14:solidFill>
              <w14:schemeClr w14:val="tx1"/>
            </w14:solidFill>
          </w14:textFill>
        </w:rPr>
        <w:alias w:val="是否适用：母公司分摊至剩余履约义务的说明[双击切换]"/>
        <w:tag w:val="_GBC_3aac73ec336d4015bdb4b42a7b0d24ea"/>
        <w:id w:val="-579216992"/>
        <w:placeholder>
          <w:docPart w:val="GBC22222222222222222222222222222"/>
        </w:placeholder>
      </w:sdtPr>
      <w:sdtEndPr>
        <w:rPr>
          <w:color w:val="000000" w:themeColor="text1"/>
          <w14:textFill>
            <w14:solidFill>
              <w14:schemeClr w14:val="tx1"/>
            </w14:solidFill>
          </w14:textFill>
        </w:rPr>
      </w:sdtEndPr>
      <w:sdtContent>
        <w:p w14:paraId="2D079BBC">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4B5105DF">
      <w:pPr>
        <w:rPr>
          <w:rFonts w:ascii="Arial" w:hAnsi="Arial"/>
          <w:color w:val="000000" w:themeColor="text1"/>
          <w14:textFill>
            <w14:solidFill>
              <w14:schemeClr w14:val="tx1"/>
            </w14:solidFill>
          </w14:textFill>
        </w:rPr>
      </w:pPr>
    </w:p>
    <w:bookmarkEnd w:id="460"/>
    <w:p w14:paraId="1C9D3609">
      <w:pPr>
        <w:pStyle w:val="5"/>
        <w:numPr>
          <w:ilvl w:val="0"/>
          <w:numId w:val="110"/>
        </w:numPr>
        <w:rPr>
          <w:rFonts w:ascii="宋体" w:hAnsi="宋体"/>
          <w:color w:val="000000" w:themeColor="text1"/>
          <w14:textFill>
            <w14:solidFill>
              <w14:schemeClr w14:val="tx1"/>
            </w14:solidFill>
          </w14:textFill>
        </w:rPr>
      </w:pPr>
      <w:bookmarkStart w:id="461" w:name="_Hlk153798573"/>
      <w:r>
        <w:rPr>
          <w:rFonts w:hint="eastAsia" w:ascii="宋体" w:hAnsi="宋体"/>
          <w:color w:val="000000" w:themeColor="text1"/>
          <w14:textFill>
            <w14:solidFill>
              <w14:schemeClr w14:val="tx1"/>
            </w14:solidFill>
          </w14:textFill>
        </w:rPr>
        <w:t>重大合同变更或重大交易价格调整</w:t>
      </w:r>
    </w:p>
    <w:sdt>
      <w:sdtPr>
        <w:rPr>
          <w:color w:val="000000" w:themeColor="text1"/>
          <w14:textFill>
            <w14:solidFill>
              <w14:schemeClr w14:val="tx1"/>
            </w14:solidFill>
          </w14:textFill>
        </w:rPr>
        <w:alias w:val="是否适用：母公司重大合同变更或重大交易价格调整[双击切换]"/>
        <w:tag w:val="_GBC_37b150e92b5a4605be19135cd46e097e"/>
        <w:id w:val="-1299148190"/>
        <w:placeholder>
          <w:docPart w:val="GBC22222222222222222222222222222"/>
        </w:placeholder>
      </w:sdtPr>
      <w:sdtEndPr>
        <w:rPr>
          <w:color w:val="000000" w:themeColor="text1"/>
          <w14:textFill>
            <w14:solidFill>
              <w14:schemeClr w14:val="tx1"/>
            </w14:solidFill>
          </w14:textFill>
        </w:rPr>
      </w:sdtEndPr>
      <w:sdtContent>
        <w:p w14:paraId="30DFEF9A">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A5931DF">
      <w:pPr>
        <w:rPr>
          <w:rFonts w:ascii="Arial" w:hAnsi="Arial"/>
          <w:color w:val="000000" w:themeColor="text1"/>
          <w14:textFill>
            <w14:solidFill>
              <w14:schemeClr w14:val="tx1"/>
            </w14:solidFill>
          </w14:textFill>
        </w:rPr>
      </w:pPr>
    </w:p>
    <w:bookmarkEnd w:id="461"/>
    <w:p w14:paraId="70C0C6CC">
      <w:pPr>
        <w:spacing w:before="60" w:after="60"/>
        <w:rPr>
          <w:color w:val="000000" w:themeColor="text1"/>
          <w14:textFill>
            <w14:solidFill>
              <w14:schemeClr w14:val="tx1"/>
            </w14:solidFill>
          </w14:textFill>
        </w:rPr>
      </w:pPr>
      <w:r>
        <w:rPr>
          <w:rFonts w:hint="eastAsia"/>
          <w:color w:val="000000" w:themeColor="text1"/>
          <w14:textFill>
            <w14:solidFill>
              <w14:schemeClr w14:val="tx1"/>
            </w14:solidFill>
          </w14:textFill>
        </w:rPr>
        <w:t>其他说明：</w:t>
      </w:r>
    </w:p>
    <w:p w14:paraId="0BE5E0BC">
      <w:pPr>
        <w:rPr>
          <w:color w:val="000000" w:themeColor="text1"/>
          <w14:textFill>
            <w14:solidFill>
              <w14:schemeClr w14:val="tx1"/>
            </w14:solidFill>
          </w14:textFill>
        </w:rPr>
      </w:pPr>
      <w:sdt>
        <w:sdtPr>
          <w:rPr>
            <w:color w:val="000000" w:themeColor="text1"/>
            <w14:textFill>
              <w14:solidFill>
                <w14:schemeClr w14:val="tx1"/>
              </w14:solidFill>
            </w14:textFill>
          </w:rPr>
          <w:alias w:val="主营业务说明"/>
          <w:tag w:val="_GBC_1758332f6c7d4ddf94e12be06682add9"/>
          <w:id w:val="-1059628308"/>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无</w:t>
          </w:r>
        </w:sdtContent>
      </w:sdt>
    </w:p>
    <w:p w14:paraId="52220F5F">
      <w:pPr>
        <w:rPr>
          <w:color w:val="000000" w:themeColor="text1"/>
          <w14:textFill>
            <w14:solidFill>
              <w14:schemeClr w14:val="tx1"/>
            </w14:solidFill>
          </w14:textFill>
        </w:rPr>
      </w:pPr>
    </w:p>
    <w:p w14:paraId="4E1A4C4C">
      <w:pPr>
        <w:pStyle w:val="4"/>
        <w:numPr>
          <w:ilvl w:val="0"/>
          <w:numId w:val="103"/>
        </w:numPr>
        <w:rPr>
          <w:rFonts w:ascii="宋体" w:hAnsi="宋体"/>
          <w:color w:val="000000" w:themeColor="text1"/>
          <w:szCs w:val="21"/>
          <w14:textFill>
            <w14:solidFill>
              <w14:schemeClr w14:val="tx1"/>
            </w14:solidFill>
          </w14:textFill>
        </w:rPr>
      </w:pPr>
      <w:bookmarkStart w:id="462" w:name="OLE_LINK6"/>
      <w:r>
        <w:rPr>
          <w:rFonts w:hint="eastAsia" w:ascii="宋体" w:hAnsi="宋体"/>
          <w:color w:val="000000" w:themeColor="text1"/>
          <w:szCs w:val="21"/>
          <w14:textFill>
            <w14:solidFill>
              <w14:schemeClr w14:val="tx1"/>
            </w14:solidFill>
          </w14:textFill>
        </w:rPr>
        <w:t>投资收益</w:t>
      </w:r>
      <w:bookmarkEnd w:id="462"/>
    </w:p>
    <w:sdt>
      <w:sdtPr>
        <w:rPr>
          <w:color w:val="000000" w:themeColor="text1"/>
          <w14:textFill>
            <w14:solidFill>
              <w14:schemeClr w14:val="tx1"/>
            </w14:solidFill>
          </w14:textFill>
        </w:rPr>
        <w:alias w:val="是否适用：母公司投资收益[双击切换]"/>
        <w:tag w:val="_GBC_bdba48f0322747499f6908fbbf78a16f"/>
        <w:id w:val="1722320253"/>
        <w:placeholder>
          <w:docPart w:val="GBC22222222222222222222222222222"/>
        </w:placeholder>
      </w:sdtPr>
      <w:sdtEndPr>
        <w:rPr>
          <w:color w:val="000000" w:themeColor="text1"/>
          <w14:textFill>
            <w14:solidFill>
              <w14:schemeClr w14:val="tx1"/>
            </w14:solidFill>
          </w14:textFill>
        </w:rPr>
      </w:sdtEndPr>
      <w:sdtContent>
        <w:p w14:paraId="124E0F5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67CB45AB">
      <w:pPr>
        <w:jc w:val="right"/>
        <w:rPr>
          <w:color w:val="000000" w:themeColor="text1"/>
          <w14:textFill>
            <w14:solidFill>
              <w14:schemeClr w14:val="tx1"/>
            </w14:solidFill>
          </w14:textFill>
        </w:rPr>
      </w:pPr>
      <w:r>
        <w:rPr>
          <w:color w:val="000000" w:themeColor="text1"/>
          <w14:textFill>
            <w14:solidFill>
              <w14:schemeClr w14:val="tx1"/>
            </w14:solidFill>
          </w14:textFill>
        </w:rPr>
        <w:t>单位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单位：财务附注：会计报表中的投资收益项目增加"/>
          <w:tag w:val="_GBC_613aeed04bd941b2899e7b84fac67e3a"/>
          <w:id w:val="17576347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color w:val="000000" w:themeColor="text1"/>
          <w14:textFill>
            <w14:solidFill>
              <w14:schemeClr w14:val="tx1"/>
            </w14:solidFill>
          </w14:textFill>
        </w:rPr>
        <w:t xml:space="preserve">  币种</w:t>
      </w:r>
      <w:r>
        <w:rPr>
          <w:rFonts w:hint="eastAsia"/>
          <w:color w:val="000000" w:themeColor="text1"/>
          <w14:textFill>
            <w14:solidFill>
              <w14:schemeClr w14:val="tx1"/>
            </w14:solidFill>
          </w14:textFill>
        </w:rPr>
        <w:t>：</w:t>
      </w:r>
      <w:sdt>
        <w:sdtPr>
          <w:rPr>
            <w:rFonts w:hint="eastAsia"/>
            <w:color w:val="000000" w:themeColor="text1"/>
            <w14:textFill>
              <w14:solidFill>
                <w14:schemeClr w14:val="tx1"/>
              </w14:solidFill>
            </w14:textFill>
          </w:rPr>
          <w:alias w:val="币种：财务附注：会计报表中的投资收益项目增加"/>
          <w:tag w:val="_GBC_8976301949824df2a90aa6f83aad84f0"/>
          <w:id w:val="-1232306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7"/>
        <w:gridCol w:w="2201"/>
        <w:gridCol w:w="2201"/>
      </w:tblGrid>
      <w:tr w14:paraId="1DD1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263506df19847a5a86c9b873a7b7673"/>
            <w:id w:val="743995371"/>
          </w:sdtPr>
          <w:sdtContent>
            <w:tc>
              <w:tcPr>
                <w:tcW w:w="2568" w:type="pct"/>
                <w:vAlign w:val="center"/>
              </w:tcPr>
              <w:p w14:paraId="7FDB36C2">
                <w:pPr>
                  <w:ind w:left="420" w:hanging="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p>
            </w:tc>
          </w:sdtContent>
        </w:sdt>
        <w:sdt>
          <w:sdtPr>
            <w:tag w:val="_PLD_6da456fe7d784e789fe8204c2cc499b3"/>
            <w:id w:val="-756132929"/>
          </w:sdtPr>
          <w:sdtContent>
            <w:tc>
              <w:tcPr>
                <w:tcW w:w="1216" w:type="pct"/>
                <w:vAlign w:val="center"/>
              </w:tcPr>
              <w:p w14:paraId="6440231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本期发生额</w:t>
                </w:r>
              </w:p>
            </w:tc>
          </w:sdtContent>
        </w:sdt>
        <w:sdt>
          <w:sdtPr>
            <w:tag w:val="_PLD_d81207d79e9643e0a08aec2616f96432"/>
            <w:id w:val="603772969"/>
          </w:sdtPr>
          <w:sdtContent>
            <w:tc>
              <w:tcPr>
                <w:tcW w:w="1216" w:type="pct"/>
                <w:vAlign w:val="center"/>
              </w:tcPr>
              <w:p w14:paraId="3C67D71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上期发生额</w:t>
                </w:r>
              </w:p>
            </w:tc>
          </w:sdtContent>
        </w:sdt>
      </w:tr>
      <w:tr w14:paraId="79C7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5EEFE3CD">
            <w:pPr>
              <w:jc w:val="center"/>
              <w:rPr>
                <w:color w:val="000000" w:themeColor="text1"/>
                <w14:textFill>
                  <w14:solidFill>
                    <w14:schemeClr w14:val="tx1"/>
                  </w14:solidFill>
                </w14:textFill>
              </w:rPr>
            </w:pPr>
            <w:r>
              <w:rPr>
                <w:color w:val="000000" w:themeColor="text1"/>
                <w14:textFill>
                  <w14:solidFill>
                    <w14:schemeClr w14:val="tx1"/>
                  </w14:solidFill>
                </w14:textFill>
              </w:rPr>
              <w:t>成本法核算的长期股权投资收益</w:t>
            </w:r>
          </w:p>
        </w:tc>
        <w:tc>
          <w:tcPr>
            <w:tcW w:w="1216" w:type="pct"/>
          </w:tcPr>
          <w:p w14:paraId="233C7D40">
            <w:pPr>
              <w:jc w:val="right"/>
            </w:pPr>
          </w:p>
        </w:tc>
        <w:tc>
          <w:tcPr>
            <w:tcW w:w="1216" w:type="pct"/>
          </w:tcPr>
          <w:p w14:paraId="2D74DBDE">
            <w:pPr>
              <w:jc w:val="right"/>
            </w:pPr>
          </w:p>
        </w:tc>
      </w:tr>
      <w:tr w14:paraId="591F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Pr>
          <w:p w14:paraId="6185283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权益法核算的长期股权投资收益</w:t>
            </w:r>
          </w:p>
        </w:tc>
        <w:tc>
          <w:tcPr>
            <w:tcW w:w="1216" w:type="pct"/>
            <w:vAlign w:val="center"/>
          </w:tcPr>
          <w:p w14:paraId="509C0FB8">
            <w:pPr>
              <w:jc w:val="right"/>
            </w:pPr>
            <w:r>
              <w:t>108,924,219.78</w:t>
            </w:r>
          </w:p>
        </w:tc>
        <w:tc>
          <w:tcPr>
            <w:tcW w:w="1216" w:type="pct"/>
            <w:vAlign w:val="center"/>
          </w:tcPr>
          <w:p w14:paraId="54162D12">
            <w:pPr>
              <w:jc w:val="right"/>
            </w:pPr>
            <w:r>
              <w:t>91,885,985.13</w:t>
            </w:r>
          </w:p>
        </w:tc>
      </w:tr>
      <w:tr w14:paraId="4F43C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tcBorders>
              <w:bottom w:val="single" w:color="auto" w:sz="4" w:space="0"/>
            </w:tcBorders>
          </w:tcPr>
          <w:p w14:paraId="16406B8C">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债务重组收益</w:t>
            </w:r>
          </w:p>
        </w:tc>
        <w:tc>
          <w:tcPr>
            <w:tcW w:w="1216" w:type="pct"/>
            <w:tcBorders>
              <w:bottom w:val="single" w:color="auto" w:sz="4" w:space="0"/>
            </w:tcBorders>
            <w:vAlign w:val="center"/>
          </w:tcPr>
          <w:p w14:paraId="4183829E">
            <w:pPr>
              <w:jc w:val="right"/>
            </w:pPr>
          </w:p>
        </w:tc>
        <w:tc>
          <w:tcPr>
            <w:tcW w:w="1216" w:type="pct"/>
            <w:tcBorders>
              <w:bottom w:val="single" w:color="auto" w:sz="4" w:space="0"/>
            </w:tcBorders>
            <w:vAlign w:val="center"/>
          </w:tcPr>
          <w:p w14:paraId="5AAD1938">
            <w:pPr>
              <w:jc w:val="right"/>
              <w:rPr>
                <w:rFonts w:ascii="宋体" w:hAnsi="宋体"/>
                <w:sz w:val="24"/>
                <w:szCs w:val="24"/>
              </w:rPr>
            </w:pPr>
            <w:r>
              <w:t>-3,899.00</w:t>
            </w:r>
          </w:p>
        </w:tc>
      </w:tr>
      <w:tr w14:paraId="719C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pct"/>
            <w:vAlign w:val="center"/>
          </w:tcPr>
          <w:p w14:paraId="264E1B0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1216" w:type="pct"/>
            <w:vAlign w:val="center"/>
          </w:tcPr>
          <w:p w14:paraId="078E3B59">
            <w:pPr>
              <w:jc w:val="right"/>
            </w:pPr>
            <w:r>
              <w:t>108,924,219.78</w:t>
            </w:r>
          </w:p>
        </w:tc>
        <w:tc>
          <w:tcPr>
            <w:tcW w:w="1216" w:type="pct"/>
            <w:vAlign w:val="center"/>
          </w:tcPr>
          <w:p w14:paraId="6E23CE95">
            <w:pPr>
              <w:jc w:val="right"/>
            </w:pPr>
            <w:r>
              <w:t>91,882,086.13</w:t>
            </w:r>
          </w:p>
        </w:tc>
      </w:tr>
      <w:bookmarkEnd w:id="458"/>
    </w:tbl>
    <w:p w14:paraId="685D4154">
      <w:pPr>
        <w:spacing w:line="360" w:lineRule="exact"/>
        <w:rPr>
          <w:color w:val="000000" w:themeColor="text1"/>
          <w14:textFill>
            <w14:solidFill>
              <w14:schemeClr w14:val="tx1"/>
            </w14:solidFill>
          </w14:textFill>
        </w:rPr>
      </w:pPr>
      <w:bookmarkStart w:id="463" w:name="_Hlk10720480"/>
      <w:r>
        <w:rPr>
          <w:rFonts w:hint="eastAsia"/>
          <w:color w:val="000000" w:themeColor="text1"/>
          <w14:textFill>
            <w14:solidFill>
              <w14:schemeClr w14:val="tx1"/>
            </w14:solidFill>
          </w14:textFill>
        </w:rPr>
        <w:t>其他说明：</w:t>
      </w:r>
      <w:bookmarkEnd w:id="463"/>
    </w:p>
    <w:sdt>
      <w:sdtPr>
        <w:rPr>
          <w:color w:val="000000" w:themeColor="text1"/>
          <w14:textFill>
            <w14:solidFill>
              <w14:schemeClr w14:val="tx1"/>
            </w14:solidFill>
          </w14:textFill>
        </w:rPr>
        <w:alias w:val="投资收益说明"/>
        <w:tag w:val="_GBC_e91b47a8afc84e119383bf071cb9a50d"/>
        <w:id w:val="-169869152"/>
        <w:placeholder>
          <w:docPart w:val="GBC22222222222222222222222222222"/>
        </w:placeholder>
      </w:sdtPr>
      <w:sdtEndPr>
        <w:rPr>
          <w:color w:val="000000" w:themeColor="text1"/>
          <w14:textFill>
            <w14:solidFill>
              <w14:schemeClr w14:val="tx1"/>
            </w14:solidFill>
          </w14:textFill>
        </w:rPr>
      </w:sdtEndPr>
      <w:sdtContent>
        <w:p w14:paraId="0743AD93">
          <w:pP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sdtContent>
    </w:sdt>
    <w:p w14:paraId="61682CA6">
      <w:pPr>
        <w:rPr>
          <w:color w:val="000000" w:themeColor="text1"/>
          <w14:textFill>
            <w14:solidFill>
              <w14:schemeClr w14:val="tx1"/>
            </w14:solidFill>
          </w14:textFill>
        </w:rPr>
      </w:pPr>
    </w:p>
    <w:p w14:paraId="476C2BF4">
      <w:pPr>
        <w:pStyle w:val="4"/>
        <w:numPr>
          <w:ilvl w:val="0"/>
          <w:numId w:val="103"/>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w:t>
      </w:r>
    </w:p>
    <w:sdt>
      <w:sdtPr>
        <w:rPr>
          <w:color w:val="000000" w:themeColor="text1"/>
          <w14:textFill>
            <w14:solidFill>
              <w14:schemeClr w14:val="tx1"/>
            </w14:solidFill>
          </w14:textFill>
        </w:rPr>
        <w:alias w:val="是否适用：母公司会计报表附注的其他说明事项[双击切换]"/>
        <w:tag w:val="_GBC_198503cdf8c8448ea7bb4de3243a4de8"/>
        <w:id w:val="1316219591"/>
        <w:placeholder>
          <w:docPart w:val="GBC22222222222222222222222222222"/>
        </w:placeholder>
      </w:sdtPr>
      <w:sdtEndPr>
        <w:rPr>
          <w:color w:val="000000" w:themeColor="text1"/>
          <w14:textFill>
            <w14:solidFill>
              <w14:schemeClr w14:val="tx1"/>
            </w14:solidFill>
          </w14:textFill>
        </w:rPr>
      </w:sdtEndPr>
      <w:sdtContent>
        <w:p w14:paraId="54B78F91">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936C5A8">
      <w:pPr>
        <w:rPr>
          <w:color w:val="000000" w:themeColor="text1"/>
          <w14:textFill>
            <w14:solidFill>
              <w14:schemeClr w14:val="tx1"/>
            </w14:solidFill>
          </w14:textFill>
        </w:rPr>
      </w:pPr>
    </w:p>
    <w:p w14:paraId="0481AF81">
      <w:pPr>
        <w:pStyle w:val="3"/>
        <w:numPr>
          <w:ilvl w:val="0"/>
          <w:numId w:val="30"/>
        </w:numPr>
        <w:ind w:left="420" w:hanging="42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补充资料</w:t>
      </w:r>
    </w:p>
    <w:p w14:paraId="11DB210B">
      <w:pPr>
        <w:pStyle w:val="4"/>
        <w:numPr>
          <w:ilvl w:val="0"/>
          <w:numId w:val="111"/>
        </w:numPr>
        <w:rPr>
          <w:rFonts w:ascii="宋体" w:hAnsi="宋体"/>
          <w:color w:val="000000" w:themeColor="text1"/>
          <w:szCs w:val="21"/>
          <w14:textFill>
            <w14:solidFill>
              <w14:schemeClr w14:val="tx1"/>
            </w14:solidFill>
          </w14:textFill>
        </w:rPr>
      </w:pPr>
      <w:bookmarkStart w:id="464" w:name="_Hlk152579827"/>
      <w:bookmarkStart w:id="465" w:name="_Hlk535584690"/>
      <w:r>
        <w:rPr>
          <w:rFonts w:hint="eastAsia" w:ascii="宋体" w:hAnsi="宋体"/>
          <w:color w:val="000000" w:themeColor="text1"/>
          <w:szCs w:val="21"/>
          <w14:textFill>
            <w14:solidFill>
              <w14:schemeClr w14:val="tx1"/>
            </w14:solidFill>
          </w14:textFill>
        </w:rPr>
        <w:t>当期非经常性损益明细表</w:t>
      </w:r>
    </w:p>
    <w:sdt>
      <w:sdtPr>
        <w:rPr>
          <w:color w:val="000000" w:themeColor="text1"/>
          <w14:textFill>
            <w14:solidFill>
              <w14:schemeClr w14:val="tx1"/>
            </w14:solidFill>
          </w14:textFill>
        </w:rPr>
        <w:alias w:val="是否适用：当期非经常性损益明细表[双击切换]"/>
        <w:tag w:val="_GBC_28c90d0fec4248b7be00ea74910120f8"/>
        <w:id w:val="901490453"/>
        <w:placeholder>
          <w:docPart w:val="GBC22222222222222222222222222222"/>
        </w:placeholder>
      </w:sdtPr>
      <w:sdtEndPr>
        <w:rPr>
          <w:color w:val="000000" w:themeColor="text1"/>
          <w14:textFill>
            <w14:solidFill>
              <w14:schemeClr w14:val="tx1"/>
            </w14:solidFill>
          </w14:textFill>
        </w:rPr>
      </w:sdtEndPr>
      <w:sdtContent>
        <w:p w14:paraId="22ACBD87">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hint="eastAsia" w:ascii="宋体" w:hAnsi="宋体"/>
              <w:color w:val="000000" w:themeColor="text1"/>
              <w14:textFill>
                <w14:solidFill>
                  <w14:schemeClr w14:val="tx1"/>
                </w14:solidFill>
              </w14:textFill>
            </w:rPr>
            <w:instrText xml:space="preserve">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7858421">
      <w:pPr>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sdt>
        <w:sdtPr>
          <w:rPr>
            <w:rFonts w:hint="eastAsia"/>
            <w:color w:val="000000" w:themeColor="text1"/>
            <w14:textFill>
              <w14:solidFill>
                <w14:schemeClr w14:val="tx1"/>
              </w14:solidFill>
            </w14:textFill>
          </w:rPr>
          <w:alias w:val="单位：扣除非经常性损益项目和金额"/>
          <w:tag w:val="_GBC_acdddcaac70249d2a73e5ac878d6874b"/>
          <w:id w:val="848216128"/>
          <w:placeholder>
            <w:docPart w:val="GBC22222222222222222222222222222"/>
          </w:placeholder>
          <w:dataBinding w:prefixMappings="xmlns:clcid-ci-ar='clcid-ci-ar'" w:xpath="/*/clcid-ci-ar:DanWeiKouChuFeiJingChangXingSunYiXiangMuHeJinE[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元</w:t>
          </w:r>
        </w:sdtContent>
      </w:sdt>
      <w:r>
        <w:rPr>
          <w:rFonts w:hint="eastAsia"/>
          <w:color w:val="000000" w:themeColor="text1"/>
          <w14:textFill>
            <w14:solidFill>
              <w14:schemeClr w14:val="tx1"/>
            </w14:solidFill>
          </w14:textFill>
        </w:rPr>
        <w:t xml:space="preserve">  币种：</w:t>
      </w:r>
      <w:sdt>
        <w:sdtPr>
          <w:rPr>
            <w:rFonts w:hint="eastAsia"/>
            <w:color w:val="000000" w:themeColor="text1"/>
            <w14:textFill>
              <w14:solidFill>
                <w14:schemeClr w14:val="tx1"/>
              </w14:solidFill>
            </w14:textFill>
          </w:rPr>
          <w:alias w:val="币种：扣除非经常性损益项目和金额"/>
          <w:tag w:val="_GBC_84f107bd64a74a689cd74b834aaa0b17"/>
          <w:id w:val="-1365674924"/>
          <w:placeholder>
            <w:docPart w:val="GBC22222222222222222222222222222"/>
          </w:placeholder>
          <w:dataBinding w:prefixMappings="xmlns:clcid-ci-ar='clcid-ci-ar'" w:xpath="/*/clcid-ci-ar:BiZhongKouChuFeiJingChangXingSunYiXiangMuHeJinE[not(@periodRef)]" w:storeItemID="{89EBAB94-44A0-46A2-B712-30D997D04A6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人民币</w:t>
          </w:r>
        </w:sdtContent>
      </w:sdt>
    </w:p>
    <w:bookmarkEnd w:id="464"/>
    <w:bookmarkEnd w:id="465"/>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1"/>
        <w:gridCol w:w="2347"/>
        <w:gridCol w:w="2221"/>
      </w:tblGrid>
      <w:tr w14:paraId="0BEC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b975916b80e49408e340b80d53082be"/>
            <w:id w:val="488751794"/>
          </w:sdtPr>
          <w:sdtContent>
            <w:tc>
              <w:tcPr>
                <w:tcW w:w="2476" w:type="pct"/>
                <w:vAlign w:val="center"/>
              </w:tcPr>
              <w:p w14:paraId="1103A1CC">
                <w:pPr>
                  <w:pStyle w:val="51"/>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w:t>
                </w:r>
              </w:p>
            </w:tc>
          </w:sdtContent>
        </w:sdt>
        <w:sdt>
          <w:sdtPr>
            <w:rPr>
              <w:rFonts w:asciiTheme="minorEastAsia" w:hAnsiTheme="minorEastAsia" w:eastAsiaTheme="minorEastAsia"/>
              <w:szCs w:val="21"/>
            </w:rPr>
            <w:tag w:val="_PLD_871069ab0242459987d2cd8153c439e3"/>
            <w:id w:val="-1955403325"/>
          </w:sdtPr>
          <w:sdtEndPr>
            <w:rPr>
              <w:rFonts w:asciiTheme="minorEastAsia" w:hAnsiTheme="minorEastAsia" w:eastAsiaTheme="minorEastAsia"/>
              <w:szCs w:val="21"/>
            </w:rPr>
          </w:sdtEndPr>
          <w:sdtContent>
            <w:tc>
              <w:tcPr>
                <w:tcW w:w="1297" w:type="pct"/>
                <w:vAlign w:val="center"/>
              </w:tcPr>
              <w:p w14:paraId="55A31473">
                <w:pPr>
                  <w:pStyle w:val="51"/>
                  <w:ind w:firstLine="0" w:firstLineChars="0"/>
                  <w:jc w:val="center"/>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金额</w:t>
                </w:r>
              </w:p>
            </w:tc>
          </w:sdtContent>
        </w:sdt>
        <w:sdt>
          <w:sdtPr>
            <w:tag w:val="_PLD_2b6844f78d7043ca94a5b478c9729ca8"/>
            <w:id w:val="1091282818"/>
          </w:sdtPr>
          <w:sdtContent>
            <w:tc>
              <w:tcPr>
                <w:tcW w:w="1227" w:type="pct"/>
                <w:vAlign w:val="center"/>
              </w:tcPr>
              <w:p w14:paraId="27BD85A5">
                <w:pPr>
                  <w:pStyle w:val="51"/>
                  <w:ind w:firstLine="0" w:firstLineChars="0"/>
                  <w:jc w:val="cente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说明</w:t>
                </w:r>
              </w:p>
            </w:tc>
          </w:sdtContent>
        </w:sdt>
      </w:tr>
      <w:tr w14:paraId="4208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4A6503F7">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非流动</w:t>
            </w:r>
            <w:r>
              <w:rPr>
                <w:rFonts w:hint="eastAsia"/>
                <w:color w:val="000000" w:themeColor="text1"/>
                <w14:textFill>
                  <w14:solidFill>
                    <w14:schemeClr w14:val="tx1"/>
                  </w14:solidFill>
                </w14:textFill>
              </w:rPr>
              <w:t>性</w:t>
            </w:r>
            <w:r>
              <w:rPr>
                <w:color w:val="000000" w:themeColor="text1"/>
                <w14:textFill>
                  <w14:solidFill>
                    <w14:schemeClr w14:val="tx1"/>
                  </w14:solidFill>
                </w14:textFill>
              </w:rPr>
              <w:t>资产处置损益</w:t>
            </w:r>
            <w:r>
              <w:rPr>
                <w:rFonts w:hint="eastAsia"/>
                <w:color w:val="000000" w:themeColor="text1"/>
                <w14:textFill>
                  <w14:solidFill>
                    <w14:schemeClr w14:val="tx1"/>
                  </w14:solidFill>
                </w14:textFill>
              </w:rPr>
              <w:t>，包括已计提资产减值准备的冲销部分</w:t>
            </w:r>
          </w:p>
        </w:tc>
        <w:tc>
          <w:tcPr>
            <w:tcW w:w="1297" w:type="pct"/>
            <w:vAlign w:val="center"/>
          </w:tcPr>
          <w:p w14:paraId="1B8E1BC9">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5,344,347.52</w:t>
            </w:r>
          </w:p>
        </w:tc>
        <w:tc>
          <w:tcPr>
            <w:tcW w:w="1227" w:type="pct"/>
            <w:vAlign w:val="center"/>
          </w:tcPr>
          <w:p w14:paraId="3326CC4B">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4C07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6BF3576D">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计入当期损益的政府补助</w:t>
            </w:r>
            <w:r>
              <w:rPr>
                <w:rFonts w:hint="eastAsia"/>
                <w:color w:val="000000" w:themeColor="text1"/>
                <w14:textFill>
                  <w14:solidFill>
                    <w14:schemeClr w14:val="tx1"/>
                  </w14:solidFill>
                </w14:textFill>
              </w:rPr>
              <w:t>，但与公司正常经营业务密切相关、符合国家政策规定、按照确定的标准享有、对公司损益产生持续影响的政府补助除外</w:t>
            </w:r>
          </w:p>
        </w:tc>
        <w:tc>
          <w:tcPr>
            <w:tcW w:w="1297" w:type="pct"/>
            <w:vAlign w:val="center"/>
          </w:tcPr>
          <w:p w14:paraId="13204AB6">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169,760,786.48</w:t>
            </w:r>
          </w:p>
        </w:tc>
        <w:tc>
          <w:tcPr>
            <w:tcW w:w="1227" w:type="pct"/>
            <w:vAlign w:val="center"/>
          </w:tcPr>
          <w:p w14:paraId="29907287">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53A7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0E4116C9">
            <w:pPr>
              <w:pStyle w:val="51"/>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除同公司正常经营业务相关的有效套期保值业务外，</w:t>
            </w:r>
            <w:r>
              <w:rPr>
                <w:color w:val="000000" w:themeColor="text1"/>
                <w14:textFill>
                  <w14:solidFill>
                    <w14:schemeClr w14:val="tx1"/>
                  </w14:solidFill>
                </w14:textFill>
              </w:rPr>
              <w:t>非金融企业持有金融资产和金融负债产生的公允价值变动损益以及处置金融资产和金融负债产生的损益</w:t>
            </w:r>
          </w:p>
        </w:tc>
        <w:tc>
          <w:tcPr>
            <w:tcW w:w="1297" w:type="pct"/>
            <w:vAlign w:val="center"/>
          </w:tcPr>
          <w:p w14:paraId="593F173B">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285BD06E">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3A81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1D77F120">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计入当期损益的对非金融企业收取的资金占用费</w:t>
            </w:r>
          </w:p>
        </w:tc>
        <w:tc>
          <w:tcPr>
            <w:tcW w:w="1297" w:type="pct"/>
            <w:vAlign w:val="center"/>
          </w:tcPr>
          <w:p w14:paraId="4E917DBC">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040B796F">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1251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57C5E119">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委托他人投资或管理资产的损益</w:t>
            </w:r>
          </w:p>
        </w:tc>
        <w:tc>
          <w:tcPr>
            <w:tcW w:w="1297" w:type="pct"/>
            <w:vAlign w:val="center"/>
          </w:tcPr>
          <w:p w14:paraId="4CD30427">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0313883A">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77C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49314A5D">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对外委托贷款取得的损益</w:t>
            </w:r>
          </w:p>
        </w:tc>
        <w:tc>
          <w:tcPr>
            <w:tcW w:w="1297" w:type="pct"/>
            <w:vAlign w:val="center"/>
          </w:tcPr>
          <w:p w14:paraId="6C0EEBBC">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16D653AF">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6E05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7331F869">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因不可抗力因</w:t>
            </w:r>
            <w:r>
              <w:rPr>
                <w:rFonts w:hint="eastAsia"/>
                <w:color w:val="000000" w:themeColor="text1"/>
                <w14:textFill>
                  <w14:solidFill>
                    <w14:schemeClr w14:val="tx1"/>
                  </w14:solidFill>
                </w14:textFill>
              </w:rPr>
              <w:t>素，如遭受自然灾害而产生的各项资产损失</w:t>
            </w:r>
          </w:p>
        </w:tc>
        <w:tc>
          <w:tcPr>
            <w:tcW w:w="1297" w:type="pct"/>
            <w:vAlign w:val="center"/>
          </w:tcPr>
          <w:p w14:paraId="4E2DBF58">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6953468B">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6EBC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6630AFAE">
            <w:pPr>
              <w:pStyle w:val="51"/>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单独进行减值测试的应收款项减值准备转回</w:t>
            </w:r>
          </w:p>
        </w:tc>
        <w:tc>
          <w:tcPr>
            <w:tcW w:w="1297" w:type="pct"/>
            <w:vAlign w:val="center"/>
          </w:tcPr>
          <w:p w14:paraId="03A35900">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2,873,286.22</w:t>
            </w:r>
          </w:p>
        </w:tc>
        <w:tc>
          <w:tcPr>
            <w:tcW w:w="1227" w:type="pct"/>
            <w:vAlign w:val="center"/>
          </w:tcPr>
          <w:p w14:paraId="4509A667">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A89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6C6B91AF">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企业取得子公司、联营企业及合营企业的投资成本小于取得投资时应享有被投资单位可辨认净资产公允价值产生的收益</w:t>
            </w:r>
          </w:p>
        </w:tc>
        <w:tc>
          <w:tcPr>
            <w:tcW w:w="1297" w:type="pct"/>
            <w:vAlign w:val="center"/>
          </w:tcPr>
          <w:p w14:paraId="1C09E1A2">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5BA22CB6">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3464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3D4960C0">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同一控制下企业合并产生的子公司期初至合并日的当期净损益</w:t>
            </w:r>
          </w:p>
        </w:tc>
        <w:tc>
          <w:tcPr>
            <w:tcW w:w="1297" w:type="pct"/>
            <w:vAlign w:val="center"/>
          </w:tcPr>
          <w:p w14:paraId="5369336E">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5E0BF1F1">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479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0AB80FBA">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非货币性资产交换损益</w:t>
            </w:r>
          </w:p>
        </w:tc>
        <w:tc>
          <w:tcPr>
            <w:tcW w:w="1297" w:type="pct"/>
            <w:vAlign w:val="center"/>
          </w:tcPr>
          <w:p w14:paraId="063B102C">
            <w:pPr>
              <w:widowControl w:val="0"/>
              <w:jc w:val="right"/>
              <w:rPr>
                <w:rFonts w:asciiTheme="minorEastAsia" w:hAnsiTheme="minorEastAsia" w:eastAsiaTheme="minorEastAsia"/>
              </w:rPr>
            </w:pPr>
            <w:r>
              <w:rPr>
                <w:rFonts w:hint="eastAsia" w:asciiTheme="minorEastAsia" w:hAnsiTheme="minorEastAsia" w:eastAsiaTheme="minorEastAsia"/>
              </w:rPr>
              <w:t xml:space="preserve">           </w:t>
            </w: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6AA6C82C">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1423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1FB25A26">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债务重组损益</w:t>
            </w:r>
          </w:p>
        </w:tc>
        <w:tc>
          <w:tcPr>
            <w:tcW w:w="1297" w:type="pct"/>
            <w:vAlign w:val="center"/>
          </w:tcPr>
          <w:p w14:paraId="62E80322">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-873.48</w:t>
            </w: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6CDA6077">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4F83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11A1FAEE">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企业</w:t>
            </w:r>
            <w:r>
              <w:rPr>
                <w:rFonts w:hint="eastAsia"/>
                <w:color w:val="000000" w:themeColor="text1"/>
                <w14:textFill>
                  <w14:solidFill>
                    <w14:schemeClr w14:val="tx1"/>
                  </w14:solidFill>
                </w14:textFill>
              </w:rPr>
              <w:t>因相关经营活动不再持续而发生的一次性费用，如安置职工的支出等</w:t>
            </w:r>
          </w:p>
        </w:tc>
        <w:tc>
          <w:tcPr>
            <w:tcW w:w="1297" w:type="pct"/>
            <w:vAlign w:val="center"/>
          </w:tcPr>
          <w:p w14:paraId="78A1B85C">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37439E7A">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1814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7E23557E">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因税收、会计等法律、法规</w:t>
            </w:r>
            <w:r>
              <w:rPr>
                <w:rFonts w:hint="eastAsia"/>
                <w:color w:val="000000" w:themeColor="text1"/>
                <w14:textFill>
                  <w14:solidFill>
                    <w14:schemeClr w14:val="tx1"/>
                  </w14:solidFill>
                </w14:textFill>
              </w:rPr>
              <w:t>的调整对当期损益产生的一次性影响</w:t>
            </w:r>
          </w:p>
        </w:tc>
        <w:tc>
          <w:tcPr>
            <w:tcW w:w="1297" w:type="pct"/>
            <w:vAlign w:val="center"/>
          </w:tcPr>
          <w:p w14:paraId="16547392">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31F4535F">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F46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73883E40">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因取消、修改股权激励计划一次性确认的股份支付费用</w:t>
            </w:r>
          </w:p>
        </w:tc>
        <w:tc>
          <w:tcPr>
            <w:tcW w:w="1297" w:type="pct"/>
            <w:vAlign w:val="center"/>
          </w:tcPr>
          <w:p w14:paraId="4C5FE1F2">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0A5F672E">
            <w:pPr>
              <w:widowControl w:val="0"/>
              <w:jc w:val="both"/>
            </w:pPr>
          </w:p>
        </w:tc>
      </w:tr>
      <w:tr w14:paraId="2DAA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54234B29">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对于现金结算的股份支付，在可行权日之后，应付职工薪酬的公允价值变动产生的损益</w:t>
            </w:r>
          </w:p>
        </w:tc>
        <w:tc>
          <w:tcPr>
            <w:tcW w:w="1297" w:type="pct"/>
            <w:vAlign w:val="center"/>
          </w:tcPr>
          <w:p w14:paraId="2F667A88">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2AF1C7D7">
            <w:pPr>
              <w:widowControl w:val="0"/>
              <w:jc w:val="both"/>
            </w:pPr>
          </w:p>
        </w:tc>
      </w:tr>
      <w:tr w14:paraId="042C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47668441">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采用公允价值模式进行后续计量的投资性房地产公允价值变动产生的损益</w:t>
            </w:r>
          </w:p>
        </w:tc>
        <w:tc>
          <w:tcPr>
            <w:tcW w:w="1297" w:type="pct"/>
            <w:vAlign w:val="center"/>
          </w:tcPr>
          <w:p w14:paraId="3BC0B3EA">
            <w:pPr>
              <w:widowControl w:val="0"/>
              <w:jc w:val="right"/>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416</w:t>
            </w:r>
            <w:r>
              <w:rPr>
                <w:rFonts w:hint="eastAsia" w:asciiTheme="minorEastAsia" w:hAnsiTheme="minorEastAsia" w:eastAsiaTheme="minorEastAsia"/>
              </w:rPr>
              <w:t xml:space="preserve">,700.00 </w:t>
            </w:r>
          </w:p>
        </w:tc>
        <w:tc>
          <w:tcPr>
            <w:tcW w:w="1227" w:type="pct"/>
            <w:vAlign w:val="center"/>
          </w:tcPr>
          <w:p w14:paraId="3BEFE2A4">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5E2D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0A0C4468">
            <w:pPr>
              <w:pStyle w:val="51"/>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交易价格显失公允的交易产生的收益</w:t>
            </w:r>
          </w:p>
        </w:tc>
        <w:tc>
          <w:tcPr>
            <w:tcW w:w="1297" w:type="pct"/>
            <w:vAlign w:val="center"/>
          </w:tcPr>
          <w:p w14:paraId="0A92FD22">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2D5982D8">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A19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34AD6411">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与公司正常经营业务无关的或有事项产生的损益</w:t>
            </w:r>
          </w:p>
        </w:tc>
        <w:tc>
          <w:tcPr>
            <w:tcW w:w="1297" w:type="pct"/>
            <w:vAlign w:val="center"/>
          </w:tcPr>
          <w:p w14:paraId="34A80225">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3657C935">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2412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1DECCC64">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受托经营取得的托管费收入</w:t>
            </w:r>
          </w:p>
        </w:tc>
        <w:tc>
          <w:tcPr>
            <w:tcW w:w="1297" w:type="pct"/>
            <w:vAlign w:val="center"/>
          </w:tcPr>
          <w:p w14:paraId="5472A173">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37A9799F">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47E9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17A9151D">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除上述各项之外的其他营业外收入和支出</w:t>
            </w:r>
          </w:p>
        </w:tc>
        <w:tc>
          <w:tcPr>
            <w:tcW w:w="1297" w:type="pct"/>
            <w:vAlign w:val="center"/>
          </w:tcPr>
          <w:p w14:paraId="4B880072">
            <w:pPr>
              <w:widowControl w:val="0"/>
              <w:jc w:val="right"/>
              <w:rPr>
                <w:rFonts w:asciiTheme="minorEastAsia" w:hAnsiTheme="minorEastAsia" w:eastAsiaTheme="minorEastAsia"/>
              </w:rPr>
            </w:pPr>
            <w:r>
              <w:rPr>
                <w:rFonts w:asciiTheme="minorEastAsia" w:hAnsiTheme="minorEastAsia" w:eastAsiaTheme="minorEastAsia"/>
              </w:rPr>
              <w:t>-6,972,790.57</w:t>
            </w:r>
          </w:p>
        </w:tc>
        <w:tc>
          <w:tcPr>
            <w:tcW w:w="1227" w:type="pct"/>
            <w:vAlign w:val="center"/>
          </w:tcPr>
          <w:p w14:paraId="14947364">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658B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4944F75D">
            <w:pPr>
              <w:pStyle w:val="51"/>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t>其他符合非经常性损益定义的损益项目</w:t>
            </w:r>
          </w:p>
        </w:tc>
        <w:tc>
          <w:tcPr>
            <w:tcW w:w="1297" w:type="pct"/>
            <w:vAlign w:val="center"/>
          </w:tcPr>
          <w:p w14:paraId="47B8E3AB">
            <w:pPr>
              <w:widowControl w:val="0"/>
              <w:jc w:val="righ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　</w:t>
            </w:r>
          </w:p>
        </w:tc>
        <w:tc>
          <w:tcPr>
            <w:tcW w:w="1227" w:type="pct"/>
            <w:vAlign w:val="center"/>
          </w:tcPr>
          <w:p w14:paraId="0E4799A5">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47F8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6DFDCE09">
            <w:pPr>
              <w:pStyle w:val="51"/>
              <w:ind w:firstLine="0" w:firstLineChars="0"/>
              <w:jc w:val="left"/>
            </w:pPr>
            <w:r>
              <w:t>处置长期股权投资产生的损益</w:t>
            </w:r>
          </w:p>
        </w:tc>
        <w:tc>
          <w:tcPr>
            <w:tcW w:w="1297" w:type="pct"/>
            <w:vAlign w:val="center"/>
          </w:tcPr>
          <w:p w14:paraId="6740530B">
            <w:pPr>
              <w:widowControl w:val="0"/>
              <w:jc w:val="right"/>
              <w:rPr>
                <w:rFonts w:asciiTheme="minorEastAsia" w:hAnsiTheme="minorEastAsia" w:eastAsiaTheme="minorEastAsia"/>
              </w:rPr>
            </w:pPr>
            <w:r>
              <w:rPr>
                <w:rFonts w:asciiTheme="minorEastAsia" w:hAnsiTheme="minorEastAsia" w:eastAsiaTheme="minorEastAsia"/>
              </w:rPr>
              <w:t>32,122,321.06</w:t>
            </w:r>
          </w:p>
        </w:tc>
        <w:tc>
          <w:tcPr>
            <w:tcW w:w="1227" w:type="pct"/>
            <w:vAlign w:val="center"/>
          </w:tcPr>
          <w:p w14:paraId="233F8FBB">
            <w:pPr>
              <w:widowControl w:val="0"/>
              <w:jc w:val="both"/>
              <w:rPr>
                <w:color w:val="000000" w:themeColor="text1"/>
                <w14:textFill>
                  <w14:solidFill>
                    <w14:schemeClr w14:val="tx1"/>
                  </w14:solidFill>
                </w14:textFill>
              </w:rPr>
            </w:pPr>
          </w:p>
        </w:tc>
      </w:tr>
      <w:tr w14:paraId="7840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7F682629">
            <w:pPr>
              <w:pStyle w:val="51"/>
              <w:ind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减：</w:t>
            </w:r>
            <w:r>
              <w:rPr>
                <w:color w:val="000000" w:themeColor="text1"/>
                <w14:textFill>
                  <w14:solidFill>
                    <w14:schemeClr w14:val="tx1"/>
                  </w14:solidFill>
                </w14:textFill>
              </w:rPr>
              <w:t>所得税影响额</w:t>
            </w:r>
          </w:p>
        </w:tc>
        <w:tc>
          <w:tcPr>
            <w:tcW w:w="1297" w:type="pct"/>
            <w:vAlign w:val="center"/>
          </w:tcPr>
          <w:p w14:paraId="69683334">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7,676,090.87</w:t>
            </w:r>
          </w:p>
        </w:tc>
        <w:tc>
          <w:tcPr>
            <w:tcW w:w="1227" w:type="pct"/>
            <w:vAlign w:val="center"/>
          </w:tcPr>
          <w:p w14:paraId="346A5041">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7C1F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tcPr>
          <w:p w14:paraId="3FEB5FD2">
            <w:pPr>
              <w:pStyle w:val="51"/>
              <w:jc w:val="left"/>
              <w:rPr>
                <w:color w:val="000000" w:themeColor="text1"/>
                <w14:textFill>
                  <w14:solidFill>
                    <w14:schemeClr w14:val="tx1"/>
                  </w14:solidFill>
                </w14:textFill>
              </w:rPr>
            </w:pPr>
            <w:r>
              <w:rPr>
                <w:color w:val="000000" w:themeColor="text1"/>
                <w14:textFill>
                  <w14:solidFill>
                    <w14:schemeClr w14:val="tx1"/>
                  </w14:solidFill>
                </w14:textFill>
              </w:rPr>
              <w:t>少数股东权益影响额</w:t>
            </w:r>
            <w:r>
              <w:rPr>
                <w:rFonts w:hint="eastAsia"/>
                <w:color w:val="000000" w:themeColor="text1"/>
                <w14:textFill>
                  <w14:solidFill>
                    <w14:schemeClr w14:val="tx1"/>
                  </w14:solidFill>
                </w14:textFill>
              </w:rPr>
              <w:t>（税后）</w:t>
            </w:r>
          </w:p>
        </w:tc>
        <w:tc>
          <w:tcPr>
            <w:tcW w:w="1297" w:type="pct"/>
            <w:vAlign w:val="center"/>
          </w:tcPr>
          <w:p w14:paraId="0C21AA31">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rPr>
              <w:t>7,360,183.68</w:t>
            </w:r>
          </w:p>
        </w:tc>
        <w:tc>
          <w:tcPr>
            <w:tcW w:w="1227" w:type="pct"/>
            <w:vAlign w:val="center"/>
          </w:tcPr>
          <w:p w14:paraId="4CDC3CEF">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r w14:paraId="156AA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76" w:type="pct"/>
            <w:vAlign w:val="center"/>
          </w:tcPr>
          <w:p w14:paraId="6CBF19ED">
            <w:pPr>
              <w:pStyle w:val="51"/>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t>合计</w:t>
            </w:r>
          </w:p>
        </w:tc>
        <w:tc>
          <w:tcPr>
            <w:tcW w:w="1297" w:type="pct"/>
            <w:vAlign w:val="center"/>
          </w:tcPr>
          <w:p w14:paraId="360FC553">
            <w:pPr>
              <w:widowControl w:val="0"/>
              <w:jc w:val="righ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rPr>
              <w:t>164,674,102.68</w:t>
            </w:r>
          </w:p>
        </w:tc>
        <w:tc>
          <w:tcPr>
            <w:tcW w:w="1227" w:type="pct"/>
            <w:vAlign w:val="center"/>
          </w:tcPr>
          <w:p w14:paraId="2320C224">
            <w:pPr>
              <w:widowControl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w:t>
            </w:r>
          </w:p>
        </w:tc>
      </w:tr>
    </w:tbl>
    <w:p w14:paraId="08484593"/>
    <w:p w14:paraId="34F33BA6">
      <w:pPr>
        <w:rPr>
          <w:color w:val="000000" w:themeColor="text1"/>
          <w14:textFill>
            <w14:solidFill>
              <w14:schemeClr w14:val="tx1"/>
            </w14:solidFill>
          </w14:textFill>
        </w:rPr>
      </w:pPr>
      <w:r>
        <w:rPr>
          <w:rFonts w:hint="eastAsia"/>
          <w:color w:val="000000" w:themeColor="text1"/>
          <w14:textFill>
            <w14:solidFill>
              <w14:schemeClr w14:val="tx1"/>
            </w14:solidFill>
          </w14:textFill>
        </w:rPr>
        <w:t>对公司</w:t>
      </w:r>
      <w:bookmarkStart w:id="466" w:name="_Hlk169079435"/>
      <w:r>
        <w:rPr>
          <w:rFonts w:hint="eastAsia"/>
          <w:color w:val="000000" w:themeColor="text1"/>
          <w14:textFill>
            <w14:solidFill>
              <w14:schemeClr w14:val="tx1"/>
            </w14:solidFill>
          </w14:textFill>
        </w:rPr>
        <w:t>将《公开发行证券的公司信息披露解释性公告第</w:t>
      </w:r>
      <w:r>
        <w:rPr>
          <w:color w:val="000000" w:themeColor="text1"/>
          <w14:textFill>
            <w14:solidFill>
              <w14:schemeClr w14:val="tx1"/>
            </w14:solidFill>
          </w14:textFill>
        </w:rPr>
        <w:t>1号——非经常性损益》未列举的项目认定为非经常性损益项目且金额重大的，以及将《公开发行证券的公司信息披露解释性公告第1号——非经常性损益》中列举的非经常性损益项目界定为经常性损益的项目，应说明原因。</w:t>
      </w:r>
      <w:bookmarkEnd w:id="466"/>
    </w:p>
    <w:sdt>
      <w:sdtPr>
        <w:rPr>
          <w:color w:val="000000" w:themeColor="text1"/>
          <w14:textFill>
            <w14:solidFill>
              <w14:schemeClr w14:val="tx1"/>
            </w14:solidFill>
          </w14:textFill>
        </w:rPr>
        <w:alias w:val="是否适用：将非经常性损益项目界定为经常性损益项目[双击切换]"/>
        <w:tag w:val="_GBC_5f8a059d4da1440d8ef10197ecd89cd6"/>
        <w:id w:val="-1911692592"/>
        <w:placeholder>
          <w:docPart w:val="GBC22222222222222222222222222222"/>
        </w:placeholder>
      </w:sdtPr>
      <w:sdtEndPr>
        <w:rPr>
          <w:color w:val="000000" w:themeColor="text1"/>
          <w14:textFill>
            <w14:solidFill>
              <w14:schemeClr w14:val="tx1"/>
            </w14:solidFill>
          </w14:textFill>
        </w:rPr>
      </w:sdtEndPr>
      <w:sdtContent>
        <w:p w14:paraId="4B73ECF6">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7B89EFC5">
      <w:pPr>
        <w:rPr>
          <w:color w:val="000000" w:themeColor="text1"/>
          <w14:textFill>
            <w14:solidFill>
              <w14:schemeClr w14:val="tx1"/>
            </w14:solidFill>
          </w14:textFill>
        </w:rPr>
      </w:pPr>
    </w:p>
    <w:p w14:paraId="4D161C7D">
      <w:pPr>
        <w:spacing w:line="360" w:lineRule="exact"/>
        <w:rPr>
          <w:color w:val="000000" w:themeColor="text1"/>
          <w14:textFill>
            <w14:solidFill>
              <w14:schemeClr w14:val="tx1"/>
            </w14:solidFill>
          </w14:textFill>
        </w:rPr>
      </w:pPr>
      <w:bookmarkStart w:id="467" w:name="_Hlk168058078"/>
      <w:r>
        <w:rPr>
          <w:rFonts w:hint="eastAsia"/>
          <w:color w:val="000000" w:themeColor="text1"/>
          <w14:textFill>
            <w14:solidFill>
              <w14:schemeClr w14:val="tx1"/>
            </w14:solidFill>
          </w14:textFill>
        </w:rPr>
        <w:t>其他说明</w:t>
      </w:r>
    </w:p>
    <w:sdt>
      <w:sdtPr>
        <w:rPr>
          <w:color w:val="000000" w:themeColor="text1"/>
          <w14:textFill>
            <w14:solidFill>
              <w14:schemeClr w14:val="tx1"/>
            </w14:solidFill>
          </w14:textFill>
        </w:rPr>
        <w:alias w:val="是否适用：非经常性损益的其他说明[双击切换]"/>
        <w:tag w:val="_GBC_98984b33dead4179aa5566c8753f4b5e"/>
        <w:id w:val="-1472356197"/>
        <w:placeholder>
          <w:docPart w:val="GBC22222222222222222222222222222"/>
        </w:placeholder>
      </w:sdtPr>
      <w:sdtEndPr>
        <w:rPr>
          <w:color w:val="000000" w:themeColor="text1"/>
          <w14:textFill>
            <w14:solidFill>
              <w14:schemeClr w14:val="tx1"/>
            </w14:solidFill>
          </w14:textFill>
        </w:rPr>
      </w:sdtEndPr>
      <w:sdtContent>
        <w:p w14:paraId="681A7544">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5B27BF08">
      <w:pPr>
        <w:rPr>
          <w:color w:val="000000" w:themeColor="text1"/>
          <w14:textFill>
            <w14:solidFill>
              <w14:schemeClr w14:val="tx1"/>
            </w14:solidFill>
          </w14:textFill>
        </w:rPr>
      </w:pPr>
    </w:p>
    <w:bookmarkEnd w:id="467"/>
    <w:p w14:paraId="1059CAB2">
      <w:pPr>
        <w:pStyle w:val="4"/>
        <w:numPr>
          <w:ilvl w:val="0"/>
          <w:numId w:val="111"/>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净资产收益率及每股收益</w:t>
      </w:r>
    </w:p>
    <w:sdt>
      <w:sdtPr>
        <w:rPr>
          <w:color w:val="000000" w:themeColor="text1"/>
          <w14:textFill>
            <w14:solidFill>
              <w14:schemeClr w14:val="tx1"/>
            </w14:solidFill>
          </w14:textFill>
        </w:rPr>
        <w:alias w:val="是否适用：净资产收益率及每股收益[双击切换]"/>
        <w:tag w:val="_GBC_75866ebc8d184cdd988e79330ad3b083"/>
        <w:id w:val="-1010216040"/>
        <w:placeholder>
          <w:docPart w:val="GBC22222222222222222222222222222"/>
        </w:placeholder>
      </w:sdtPr>
      <w:sdtEndPr>
        <w:rPr>
          <w:color w:val="000000" w:themeColor="text1"/>
          <w14:textFill>
            <w14:solidFill>
              <w14:schemeClr w14:val="tx1"/>
            </w14:solidFill>
          </w14:textFill>
        </w:rPr>
      </w:sdtEndPr>
      <w:sdtContent>
        <w:p w14:paraId="53D2D61F">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12"/>
        <w:gridCol w:w="1841"/>
        <w:gridCol w:w="2147"/>
        <w:gridCol w:w="2149"/>
      </w:tblGrid>
      <w:tr w14:paraId="552CC0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tag w:val="_PLD_680a8ba0e71a45459c0939cd6c78c07f"/>
            <w:id w:val="872816734"/>
          </w:sdtPr>
          <w:sdtContent>
            <w:tc>
              <w:tcPr>
                <w:tcW w:w="1609" w:type="pct"/>
                <w:vMerge w:val="restart"/>
                <w:tcBorders>
                  <w:top w:val="single" w:color="auto" w:sz="4" w:space="0"/>
                  <w:left w:val="single" w:color="auto" w:sz="4" w:space="0"/>
                  <w:bottom w:val="single" w:color="auto" w:sz="4" w:space="0"/>
                  <w:right w:val="single" w:color="auto" w:sz="4" w:space="0"/>
                </w:tcBorders>
                <w:vAlign w:val="center"/>
              </w:tcPr>
              <w:p w14:paraId="07F5664C">
                <w:pPr>
                  <w:jc w:val="center"/>
                  <w:rPr>
                    <w:color w:val="000000" w:themeColor="text1"/>
                    <w14:textFill>
                      <w14:solidFill>
                        <w14:schemeClr w14:val="tx1"/>
                      </w14:solidFill>
                    </w14:textFill>
                  </w:rPr>
                </w:pPr>
                <w:r>
                  <w:rPr>
                    <w:color w:val="000000" w:themeColor="text1"/>
                    <w14:textFill>
                      <w14:solidFill>
                        <w14:schemeClr w14:val="tx1"/>
                      </w14:solidFill>
                    </w14:textFill>
                  </w:rPr>
                  <w:t>报告期利润</w:t>
                </w:r>
              </w:p>
            </w:tc>
          </w:sdtContent>
        </w:sdt>
        <w:sdt>
          <w:sdtPr>
            <w:tag w:val="_PLD_608d0086e1154f8ca6d3c34247132ef0"/>
            <w:id w:val="332182489"/>
          </w:sdtPr>
          <w:sdtContent>
            <w:tc>
              <w:tcPr>
                <w:tcW w:w="1017" w:type="pct"/>
                <w:vMerge w:val="restart"/>
                <w:tcBorders>
                  <w:top w:val="single" w:color="auto" w:sz="4" w:space="0"/>
                  <w:left w:val="single" w:color="auto" w:sz="4" w:space="0"/>
                  <w:right w:val="single" w:color="auto" w:sz="4" w:space="0"/>
                </w:tcBorders>
                <w:vAlign w:val="center"/>
              </w:tcPr>
              <w:p w14:paraId="3EA93F24">
                <w:pPr>
                  <w:jc w:val="center"/>
                  <w:rPr>
                    <w:color w:val="000000" w:themeColor="text1"/>
                    <w14:textFill>
                      <w14:solidFill>
                        <w14:schemeClr w14:val="tx1"/>
                      </w14:solidFill>
                    </w14:textFill>
                  </w:rPr>
                </w:pPr>
                <w:r>
                  <w:rPr>
                    <w:color w:val="000000" w:themeColor="text1"/>
                    <w14:textFill>
                      <w14:solidFill>
                        <w14:schemeClr w14:val="tx1"/>
                      </w14:solidFill>
                    </w14:textFill>
                  </w:rPr>
                  <w:t>加权平均净资产收益率（%）</w:t>
                </w:r>
              </w:p>
            </w:tc>
          </w:sdtContent>
        </w:sdt>
        <w:sdt>
          <w:sdtPr>
            <w:tag w:val="_PLD_8b4a0bf973be4a19862ac5168193db93"/>
            <w:id w:val="-210879515"/>
          </w:sdtPr>
          <w:sdtContent>
            <w:tc>
              <w:tcPr>
                <w:tcW w:w="2373" w:type="pct"/>
                <w:gridSpan w:val="2"/>
                <w:tcBorders>
                  <w:top w:val="single" w:color="auto" w:sz="4" w:space="0"/>
                  <w:left w:val="single" w:color="auto" w:sz="4" w:space="0"/>
                  <w:bottom w:val="single" w:color="auto" w:sz="4" w:space="0"/>
                  <w:right w:val="single" w:color="auto" w:sz="4" w:space="0"/>
                </w:tcBorders>
                <w:vAlign w:val="center"/>
              </w:tcPr>
              <w:p w14:paraId="6555EB23">
                <w:pPr>
                  <w:jc w:val="center"/>
                  <w:rPr>
                    <w:color w:val="000000" w:themeColor="text1"/>
                    <w14:textFill>
                      <w14:solidFill>
                        <w14:schemeClr w14:val="tx1"/>
                      </w14:solidFill>
                    </w14:textFill>
                  </w:rPr>
                </w:pPr>
                <w:r>
                  <w:rPr>
                    <w:color w:val="000000" w:themeColor="text1"/>
                    <w14:textFill>
                      <w14:solidFill>
                        <w14:schemeClr w14:val="tx1"/>
                      </w14:solidFill>
                    </w14:textFill>
                  </w:rPr>
                  <w:t>每股收益</w:t>
                </w:r>
              </w:p>
            </w:tc>
          </w:sdtContent>
        </w:sdt>
      </w:tr>
      <w:tr w14:paraId="2C64B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09" w:type="pct"/>
            <w:vMerge w:val="continue"/>
            <w:tcBorders>
              <w:top w:val="single" w:color="auto" w:sz="4" w:space="0"/>
              <w:left w:val="single" w:color="auto" w:sz="4" w:space="0"/>
              <w:bottom w:val="single" w:color="auto" w:sz="4" w:space="0"/>
              <w:right w:val="single" w:color="auto" w:sz="4" w:space="0"/>
            </w:tcBorders>
            <w:vAlign w:val="center"/>
          </w:tcPr>
          <w:p w14:paraId="0C037864">
            <w:pPr>
              <w:jc w:val="center"/>
              <w:rPr>
                <w:color w:val="000000" w:themeColor="text1"/>
                <w14:textFill>
                  <w14:solidFill>
                    <w14:schemeClr w14:val="tx1"/>
                  </w14:solidFill>
                </w14:textFill>
              </w:rPr>
            </w:pPr>
          </w:p>
        </w:tc>
        <w:tc>
          <w:tcPr>
            <w:tcW w:w="1017" w:type="pct"/>
            <w:vMerge w:val="continue"/>
            <w:tcBorders>
              <w:left w:val="single" w:color="auto" w:sz="4" w:space="0"/>
              <w:bottom w:val="single" w:color="auto" w:sz="4" w:space="0"/>
              <w:right w:val="single" w:color="auto" w:sz="4" w:space="0"/>
            </w:tcBorders>
            <w:vAlign w:val="center"/>
          </w:tcPr>
          <w:p w14:paraId="75DA0C1C">
            <w:pPr>
              <w:jc w:val="center"/>
              <w:rPr>
                <w:color w:val="000000" w:themeColor="text1"/>
                <w14:textFill>
                  <w14:solidFill>
                    <w14:schemeClr w14:val="tx1"/>
                  </w14:solidFill>
                </w14:textFill>
              </w:rPr>
            </w:pPr>
          </w:p>
        </w:tc>
        <w:sdt>
          <w:sdtPr>
            <w:tag w:val="_PLD_45472770a81744249d77e54c2efc412a"/>
            <w:id w:val="404889442"/>
          </w:sdtPr>
          <w:sdtContent>
            <w:tc>
              <w:tcPr>
                <w:tcW w:w="1186" w:type="pct"/>
                <w:tcBorders>
                  <w:top w:val="single" w:color="auto" w:sz="4" w:space="0"/>
                  <w:left w:val="single" w:color="auto" w:sz="4" w:space="0"/>
                  <w:bottom w:val="single" w:color="auto" w:sz="4" w:space="0"/>
                  <w:right w:val="single" w:color="auto" w:sz="4" w:space="0"/>
                </w:tcBorders>
                <w:vAlign w:val="center"/>
              </w:tcPr>
              <w:p w14:paraId="2DA4152B">
                <w:pPr>
                  <w:jc w:val="center"/>
                  <w:rPr>
                    <w:color w:val="000000" w:themeColor="text1"/>
                    <w14:textFill>
                      <w14:solidFill>
                        <w14:schemeClr w14:val="tx1"/>
                      </w14:solidFill>
                    </w14:textFill>
                  </w:rPr>
                </w:pPr>
                <w:r>
                  <w:rPr>
                    <w:color w:val="000000" w:themeColor="text1"/>
                    <w14:textFill>
                      <w14:solidFill>
                        <w14:schemeClr w14:val="tx1"/>
                      </w14:solidFill>
                    </w14:textFill>
                  </w:rPr>
                  <w:t>基本每股收益</w:t>
                </w:r>
              </w:p>
            </w:tc>
          </w:sdtContent>
        </w:sdt>
        <w:sdt>
          <w:sdtPr>
            <w:tag w:val="_PLD_c4e5be0bbc134fa28e28895e1a12e02c"/>
            <w:id w:val="1202051332"/>
          </w:sdtPr>
          <w:sdtContent>
            <w:tc>
              <w:tcPr>
                <w:tcW w:w="1187" w:type="pct"/>
                <w:tcBorders>
                  <w:top w:val="single" w:color="auto" w:sz="4" w:space="0"/>
                  <w:left w:val="single" w:color="auto" w:sz="4" w:space="0"/>
                  <w:bottom w:val="single" w:color="auto" w:sz="4" w:space="0"/>
                  <w:right w:val="single" w:color="auto" w:sz="4" w:space="0"/>
                </w:tcBorders>
                <w:vAlign w:val="center"/>
              </w:tcPr>
              <w:p w14:paraId="6666003D">
                <w:pPr>
                  <w:jc w:val="center"/>
                  <w:rPr>
                    <w:color w:val="000000" w:themeColor="text1"/>
                    <w14:textFill>
                      <w14:solidFill>
                        <w14:schemeClr w14:val="tx1"/>
                      </w14:solidFill>
                    </w14:textFill>
                  </w:rPr>
                </w:pPr>
                <w:r>
                  <w:rPr>
                    <w:color w:val="000000" w:themeColor="text1"/>
                    <w14:textFill>
                      <w14:solidFill>
                        <w14:schemeClr w14:val="tx1"/>
                      </w14:solidFill>
                    </w14:textFill>
                  </w:rPr>
                  <w:t>稀释每股收益</w:t>
                </w:r>
              </w:p>
            </w:tc>
          </w:sdtContent>
        </w:sdt>
      </w:tr>
      <w:tr w14:paraId="4B030D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09" w:type="pct"/>
            <w:tcBorders>
              <w:top w:val="single" w:color="auto" w:sz="4" w:space="0"/>
              <w:left w:val="single" w:color="auto" w:sz="4" w:space="0"/>
              <w:bottom w:val="single" w:color="auto" w:sz="4" w:space="0"/>
              <w:right w:val="single" w:color="auto" w:sz="4" w:space="0"/>
            </w:tcBorders>
          </w:tcPr>
          <w:p w14:paraId="5544EBA2">
            <w:pPr>
              <w:rPr>
                <w:color w:val="000000" w:themeColor="text1"/>
                <w14:textFill>
                  <w14:solidFill>
                    <w14:schemeClr w14:val="tx1"/>
                  </w14:solidFill>
                </w14:textFill>
              </w:rPr>
            </w:pPr>
            <w:r>
              <w:rPr>
                <w:color w:val="000000" w:themeColor="text1"/>
                <w14:textFill>
                  <w14:solidFill>
                    <w14:schemeClr w14:val="tx1"/>
                  </w14:solidFill>
                </w14:textFill>
              </w:rPr>
              <w:t>归属于公司普通股股东的净利润</w:t>
            </w:r>
          </w:p>
        </w:tc>
        <w:tc>
          <w:tcPr>
            <w:tcW w:w="1017" w:type="pct"/>
            <w:tcBorders>
              <w:top w:val="single" w:color="auto" w:sz="4" w:space="0"/>
              <w:left w:val="single" w:color="auto" w:sz="4" w:space="0"/>
              <w:bottom w:val="single" w:color="auto" w:sz="4" w:space="0"/>
              <w:right w:val="single" w:color="auto" w:sz="4" w:space="0"/>
            </w:tcBorders>
            <w:vAlign w:val="center"/>
          </w:tcPr>
          <w:p w14:paraId="1B1F888D">
            <w:pPr>
              <w:jc w:val="center"/>
              <w:rPr>
                <w:rFonts w:asciiTheme="minorEastAsia" w:hAnsiTheme="minorEastAsia" w:eastAsiaTheme="minorEastAsia"/>
              </w:rPr>
            </w:pPr>
            <w:r>
              <w:rPr>
                <w:rFonts w:hint="eastAsia" w:asciiTheme="minorEastAsia" w:hAnsiTheme="minorEastAsia" w:eastAsiaTheme="minorEastAsia"/>
              </w:rPr>
              <w:t>0</w:t>
            </w:r>
            <w:r>
              <w:rPr>
                <w:rFonts w:asciiTheme="minorEastAsia" w:hAnsiTheme="minorEastAsia" w:eastAsiaTheme="minorEastAsia"/>
              </w:rPr>
              <w:t>.30</w:t>
            </w:r>
          </w:p>
        </w:tc>
        <w:tc>
          <w:tcPr>
            <w:tcW w:w="1186" w:type="pct"/>
            <w:tcBorders>
              <w:top w:val="single" w:color="auto" w:sz="4" w:space="0"/>
              <w:left w:val="single" w:color="auto" w:sz="4" w:space="0"/>
              <w:bottom w:val="single" w:color="auto" w:sz="4" w:space="0"/>
              <w:right w:val="single" w:color="auto" w:sz="4" w:space="0"/>
            </w:tcBorders>
            <w:vAlign w:val="center"/>
          </w:tcPr>
          <w:p w14:paraId="1782164D">
            <w:pPr>
              <w:jc w:val="center"/>
              <w:rPr>
                <w:rFonts w:asciiTheme="minorEastAsia" w:hAnsiTheme="minorEastAsia" w:eastAsiaTheme="minorEastAsia"/>
              </w:rPr>
            </w:pPr>
            <w:r>
              <w:rPr>
                <w:rFonts w:hint="eastAsia" w:asciiTheme="minorEastAsia" w:hAnsiTheme="minorEastAsia" w:eastAsiaTheme="minorEastAsia"/>
              </w:rPr>
              <w:t>0.00</w:t>
            </w:r>
            <w:r>
              <w:rPr>
                <w:rFonts w:asciiTheme="minorEastAsia" w:hAnsiTheme="minorEastAsia" w:eastAsiaTheme="minorEastAsia"/>
              </w:rPr>
              <w:t>69</w:t>
            </w:r>
          </w:p>
        </w:tc>
        <w:tc>
          <w:tcPr>
            <w:tcW w:w="1187" w:type="pct"/>
            <w:tcBorders>
              <w:top w:val="single" w:color="auto" w:sz="4" w:space="0"/>
              <w:left w:val="single" w:color="auto" w:sz="4" w:space="0"/>
              <w:bottom w:val="single" w:color="auto" w:sz="4" w:space="0"/>
              <w:right w:val="single" w:color="auto" w:sz="4" w:space="0"/>
            </w:tcBorders>
            <w:vAlign w:val="center"/>
          </w:tcPr>
          <w:p w14:paraId="1D21EA33">
            <w:pPr>
              <w:jc w:val="center"/>
              <w:rPr>
                <w:rFonts w:asciiTheme="minorEastAsia" w:hAnsiTheme="minorEastAsia" w:eastAsiaTheme="minorEastAsia"/>
              </w:rPr>
            </w:pPr>
            <w:r>
              <w:rPr>
                <w:rFonts w:hint="eastAsia" w:asciiTheme="minorEastAsia" w:hAnsiTheme="minorEastAsia" w:eastAsiaTheme="minorEastAsia"/>
              </w:rPr>
              <w:t>0.00</w:t>
            </w:r>
            <w:r>
              <w:rPr>
                <w:rFonts w:asciiTheme="minorEastAsia" w:hAnsiTheme="minorEastAsia" w:eastAsiaTheme="minorEastAsia"/>
              </w:rPr>
              <w:t>69</w:t>
            </w:r>
          </w:p>
        </w:tc>
      </w:tr>
      <w:tr w14:paraId="27FCA4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09" w:type="pct"/>
            <w:tcBorders>
              <w:top w:val="single" w:color="auto" w:sz="4" w:space="0"/>
              <w:left w:val="single" w:color="auto" w:sz="4" w:space="0"/>
              <w:bottom w:val="single" w:color="auto" w:sz="4" w:space="0"/>
              <w:right w:val="single" w:color="auto" w:sz="4" w:space="0"/>
            </w:tcBorders>
          </w:tcPr>
          <w:p w14:paraId="61126974">
            <w:pPr>
              <w:rPr>
                <w:color w:val="000000" w:themeColor="text1"/>
                <w14:textFill>
                  <w14:solidFill>
                    <w14:schemeClr w14:val="tx1"/>
                  </w14:solidFill>
                </w14:textFill>
              </w:rPr>
            </w:pPr>
            <w:r>
              <w:rPr>
                <w:color w:val="000000" w:themeColor="text1"/>
                <w14:textFill>
                  <w14:solidFill>
                    <w14:schemeClr w14:val="tx1"/>
                  </w14:solidFill>
                </w14:textFill>
              </w:rPr>
              <w:t>扣除非经常性损益后归属于公司普通股股东的净利润</w:t>
            </w:r>
          </w:p>
        </w:tc>
        <w:tc>
          <w:tcPr>
            <w:tcW w:w="1017" w:type="pct"/>
            <w:tcBorders>
              <w:top w:val="single" w:color="auto" w:sz="4" w:space="0"/>
              <w:left w:val="single" w:color="auto" w:sz="4" w:space="0"/>
              <w:bottom w:val="single" w:color="auto" w:sz="4" w:space="0"/>
              <w:right w:val="single" w:color="auto" w:sz="4" w:space="0"/>
            </w:tcBorders>
            <w:vAlign w:val="center"/>
          </w:tcPr>
          <w:p w14:paraId="4AAF2CF0">
            <w:pPr>
              <w:jc w:val="center"/>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1.27</w:t>
            </w:r>
          </w:p>
        </w:tc>
        <w:tc>
          <w:tcPr>
            <w:tcW w:w="1186" w:type="pct"/>
            <w:tcBorders>
              <w:top w:val="single" w:color="auto" w:sz="4" w:space="0"/>
              <w:left w:val="single" w:color="auto" w:sz="4" w:space="0"/>
              <w:bottom w:val="single" w:color="auto" w:sz="4" w:space="0"/>
              <w:right w:val="single" w:color="auto" w:sz="4" w:space="0"/>
            </w:tcBorders>
            <w:vAlign w:val="center"/>
          </w:tcPr>
          <w:p w14:paraId="6C4797CF">
            <w:pPr>
              <w:jc w:val="center"/>
              <w:rPr>
                <w:rFonts w:asciiTheme="minorEastAsia" w:hAnsiTheme="minorEastAsia" w:eastAsiaTheme="minorEastAsia"/>
                <w:bCs/>
              </w:rPr>
            </w:pPr>
            <w:r>
              <w:rPr>
                <w:rFonts w:hint="eastAsia" w:asciiTheme="minorEastAsia" w:hAnsiTheme="minorEastAsia" w:eastAsiaTheme="minorEastAsia"/>
                <w:bCs/>
              </w:rPr>
              <w:t>-0.0</w:t>
            </w:r>
            <w:r>
              <w:rPr>
                <w:rFonts w:asciiTheme="minorEastAsia" w:hAnsiTheme="minorEastAsia" w:eastAsiaTheme="minorEastAsia"/>
                <w:bCs/>
              </w:rPr>
              <w:t>295</w:t>
            </w:r>
          </w:p>
        </w:tc>
        <w:tc>
          <w:tcPr>
            <w:tcW w:w="1187" w:type="pct"/>
            <w:tcBorders>
              <w:top w:val="single" w:color="auto" w:sz="4" w:space="0"/>
              <w:left w:val="single" w:color="auto" w:sz="4" w:space="0"/>
              <w:bottom w:val="single" w:color="auto" w:sz="4" w:space="0"/>
              <w:right w:val="single" w:color="auto" w:sz="4" w:space="0"/>
            </w:tcBorders>
            <w:vAlign w:val="center"/>
          </w:tcPr>
          <w:p w14:paraId="79C28FDB">
            <w:pPr>
              <w:jc w:val="center"/>
              <w:rPr>
                <w:rFonts w:asciiTheme="minorEastAsia" w:hAnsiTheme="minorEastAsia" w:eastAsiaTheme="minorEastAsia"/>
                <w:bCs/>
              </w:rPr>
            </w:pPr>
            <w:r>
              <w:rPr>
                <w:rFonts w:hint="eastAsia" w:asciiTheme="minorEastAsia" w:hAnsiTheme="minorEastAsia" w:eastAsiaTheme="minorEastAsia"/>
                <w:bCs/>
              </w:rPr>
              <w:t>-0.0</w:t>
            </w:r>
            <w:r>
              <w:rPr>
                <w:rFonts w:asciiTheme="minorEastAsia" w:hAnsiTheme="minorEastAsia" w:eastAsiaTheme="minorEastAsia"/>
                <w:bCs/>
              </w:rPr>
              <w:t>295</w:t>
            </w:r>
          </w:p>
        </w:tc>
      </w:tr>
    </w:tbl>
    <w:p w14:paraId="347836EF">
      <w:pPr>
        <w:rPr>
          <w:color w:val="000000" w:themeColor="text1"/>
          <w14:textFill>
            <w14:solidFill>
              <w14:schemeClr w14:val="tx1"/>
            </w14:solidFill>
          </w14:textFill>
        </w:rPr>
      </w:pPr>
    </w:p>
    <w:p w14:paraId="0A120FF6">
      <w:pPr>
        <w:pStyle w:val="4"/>
        <w:numPr>
          <w:ilvl w:val="0"/>
          <w:numId w:val="111"/>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境内外会计准则下会计数据差异</w:t>
      </w:r>
    </w:p>
    <w:sdt>
      <w:sdtPr>
        <w:rPr>
          <w:color w:val="000000" w:themeColor="text1"/>
          <w14:textFill>
            <w14:solidFill>
              <w14:schemeClr w14:val="tx1"/>
            </w14:solidFill>
          </w14:textFill>
        </w:rPr>
        <w:alias w:val="是否适用：境内外会计准则下会计数据差异[双击切换]"/>
        <w:tag w:val="_GBC_3482333eff2948139884cfdd1debc958"/>
        <w:id w:val="-396280937"/>
        <w:placeholder>
          <w:docPart w:val="GBC22222222222222222222222222222"/>
        </w:placeholder>
      </w:sdtPr>
      <w:sdtEndPr>
        <w:rPr>
          <w:color w:val="000000" w:themeColor="text1"/>
          <w14:textFill>
            <w14:solidFill>
              <w14:schemeClr w14:val="tx1"/>
            </w14:solidFill>
          </w14:textFill>
        </w:rPr>
      </w:sdtEndPr>
      <w:sdtContent>
        <w:p w14:paraId="1F70B24D">
          <w:pPr>
            <w:rPr>
              <w:rFonts w:cstheme="minorBidi"/>
              <w:color w:val="000000" w:themeColor="text1"/>
              <w:kern w:val="2"/>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0491478B">
      <w:pPr>
        <w:rPr>
          <w:color w:val="000000" w:themeColor="text1"/>
          <w14:textFill>
            <w14:solidFill>
              <w14:schemeClr w14:val="tx1"/>
            </w14:solidFill>
          </w14:textFill>
        </w:rPr>
      </w:pPr>
    </w:p>
    <w:p w14:paraId="07375FE5">
      <w:pPr>
        <w:pStyle w:val="4"/>
        <w:numPr>
          <w:ilvl w:val="0"/>
          <w:numId w:val="111"/>
        </w:num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其他</w:t>
      </w:r>
    </w:p>
    <w:sdt>
      <w:sdtPr>
        <w:rPr>
          <w:color w:val="000000" w:themeColor="text1"/>
          <w14:textFill>
            <w14:solidFill>
              <w14:schemeClr w14:val="tx1"/>
            </w14:solidFill>
          </w14:textFill>
        </w:rPr>
        <w:alias w:val="是否适用：补充资料其他说明事项[双击切换]"/>
        <w:tag w:val="_GBC_8954f89f8426424c966f1b658de53fe5"/>
        <w:id w:val="1443262698"/>
        <w:placeholder>
          <w:docPart w:val="GBC22222222222222222222222222222"/>
        </w:placeholder>
      </w:sdtPr>
      <w:sdtEndPr>
        <w:rPr>
          <w:color w:val="000000" w:themeColor="text1"/>
          <w14:textFill>
            <w14:solidFill>
              <w14:schemeClr w14:val="tx1"/>
            </w14:solidFill>
          </w14:textFill>
        </w:rPr>
      </w:sdtEndPr>
      <w:sdtContent>
        <w:p w14:paraId="6F9D6AF2">
          <w:pPr>
            <w:rPr>
              <w:color w:val="000000" w:themeColor="text1"/>
              <w14:textFill>
                <w14:solidFill>
                  <w14:schemeClr w14:val="tx1"/>
                </w14:solidFill>
              </w14:textFill>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color w:val="000000" w:themeColor="text1"/>
              <w14:textFill>
                <w14:solidFill>
                  <w14:schemeClr w14:val="tx1"/>
                </w14:solidFill>
              </w14:textFill>
            </w:rPr>
            <w:fldChar w:fldCharType="end"/>
          </w:r>
        </w:p>
      </w:sdtContent>
    </w:sdt>
    <w:p w14:paraId="117FF217">
      <w:pPr>
        <w:spacing w:line="360" w:lineRule="exact"/>
        <w:ind w:right="5"/>
        <w:rPr>
          <w:b/>
          <w:bCs/>
          <w:color w:val="000000" w:themeColor="text1"/>
          <w:sz w:val="24"/>
          <w14:textFill>
            <w14:solidFill>
              <w14:schemeClr w14:val="tx1"/>
            </w14:solidFill>
          </w14:textFill>
        </w:rPr>
      </w:pPr>
      <w:bookmarkStart w:id="468" w:name="_Hlk76135020"/>
    </w:p>
    <w:p w14:paraId="178CDAF9">
      <w:pPr>
        <w:wordWrap w:val="0"/>
        <w:spacing w:line="360" w:lineRule="exact"/>
        <w:jc w:val="right"/>
        <w:rPr>
          <w:color w:val="000000" w:themeColor="text1"/>
          <w:u w:val="single"/>
          <w14:textFill>
            <w14:solidFill>
              <w14:schemeClr w14:val="tx1"/>
            </w14:solidFill>
          </w14:textFill>
        </w:rPr>
      </w:pPr>
      <w:r>
        <w:rPr>
          <w:color w:val="000000" w:themeColor="text1"/>
          <w14:textFill>
            <w14:solidFill>
              <w14:schemeClr w14:val="tx1"/>
            </w14:solidFill>
          </w14:textFill>
        </w:rPr>
        <w:t>董事长：</w:t>
      </w:r>
      <w:sdt>
        <w:sdtPr>
          <w:rPr>
            <w:color w:val="000000" w:themeColor="text1"/>
            <w14:textFill>
              <w14:solidFill>
                <w14:schemeClr w14:val="tx1"/>
              </w14:solidFill>
            </w14:textFill>
          </w:rPr>
          <w:alias w:val="报告发布人"/>
          <w:tag w:val="_GBC_f07cbb7287a94e798691f7fcb5112f49"/>
          <w:id w:val="615803427"/>
          <w:placeholder>
            <w:docPart w:val="GBC22222222222222222222222222222"/>
          </w:placeholder>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印奇</w:t>
          </w:r>
        </w:sdtContent>
      </w:sdt>
      <w:r>
        <w:rPr>
          <w:rFonts w:hint="eastAsia"/>
          <w:color w:val="000000" w:themeColor="text1"/>
          <w14:textFill>
            <w14:solidFill>
              <w14:schemeClr w14:val="tx1"/>
            </w14:solidFill>
          </w14:textFill>
        </w:rPr>
        <w:t xml:space="preserve"> </w:t>
      </w:r>
    </w:p>
    <w:p w14:paraId="7E5E0DAF">
      <w:pPr>
        <w:spacing w:line="360" w:lineRule="exact"/>
        <w:jc w:val="right"/>
        <w:rPr>
          <w:color w:val="000000" w:themeColor="text1"/>
          <w14:textFill>
            <w14:solidFill>
              <w14:schemeClr w14:val="tx1"/>
            </w14:solidFill>
          </w14:textFill>
        </w:rPr>
      </w:pPr>
      <w:r>
        <w:rPr>
          <w:color w:val="000000" w:themeColor="text1"/>
          <w14:textFill>
            <w14:solidFill>
              <w14:schemeClr w14:val="tx1"/>
            </w14:solidFill>
          </w14:textFill>
        </w:rPr>
        <w:t>董事会批准报送日期：</w:t>
      </w:r>
      <w:sdt>
        <w:sdtPr>
          <w:rPr>
            <w:color w:val="000000" w:themeColor="text1"/>
            <w14:textFill>
              <w14:solidFill>
                <w14:schemeClr w14:val="tx1"/>
              </w14:solidFill>
            </w14:textFill>
          </w:rPr>
          <w:alias w:val="报告董事会批准报送日期"/>
          <w:tag w:val="_GBC_56d5d40e768a439aa604555fa2089c42"/>
          <w:id w:val="598687992"/>
          <w:placeholder>
            <w:docPart w:val="GBC22222222222222222222222222222"/>
          </w:placeholder>
          <w:date w:fullDate="2025-08-22T00:00:00Z">
            <w:dateFormat w:val="yyyy'年'M'月'd'日'"/>
            <w:lid w:val="zh-CN"/>
            <w:storeMappedDataAs w:val="datetime"/>
            <w:calendar w:val="gregorian"/>
          </w:date>
        </w:sdtPr>
        <w:sdtEndPr>
          <w:rPr>
            <w:color w:val="000000" w:themeColor="text1"/>
            <w14:textFill>
              <w14:solidFill>
                <w14:schemeClr w14:val="tx1"/>
              </w14:solidFill>
            </w14:textFill>
          </w:rPr>
        </w:sdtEndPr>
        <w:sdtContent>
          <w:r>
            <w:rPr>
              <w:rFonts w:hint="eastAsia"/>
              <w:color w:val="000000" w:themeColor="text1"/>
              <w14:textFill>
                <w14:solidFill>
                  <w14:schemeClr w14:val="tx1"/>
                </w14:solidFill>
              </w14:textFill>
            </w:rPr>
            <w:t>2025年8月22日</w:t>
          </w:r>
        </w:sdtContent>
      </w:sdt>
      <w:r>
        <w:rPr>
          <w:rFonts w:hint="eastAsia"/>
          <w:color w:val="000000" w:themeColor="text1"/>
          <w14:textFill>
            <w14:solidFill>
              <w14:schemeClr w14:val="tx1"/>
            </w14:solidFill>
          </w14:textFill>
        </w:rPr>
        <w:t xml:space="preserve"> </w:t>
      </w:r>
    </w:p>
    <w:bookmarkEnd w:id="468"/>
    <w:p w14:paraId="13948CF7">
      <w:pPr>
        <w:spacing w:line="360" w:lineRule="exact"/>
        <w:ind w:right="5"/>
        <w:rPr>
          <w:color w:val="000000" w:themeColor="text1"/>
          <w:u w:val="single"/>
          <w14:textFill>
            <w14:solidFill>
              <w14:schemeClr w14:val="tx1"/>
            </w14:solidFill>
          </w14:textFill>
        </w:rPr>
      </w:pPr>
    </w:p>
    <w:p w14:paraId="2C9023FC">
      <w:pPr>
        <w:spacing w:line="360" w:lineRule="exact"/>
        <w:ind w:right="5"/>
        <w:rPr>
          <w:b/>
          <w:color w:val="000000" w:themeColor="text1"/>
          <w:sz w:val="24"/>
          <w14:textFill>
            <w14:solidFill>
              <w14:schemeClr w14:val="tx1"/>
            </w14:solidFill>
          </w14:textFill>
        </w:rPr>
      </w:pPr>
      <w:r>
        <w:rPr>
          <w:b/>
          <w:color w:val="000000" w:themeColor="text1"/>
          <w:sz w:val="24"/>
          <w14:textFill>
            <w14:solidFill>
              <w14:schemeClr w14:val="tx1"/>
            </w14:solidFill>
          </w14:textFill>
        </w:rPr>
        <w:t>修订信息</w:t>
      </w:r>
    </w:p>
    <w:sdt>
      <w:sdtPr>
        <w:rPr>
          <w:b/>
          <w:bCs/>
          <w:color w:val="000000" w:themeColor="text1"/>
          <w14:textFill>
            <w14:solidFill>
              <w14:schemeClr w14:val="tx1"/>
            </w14:solidFill>
          </w14:textFill>
        </w:rPr>
        <w:alias w:val="是否适用：修订信息表[双击切换]"/>
        <w:tag w:val="_GBC_77b96fad3b8a43478db82cf4cb9686be"/>
        <w:id w:val="-1439670942"/>
        <w:placeholder>
          <w:docPart w:val="GBC22222222222222222222222222222"/>
        </w:placeholder>
      </w:sdtPr>
      <w:sdtEndPr>
        <w:rPr>
          <w:b w:val="0"/>
          <w:bCs/>
          <w:color w:val="000000" w:themeColor="text1"/>
          <w14:textFill>
            <w14:solidFill>
              <w14:schemeClr w14:val="tx1"/>
            </w14:solidFill>
          </w14:textFill>
        </w:rPr>
      </w:sdtEndPr>
      <w:sdtContent>
        <w:p w14:paraId="56DF5B63">
          <w:pPr>
            <w:rPr>
              <w:color w:val="000000" w:themeColor="text1"/>
              <w14:textFill>
                <w14:solidFill>
                  <w14:schemeClr w14:val="tx1"/>
                </w14:solidFill>
              </w14:textFill>
            </w:rPr>
          </w:pP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□适用 </w:instrText>
          </w:r>
          <w:r>
            <w:rPr>
              <w:rFonts w:ascii="宋体" w:hAnsi="宋体"/>
              <w:bCs/>
              <w:color w:val="000000" w:themeColor="text1"/>
              <w14:textFill>
                <w14:solidFill>
                  <w14:schemeClr w14:val="tx1"/>
                </w14:solidFill>
              </w14:textFill>
            </w:rPr>
            <w:fldChar w:fldCharType="end"/>
          </w:r>
          <w:r>
            <w:rPr>
              <w:rFonts w:ascii="宋体" w:hAnsi="宋体"/>
              <w:bCs/>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MACROBUTTON  SnrToggleCheckbox √不适用 </w:instrText>
          </w:r>
          <w:r>
            <w:rPr>
              <w:rFonts w:ascii="宋体" w:hAnsi="宋体"/>
              <w:bCs/>
              <w:color w:val="000000" w:themeColor="text1"/>
              <w14:textFill>
                <w14:solidFill>
                  <w14:schemeClr w14:val="tx1"/>
                </w14:solidFill>
              </w14:textFill>
            </w:rPr>
            <w:fldChar w:fldCharType="end"/>
          </w:r>
        </w:p>
      </w:sdtContent>
    </w:sdt>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Noto Sans CJK JP Regular">
    <w:altName w:val="微软雅黑"/>
    <w:panose1 w:val="000000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Helvetica-Narrow">
    <w:altName w:val="Arial Narrow"/>
    <w:panose1 w:val="00000000000000000000"/>
    <w:charset w:val="00"/>
    <w:family w:val="swiss"/>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FZLTSK--GBK1-0">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宋体-方正超大字符集">
    <w:altName w:val="宋体"/>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B764D">
    <w:pPr>
      <w:pStyle w:val="25"/>
      <w:jc w:val="center"/>
    </w:pPr>
    <w:r>
      <w:rPr>
        <w:b/>
        <w:bCs/>
        <w:sz w:val="24"/>
        <w:szCs w:val="24"/>
      </w:rPr>
      <w:fldChar w:fldCharType="begin"/>
    </w:r>
    <w:r>
      <w:rPr>
        <w:b/>
      </w:rPr>
      <w:instrText xml:space="preserve">PAGE</w:instrText>
    </w:r>
    <w:r>
      <w:rPr>
        <w:b/>
        <w:bCs/>
        <w:sz w:val="24"/>
        <w:szCs w:val="24"/>
      </w:rPr>
      <w:fldChar w:fldCharType="separate"/>
    </w:r>
    <w:r>
      <w:rPr>
        <w:b/>
      </w:rPr>
      <w:t>27</w:t>
    </w:r>
    <w:r>
      <w:rPr>
        <w:b/>
        <w:bCs/>
        <w:sz w:val="24"/>
        <w:szCs w:val="24"/>
      </w:rPr>
      <w:fldChar w:fldCharType="end"/>
    </w:r>
    <w:r>
      <w:rPr>
        <w:lang w:val="zh-CN"/>
      </w:rPr>
      <w:t xml:space="preserve"> / </w:t>
    </w:r>
    <w:r>
      <w:rPr>
        <w:b/>
        <w:bCs/>
        <w:sz w:val="24"/>
        <w:szCs w:val="24"/>
      </w:rPr>
      <w:fldChar w:fldCharType="begin"/>
    </w:r>
    <w:r>
      <w:rPr>
        <w:b/>
      </w:rPr>
      <w:instrText xml:space="preserve">NUMPAGES</w:instrText>
    </w:r>
    <w:r>
      <w:rPr>
        <w:b/>
        <w:bCs/>
        <w:sz w:val="24"/>
        <w:szCs w:val="24"/>
      </w:rPr>
      <w:fldChar w:fldCharType="separate"/>
    </w:r>
    <w:r>
      <w:rPr>
        <w:b/>
      </w:rPr>
      <w:t>190</w:t>
    </w:r>
    <w:r>
      <w:rPr>
        <w:b/>
        <w:bCs/>
        <w:sz w:val="24"/>
        <w:szCs w:val="24"/>
      </w:rPr>
      <w:fldChar w:fldCharType="end"/>
    </w:r>
  </w:p>
  <w:p w14:paraId="3B6ED103">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81108">
    <w:pPr>
      <w:pStyle w:val="26"/>
      <w:tabs>
        <w:tab w:val="left" w:pos="8364"/>
        <w:tab w:val="left" w:pos="8505"/>
        <w:tab w:val="clear" w:pos="8306"/>
      </w:tabs>
      <w:ind w:right="21" w:rightChars="10"/>
      <w:rPr>
        <w:rFonts w:ascii="宋体" w:hAnsi="宋体"/>
      </w:rPr>
    </w:pPr>
    <w:sdt>
      <w:sdtPr>
        <w:rPr>
          <w:rFonts w:hint="eastAsia" w:ascii="宋体" w:hAnsi="宋体"/>
        </w:rPr>
        <w:alias w:val="公司法定中文名称"/>
        <w:tag w:val="_GBC_782d803d917f4432be22f5ded01fbc6d"/>
        <w:id w:val="842976418"/>
        <w:dataBinding w:prefixMappings="xmlns:clcid-cgi='clcid-cgi'" w:xpath="/*/clcid-cgi:GongSiFaDingZhongWenMingCheng[not(@periodRef)]" w:storeItemID="{89EBAB94-44A0-46A2-B712-30D997D04A6D}"/>
        <w:text/>
      </w:sdtPr>
      <w:sdtEndPr>
        <w:rPr>
          <w:rFonts w:hint="eastAsia" w:ascii="宋体" w:hAnsi="宋体"/>
        </w:rPr>
      </w:sdtEndPr>
      <w:sdtContent>
        <w:r>
          <w:rPr>
            <w:rFonts w:hint="eastAsia" w:ascii="宋体" w:hAnsi="宋体"/>
          </w:rPr>
          <w:t>重庆千里科技股份有限公司</w:t>
        </w:r>
      </w:sdtContent>
    </w:sdt>
    <w:r>
      <w:rPr>
        <w:rFonts w:hint="eastAsia" w:ascii="宋体" w:hAnsi="宋体"/>
      </w:rPr>
      <w:t>202</w:t>
    </w:r>
    <w:r>
      <w:rPr>
        <w:rFonts w:ascii="宋体" w:hAnsi="宋体"/>
      </w:rPr>
      <w:t>5</w:t>
    </w:r>
    <w:r>
      <w:rPr>
        <w:rFonts w:hint="eastAsia" w:ascii="宋体" w:hAnsi="宋体"/>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A352B"/>
    <w:multiLevelType w:val="multilevel"/>
    <w:tmpl w:val="009A352B"/>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F7352A"/>
    <w:multiLevelType w:val="multilevel"/>
    <w:tmpl w:val="00F7352A"/>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1B47DF3"/>
    <w:multiLevelType w:val="multilevel"/>
    <w:tmpl w:val="01B47DF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2511E63"/>
    <w:multiLevelType w:val="multilevel"/>
    <w:tmpl w:val="02511E63"/>
    <w:lvl w:ilvl="0" w:tentative="0">
      <w:start w:val="1"/>
      <w:numFmt w:val="decimal"/>
      <w:suff w:val="space"/>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3E636CA"/>
    <w:multiLevelType w:val="multilevel"/>
    <w:tmpl w:val="03E636CA"/>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03EF262C"/>
    <w:multiLevelType w:val="multilevel"/>
    <w:tmpl w:val="03EF262C"/>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40862FC"/>
    <w:multiLevelType w:val="multilevel"/>
    <w:tmpl w:val="040862FC"/>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043515B9"/>
    <w:multiLevelType w:val="multilevel"/>
    <w:tmpl w:val="043515B9"/>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5D621C8"/>
    <w:multiLevelType w:val="multilevel"/>
    <w:tmpl w:val="05D621C8"/>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6E108BE"/>
    <w:multiLevelType w:val="multilevel"/>
    <w:tmpl w:val="06E108BE"/>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A202C5D"/>
    <w:multiLevelType w:val="multilevel"/>
    <w:tmpl w:val="0A202C5D"/>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ACA1C41"/>
    <w:multiLevelType w:val="multilevel"/>
    <w:tmpl w:val="0ACA1C41"/>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0B252B48"/>
    <w:multiLevelType w:val="multilevel"/>
    <w:tmpl w:val="0B252B4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
    <w:nsid w:val="0CC47E6F"/>
    <w:multiLevelType w:val="multilevel"/>
    <w:tmpl w:val="0CC47E6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
    <w:nsid w:val="0D9C4516"/>
    <w:multiLevelType w:val="multilevel"/>
    <w:tmpl w:val="0D9C451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EB84E8B"/>
    <w:multiLevelType w:val="multilevel"/>
    <w:tmpl w:val="0EB84E8B"/>
    <w:lvl w:ilvl="0" w:tentative="0">
      <w:start w:val="1"/>
      <w:numFmt w:val="decimal"/>
      <w:lvlText w:val="(%1)."/>
      <w:lvlJc w:val="left"/>
      <w:pPr>
        <w:ind w:left="420" w:hanging="42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EFB60E3"/>
    <w:multiLevelType w:val="multilevel"/>
    <w:tmpl w:val="0EFB60E3"/>
    <w:lvl w:ilvl="0" w:tentative="0">
      <w:start w:val="1"/>
      <w:numFmt w:val="decimal"/>
      <w:lvlText w:val="(%1). "/>
      <w:lvlJc w:val="left"/>
      <w:pPr>
        <w:ind w:left="420" w:hanging="420"/>
      </w:pPr>
      <w:rPr>
        <w:rFonts w:hint="eastAsia" w:ascii="宋体" w:hAnsi="宋体" w:eastAsia="宋体"/>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108503E1"/>
    <w:multiLevelType w:val="multilevel"/>
    <w:tmpl w:val="108503E1"/>
    <w:lvl w:ilvl="0" w:tentative="0">
      <w:start w:val="1"/>
      <w:numFmt w:val="decimal"/>
      <w:suff w:val="space"/>
      <w:lvlText w:val="(%1)."/>
      <w:lvlJc w:val="left"/>
      <w:pPr>
        <w:ind w:left="420" w:hanging="420"/>
      </w:pPr>
      <w:rPr>
        <w:rFonts w:hint="eastAsia"/>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11395F23"/>
    <w:multiLevelType w:val="multilevel"/>
    <w:tmpl w:val="11395F23"/>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115230BB"/>
    <w:multiLevelType w:val="multilevel"/>
    <w:tmpl w:val="115230BB"/>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11B9117A"/>
    <w:multiLevelType w:val="multilevel"/>
    <w:tmpl w:val="11B9117A"/>
    <w:lvl w:ilvl="0" w:tentative="0">
      <w:start w:val="1"/>
      <w:numFmt w:val="chineseCountingThousand"/>
      <w:suff w:val="space"/>
      <w:lvlText w:val="%1、"/>
      <w:lvlJc w:val="left"/>
      <w:pPr>
        <w:ind w:left="704" w:hanging="42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384741B"/>
    <w:multiLevelType w:val="multilevel"/>
    <w:tmpl w:val="1384741B"/>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145D78C4"/>
    <w:multiLevelType w:val="multilevel"/>
    <w:tmpl w:val="145D78C4"/>
    <w:lvl w:ilvl="0" w:tentative="0">
      <w:start w:val="1"/>
      <w:numFmt w:val="decimal"/>
      <w:lvlText w:val="(%1). "/>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3">
    <w:nsid w:val="14D42A63"/>
    <w:multiLevelType w:val="multilevel"/>
    <w:tmpl w:val="14D42A63"/>
    <w:lvl w:ilvl="0" w:tentative="0">
      <w:start w:val="2"/>
      <w:numFmt w:val="decimal"/>
      <w:lvlText w:val="(%1)."/>
      <w:lvlJc w:val="left"/>
      <w:pPr>
        <w:ind w:left="440" w:hanging="44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8372ED5"/>
    <w:multiLevelType w:val="multilevel"/>
    <w:tmpl w:val="18372ED5"/>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1A432A68"/>
    <w:multiLevelType w:val="multilevel"/>
    <w:tmpl w:val="1A432A68"/>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BFD6704"/>
    <w:multiLevelType w:val="multilevel"/>
    <w:tmpl w:val="1BFD6704"/>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7">
    <w:nsid w:val="1D16009E"/>
    <w:multiLevelType w:val="multilevel"/>
    <w:tmpl w:val="1D16009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8">
    <w:nsid w:val="1D876B2C"/>
    <w:multiLevelType w:val="multilevel"/>
    <w:tmpl w:val="1D876B2C"/>
    <w:lvl w:ilvl="0" w:tentative="0">
      <w:start w:val="1"/>
      <w:numFmt w:val="decimal"/>
      <w:suff w:val="space"/>
      <w:lvlText w:val="%1、 "/>
      <w:lvlJc w:val="left"/>
      <w:pPr>
        <w:ind w:left="440" w:hanging="440"/>
      </w:pPr>
      <w:rPr>
        <w:rFonts w:hint="eastAsia" w:ascii="宋体" w:hAnsi="宋体" w:eastAsia="宋体"/>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1DAD2F59"/>
    <w:multiLevelType w:val="multilevel"/>
    <w:tmpl w:val="1DAD2F59"/>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1E51385E"/>
    <w:multiLevelType w:val="multilevel"/>
    <w:tmpl w:val="1E51385E"/>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1E671C92"/>
    <w:multiLevelType w:val="multilevel"/>
    <w:tmpl w:val="1E671C92"/>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202604DF"/>
    <w:multiLevelType w:val="multilevel"/>
    <w:tmpl w:val="202604DF"/>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3">
    <w:nsid w:val="224F6771"/>
    <w:multiLevelType w:val="multilevel"/>
    <w:tmpl w:val="224F6771"/>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570789C"/>
    <w:multiLevelType w:val="multilevel"/>
    <w:tmpl w:val="2570789C"/>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5">
    <w:nsid w:val="28D4767C"/>
    <w:multiLevelType w:val="multilevel"/>
    <w:tmpl w:val="28D4767C"/>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A332C44"/>
    <w:multiLevelType w:val="multilevel"/>
    <w:tmpl w:val="2A332C44"/>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2C45136F"/>
    <w:multiLevelType w:val="multilevel"/>
    <w:tmpl w:val="2C45136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chineseCountingThousand"/>
      <w:suff w:val="space"/>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8">
    <w:nsid w:val="309632FA"/>
    <w:multiLevelType w:val="multilevel"/>
    <w:tmpl w:val="309632FA"/>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9">
    <w:nsid w:val="31247C1A"/>
    <w:multiLevelType w:val="multilevel"/>
    <w:tmpl w:val="31247C1A"/>
    <w:lvl w:ilvl="0" w:tentative="0">
      <w:start w:val="1"/>
      <w:numFmt w:val="decimal"/>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31680D41"/>
    <w:multiLevelType w:val="multilevel"/>
    <w:tmpl w:val="31680D41"/>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19A1F5D"/>
    <w:multiLevelType w:val="multilevel"/>
    <w:tmpl w:val="319A1F5D"/>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2">
    <w:nsid w:val="325763A3"/>
    <w:multiLevelType w:val="multilevel"/>
    <w:tmpl w:val="325763A3"/>
    <w:lvl w:ilvl="0" w:tentative="0">
      <w:start w:val="1"/>
      <w:numFmt w:val="decimal"/>
      <w:suff w:val="nothing"/>
      <w:lvlText w:val="(%1)."/>
      <w:lvlJc w:val="left"/>
      <w:pPr>
        <w:ind w:left="420" w:hanging="420"/>
      </w:pPr>
      <w:rPr>
        <w:rFonts w:hint="eastAsia" w:asciiTheme="majorEastAsia" w:hAnsiTheme="majorEastAsia" w:eastAsia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6760503"/>
    <w:multiLevelType w:val="multilevel"/>
    <w:tmpl w:val="36760503"/>
    <w:lvl w:ilvl="0" w:tentative="0">
      <w:start w:val="1"/>
      <w:numFmt w:val="decimal"/>
      <w:lvlText w:val="(%1)."/>
      <w:lvlJc w:val="left"/>
      <w:pPr>
        <w:ind w:left="425" w:hanging="425"/>
      </w:pPr>
      <w:rPr>
        <w:rFonts w:hint="eastAsia" w:asciiTheme="majorEastAsia" w:hAnsiTheme="majorEastAsia" w:eastAsiaTheme="major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4">
    <w:nsid w:val="3762769C"/>
    <w:multiLevelType w:val="multilevel"/>
    <w:tmpl w:val="3762769C"/>
    <w:lvl w:ilvl="0" w:tentative="0">
      <w:start w:val="1"/>
      <w:numFmt w:val="decimal"/>
      <w:lvlText w:val="(%1). "/>
      <w:lvlJc w:val="left"/>
      <w:pPr>
        <w:ind w:left="704"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399E23F4"/>
    <w:multiLevelType w:val="multilevel"/>
    <w:tmpl w:val="399E23F4"/>
    <w:lvl w:ilvl="0" w:tentative="0">
      <w:start w:val="1"/>
      <w:numFmt w:val="decimal"/>
      <w:lvlText w:val="(%1)."/>
      <w:lvlJc w:val="left"/>
      <w:pPr>
        <w:ind w:left="360" w:hanging="360"/>
      </w:pPr>
      <w:rPr>
        <w:rFonts w:hint="eastAsia" w:asciiTheme="majorEastAsia" w:hAnsiTheme="majorEastAsia" w:eastAsia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9F368DA"/>
    <w:multiLevelType w:val="multilevel"/>
    <w:tmpl w:val="39F368DA"/>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7">
    <w:nsid w:val="3A10478B"/>
    <w:multiLevelType w:val="multilevel"/>
    <w:tmpl w:val="3A10478B"/>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8">
    <w:nsid w:val="3A953196"/>
    <w:multiLevelType w:val="multilevel"/>
    <w:tmpl w:val="3A953196"/>
    <w:lvl w:ilvl="0" w:tentative="0">
      <w:start w:val="1"/>
      <w:numFmt w:val="chineseCountingThousand"/>
      <w:lvlText w:val="第%1节"/>
      <w:lvlJc w:val="left"/>
      <w:pPr>
        <w:ind w:left="425" w:hanging="425"/>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9">
    <w:nsid w:val="3AEE041C"/>
    <w:multiLevelType w:val="multilevel"/>
    <w:tmpl w:val="3AEE041C"/>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B781EC1"/>
    <w:multiLevelType w:val="multilevel"/>
    <w:tmpl w:val="3B781EC1"/>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1">
    <w:nsid w:val="3BF15769"/>
    <w:multiLevelType w:val="multilevel"/>
    <w:tmpl w:val="3BF15769"/>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2">
    <w:nsid w:val="3E4E77D7"/>
    <w:multiLevelType w:val="multilevel"/>
    <w:tmpl w:val="3E4E77D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3F2B08EE"/>
    <w:multiLevelType w:val="multilevel"/>
    <w:tmpl w:val="3F2B08EE"/>
    <w:lvl w:ilvl="0" w:tentative="0">
      <w:start w:val="1"/>
      <w:numFmt w:val="decimal"/>
      <w:lvlText w:val="(%1)."/>
      <w:lvlJc w:val="left"/>
      <w:pPr>
        <w:ind w:left="440" w:hanging="440"/>
      </w:pPr>
      <w:rPr>
        <w:rFonts w:hint="eastAsia" w:asciiTheme="majorEastAsia" w:hAnsiTheme="majorEastAsia" w:eastAsia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4">
    <w:nsid w:val="3FAF53B9"/>
    <w:multiLevelType w:val="multilevel"/>
    <w:tmpl w:val="3FAF53B9"/>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5">
    <w:nsid w:val="42591489"/>
    <w:multiLevelType w:val="multilevel"/>
    <w:tmpl w:val="42591489"/>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42CF3A64"/>
    <w:multiLevelType w:val="multilevel"/>
    <w:tmpl w:val="42CF3A64"/>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7">
    <w:nsid w:val="4598246A"/>
    <w:multiLevelType w:val="multilevel"/>
    <w:tmpl w:val="4598246A"/>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8">
    <w:nsid w:val="47F7171C"/>
    <w:multiLevelType w:val="multilevel"/>
    <w:tmpl w:val="47F7171C"/>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9">
    <w:nsid w:val="48150342"/>
    <w:multiLevelType w:val="multilevel"/>
    <w:tmpl w:val="48150342"/>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0">
    <w:nsid w:val="4B9A1733"/>
    <w:multiLevelType w:val="multilevel"/>
    <w:tmpl w:val="4B9A1733"/>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1">
    <w:nsid w:val="4BF411E1"/>
    <w:multiLevelType w:val="multilevel"/>
    <w:tmpl w:val="4BF411E1"/>
    <w:lvl w:ilvl="0" w:tentative="0">
      <w:start w:val="1"/>
      <w:numFmt w:val="decimal"/>
      <w:suff w:val="space"/>
      <w:lvlText w:val="(%1)."/>
      <w:lvlJc w:val="left"/>
      <w:pPr>
        <w:ind w:left="435" w:hanging="435"/>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4C1B6A08"/>
    <w:multiLevelType w:val="multilevel"/>
    <w:tmpl w:val="4C1B6A08"/>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4C5066B6"/>
    <w:multiLevelType w:val="multilevel"/>
    <w:tmpl w:val="4C5066B6"/>
    <w:lvl w:ilvl="0" w:tentative="0">
      <w:start w:val="1"/>
      <w:numFmt w:val="decimal"/>
      <w:lvlText w:val="(%1). "/>
      <w:lvlJc w:val="left"/>
      <w:pPr>
        <w:ind w:left="425" w:hanging="425"/>
      </w:pPr>
      <w:rPr>
        <w:rFonts w:hint="eastAsia" w:ascii="宋体" w:hAnsi="宋体" w:eastAsia="宋体"/>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4">
    <w:nsid w:val="4D032D4E"/>
    <w:multiLevelType w:val="multilevel"/>
    <w:tmpl w:val="4D032D4E"/>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5">
    <w:nsid w:val="4D337A7D"/>
    <w:multiLevelType w:val="singleLevel"/>
    <w:tmpl w:val="4D337A7D"/>
    <w:lvl w:ilvl="0" w:tentative="0">
      <w:start w:val="1"/>
      <w:numFmt w:val="bullet"/>
      <w:pStyle w:val="16"/>
      <w:lvlText w:val=""/>
      <w:lvlJc w:val="left"/>
      <w:pPr>
        <w:tabs>
          <w:tab w:val="left" w:pos="1200"/>
        </w:tabs>
        <w:ind w:left="1200" w:hanging="360"/>
      </w:pPr>
      <w:rPr>
        <w:rFonts w:hint="default" w:ascii="Wingdings" w:hAnsi="Wingdings"/>
      </w:rPr>
    </w:lvl>
  </w:abstractNum>
  <w:abstractNum w:abstractNumId="66">
    <w:nsid w:val="4E0C728B"/>
    <w:multiLevelType w:val="multilevel"/>
    <w:tmpl w:val="4E0C728B"/>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4F4C50CF"/>
    <w:multiLevelType w:val="multilevel"/>
    <w:tmpl w:val="4F4C50CF"/>
    <w:lvl w:ilvl="0" w:tentative="0">
      <w:start w:val="1"/>
      <w:numFmt w:val="decimal"/>
      <w:suff w:val="space"/>
      <w:lvlText w:val="(%1)."/>
      <w:lvlJc w:val="left"/>
      <w:pPr>
        <w:ind w:left="360" w:hanging="36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4F7D2F66"/>
    <w:multiLevelType w:val="multilevel"/>
    <w:tmpl w:val="4F7D2F66"/>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9">
    <w:nsid w:val="4F8F56E1"/>
    <w:multiLevelType w:val="multilevel"/>
    <w:tmpl w:val="4F8F56E1"/>
    <w:lvl w:ilvl="0" w:tentative="0">
      <w:start w:val="1"/>
      <w:numFmt w:val="decimal"/>
      <w:lvlText w:val="%1、"/>
      <w:lvlJc w:val="left"/>
      <w:pPr>
        <w:ind w:left="420" w:hanging="420"/>
      </w:pPr>
      <w:rPr>
        <w:rFonts w:hint="eastAsia" w:eastAsia="宋体" w:asciiTheme="majorEastAsia" w:hAnsiTheme="maj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4FE66DDE"/>
    <w:multiLevelType w:val="multilevel"/>
    <w:tmpl w:val="4FE66DD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1">
    <w:nsid w:val="500766E6"/>
    <w:multiLevelType w:val="multilevel"/>
    <w:tmpl w:val="500766E6"/>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507D1447"/>
    <w:multiLevelType w:val="multilevel"/>
    <w:tmpl w:val="507D1447"/>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3">
    <w:nsid w:val="508B3589"/>
    <w:multiLevelType w:val="multilevel"/>
    <w:tmpl w:val="508B3589"/>
    <w:lvl w:ilvl="0" w:tentative="0">
      <w:start w:val="1"/>
      <w:numFmt w:val="decimal"/>
      <w:lvlText w:val="%1、"/>
      <w:lvlJc w:val="left"/>
      <w:pPr>
        <w:ind w:left="420" w:hanging="420"/>
      </w:pPr>
      <w:rPr>
        <w:rFonts w:hint="eastAsia" w:eastAsia="宋体" w:asciiTheme="majorEastAsia" w:hAnsiTheme="majorEastAsia"/>
        <w:b/>
      </w:rPr>
    </w:lvl>
    <w:lvl w:ilvl="1" w:tentative="0">
      <w:start w:val="1"/>
      <w:numFmt w:val="decimal"/>
      <w:suff w:val="nothing"/>
      <w:lvlText w:val="%2、"/>
      <w:lvlJc w:val="left"/>
      <w:pPr>
        <w:ind w:left="840" w:hanging="420"/>
      </w:pPr>
      <w:rPr>
        <w:rFonts w:hint="eastAsia" w:asciiTheme="minorEastAsia" w:hAnsiTheme="minorEastAsia" w:eastAsiaTheme="minorEastAsia"/>
        <w:b/>
      </w:rPr>
    </w:lvl>
    <w:lvl w:ilvl="2" w:tentative="0">
      <w:start w:val="1"/>
      <w:numFmt w:val="decimal"/>
      <w:lvlText w:val="%3."/>
      <w:lvlJc w:val="left"/>
      <w:pPr>
        <w:ind w:left="1260" w:hanging="420"/>
      </w:pPr>
      <w:rPr>
        <w:rFonts w:hint="eastAsia"/>
      </w:r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4">
    <w:nsid w:val="54092DA2"/>
    <w:multiLevelType w:val="multilevel"/>
    <w:tmpl w:val="54092DA2"/>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5">
    <w:nsid w:val="554C7F25"/>
    <w:multiLevelType w:val="multilevel"/>
    <w:tmpl w:val="554C7F2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6">
    <w:nsid w:val="573E2AF3"/>
    <w:multiLevelType w:val="multilevel"/>
    <w:tmpl w:val="573E2AF3"/>
    <w:lvl w:ilvl="0" w:tentative="0">
      <w:start w:val="1"/>
      <w:numFmt w:val="decimal"/>
      <w:lvlText w:val="(%1)."/>
      <w:lvlJc w:val="left"/>
      <w:pPr>
        <w:ind w:left="545" w:hanging="440"/>
      </w:pPr>
      <w:rPr>
        <w:rFonts w:hint="eastAsia" w:asciiTheme="majorEastAsia" w:hAnsiTheme="majorEastAsia" w:eastAsiaTheme="majorEastAsia"/>
      </w:rPr>
    </w:lvl>
    <w:lvl w:ilvl="1" w:tentative="0">
      <w:start w:val="1"/>
      <w:numFmt w:val="lowerLetter"/>
      <w:lvlText w:val="%2)"/>
      <w:lvlJc w:val="left"/>
      <w:pPr>
        <w:ind w:left="985" w:hanging="440"/>
      </w:pPr>
    </w:lvl>
    <w:lvl w:ilvl="2" w:tentative="0">
      <w:start w:val="1"/>
      <w:numFmt w:val="lowerRoman"/>
      <w:lvlText w:val="%3."/>
      <w:lvlJc w:val="right"/>
      <w:pPr>
        <w:ind w:left="1425" w:hanging="440"/>
      </w:pPr>
    </w:lvl>
    <w:lvl w:ilvl="3" w:tentative="0">
      <w:start w:val="1"/>
      <w:numFmt w:val="decimal"/>
      <w:lvlText w:val="%4."/>
      <w:lvlJc w:val="left"/>
      <w:pPr>
        <w:ind w:left="1865" w:hanging="440"/>
      </w:pPr>
    </w:lvl>
    <w:lvl w:ilvl="4" w:tentative="0">
      <w:start w:val="1"/>
      <w:numFmt w:val="lowerLetter"/>
      <w:lvlText w:val="%5)"/>
      <w:lvlJc w:val="left"/>
      <w:pPr>
        <w:ind w:left="2305" w:hanging="440"/>
      </w:pPr>
    </w:lvl>
    <w:lvl w:ilvl="5" w:tentative="0">
      <w:start w:val="1"/>
      <w:numFmt w:val="lowerRoman"/>
      <w:lvlText w:val="%6."/>
      <w:lvlJc w:val="right"/>
      <w:pPr>
        <w:ind w:left="2745" w:hanging="440"/>
      </w:pPr>
    </w:lvl>
    <w:lvl w:ilvl="6" w:tentative="0">
      <w:start w:val="1"/>
      <w:numFmt w:val="decimal"/>
      <w:lvlText w:val="%7."/>
      <w:lvlJc w:val="left"/>
      <w:pPr>
        <w:ind w:left="3185" w:hanging="440"/>
      </w:pPr>
    </w:lvl>
    <w:lvl w:ilvl="7" w:tentative="0">
      <w:start w:val="1"/>
      <w:numFmt w:val="lowerLetter"/>
      <w:lvlText w:val="%8)"/>
      <w:lvlJc w:val="left"/>
      <w:pPr>
        <w:ind w:left="3625" w:hanging="440"/>
      </w:pPr>
    </w:lvl>
    <w:lvl w:ilvl="8" w:tentative="0">
      <w:start w:val="1"/>
      <w:numFmt w:val="lowerRoman"/>
      <w:lvlText w:val="%9."/>
      <w:lvlJc w:val="right"/>
      <w:pPr>
        <w:ind w:left="4065" w:hanging="440"/>
      </w:pPr>
    </w:lvl>
  </w:abstractNum>
  <w:abstractNum w:abstractNumId="77">
    <w:nsid w:val="57756B81"/>
    <w:multiLevelType w:val="multilevel"/>
    <w:tmpl w:val="57756B81"/>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8">
    <w:nsid w:val="5C8C3772"/>
    <w:multiLevelType w:val="multilevel"/>
    <w:tmpl w:val="5C8C377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5D7351BC"/>
    <w:multiLevelType w:val="multilevel"/>
    <w:tmpl w:val="5D7351BC"/>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0">
    <w:nsid w:val="5DFD7425"/>
    <w:multiLevelType w:val="multilevel"/>
    <w:tmpl w:val="5DFD7425"/>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1">
    <w:nsid w:val="5EB87DE5"/>
    <w:multiLevelType w:val="multilevel"/>
    <w:tmpl w:val="5EB87DE5"/>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2">
    <w:nsid w:val="5F15688A"/>
    <w:multiLevelType w:val="multilevel"/>
    <w:tmpl w:val="5F15688A"/>
    <w:lvl w:ilvl="0" w:tentative="0">
      <w:start w:val="1"/>
      <w:numFmt w:val="decimal"/>
      <w:lvlText w:val="%1、"/>
      <w:lvlJc w:val="left"/>
      <w:pPr>
        <w:ind w:left="425" w:hanging="425"/>
      </w:pPr>
      <w:rPr>
        <w:rFonts w:hint="eastAsia" w:eastAsia="宋体" w:asciiTheme="majorEastAsia" w:hAnsiTheme="majorEastAsia"/>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3">
    <w:nsid w:val="60DF05CA"/>
    <w:multiLevelType w:val="multilevel"/>
    <w:tmpl w:val="60DF05CA"/>
    <w:lvl w:ilvl="0" w:tentative="0">
      <w:start w:val="1"/>
      <w:numFmt w:val="decimal"/>
      <w:lvlText w:val="(%1)."/>
      <w:lvlJc w:val="left"/>
      <w:pPr>
        <w:ind w:left="425" w:hanging="425"/>
      </w:pPr>
      <w:rPr>
        <w:rFonts w:hint="eastAsia"/>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4">
    <w:nsid w:val="615C3F4A"/>
    <w:multiLevelType w:val="multilevel"/>
    <w:tmpl w:val="615C3F4A"/>
    <w:lvl w:ilvl="0" w:tentative="0">
      <w:start w:val="1"/>
      <w:numFmt w:val="decimal"/>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6182077E"/>
    <w:multiLevelType w:val="multilevel"/>
    <w:tmpl w:val="6182077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6">
    <w:nsid w:val="632E21E0"/>
    <w:multiLevelType w:val="multilevel"/>
    <w:tmpl w:val="632E21E0"/>
    <w:lvl w:ilvl="0" w:tentative="0">
      <w:start w:val="1"/>
      <w:numFmt w:val="decimal"/>
      <w:suff w:val="nothing"/>
      <w:lvlText w:val="(%1)."/>
      <w:lvlJc w:val="left"/>
      <w:pPr>
        <w:ind w:left="440" w:hanging="440"/>
      </w:pPr>
      <w:rPr>
        <w:rFonts w:hint="eastAsia" w:eastAsia="宋体" w:asciiTheme="minorEastAsia" w:hAnsiTheme="minorEastAsia"/>
        <w:b/>
        <w:bCs w:val="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7">
    <w:nsid w:val="6339408F"/>
    <w:multiLevelType w:val="multilevel"/>
    <w:tmpl w:val="6339408F"/>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8">
    <w:nsid w:val="646F3A63"/>
    <w:multiLevelType w:val="multilevel"/>
    <w:tmpl w:val="646F3A63"/>
    <w:lvl w:ilvl="0" w:tentative="0">
      <w:start w:val="1"/>
      <w:numFmt w:val="decimal"/>
      <w:lvlText w:val="%1、 "/>
      <w:lvlJc w:val="left"/>
      <w:pPr>
        <w:ind w:left="425" w:hanging="425"/>
      </w:pPr>
      <w:rPr>
        <w:rFonts w:hint="eastAsia" w:ascii="宋体" w:hAnsi="宋体" w:eastAsia="宋体"/>
        <w:b/>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9">
    <w:nsid w:val="65757D0D"/>
    <w:multiLevelType w:val="multilevel"/>
    <w:tmpl w:val="65757D0D"/>
    <w:lvl w:ilvl="0" w:tentative="0">
      <w:start w:val="1"/>
      <w:numFmt w:val="decimal"/>
      <w:lvlText w:val="(%1)."/>
      <w:lvlJc w:val="left"/>
      <w:pPr>
        <w:ind w:left="440" w:hanging="440"/>
      </w:pPr>
      <w:rPr>
        <w:rFonts w:hint="eastAsia" w:asciiTheme="minorEastAsia" w:hAnsiTheme="minorEastAsia" w:eastAsiaTheme="min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0">
    <w:nsid w:val="672A7E22"/>
    <w:multiLevelType w:val="multilevel"/>
    <w:tmpl w:val="672A7E22"/>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1">
    <w:nsid w:val="67F03A8B"/>
    <w:multiLevelType w:val="multilevel"/>
    <w:tmpl w:val="67F03A8B"/>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67FF7086"/>
    <w:multiLevelType w:val="multilevel"/>
    <w:tmpl w:val="67FF7086"/>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3">
    <w:nsid w:val="68A6736D"/>
    <w:multiLevelType w:val="multilevel"/>
    <w:tmpl w:val="68A6736D"/>
    <w:lvl w:ilvl="0" w:tentative="0">
      <w:start w:val="1"/>
      <w:numFmt w:val="chineseCountingThousand"/>
      <w:lvlText w:val="(%1)"/>
      <w:lvlJc w:val="left"/>
      <w:pPr>
        <w:ind w:left="420" w:hanging="420"/>
      </w:pPr>
      <w:rPr>
        <w:rFonts w:hint="default" w:asciiTheme="minorHAnsi" w:hAnsiTheme="minorHAnsi"/>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6B2B1784"/>
    <w:multiLevelType w:val="multilevel"/>
    <w:tmpl w:val="6B2B1784"/>
    <w:lvl w:ilvl="0" w:tentative="0">
      <w:start w:val="1"/>
      <w:numFmt w:val="decimal"/>
      <w:suff w:val="nothing"/>
      <w:lvlText w:val="(%1)."/>
      <w:lvlJc w:val="left"/>
      <w:pPr>
        <w:ind w:left="440" w:hanging="440"/>
      </w:pPr>
      <w:rPr>
        <w:rFonts w:hint="eastAsia" w:eastAsia="宋体" w:asciiTheme="majorEastAsia" w:hAnsiTheme="major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5">
    <w:nsid w:val="6B4760F3"/>
    <w:multiLevelType w:val="multilevel"/>
    <w:tmpl w:val="6B4760F3"/>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6B7F24D0"/>
    <w:multiLevelType w:val="multilevel"/>
    <w:tmpl w:val="6B7F24D0"/>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rPr>
    </w:lvl>
    <w:lvl w:ilvl="2" w:tentative="0">
      <w:start w:val="1"/>
      <w:numFmt w:val="chineseCountingThousand"/>
      <w:suff w:val="space"/>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7">
    <w:nsid w:val="6C5536E8"/>
    <w:multiLevelType w:val="multilevel"/>
    <w:tmpl w:val="6C5536E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8">
    <w:nsid w:val="6D28682E"/>
    <w:multiLevelType w:val="multilevel"/>
    <w:tmpl w:val="6D28682E"/>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9">
    <w:nsid w:val="6FF9061D"/>
    <w:multiLevelType w:val="multilevel"/>
    <w:tmpl w:val="6FF9061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0">
    <w:nsid w:val="70FB280F"/>
    <w:multiLevelType w:val="multilevel"/>
    <w:tmpl w:val="70FB280F"/>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729A3DFF"/>
    <w:multiLevelType w:val="multilevel"/>
    <w:tmpl w:val="729A3DFF"/>
    <w:lvl w:ilvl="0" w:tentative="0">
      <w:start w:val="2"/>
      <w:numFmt w:val="decimal"/>
      <w:lvlText w:val="(%1)."/>
      <w:lvlJc w:val="left"/>
      <w:pPr>
        <w:ind w:left="440" w:hanging="44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74593FBD"/>
    <w:multiLevelType w:val="multilevel"/>
    <w:tmpl w:val="74593FBD"/>
    <w:lvl w:ilvl="0" w:tentative="0">
      <w:start w:val="1"/>
      <w:numFmt w:val="decimal"/>
      <w:lvlText w:val="(%1). "/>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3">
    <w:nsid w:val="75911B19"/>
    <w:multiLevelType w:val="multilevel"/>
    <w:tmpl w:val="75911B19"/>
    <w:lvl w:ilvl="0" w:tentative="0">
      <w:start w:val="1"/>
      <w:numFmt w:val="chineseCountingThousand"/>
      <w:suff w:val="space"/>
      <w:lvlText w:val="(%1)"/>
      <w:lvlJc w:val="left"/>
      <w:pPr>
        <w:ind w:left="420" w:hanging="420"/>
      </w:pPr>
      <w:rPr>
        <w:rFonts w:hint="eastAsia"/>
      </w:r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4">
    <w:nsid w:val="76BF4253"/>
    <w:multiLevelType w:val="multilevel"/>
    <w:tmpl w:val="76BF4253"/>
    <w:lvl w:ilvl="0" w:tentative="0">
      <w:start w:val="1"/>
      <w:numFmt w:val="decimal"/>
      <w:lvlText w:val="(%1). "/>
      <w:lvlJc w:val="left"/>
      <w:pPr>
        <w:ind w:left="425" w:hanging="425"/>
      </w:pPr>
      <w:rPr>
        <w:rFonts w:hint="eastAsia" w:ascii="宋体" w:hAnsi="宋体" w:eastAsia="宋体"/>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5">
    <w:nsid w:val="77096022"/>
    <w:multiLevelType w:val="multilevel"/>
    <w:tmpl w:val="7709602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6">
    <w:nsid w:val="77E4405F"/>
    <w:multiLevelType w:val="multilevel"/>
    <w:tmpl w:val="77E4405F"/>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7">
    <w:nsid w:val="781B08CA"/>
    <w:multiLevelType w:val="multilevel"/>
    <w:tmpl w:val="781B08C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8">
    <w:nsid w:val="79382B2C"/>
    <w:multiLevelType w:val="multilevel"/>
    <w:tmpl w:val="79382B2C"/>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7E78145A"/>
    <w:multiLevelType w:val="multilevel"/>
    <w:tmpl w:val="7E78145A"/>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0">
    <w:nsid w:val="7FB80D67"/>
    <w:multiLevelType w:val="multilevel"/>
    <w:tmpl w:val="7FB80D67"/>
    <w:lvl w:ilvl="0" w:tentative="0">
      <w:start w:val="1"/>
      <w:numFmt w:val="decimal"/>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5"/>
  </w:num>
  <w:num w:numId="2">
    <w:abstractNumId w:val="20"/>
  </w:num>
  <w:num w:numId="3">
    <w:abstractNumId w:val="48"/>
  </w:num>
  <w:num w:numId="4">
    <w:abstractNumId w:val="9"/>
  </w:num>
  <w:num w:numId="5">
    <w:abstractNumId w:val="96"/>
  </w:num>
  <w:num w:numId="6">
    <w:abstractNumId w:val="78"/>
  </w:num>
  <w:num w:numId="7">
    <w:abstractNumId w:val="66"/>
  </w:num>
  <w:num w:numId="8">
    <w:abstractNumId w:val="93"/>
  </w:num>
  <w:num w:numId="9">
    <w:abstractNumId w:val="73"/>
  </w:num>
  <w:num w:numId="10">
    <w:abstractNumId w:val="82"/>
  </w:num>
  <w:num w:numId="11">
    <w:abstractNumId w:val="69"/>
  </w:num>
  <w:num w:numId="12">
    <w:abstractNumId w:val="42"/>
  </w:num>
  <w:num w:numId="13">
    <w:abstractNumId w:val="7"/>
  </w:num>
  <w:num w:numId="14">
    <w:abstractNumId w:val="52"/>
  </w:num>
  <w:num w:numId="15">
    <w:abstractNumId w:val="79"/>
  </w:num>
  <w:num w:numId="16">
    <w:abstractNumId w:val="49"/>
  </w:num>
  <w:num w:numId="17">
    <w:abstractNumId w:val="58"/>
  </w:num>
  <w:num w:numId="18">
    <w:abstractNumId w:val="25"/>
  </w:num>
  <w:num w:numId="19">
    <w:abstractNumId w:val="97"/>
  </w:num>
  <w:num w:numId="20">
    <w:abstractNumId w:val="55"/>
  </w:num>
  <w:num w:numId="21">
    <w:abstractNumId w:val="35"/>
  </w:num>
  <w:num w:numId="22">
    <w:abstractNumId w:val="36"/>
  </w:num>
  <w:num w:numId="23">
    <w:abstractNumId w:val="1"/>
  </w:num>
  <w:num w:numId="24">
    <w:abstractNumId w:val="10"/>
  </w:num>
  <w:num w:numId="25">
    <w:abstractNumId w:val="50"/>
  </w:num>
  <w:num w:numId="26">
    <w:abstractNumId w:val="4"/>
  </w:num>
  <w:num w:numId="27">
    <w:abstractNumId w:val="32"/>
  </w:num>
  <w:num w:numId="28">
    <w:abstractNumId w:val="37"/>
  </w:num>
  <w:num w:numId="29">
    <w:abstractNumId w:val="100"/>
  </w:num>
  <w:num w:numId="30">
    <w:abstractNumId w:val="109"/>
  </w:num>
  <w:num w:numId="31">
    <w:abstractNumId w:val="84"/>
  </w:num>
  <w:num w:numId="32">
    <w:abstractNumId w:val="60"/>
  </w:num>
  <w:num w:numId="33">
    <w:abstractNumId w:val="3"/>
  </w:num>
  <w:num w:numId="34">
    <w:abstractNumId w:val="70"/>
  </w:num>
  <w:num w:numId="35">
    <w:abstractNumId w:val="57"/>
  </w:num>
  <w:num w:numId="36">
    <w:abstractNumId w:val="56"/>
  </w:num>
  <w:num w:numId="37">
    <w:abstractNumId w:val="17"/>
  </w:num>
  <w:num w:numId="38">
    <w:abstractNumId w:val="90"/>
  </w:num>
  <w:num w:numId="39">
    <w:abstractNumId w:val="34"/>
  </w:num>
  <w:num w:numId="40">
    <w:abstractNumId w:val="88"/>
  </w:num>
  <w:num w:numId="41">
    <w:abstractNumId w:val="108"/>
  </w:num>
  <w:num w:numId="42">
    <w:abstractNumId w:val="85"/>
  </w:num>
  <w:num w:numId="43">
    <w:abstractNumId w:val="13"/>
  </w:num>
  <w:num w:numId="44">
    <w:abstractNumId w:val="6"/>
  </w:num>
  <w:num w:numId="45">
    <w:abstractNumId w:val="94"/>
  </w:num>
  <w:num w:numId="46">
    <w:abstractNumId w:val="47"/>
  </w:num>
  <w:num w:numId="47">
    <w:abstractNumId w:val="11"/>
  </w:num>
  <w:num w:numId="48">
    <w:abstractNumId w:val="19"/>
  </w:num>
  <w:num w:numId="49">
    <w:abstractNumId w:val="30"/>
  </w:num>
  <w:num w:numId="50">
    <w:abstractNumId w:val="101"/>
  </w:num>
  <w:num w:numId="51">
    <w:abstractNumId w:val="63"/>
  </w:num>
  <w:num w:numId="52">
    <w:abstractNumId w:val="51"/>
  </w:num>
  <w:num w:numId="53">
    <w:abstractNumId w:val="99"/>
  </w:num>
  <w:num w:numId="54">
    <w:abstractNumId w:val="83"/>
  </w:num>
  <w:num w:numId="55">
    <w:abstractNumId w:val="53"/>
  </w:num>
  <w:num w:numId="56">
    <w:abstractNumId w:val="12"/>
  </w:num>
  <w:num w:numId="57">
    <w:abstractNumId w:val="16"/>
  </w:num>
  <w:num w:numId="58">
    <w:abstractNumId w:val="54"/>
  </w:num>
  <w:num w:numId="59">
    <w:abstractNumId w:val="31"/>
  </w:num>
  <w:num w:numId="60">
    <w:abstractNumId w:val="22"/>
  </w:num>
  <w:num w:numId="61">
    <w:abstractNumId w:val="89"/>
  </w:num>
  <w:num w:numId="62">
    <w:abstractNumId w:val="41"/>
  </w:num>
  <w:num w:numId="63">
    <w:abstractNumId w:val="74"/>
  </w:num>
  <w:num w:numId="64">
    <w:abstractNumId w:val="15"/>
  </w:num>
  <w:num w:numId="65">
    <w:abstractNumId w:val="71"/>
  </w:num>
  <w:num w:numId="66">
    <w:abstractNumId w:val="80"/>
  </w:num>
  <w:num w:numId="67">
    <w:abstractNumId w:val="104"/>
  </w:num>
  <w:num w:numId="68">
    <w:abstractNumId w:val="33"/>
  </w:num>
  <w:num w:numId="69">
    <w:abstractNumId w:val="38"/>
  </w:num>
  <w:num w:numId="70">
    <w:abstractNumId w:val="27"/>
  </w:num>
  <w:num w:numId="71">
    <w:abstractNumId w:val="24"/>
  </w:num>
  <w:num w:numId="72">
    <w:abstractNumId w:val="44"/>
  </w:num>
  <w:num w:numId="73">
    <w:abstractNumId w:val="95"/>
  </w:num>
  <w:num w:numId="74">
    <w:abstractNumId w:val="26"/>
  </w:num>
  <w:num w:numId="75">
    <w:abstractNumId w:val="98"/>
  </w:num>
  <w:num w:numId="76">
    <w:abstractNumId w:val="59"/>
  </w:num>
  <w:num w:numId="77">
    <w:abstractNumId w:val="77"/>
  </w:num>
  <w:num w:numId="78">
    <w:abstractNumId w:val="43"/>
  </w:num>
  <w:num w:numId="79">
    <w:abstractNumId w:val="86"/>
  </w:num>
  <w:num w:numId="80">
    <w:abstractNumId w:val="61"/>
  </w:num>
  <w:num w:numId="81">
    <w:abstractNumId w:val="28"/>
  </w:num>
  <w:num w:numId="82">
    <w:abstractNumId w:val="0"/>
  </w:num>
  <w:num w:numId="83">
    <w:abstractNumId w:val="92"/>
  </w:num>
  <w:num w:numId="84">
    <w:abstractNumId w:val="68"/>
  </w:num>
  <w:num w:numId="85">
    <w:abstractNumId w:val="106"/>
  </w:num>
  <w:num w:numId="86">
    <w:abstractNumId w:val="62"/>
  </w:num>
  <w:num w:numId="87">
    <w:abstractNumId w:val="39"/>
  </w:num>
  <w:num w:numId="88">
    <w:abstractNumId w:val="67"/>
  </w:num>
  <w:num w:numId="89">
    <w:abstractNumId w:val="45"/>
  </w:num>
  <w:num w:numId="90">
    <w:abstractNumId w:val="29"/>
  </w:num>
  <w:num w:numId="91">
    <w:abstractNumId w:val="8"/>
  </w:num>
  <w:num w:numId="92">
    <w:abstractNumId w:val="72"/>
  </w:num>
  <w:num w:numId="93">
    <w:abstractNumId w:val="102"/>
  </w:num>
  <w:num w:numId="94">
    <w:abstractNumId w:val="105"/>
  </w:num>
  <w:num w:numId="95">
    <w:abstractNumId w:val="5"/>
  </w:num>
  <w:num w:numId="96">
    <w:abstractNumId w:val="2"/>
  </w:num>
  <w:num w:numId="97">
    <w:abstractNumId w:val="21"/>
  </w:num>
  <w:num w:numId="98">
    <w:abstractNumId w:val="107"/>
  </w:num>
  <w:num w:numId="99">
    <w:abstractNumId w:val="18"/>
  </w:num>
  <w:num w:numId="100">
    <w:abstractNumId w:val="81"/>
  </w:num>
  <w:num w:numId="101">
    <w:abstractNumId w:val="110"/>
  </w:num>
  <w:num w:numId="102">
    <w:abstractNumId w:val="103"/>
  </w:num>
  <w:num w:numId="103">
    <w:abstractNumId w:val="87"/>
  </w:num>
  <w:num w:numId="104">
    <w:abstractNumId w:val="75"/>
  </w:num>
  <w:num w:numId="105">
    <w:abstractNumId w:val="46"/>
  </w:num>
  <w:num w:numId="106">
    <w:abstractNumId w:val="64"/>
  </w:num>
  <w:num w:numId="107">
    <w:abstractNumId w:val="76"/>
  </w:num>
  <w:num w:numId="108">
    <w:abstractNumId w:val="23"/>
  </w:num>
  <w:num w:numId="109">
    <w:abstractNumId w:val="14"/>
  </w:num>
  <w:num w:numId="110">
    <w:abstractNumId w:val="40"/>
  </w:num>
  <w:num w:numId="111">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attachedTemplate r:id="rId1"/>
  <w:documentProtection w:enforcement="0"/>
  <w:defaultTabStop w:val="105"/>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 w:name="fix_control_content_version" w:val="1.0"/>
    <w:docVar w:name="RemovedBindingXPath" w:val="true"/>
    <w:docVar w:name="RemoveRepeatedWord" w:val="true"/>
  </w:docVars>
  <w:rsids>
    <w:rsidRoot w:val="00987B04"/>
    <w:rsid w:val="000007D0"/>
    <w:rsid w:val="0000247B"/>
    <w:rsid w:val="00005937"/>
    <w:rsid w:val="00006C57"/>
    <w:rsid w:val="00011357"/>
    <w:rsid w:val="000113E1"/>
    <w:rsid w:val="0001159A"/>
    <w:rsid w:val="000139F9"/>
    <w:rsid w:val="00025676"/>
    <w:rsid w:val="00026313"/>
    <w:rsid w:val="000350D1"/>
    <w:rsid w:val="0003523F"/>
    <w:rsid w:val="00040889"/>
    <w:rsid w:val="0004318D"/>
    <w:rsid w:val="00043FF0"/>
    <w:rsid w:val="00045017"/>
    <w:rsid w:val="00046052"/>
    <w:rsid w:val="00054117"/>
    <w:rsid w:val="000548F6"/>
    <w:rsid w:val="00054ACB"/>
    <w:rsid w:val="00055A25"/>
    <w:rsid w:val="00067BD7"/>
    <w:rsid w:val="0007299E"/>
    <w:rsid w:val="00076C1F"/>
    <w:rsid w:val="00085C64"/>
    <w:rsid w:val="00086503"/>
    <w:rsid w:val="00087580"/>
    <w:rsid w:val="00087D5C"/>
    <w:rsid w:val="00093D65"/>
    <w:rsid w:val="000A098F"/>
    <w:rsid w:val="000A57FA"/>
    <w:rsid w:val="000A797F"/>
    <w:rsid w:val="000B20A2"/>
    <w:rsid w:val="000B5407"/>
    <w:rsid w:val="000C4D65"/>
    <w:rsid w:val="000C6069"/>
    <w:rsid w:val="000C687B"/>
    <w:rsid w:val="000D3CF0"/>
    <w:rsid w:val="000D6126"/>
    <w:rsid w:val="000D6F3F"/>
    <w:rsid w:val="000E0572"/>
    <w:rsid w:val="000E25B9"/>
    <w:rsid w:val="000E3131"/>
    <w:rsid w:val="000E69FD"/>
    <w:rsid w:val="000F25D7"/>
    <w:rsid w:val="000F69E5"/>
    <w:rsid w:val="000F76EF"/>
    <w:rsid w:val="001016D2"/>
    <w:rsid w:val="001114E5"/>
    <w:rsid w:val="00111EE3"/>
    <w:rsid w:val="00112168"/>
    <w:rsid w:val="0011441A"/>
    <w:rsid w:val="00120571"/>
    <w:rsid w:val="00131812"/>
    <w:rsid w:val="00133338"/>
    <w:rsid w:val="00135505"/>
    <w:rsid w:val="001479CA"/>
    <w:rsid w:val="001510F3"/>
    <w:rsid w:val="00151404"/>
    <w:rsid w:val="00151A1B"/>
    <w:rsid w:val="00151A9D"/>
    <w:rsid w:val="00164886"/>
    <w:rsid w:val="00165118"/>
    <w:rsid w:val="00165CCB"/>
    <w:rsid w:val="00170084"/>
    <w:rsid w:val="00170D65"/>
    <w:rsid w:val="001746F7"/>
    <w:rsid w:val="00174AF4"/>
    <w:rsid w:val="00175061"/>
    <w:rsid w:val="001768F9"/>
    <w:rsid w:val="00176DB2"/>
    <w:rsid w:val="00182835"/>
    <w:rsid w:val="00185693"/>
    <w:rsid w:val="00192C75"/>
    <w:rsid w:val="00196C78"/>
    <w:rsid w:val="001A017E"/>
    <w:rsid w:val="001A2A33"/>
    <w:rsid w:val="001A2D49"/>
    <w:rsid w:val="001A7F04"/>
    <w:rsid w:val="001B35C9"/>
    <w:rsid w:val="001B502F"/>
    <w:rsid w:val="001C34CB"/>
    <w:rsid w:val="001C373D"/>
    <w:rsid w:val="001D1D8E"/>
    <w:rsid w:val="001D3F25"/>
    <w:rsid w:val="001D704A"/>
    <w:rsid w:val="001D72A1"/>
    <w:rsid w:val="001D7EBC"/>
    <w:rsid w:val="001E42B0"/>
    <w:rsid w:val="001E432C"/>
    <w:rsid w:val="001E54CB"/>
    <w:rsid w:val="001E566B"/>
    <w:rsid w:val="001E5B67"/>
    <w:rsid w:val="001E752E"/>
    <w:rsid w:val="001F07D1"/>
    <w:rsid w:val="001F6ABB"/>
    <w:rsid w:val="001F7BE8"/>
    <w:rsid w:val="002060AC"/>
    <w:rsid w:val="0020620F"/>
    <w:rsid w:val="00206944"/>
    <w:rsid w:val="00226B35"/>
    <w:rsid w:val="00233DFA"/>
    <w:rsid w:val="00237ABA"/>
    <w:rsid w:val="00237AD8"/>
    <w:rsid w:val="0024187A"/>
    <w:rsid w:val="0024253B"/>
    <w:rsid w:val="00250942"/>
    <w:rsid w:val="00251A57"/>
    <w:rsid w:val="00253F4C"/>
    <w:rsid w:val="00255A03"/>
    <w:rsid w:val="00255F35"/>
    <w:rsid w:val="002574F8"/>
    <w:rsid w:val="002600CC"/>
    <w:rsid w:val="002608E5"/>
    <w:rsid w:val="00261C02"/>
    <w:rsid w:val="00267CCA"/>
    <w:rsid w:val="002711F0"/>
    <w:rsid w:val="002729CF"/>
    <w:rsid w:val="00272E32"/>
    <w:rsid w:val="00274770"/>
    <w:rsid w:val="00282229"/>
    <w:rsid w:val="0028703A"/>
    <w:rsid w:val="00292511"/>
    <w:rsid w:val="002945CE"/>
    <w:rsid w:val="00295A84"/>
    <w:rsid w:val="002A21EE"/>
    <w:rsid w:val="002A4009"/>
    <w:rsid w:val="002A4718"/>
    <w:rsid w:val="002A7471"/>
    <w:rsid w:val="002A7F5C"/>
    <w:rsid w:val="002B2F55"/>
    <w:rsid w:val="002B65DB"/>
    <w:rsid w:val="002C32BA"/>
    <w:rsid w:val="002C4853"/>
    <w:rsid w:val="002D02C4"/>
    <w:rsid w:val="002D1179"/>
    <w:rsid w:val="002D37B2"/>
    <w:rsid w:val="002D40AB"/>
    <w:rsid w:val="002D4312"/>
    <w:rsid w:val="002D4936"/>
    <w:rsid w:val="002E1099"/>
    <w:rsid w:val="002E3071"/>
    <w:rsid w:val="002E5272"/>
    <w:rsid w:val="002E6A32"/>
    <w:rsid w:val="002F4CCA"/>
    <w:rsid w:val="003053D2"/>
    <w:rsid w:val="003071C2"/>
    <w:rsid w:val="00311A02"/>
    <w:rsid w:val="00320111"/>
    <w:rsid w:val="003241D1"/>
    <w:rsid w:val="00324B18"/>
    <w:rsid w:val="00325EDB"/>
    <w:rsid w:val="00331CBE"/>
    <w:rsid w:val="003333F1"/>
    <w:rsid w:val="00333D94"/>
    <w:rsid w:val="00334CD8"/>
    <w:rsid w:val="00335D94"/>
    <w:rsid w:val="00341539"/>
    <w:rsid w:val="00342511"/>
    <w:rsid w:val="00342C57"/>
    <w:rsid w:val="00342DE7"/>
    <w:rsid w:val="00343B9F"/>
    <w:rsid w:val="0035254F"/>
    <w:rsid w:val="00353F66"/>
    <w:rsid w:val="00356C2F"/>
    <w:rsid w:val="003648D4"/>
    <w:rsid w:val="00366487"/>
    <w:rsid w:val="00375E75"/>
    <w:rsid w:val="003764AA"/>
    <w:rsid w:val="00376DE9"/>
    <w:rsid w:val="00381218"/>
    <w:rsid w:val="003940A6"/>
    <w:rsid w:val="003A0C62"/>
    <w:rsid w:val="003A5CBC"/>
    <w:rsid w:val="003B691F"/>
    <w:rsid w:val="003C0617"/>
    <w:rsid w:val="003C5339"/>
    <w:rsid w:val="003D0E7C"/>
    <w:rsid w:val="003D1DBD"/>
    <w:rsid w:val="003D4CCD"/>
    <w:rsid w:val="003E0EF6"/>
    <w:rsid w:val="003E47B1"/>
    <w:rsid w:val="003E551C"/>
    <w:rsid w:val="003E65D5"/>
    <w:rsid w:val="003E69B9"/>
    <w:rsid w:val="003E6EDE"/>
    <w:rsid w:val="003E764A"/>
    <w:rsid w:val="003F1466"/>
    <w:rsid w:val="003F6477"/>
    <w:rsid w:val="003F692B"/>
    <w:rsid w:val="00400798"/>
    <w:rsid w:val="0040315B"/>
    <w:rsid w:val="00403A2E"/>
    <w:rsid w:val="0040634F"/>
    <w:rsid w:val="00412724"/>
    <w:rsid w:val="00417B9C"/>
    <w:rsid w:val="0042024F"/>
    <w:rsid w:val="004215D7"/>
    <w:rsid w:val="00426812"/>
    <w:rsid w:val="0043071D"/>
    <w:rsid w:val="004324F1"/>
    <w:rsid w:val="00433FE7"/>
    <w:rsid w:val="00434EF9"/>
    <w:rsid w:val="00436D54"/>
    <w:rsid w:val="00437C6C"/>
    <w:rsid w:val="0044403D"/>
    <w:rsid w:val="0044447D"/>
    <w:rsid w:val="00445042"/>
    <w:rsid w:val="00446049"/>
    <w:rsid w:val="00446C57"/>
    <w:rsid w:val="00447DC4"/>
    <w:rsid w:val="00453840"/>
    <w:rsid w:val="00453AA0"/>
    <w:rsid w:val="00455579"/>
    <w:rsid w:val="00456AE1"/>
    <w:rsid w:val="00457ACF"/>
    <w:rsid w:val="004634AF"/>
    <w:rsid w:val="0047077B"/>
    <w:rsid w:val="00472132"/>
    <w:rsid w:val="0047340E"/>
    <w:rsid w:val="00473B0B"/>
    <w:rsid w:val="00474369"/>
    <w:rsid w:val="00480214"/>
    <w:rsid w:val="00484976"/>
    <w:rsid w:val="00486898"/>
    <w:rsid w:val="00487784"/>
    <w:rsid w:val="00487BC1"/>
    <w:rsid w:val="004906D7"/>
    <w:rsid w:val="00493B24"/>
    <w:rsid w:val="00495548"/>
    <w:rsid w:val="004A155E"/>
    <w:rsid w:val="004A59D2"/>
    <w:rsid w:val="004B180C"/>
    <w:rsid w:val="004B329B"/>
    <w:rsid w:val="004C47D3"/>
    <w:rsid w:val="004C6285"/>
    <w:rsid w:val="004D4B3F"/>
    <w:rsid w:val="004E1D6A"/>
    <w:rsid w:val="004F48C3"/>
    <w:rsid w:val="004F68A1"/>
    <w:rsid w:val="004F7E51"/>
    <w:rsid w:val="00505D06"/>
    <w:rsid w:val="005202C9"/>
    <w:rsid w:val="00521A4B"/>
    <w:rsid w:val="00524403"/>
    <w:rsid w:val="00525CBD"/>
    <w:rsid w:val="00526A6C"/>
    <w:rsid w:val="005312EA"/>
    <w:rsid w:val="00531C8E"/>
    <w:rsid w:val="00535D0F"/>
    <w:rsid w:val="005369CF"/>
    <w:rsid w:val="00560C27"/>
    <w:rsid w:val="005616E5"/>
    <w:rsid w:val="005762CD"/>
    <w:rsid w:val="0058018E"/>
    <w:rsid w:val="00581F73"/>
    <w:rsid w:val="00581F8C"/>
    <w:rsid w:val="00591C78"/>
    <w:rsid w:val="00591F29"/>
    <w:rsid w:val="005929E4"/>
    <w:rsid w:val="00593C0D"/>
    <w:rsid w:val="005959BC"/>
    <w:rsid w:val="00596D60"/>
    <w:rsid w:val="00597865"/>
    <w:rsid w:val="005A024F"/>
    <w:rsid w:val="005A7849"/>
    <w:rsid w:val="005B42F3"/>
    <w:rsid w:val="005B4D93"/>
    <w:rsid w:val="005B5D7B"/>
    <w:rsid w:val="005B6451"/>
    <w:rsid w:val="005C0E61"/>
    <w:rsid w:val="005C14B7"/>
    <w:rsid w:val="005C460B"/>
    <w:rsid w:val="005C6224"/>
    <w:rsid w:val="005C640E"/>
    <w:rsid w:val="005D4131"/>
    <w:rsid w:val="005E2854"/>
    <w:rsid w:val="005E2EF6"/>
    <w:rsid w:val="005E57A4"/>
    <w:rsid w:val="005F09FA"/>
    <w:rsid w:val="005F4950"/>
    <w:rsid w:val="005F6313"/>
    <w:rsid w:val="00605FD2"/>
    <w:rsid w:val="00606E05"/>
    <w:rsid w:val="006071E8"/>
    <w:rsid w:val="00607D50"/>
    <w:rsid w:val="00610AF0"/>
    <w:rsid w:val="00610CA2"/>
    <w:rsid w:val="0061241F"/>
    <w:rsid w:val="00613061"/>
    <w:rsid w:val="00613556"/>
    <w:rsid w:val="00614DDD"/>
    <w:rsid w:val="006152C0"/>
    <w:rsid w:val="0061635B"/>
    <w:rsid w:val="006174E9"/>
    <w:rsid w:val="006202C5"/>
    <w:rsid w:val="00620D11"/>
    <w:rsid w:val="00620D34"/>
    <w:rsid w:val="00620E91"/>
    <w:rsid w:val="00631B7C"/>
    <w:rsid w:val="006323F4"/>
    <w:rsid w:val="00634068"/>
    <w:rsid w:val="00634BE8"/>
    <w:rsid w:val="00637215"/>
    <w:rsid w:val="006443B9"/>
    <w:rsid w:val="00644799"/>
    <w:rsid w:val="00644FB4"/>
    <w:rsid w:val="00650B7C"/>
    <w:rsid w:val="00655C19"/>
    <w:rsid w:val="006579AE"/>
    <w:rsid w:val="00663956"/>
    <w:rsid w:val="00664E6F"/>
    <w:rsid w:val="00670FC5"/>
    <w:rsid w:val="00672A84"/>
    <w:rsid w:val="00673C4E"/>
    <w:rsid w:val="00676B76"/>
    <w:rsid w:val="00682B35"/>
    <w:rsid w:val="00683274"/>
    <w:rsid w:val="0068357A"/>
    <w:rsid w:val="0069039C"/>
    <w:rsid w:val="006916E6"/>
    <w:rsid w:val="00697D76"/>
    <w:rsid w:val="006A296C"/>
    <w:rsid w:val="006A3227"/>
    <w:rsid w:val="006A3F8C"/>
    <w:rsid w:val="006A4133"/>
    <w:rsid w:val="006B0893"/>
    <w:rsid w:val="006B15BD"/>
    <w:rsid w:val="006B2664"/>
    <w:rsid w:val="006B35BF"/>
    <w:rsid w:val="006B7CF9"/>
    <w:rsid w:val="006C18E9"/>
    <w:rsid w:val="006C4840"/>
    <w:rsid w:val="006C4AE1"/>
    <w:rsid w:val="006C4F6A"/>
    <w:rsid w:val="006C564B"/>
    <w:rsid w:val="006D3680"/>
    <w:rsid w:val="006D3D87"/>
    <w:rsid w:val="006E15DE"/>
    <w:rsid w:val="006E33C7"/>
    <w:rsid w:val="006E5255"/>
    <w:rsid w:val="006E7761"/>
    <w:rsid w:val="007001EF"/>
    <w:rsid w:val="00701098"/>
    <w:rsid w:val="00702DA0"/>
    <w:rsid w:val="00707AE1"/>
    <w:rsid w:val="00710411"/>
    <w:rsid w:val="00711FDB"/>
    <w:rsid w:val="007304D6"/>
    <w:rsid w:val="00731E82"/>
    <w:rsid w:val="007343F8"/>
    <w:rsid w:val="00737CE2"/>
    <w:rsid w:val="007432B5"/>
    <w:rsid w:val="0074361C"/>
    <w:rsid w:val="0074402F"/>
    <w:rsid w:val="00746654"/>
    <w:rsid w:val="0075214D"/>
    <w:rsid w:val="0075413E"/>
    <w:rsid w:val="007541F7"/>
    <w:rsid w:val="00756AFD"/>
    <w:rsid w:val="0076525B"/>
    <w:rsid w:val="00773F13"/>
    <w:rsid w:val="00775EC9"/>
    <w:rsid w:val="0078290E"/>
    <w:rsid w:val="00783BA4"/>
    <w:rsid w:val="00791F9B"/>
    <w:rsid w:val="0079364F"/>
    <w:rsid w:val="007936A5"/>
    <w:rsid w:val="00795E9C"/>
    <w:rsid w:val="00796055"/>
    <w:rsid w:val="007A0B0B"/>
    <w:rsid w:val="007A0E00"/>
    <w:rsid w:val="007A13C2"/>
    <w:rsid w:val="007A15A3"/>
    <w:rsid w:val="007A7336"/>
    <w:rsid w:val="007A7581"/>
    <w:rsid w:val="007B0903"/>
    <w:rsid w:val="007B5E2D"/>
    <w:rsid w:val="007B6462"/>
    <w:rsid w:val="007B6B33"/>
    <w:rsid w:val="007C0046"/>
    <w:rsid w:val="007C0A7A"/>
    <w:rsid w:val="007C163A"/>
    <w:rsid w:val="007C2811"/>
    <w:rsid w:val="007C6DE5"/>
    <w:rsid w:val="007D0D2F"/>
    <w:rsid w:val="007D1051"/>
    <w:rsid w:val="007D10C6"/>
    <w:rsid w:val="007D513B"/>
    <w:rsid w:val="007E301E"/>
    <w:rsid w:val="007E4768"/>
    <w:rsid w:val="007F0664"/>
    <w:rsid w:val="007F08AC"/>
    <w:rsid w:val="007F7133"/>
    <w:rsid w:val="007F7B41"/>
    <w:rsid w:val="0080281F"/>
    <w:rsid w:val="00803903"/>
    <w:rsid w:val="008134FF"/>
    <w:rsid w:val="00814412"/>
    <w:rsid w:val="00815125"/>
    <w:rsid w:val="008160F3"/>
    <w:rsid w:val="008207DA"/>
    <w:rsid w:val="00831736"/>
    <w:rsid w:val="00846C81"/>
    <w:rsid w:val="00850D2B"/>
    <w:rsid w:val="00852687"/>
    <w:rsid w:val="0085658C"/>
    <w:rsid w:val="00860577"/>
    <w:rsid w:val="00861CE4"/>
    <w:rsid w:val="00862556"/>
    <w:rsid w:val="00862BAE"/>
    <w:rsid w:val="00863399"/>
    <w:rsid w:val="00863973"/>
    <w:rsid w:val="0086779E"/>
    <w:rsid w:val="00870039"/>
    <w:rsid w:val="00873A4C"/>
    <w:rsid w:val="008777BD"/>
    <w:rsid w:val="008820DA"/>
    <w:rsid w:val="00882278"/>
    <w:rsid w:val="008864B4"/>
    <w:rsid w:val="00890167"/>
    <w:rsid w:val="008904D5"/>
    <w:rsid w:val="00892BC0"/>
    <w:rsid w:val="00893921"/>
    <w:rsid w:val="00896836"/>
    <w:rsid w:val="008A19AC"/>
    <w:rsid w:val="008B3694"/>
    <w:rsid w:val="008B5595"/>
    <w:rsid w:val="008C0081"/>
    <w:rsid w:val="008C0B35"/>
    <w:rsid w:val="008C4128"/>
    <w:rsid w:val="008C5CA3"/>
    <w:rsid w:val="008D00D5"/>
    <w:rsid w:val="008D1A07"/>
    <w:rsid w:val="008D2411"/>
    <w:rsid w:val="008D3A4D"/>
    <w:rsid w:val="008D6D28"/>
    <w:rsid w:val="008D732C"/>
    <w:rsid w:val="008E0029"/>
    <w:rsid w:val="008E32D3"/>
    <w:rsid w:val="008E3D34"/>
    <w:rsid w:val="008E48E7"/>
    <w:rsid w:val="008E501B"/>
    <w:rsid w:val="008F2409"/>
    <w:rsid w:val="008F3319"/>
    <w:rsid w:val="008F70D0"/>
    <w:rsid w:val="008F7498"/>
    <w:rsid w:val="008F74A6"/>
    <w:rsid w:val="008F7D26"/>
    <w:rsid w:val="009015E1"/>
    <w:rsid w:val="00902C15"/>
    <w:rsid w:val="0090309D"/>
    <w:rsid w:val="009129A3"/>
    <w:rsid w:val="00916CD9"/>
    <w:rsid w:val="00924CC6"/>
    <w:rsid w:val="00937C3F"/>
    <w:rsid w:val="0094463F"/>
    <w:rsid w:val="009456D8"/>
    <w:rsid w:val="00956B30"/>
    <w:rsid w:val="0096584C"/>
    <w:rsid w:val="00965C10"/>
    <w:rsid w:val="009670B9"/>
    <w:rsid w:val="00976F12"/>
    <w:rsid w:val="009779CB"/>
    <w:rsid w:val="009815EF"/>
    <w:rsid w:val="00983BBE"/>
    <w:rsid w:val="00983F51"/>
    <w:rsid w:val="00984F1F"/>
    <w:rsid w:val="00987B04"/>
    <w:rsid w:val="00990D55"/>
    <w:rsid w:val="00991918"/>
    <w:rsid w:val="0099756E"/>
    <w:rsid w:val="009A0A4B"/>
    <w:rsid w:val="009A215D"/>
    <w:rsid w:val="009A3077"/>
    <w:rsid w:val="009A46F3"/>
    <w:rsid w:val="009A534B"/>
    <w:rsid w:val="009B02FB"/>
    <w:rsid w:val="009B0469"/>
    <w:rsid w:val="009B34BF"/>
    <w:rsid w:val="009B4CA4"/>
    <w:rsid w:val="009B7117"/>
    <w:rsid w:val="009B719B"/>
    <w:rsid w:val="009C3223"/>
    <w:rsid w:val="009E020F"/>
    <w:rsid w:val="009E0437"/>
    <w:rsid w:val="009E1D25"/>
    <w:rsid w:val="009F1D7C"/>
    <w:rsid w:val="009F6109"/>
    <w:rsid w:val="00A00CE6"/>
    <w:rsid w:val="00A01E68"/>
    <w:rsid w:val="00A1174B"/>
    <w:rsid w:val="00A16D63"/>
    <w:rsid w:val="00A17778"/>
    <w:rsid w:val="00A205FD"/>
    <w:rsid w:val="00A32D2D"/>
    <w:rsid w:val="00A344CA"/>
    <w:rsid w:val="00A36A76"/>
    <w:rsid w:val="00A372E6"/>
    <w:rsid w:val="00A379BE"/>
    <w:rsid w:val="00A37DE3"/>
    <w:rsid w:val="00A44A0C"/>
    <w:rsid w:val="00A44B20"/>
    <w:rsid w:val="00A50308"/>
    <w:rsid w:val="00A5492C"/>
    <w:rsid w:val="00A55B28"/>
    <w:rsid w:val="00A56AEF"/>
    <w:rsid w:val="00A57BD9"/>
    <w:rsid w:val="00A64CD2"/>
    <w:rsid w:val="00A701A3"/>
    <w:rsid w:val="00A77A56"/>
    <w:rsid w:val="00A80EA1"/>
    <w:rsid w:val="00A81DCD"/>
    <w:rsid w:val="00A81FDB"/>
    <w:rsid w:val="00A82BD0"/>
    <w:rsid w:val="00A84149"/>
    <w:rsid w:val="00A86B11"/>
    <w:rsid w:val="00A9179B"/>
    <w:rsid w:val="00A947BD"/>
    <w:rsid w:val="00A95B28"/>
    <w:rsid w:val="00A95EAA"/>
    <w:rsid w:val="00AA1077"/>
    <w:rsid w:val="00AA1708"/>
    <w:rsid w:val="00AA3493"/>
    <w:rsid w:val="00AA3A9E"/>
    <w:rsid w:val="00AA3D62"/>
    <w:rsid w:val="00AA6368"/>
    <w:rsid w:val="00AB4E05"/>
    <w:rsid w:val="00AB6065"/>
    <w:rsid w:val="00AC095D"/>
    <w:rsid w:val="00AC1C25"/>
    <w:rsid w:val="00AC3FBC"/>
    <w:rsid w:val="00AC5429"/>
    <w:rsid w:val="00AC724B"/>
    <w:rsid w:val="00AD0F5E"/>
    <w:rsid w:val="00AD3440"/>
    <w:rsid w:val="00AE1B80"/>
    <w:rsid w:val="00AE2B5B"/>
    <w:rsid w:val="00AE2E4B"/>
    <w:rsid w:val="00AE34C6"/>
    <w:rsid w:val="00AE3D8C"/>
    <w:rsid w:val="00AE49E9"/>
    <w:rsid w:val="00AE5270"/>
    <w:rsid w:val="00AE5FCB"/>
    <w:rsid w:val="00AE6FF6"/>
    <w:rsid w:val="00AF0360"/>
    <w:rsid w:val="00AF3932"/>
    <w:rsid w:val="00AF468E"/>
    <w:rsid w:val="00AF4CEA"/>
    <w:rsid w:val="00AF657B"/>
    <w:rsid w:val="00AF6BC1"/>
    <w:rsid w:val="00B00E22"/>
    <w:rsid w:val="00B03323"/>
    <w:rsid w:val="00B04E7F"/>
    <w:rsid w:val="00B05DED"/>
    <w:rsid w:val="00B061A6"/>
    <w:rsid w:val="00B061DF"/>
    <w:rsid w:val="00B06271"/>
    <w:rsid w:val="00B110BE"/>
    <w:rsid w:val="00B115AE"/>
    <w:rsid w:val="00B12A37"/>
    <w:rsid w:val="00B13852"/>
    <w:rsid w:val="00B17296"/>
    <w:rsid w:val="00B21BE3"/>
    <w:rsid w:val="00B26474"/>
    <w:rsid w:val="00B26BD9"/>
    <w:rsid w:val="00B27A18"/>
    <w:rsid w:val="00B30767"/>
    <w:rsid w:val="00B33155"/>
    <w:rsid w:val="00B37F0A"/>
    <w:rsid w:val="00B4344F"/>
    <w:rsid w:val="00B51626"/>
    <w:rsid w:val="00B519C2"/>
    <w:rsid w:val="00B551CF"/>
    <w:rsid w:val="00B5763D"/>
    <w:rsid w:val="00B7042A"/>
    <w:rsid w:val="00B73E97"/>
    <w:rsid w:val="00B8165D"/>
    <w:rsid w:val="00B81676"/>
    <w:rsid w:val="00B97FBF"/>
    <w:rsid w:val="00BA050D"/>
    <w:rsid w:val="00BA0D1F"/>
    <w:rsid w:val="00BA2291"/>
    <w:rsid w:val="00BA396C"/>
    <w:rsid w:val="00BB1735"/>
    <w:rsid w:val="00BB3864"/>
    <w:rsid w:val="00BB4304"/>
    <w:rsid w:val="00BB54FC"/>
    <w:rsid w:val="00BB6B76"/>
    <w:rsid w:val="00BC034E"/>
    <w:rsid w:val="00BC0B6B"/>
    <w:rsid w:val="00BC1B31"/>
    <w:rsid w:val="00BD321C"/>
    <w:rsid w:val="00BD37F4"/>
    <w:rsid w:val="00BD4A4A"/>
    <w:rsid w:val="00BD69FD"/>
    <w:rsid w:val="00BE1779"/>
    <w:rsid w:val="00BE2864"/>
    <w:rsid w:val="00BE4C94"/>
    <w:rsid w:val="00BE6B48"/>
    <w:rsid w:val="00C0359C"/>
    <w:rsid w:val="00C07AAE"/>
    <w:rsid w:val="00C10CD8"/>
    <w:rsid w:val="00C1261F"/>
    <w:rsid w:val="00C12BE8"/>
    <w:rsid w:val="00C22790"/>
    <w:rsid w:val="00C27265"/>
    <w:rsid w:val="00C27DE7"/>
    <w:rsid w:val="00C31681"/>
    <w:rsid w:val="00C37889"/>
    <w:rsid w:val="00C419EC"/>
    <w:rsid w:val="00C425C2"/>
    <w:rsid w:val="00C42B75"/>
    <w:rsid w:val="00C42F23"/>
    <w:rsid w:val="00C445AC"/>
    <w:rsid w:val="00C45EF7"/>
    <w:rsid w:val="00C4620C"/>
    <w:rsid w:val="00C516DA"/>
    <w:rsid w:val="00C52302"/>
    <w:rsid w:val="00C52A07"/>
    <w:rsid w:val="00C52F18"/>
    <w:rsid w:val="00C60FAE"/>
    <w:rsid w:val="00C64605"/>
    <w:rsid w:val="00C649D1"/>
    <w:rsid w:val="00C64F28"/>
    <w:rsid w:val="00C66D88"/>
    <w:rsid w:val="00C70870"/>
    <w:rsid w:val="00C70DA6"/>
    <w:rsid w:val="00C7186D"/>
    <w:rsid w:val="00C71990"/>
    <w:rsid w:val="00C72750"/>
    <w:rsid w:val="00C74138"/>
    <w:rsid w:val="00C778EB"/>
    <w:rsid w:val="00C808FC"/>
    <w:rsid w:val="00C820F6"/>
    <w:rsid w:val="00C86675"/>
    <w:rsid w:val="00C869A7"/>
    <w:rsid w:val="00C8725D"/>
    <w:rsid w:val="00C87BB0"/>
    <w:rsid w:val="00C91E97"/>
    <w:rsid w:val="00C926B1"/>
    <w:rsid w:val="00C944BC"/>
    <w:rsid w:val="00C96BD0"/>
    <w:rsid w:val="00CA28AF"/>
    <w:rsid w:val="00CA5C9D"/>
    <w:rsid w:val="00CA7A73"/>
    <w:rsid w:val="00CB663A"/>
    <w:rsid w:val="00CB6875"/>
    <w:rsid w:val="00CB6B3C"/>
    <w:rsid w:val="00CC3E87"/>
    <w:rsid w:val="00CC4F9D"/>
    <w:rsid w:val="00CC69CC"/>
    <w:rsid w:val="00CD0E87"/>
    <w:rsid w:val="00CD191A"/>
    <w:rsid w:val="00CD294A"/>
    <w:rsid w:val="00CD32ED"/>
    <w:rsid w:val="00CD430C"/>
    <w:rsid w:val="00CD4A95"/>
    <w:rsid w:val="00CE3196"/>
    <w:rsid w:val="00CE31E1"/>
    <w:rsid w:val="00CE4B02"/>
    <w:rsid w:val="00CE627D"/>
    <w:rsid w:val="00CE6751"/>
    <w:rsid w:val="00CE7AA3"/>
    <w:rsid w:val="00CF0FEE"/>
    <w:rsid w:val="00CF1155"/>
    <w:rsid w:val="00D048E1"/>
    <w:rsid w:val="00D051DD"/>
    <w:rsid w:val="00D1296F"/>
    <w:rsid w:val="00D17284"/>
    <w:rsid w:val="00D17860"/>
    <w:rsid w:val="00D17F1A"/>
    <w:rsid w:val="00D200A6"/>
    <w:rsid w:val="00D2032A"/>
    <w:rsid w:val="00D20E41"/>
    <w:rsid w:val="00D30A0F"/>
    <w:rsid w:val="00D321F5"/>
    <w:rsid w:val="00D36E19"/>
    <w:rsid w:val="00D40D96"/>
    <w:rsid w:val="00D423B0"/>
    <w:rsid w:val="00D4526D"/>
    <w:rsid w:val="00D47EDC"/>
    <w:rsid w:val="00D520B2"/>
    <w:rsid w:val="00D525E8"/>
    <w:rsid w:val="00D5371B"/>
    <w:rsid w:val="00D664C6"/>
    <w:rsid w:val="00D75050"/>
    <w:rsid w:val="00D75ED2"/>
    <w:rsid w:val="00D802EE"/>
    <w:rsid w:val="00D82B97"/>
    <w:rsid w:val="00D8371B"/>
    <w:rsid w:val="00D856CF"/>
    <w:rsid w:val="00D94F73"/>
    <w:rsid w:val="00D972CF"/>
    <w:rsid w:val="00DA3CEE"/>
    <w:rsid w:val="00DA6BCC"/>
    <w:rsid w:val="00DC0FA3"/>
    <w:rsid w:val="00DC239A"/>
    <w:rsid w:val="00DC3222"/>
    <w:rsid w:val="00DE118C"/>
    <w:rsid w:val="00DE33EC"/>
    <w:rsid w:val="00DE5498"/>
    <w:rsid w:val="00DF1A48"/>
    <w:rsid w:val="00DF362C"/>
    <w:rsid w:val="00DF433A"/>
    <w:rsid w:val="00DF7020"/>
    <w:rsid w:val="00E05F62"/>
    <w:rsid w:val="00E06FD5"/>
    <w:rsid w:val="00E10782"/>
    <w:rsid w:val="00E14D14"/>
    <w:rsid w:val="00E16E00"/>
    <w:rsid w:val="00E22BCB"/>
    <w:rsid w:val="00E2367E"/>
    <w:rsid w:val="00E2448B"/>
    <w:rsid w:val="00E263C5"/>
    <w:rsid w:val="00E30619"/>
    <w:rsid w:val="00E317B5"/>
    <w:rsid w:val="00E337AF"/>
    <w:rsid w:val="00E34F74"/>
    <w:rsid w:val="00E3636A"/>
    <w:rsid w:val="00E37200"/>
    <w:rsid w:val="00E40723"/>
    <w:rsid w:val="00E40E97"/>
    <w:rsid w:val="00E528C0"/>
    <w:rsid w:val="00E52F3B"/>
    <w:rsid w:val="00E54F60"/>
    <w:rsid w:val="00E55256"/>
    <w:rsid w:val="00E555E9"/>
    <w:rsid w:val="00E56DD7"/>
    <w:rsid w:val="00E610B3"/>
    <w:rsid w:val="00E625F2"/>
    <w:rsid w:val="00E71590"/>
    <w:rsid w:val="00E73596"/>
    <w:rsid w:val="00E76580"/>
    <w:rsid w:val="00E77594"/>
    <w:rsid w:val="00E83B2B"/>
    <w:rsid w:val="00E918D3"/>
    <w:rsid w:val="00E95498"/>
    <w:rsid w:val="00EA0EE3"/>
    <w:rsid w:val="00EA727E"/>
    <w:rsid w:val="00EB0898"/>
    <w:rsid w:val="00EB1360"/>
    <w:rsid w:val="00EB446A"/>
    <w:rsid w:val="00EC01BB"/>
    <w:rsid w:val="00EC49A3"/>
    <w:rsid w:val="00EC6316"/>
    <w:rsid w:val="00EC6A70"/>
    <w:rsid w:val="00EC7EA6"/>
    <w:rsid w:val="00ED0FB3"/>
    <w:rsid w:val="00ED37C0"/>
    <w:rsid w:val="00ED4A21"/>
    <w:rsid w:val="00ED583F"/>
    <w:rsid w:val="00ED7160"/>
    <w:rsid w:val="00ED730E"/>
    <w:rsid w:val="00EE617C"/>
    <w:rsid w:val="00EE709D"/>
    <w:rsid w:val="00EF15BE"/>
    <w:rsid w:val="00EF27AF"/>
    <w:rsid w:val="00EF4EB7"/>
    <w:rsid w:val="00EF5CBD"/>
    <w:rsid w:val="00EF673B"/>
    <w:rsid w:val="00EF7CEF"/>
    <w:rsid w:val="00F018DE"/>
    <w:rsid w:val="00F0504C"/>
    <w:rsid w:val="00F17A6E"/>
    <w:rsid w:val="00F231E8"/>
    <w:rsid w:val="00F24A5C"/>
    <w:rsid w:val="00F31341"/>
    <w:rsid w:val="00F31ECE"/>
    <w:rsid w:val="00F3231A"/>
    <w:rsid w:val="00F3572E"/>
    <w:rsid w:val="00F40BEB"/>
    <w:rsid w:val="00F41ADE"/>
    <w:rsid w:val="00F41F82"/>
    <w:rsid w:val="00F42C3A"/>
    <w:rsid w:val="00F43983"/>
    <w:rsid w:val="00F44619"/>
    <w:rsid w:val="00F52A75"/>
    <w:rsid w:val="00F53150"/>
    <w:rsid w:val="00F61426"/>
    <w:rsid w:val="00F64953"/>
    <w:rsid w:val="00F67F98"/>
    <w:rsid w:val="00F70F1E"/>
    <w:rsid w:val="00F7340D"/>
    <w:rsid w:val="00F737FF"/>
    <w:rsid w:val="00F840D6"/>
    <w:rsid w:val="00F85582"/>
    <w:rsid w:val="00F857BB"/>
    <w:rsid w:val="00F86DBB"/>
    <w:rsid w:val="00F925FD"/>
    <w:rsid w:val="00F96B6F"/>
    <w:rsid w:val="00F9726E"/>
    <w:rsid w:val="00FA18B7"/>
    <w:rsid w:val="00FA34DA"/>
    <w:rsid w:val="00FB27F9"/>
    <w:rsid w:val="00FB658F"/>
    <w:rsid w:val="00FC0E5E"/>
    <w:rsid w:val="00FC4969"/>
    <w:rsid w:val="00FD747E"/>
    <w:rsid w:val="00FE2DC8"/>
    <w:rsid w:val="00FE5E18"/>
    <w:rsid w:val="00FE6A1B"/>
    <w:rsid w:val="00FE7125"/>
    <w:rsid w:val="00FE79BF"/>
    <w:rsid w:val="00FF2C64"/>
    <w:rsid w:val="00FF370B"/>
    <w:rsid w:val="03C03F4A"/>
    <w:rsid w:val="04BA2023"/>
    <w:rsid w:val="063858F6"/>
    <w:rsid w:val="082D0B7B"/>
    <w:rsid w:val="0C357721"/>
    <w:rsid w:val="0CD2329D"/>
    <w:rsid w:val="101F18D4"/>
    <w:rsid w:val="24661428"/>
    <w:rsid w:val="24CE594B"/>
    <w:rsid w:val="264D464E"/>
    <w:rsid w:val="2A663F30"/>
    <w:rsid w:val="2CDF621C"/>
    <w:rsid w:val="2DF950BB"/>
    <w:rsid w:val="3049057C"/>
    <w:rsid w:val="33512D21"/>
    <w:rsid w:val="34126ED7"/>
    <w:rsid w:val="34E3580C"/>
    <w:rsid w:val="3A7D0F55"/>
    <w:rsid w:val="3D6467AB"/>
    <w:rsid w:val="3FEB5E51"/>
    <w:rsid w:val="464A3F40"/>
    <w:rsid w:val="46A04AA9"/>
    <w:rsid w:val="49D97612"/>
    <w:rsid w:val="4CE71E1A"/>
    <w:rsid w:val="4DD94895"/>
    <w:rsid w:val="4E353A96"/>
    <w:rsid w:val="4EFC5641"/>
    <w:rsid w:val="507964AF"/>
    <w:rsid w:val="519531C9"/>
    <w:rsid w:val="5A0626FA"/>
    <w:rsid w:val="5B7C6233"/>
    <w:rsid w:val="5DA91408"/>
    <w:rsid w:val="5DAF73C1"/>
    <w:rsid w:val="5DB629AD"/>
    <w:rsid w:val="5EFD23AE"/>
    <w:rsid w:val="6BC71665"/>
    <w:rsid w:val="70C25205"/>
    <w:rsid w:val="73CB7BAC"/>
    <w:rsid w:val="793A002E"/>
    <w:rsid w:val="79752E15"/>
    <w:rsid w:val="79E87A8A"/>
    <w:rsid w:val="7BA75723"/>
    <w:rsid w:val="7CF76237"/>
    <w:rsid w:val="7EC167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name="Normal Indent"/>
    <w:lsdException w:qFormat="1" w:uiPriority="99" w:name="footnote text"/>
    <w:lsdException w:qFormat="1"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iPriority="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name="Salutation"/>
    <w:lsdException w:qFormat="1" w:unhideWhenUsed="0" w:uiPriority="99" w:semiHidden="0" w:name="Date"/>
    <w:lsdException w:uiPriority="99" w:name="Body Text First Indent"/>
    <w:lsdException w:uiPriority="99" w:name="Body Text First Indent 2"/>
    <w:lsdException w:qFormat="1"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qFormat="1"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宋体"/>
      <w:sz w:val="21"/>
      <w:szCs w:val="21"/>
      <w:lang w:val="en-US" w:eastAsia="zh-CN" w:bidi="ar-SA"/>
    </w:rPr>
  </w:style>
  <w:style w:type="paragraph" w:styleId="2">
    <w:name w:val="heading 1"/>
    <w:basedOn w:val="1"/>
    <w:next w:val="1"/>
    <w:link w:val="45"/>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styleId="3">
    <w:name w:val="heading 2"/>
    <w:basedOn w:val="1"/>
    <w:next w:val="1"/>
    <w:link w:val="46"/>
    <w:qFormat/>
    <w:uiPriority w:val="0"/>
    <w:pPr>
      <w:keepNext/>
      <w:keepLines/>
      <w:widowControl w:val="0"/>
      <w:spacing w:before="60" w:after="60"/>
      <w:jc w:val="both"/>
      <w:outlineLvl w:val="1"/>
    </w:pPr>
    <w:rPr>
      <w:rFonts w:ascii="Arial" w:hAnsi="Arial" w:cs="Times New Roman"/>
      <w:b/>
      <w:bCs/>
      <w:kern w:val="2"/>
    </w:rPr>
  </w:style>
  <w:style w:type="paragraph" w:styleId="4">
    <w:name w:val="heading 3"/>
    <w:basedOn w:val="1"/>
    <w:next w:val="1"/>
    <w:link w:val="47"/>
    <w:qFormat/>
    <w:uiPriority w:val="9"/>
    <w:pPr>
      <w:keepNext/>
      <w:keepLines/>
      <w:widowControl w:val="0"/>
      <w:spacing w:before="60" w:after="60"/>
      <w:jc w:val="both"/>
      <w:outlineLvl w:val="2"/>
    </w:pPr>
    <w:rPr>
      <w:rFonts w:ascii="Calibri" w:hAnsi="Calibri" w:cs="Times New Roman"/>
      <w:b/>
      <w:bCs/>
      <w:kern w:val="2"/>
      <w:szCs w:val="32"/>
    </w:rPr>
  </w:style>
  <w:style w:type="paragraph" w:styleId="5">
    <w:name w:val="heading 4"/>
    <w:basedOn w:val="1"/>
    <w:next w:val="1"/>
    <w:link w:val="48"/>
    <w:qFormat/>
    <w:uiPriority w:val="9"/>
    <w:pPr>
      <w:keepNext/>
      <w:keepLines/>
      <w:widowControl w:val="0"/>
      <w:spacing w:before="60" w:after="60"/>
      <w:jc w:val="both"/>
      <w:outlineLvl w:val="3"/>
    </w:pPr>
    <w:rPr>
      <w:rFonts w:ascii="Cambria" w:hAnsi="Cambria" w:cs="Times New Roman"/>
      <w:b/>
      <w:bCs/>
      <w:kern w:val="2"/>
      <w:szCs w:val="28"/>
    </w:rPr>
  </w:style>
  <w:style w:type="paragraph" w:styleId="6">
    <w:name w:val="heading 5"/>
    <w:basedOn w:val="1"/>
    <w:next w:val="1"/>
    <w:link w:val="49"/>
    <w:qFormat/>
    <w:uiPriority w:val="9"/>
    <w:pPr>
      <w:keepNext/>
      <w:keepLines/>
      <w:widowControl w:val="0"/>
      <w:spacing w:before="60" w:after="60"/>
      <w:jc w:val="both"/>
      <w:outlineLvl w:val="4"/>
    </w:pPr>
    <w:rPr>
      <w:rFonts w:ascii="Calibri" w:hAnsi="Calibri" w:cs="Times New Roman"/>
      <w:b/>
      <w:bCs/>
      <w:kern w:val="2"/>
      <w:szCs w:val="28"/>
    </w:rPr>
  </w:style>
  <w:style w:type="paragraph" w:styleId="7">
    <w:name w:val="heading 6"/>
    <w:basedOn w:val="1"/>
    <w:next w:val="1"/>
    <w:link w:val="186"/>
    <w:unhideWhenUsed/>
    <w:qFormat/>
    <w:uiPriority w:val="9"/>
    <w:pPr>
      <w:keepNext/>
      <w:keepLines/>
      <w:spacing w:before="60" w:after="60"/>
      <w:outlineLvl w:val="5"/>
    </w:pPr>
    <w:rPr>
      <w:rFonts w:asciiTheme="majorHAnsi" w:hAnsiTheme="majorHAnsi" w:cstheme="majorBidi"/>
      <w:b/>
    </w:rPr>
  </w:style>
  <w:style w:type="paragraph" w:styleId="8">
    <w:name w:val="heading 7"/>
    <w:basedOn w:val="1"/>
    <w:next w:val="1"/>
    <w:link w:val="192"/>
    <w:unhideWhenUsed/>
    <w:qFormat/>
    <w:uiPriority w:val="9"/>
    <w:pPr>
      <w:keepNext/>
      <w:keepLines/>
      <w:spacing w:before="240" w:after="64" w:line="320" w:lineRule="auto"/>
      <w:outlineLvl w:val="6"/>
    </w:pPr>
    <w:rPr>
      <w:b/>
      <w:sz w:val="24"/>
    </w:rPr>
  </w:style>
  <w:style w:type="character" w:default="1" w:styleId="40">
    <w:name w:val="Default Paragraph Font"/>
    <w:unhideWhenUsed/>
    <w:qFormat/>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1260"/>
    </w:pPr>
    <w:rPr>
      <w:rFonts w:asciiTheme="minorHAnsi" w:hAnsiTheme="minorHAnsi" w:cstheme="minorHAnsi"/>
      <w:sz w:val="18"/>
      <w:szCs w:val="18"/>
    </w:rPr>
  </w:style>
  <w:style w:type="paragraph" w:styleId="10">
    <w:name w:val="Note Heading"/>
    <w:basedOn w:val="1"/>
    <w:next w:val="1"/>
    <w:link w:val="55"/>
    <w:semiHidden/>
    <w:unhideWhenUsed/>
    <w:qFormat/>
    <w:uiPriority w:val="99"/>
    <w:pPr>
      <w:widowControl w:val="0"/>
      <w:jc w:val="center"/>
    </w:pPr>
    <w:rPr>
      <w:rFonts w:cs="Times New Roman"/>
      <w:kern w:val="2"/>
    </w:rPr>
  </w:style>
  <w:style w:type="paragraph" w:styleId="11">
    <w:name w:val="Normal Indent"/>
    <w:basedOn w:val="1"/>
    <w:semiHidden/>
    <w:unhideWhenUsed/>
    <w:qFormat/>
    <w:uiPriority w:val="0"/>
    <w:pPr>
      <w:widowControl w:val="0"/>
      <w:ind w:firstLine="420" w:firstLineChars="200"/>
      <w:jc w:val="both"/>
    </w:pPr>
    <w:rPr>
      <w:rFonts w:cs="Times New Roman"/>
      <w:kern w:val="2"/>
    </w:rPr>
  </w:style>
  <w:style w:type="paragraph" w:styleId="12">
    <w:name w:val="Document Map"/>
    <w:basedOn w:val="1"/>
    <w:link w:val="184"/>
    <w:semiHidden/>
    <w:unhideWhenUsed/>
    <w:qFormat/>
    <w:uiPriority w:val="99"/>
    <w:pPr>
      <w:widowControl w:val="0"/>
      <w:jc w:val="both"/>
    </w:pPr>
    <w:rPr>
      <w:rFonts w:hAnsi="Calibri" w:cs="Times New Roman"/>
      <w:bCs/>
      <w:kern w:val="2"/>
      <w:sz w:val="18"/>
      <w:szCs w:val="18"/>
    </w:rPr>
  </w:style>
  <w:style w:type="paragraph" w:styleId="13">
    <w:name w:val="toa heading"/>
    <w:basedOn w:val="1"/>
    <w:next w:val="1"/>
    <w:semiHidden/>
    <w:qFormat/>
    <w:uiPriority w:val="0"/>
    <w:pPr>
      <w:widowControl w:val="0"/>
      <w:spacing w:before="120"/>
      <w:jc w:val="both"/>
    </w:pPr>
    <w:rPr>
      <w:rFonts w:ascii="Arial" w:hAnsi="Arial" w:cs="Times New Roman"/>
      <w:b/>
      <w:kern w:val="2"/>
    </w:rPr>
  </w:style>
  <w:style w:type="paragraph" w:styleId="14">
    <w:name w:val="annotation text"/>
    <w:basedOn w:val="1"/>
    <w:link w:val="170"/>
    <w:semiHidden/>
    <w:unhideWhenUsed/>
    <w:qFormat/>
    <w:uiPriority w:val="0"/>
  </w:style>
  <w:style w:type="paragraph" w:styleId="15">
    <w:name w:val="Salutation"/>
    <w:basedOn w:val="1"/>
    <w:next w:val="1"/>
    <w:link w:val="50"/>
    <w:semiHidden/>
    <w:unhideWhenUsed/>
    <w:qFormat/>
    <w:uiPriority w:val="99"/>
    <w:pPr>
      <w:widowControl w:val="0"/>
      <w:jc w:val="both"/>
    </w:pPr>
    <w:rPr>
      <w:rFonts w:cs="Times New Roman"/>
      <w:kern w:val="2"/>
    </w:rPr>
  </w:style>
  <w:style w:type="paragraph" w:styleId="16">
    <w:name w:val="List Bullet 3"/>
    <w:basedOn w:val="1"/>
    <w:semiHidden/>
    <w:unhideWhenUsed/>
    <w:qFormat/>
    <w:uiPriority w:val="0"/>
    <w:pPr>
      <w:numPr>
        <w:ilvl w:val="0"/>
        <w:numId w:val="1"/>
      </w:numPr>
    </w:pPr>
  </w:style>
  <w:style w:type="paragraph" w:styleId="17">
    <w:name w:val="Body Text"/>
    <w:basedOn w:val="1"/>
    <w:link w:val="177"/>
    <w:qFormat/>
    <w:uiPriority w:val="99"/>
    <w:pPr>
      <w:widowControl w:val="0"/>
      <w:spacing w:after="120"/>
      <w:jc w:val="both"/>
    </w:pPr>
    <w:rPr>
      <w:rFonts w:cs="Times New Roman"/>
      <w:bCs/>
      <w:kern w:val="2"/>
    </w:rPr>
  </w:style>
  <w:style w:type="paragraph" w:styleId="18">
    <w:name w:val="toc 5"/>
    <w:basedOn w:val="1"/>
    <w:next w:val="1"/>
    <w:unhideWhenUsed/>
    <w:qFormat/>
    <w:uiPriority w:val="39"/>
    <w:pPr>
      <w:ind w:left="840"/>
    </w:pPr>
    <w:rPr>
      <w:rFonts w:asciiTheme="minorHAnsi" w:hAnsiTheme="minorHAnsi" w:cstheme="minorHAnsi"/>
      <w:sz w:val="18"/>
      <w:szCs w:val="18"/>
    </w:rPr>
  </w:style>
  <w:style w:type="paragraph" w:styleId="19">
    <w:name w:val="toc 3"/>
    <w:basedOn w:val="1"/>
    <w:next w:val="1"/>
    <w:unhideWhenUsed/>
    <w:qFormat/>
    <w:uiPriority w:val="39"/>
    <w:pPr>
      <w:ind w:left="420"/>
    </w:pPr>
    <w:rPr>
      <w:rFonts w:asciiTheme="minorHAnsi" w:hAnsiTheme="minorHAnsi" w:cstheme="minorHAnsi"/>
      <w:i/>
      <w:iCs/>
      <w:sz w:val="20"/>
      <w:szCs w:val="20"/>
    </w:rPr>
  </w:style>
  <w:style w:type="paragraph" w:styleId="20">
    <w:name w:val="Plain Text"/>
    <w:basedOn w:val="1"/>
    <w:link w:val="54"/>
    <w:semiHidden/>
    <w:unhideWhenUsed/>
    <w:qFormat/>
    <w:uiPriority w:val="0"/>
    <w:pPr>
      <w:widowControl w:val="0"/>
      <w:jc w:val="both"/>
    </w:pPr>
    <w:rPr>
      <w:rFonts w:hAnsi="Courier New" w:cs="Times New Roman"/>
      <w:kern w:val="2"/>
      <w:szCs w:val="20"/>
    </w:rPr>
  </w:style>
  <w:style w:type="paragraph" w:styleId="21">
    <w:name w:val="toc 8"/>
    <w:basedOn w:val="1"/>
    <w:next w:val="1"/>
    <w:unhideWhenUsed/>
    <w:qFormat/>
    <w:uiPriority w:val="39"/>
    <w:pPr>
      <w:ind w:left="1470"/>
    </w:pPr>
    <w:rPr>
      <w:rFonts w:asciiTheme="minorHAnsi" w:hAnsiTheme="minorHAnsi" w:cstheme="minorHAnsi"/>
      <w:sz w:val="18"/>
      <w:szCs w:val="18"/>
    </w:rPr>
  </w:style>
  <w:style w:type="paragraph" w:styleId="22">
    <w:name w:val="Date"/>
    <w:basedOn w:val="1"/>
    <w:next w:val="1"/>
    <w:link w:val="179"/>
    <w:qFormat/>
    <w:uiPriority w:val="99"/>
    <w:pPr>
      <w:widowControl w:val="0"/>
      <w:ind w:left="100" w:leftChars="2500"/>
      <w:jc w:val="both"/>
    </w:pPr>
    <w:rPr>
      <w:rFonts w:cs="Times New Roman"/>
      <w:bCs/>
      <w:kern w:val="2"/>
    </w:rPr>
  </w:style>
  <w:style w:type="paragraph" w:styleId="23">
    <w:name w:val="endnote text"/>
    <w:basedOn w:val="1"/>
    <w:link w:val="187"/>
    <w:semiHidden/>
    <w:unhideWhenUsed/>
    <w:qFormat/>
    <w:uiPriority w:val="99"/>
    <w:pPr>
      <w:snapToGrid w:val="0"/>
    </w:pPr>
    <w:rPr>
      <w:bCs/>
    </w:rPr>
  </w:style>
  <w:style w:type="paragraph" w:styleId="24">
    <w:name w:val="Balloon Text"/>
    <w:basedOn w:val="1"/>
    <w:link w:val="172"/>
    <w:semiHidden/>
    <w:unhideWhenUsed/>
    <w:qFormat/>
    <w:uiPriority w:val="99"/>
    <w:rPr>
      <w:sz w:val="18"/>
      <w:szCs w:val="18"/>
    </w:rPr>
  </w:style>
  <w:style w:type="paragraph" w:styleId="25">
    <w:name w:val="footer"/>
    <w:basedOn w:val="1"/>
    <w:link w:val="53"/>
    <w:unhideWhenUsed/>
    <w:qFormat/>
    <w:uiPriority w:val="99"/>
    <w:pPr>
      <w:widowControl w:val="0"/>
      <w:tabs>
        <w:tab w:val="center" w:pos="4153"/>
        <w:tab w:val="right" w:pos="8306"/>
      </w:tabs>
      <w:snapToGrid w:val="0"/>
    </w:pPr>
    <w:rPr>
      <w:rFonts w:ascii="Calibri" w:hAnsi="Calibri" w:cs="Times New Roman"/>
      <w:kern w:val="2"/>
      <w:sz w:val="18"/>
      <w:szCs w:val="18"/>
    </w:rPr>
  </w:style>
  <w:style w:type="paragraph" w:styleId="26">
    <w:name w:val="header"/>
    <w:basedOn w:val="1"/>
    <w:link w:val="52"/>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styleId="27">
    <w:name w:val="toc 1"/>
    <w:basedOn w:val="1"/>
    <w:next w:val="1"/>
    <w:autoRedefine/>
    <w:semiHidden/>
    <w:unhideWhenUsed/>
    <w:qFormat/>
    <w:uiPriority w:val="39"/>
    <w:pPr>
      <w:spacing w:line="360" w:lineRule="auto"/>
      <w:ind w:left="200" w:hanging="200" w:hangingChars="200"/>
    </w:pPr>
    <w:rPr>
      <w:rFonts w:cstheme="minorHAnsi"/>
      <w:b/>
      <w:caps/>
      <w:szCs w:val="20"/>
    </w:rPr>
  </w:style>
  <w:style w:type="paragraph" w:styleId="28">
    <w:name w:val="toc 4"/>
    <w:basedOn w:val="1"/>
    <w:next w:val="1"/>
    <w:unhideWhenUsed/>
    <w:qFormat/>
    <w:uiPriority w:val="39"/>
    <w:pPr>
      <w:ind w:left="630"/>
    </w:pPr>
    <w:rPr>
      <w:rFonts w:asciiTheme="minorHAnsi" w:hAnsiTheme="minorHAnsi" w:cstheme="minorHAnsi"/>
      <w:sz w:val="18"/>
      <w:szCs w:val="18"/>
    </w:rPr>
  </w:style>
  <w:style w:type="paragraph" w:styleId="29">
    <w:name w:val="footnote text"/>
    <w:basedOn w:val="1"/>
    <w:link w:val="218"/>
    <w:semiHidden/>
    <w:unhideWhenUsed/>
    <w:qFormat/>
    <w:uiPriority w:val="99"/>
    <w:pPr>
      <w:widowControl w:val="0"/>
      <w:snapToGrid w:val="0"/>
    </w:pPr>
    <w:rPr>
      <w:rFonts w:ascii="Calibri" w:hAnsi="Calibri" w:cs="Times New Roman"/>
      <w:kern w:val="2"/>
      <w:sz w:val="18"/>
      <w:szCs w:val="18"/>
    </w:rPr>
  </w:style>
  <w:style w:type="paragraph" w:styleId="30">
    <w:name w:val="toc 6"/>
    <w:basedOn w:val="1"/>
    <w:next w:val="1"/>
    <w:unhideWhenUsed/>
    <w:qFormat/>
    <w:uiPriority w:val="39"/>
    <w:pPr>
      <w:ind w:left="1050"/>
    </w:pPr>
    <w:rPr>
      <w:rFonts w:asciiTheme="minorHAnsi" w:hAnsiTheme="minorHAnsi" w:cstheme="minorHAnsi"/>
      <w:sz w:val="18"/>
      <w:szCs w:val="18"/>
    </w:rPr>
  </w:style>
  <w:style w:type="paragraph" w:styleId="31">
    <w:name w:val="toc 2"/>
    <w:basedOn w:val="1"/>
    <w:next w:val="1"/>
    <w:qFormat/>
    <w:uiPriority w:val="39"/>
    <w:pPr>
      <w:ind w:left="210"/>
    </w:pPr>
    <w:rPr>
      <w:rFonts w:asciiTheme="minorHAnsi" w:hAnsiTheme="minorHAnsi" w:cstheme="minorHAnsi"/>
      <w:smallCaps/>
      <w:sz w:val="20"/>
      <w:szCs w:val="20"/>
    </w:rPr>
  </w:style>
  <w:style w:type="paragraph" w:styleId="32">
    <w:name w:val="toc 9"/>
    <w:basedOn w:val="1"/>
    <w:next w:val="1"/>
    <w:unhideWhenUsed/>
    <w:qFormat/>
    <w:uiPriority w:val="39"/>
    <w:pPr>
      <w:ind w:left="1680"/>
    </w:pPr>
    <w:rPr>
      <w:rFonts w:asciiTheme="minorHAnsi" w:hAnsiTheme="minorHAnsi" w:cstheme="minorHAnsi"/>
      <w:sz w:val="18"/>
      <w:szCs w:val="18"/>
    </w:rPr>
  </w:style>
  <w:style w:type="paragraph" w:styleId="33">
    <w:name w:val="Normal (Web)"/>
    <w:basedOn w:val="1"/>
    <w:link w:val="71"/>
    <w:semiHidden/>
    <w:unhideWhenUsed/>
    <w:qFormat/>
    <w:uiPriority w:val="99"/>
    <w:pPr>
      <w:spacing w:before="100" w:beforeAutospacing="1" w:after="100" w:afterAutospacing="1"/>
    </w:pPr>
    <w:rPr>
      <w:sz w:val="24"/>
    </w:rPr>
  </w:style>
  <w:style w:type="paragraph" w:styleId="34">
    <w:name w:val="index 1"/>
    <w:basedOn w:val="1"/>
    <w:next w:val="1"/>
    <w:semiHidden/>
    <w:qFormat/>
    <w:uiPriority w:val="0"/>
    <w:pPr>
      <w:ind w:firstLine="420" w:firstLineChars="200"/>
    </w:pPr>
    <w:rPr>
      <w:rFonts w:cs="Times New Roman"/>
      <w:bCs/>
      <w:color w:val="000000"/>
    </w:rPr>
  </w:style>
  <w:style w:type="paragraph" w:styleId="35">
    <w:name w:val="Title"/>
    <w:basedOn w:val="1"/>
    <w:next w:val="1"/>
    <w:link w:val="185"/>
    <w:qFormat/>
    <w:uiPriority w:val="10"/>
    <w:pPr>
      <w:widowControl w:val="0"/>
      <w:spacing w:before="240" w:after="60"/>
      <w:jc w:val="center"/>
      <w:outlineLvl w:val="0"/>
    </w:pPr>
    <w:rPr>
      <w:rFonts w:asciiTheme="majorHAnsi" w:hAnsiTheme="majorHAnsi" w:cstheme="majorBidi"/>
      <w:b/>
      <w:kern w:val="2"/>
      <w:sz w:val="32"/>
      <w:szCs w:val="32"/>
    </w:rPr>
  </w:style>
  <w:style w:type="paragraph" w:styleId="36">
    <w:name w:val="annotation subject"/>
    <w:basedOn w:val="14"/>
    <w:next w:val="14"/>
    <w:link w:val="171"/>
    <w:semiHidden/>
    <w:unhideWhenUsed/>
    <w:qFormat/>
    <w:uiPriority w:val="99"/>
    <w:rPr>
      <w:b/>
      <w:bCs/>
    </w:r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9">
    <w:name w:val="Table Theme"/>
    <w:basedOn w:val="37"/>
    <w:autoRedefine/>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endnote reference"/>
    <w:basedOn w:val="40"/>
    <w:semiHidden/>
    <w:unhideWhenUsed/>
    <w:qFormat/>
    <w:uiPriority w:val="99"/>
    <w:rPr>
      <w:rFonts w:ascii="Times New Roman" w:hAnsi="Times New Roman" w:eastAsia="宋体" w:cs="宋体"/>
      <w:bCs/>
      <w:sz w:val="21"/>
      <w:szCs w:val="21"/>
      <w:vertAlign w:val="superscript"/>
      <w:lang w:val="en-US" w:eastAsia="zh-CN" w:bidi="ar-SA"/>
    </w:rPr>
  </w:style>
  <w:style w:type="character" w:styleId="42">
    <w:name w:val="Hyperlink"/>
    <w:basedOn w:val="40"/>
    <w:qFormat/>
    <w:uiPriority w:val="99"/>
    <w:rPr>
      <w:rFonts w:ascii="Times New Roman" w:hAnsi="Times New Roman" w:eastAsia="宋体" w:cs="Times New Roman"/>
      <w:bCs/>
      <w:color w:val="0000FF"/>
      <w:sz w:val="21"/>
      <w:szCs w:val="21"/>
      <w:u w:val="single"/>
      <w:lang w:val="en-US" w:eastAsia="zh-CN" w:bidi="ar-SA"/>
    </w:rPr>
  </w:style>
  <w:style w:type="character" w:styleId="43">
    <w:name w:val="annotation reference"/>
    <w:basedOn w:val="40"/>
    <w:semiHidden/>
    <w:unhideWhenUsed/>
    <w:qFormat/>
    <w:uiPriority w:val="99"/>
    <w:rPr>
      <w:sz w:val="21"/>
      <w:szCs w:val="21"/>
    </w:rPr>
  </w:style>
  <w:style w:type="character" w:styleId="44">
    <w:name w:val="footnote reference"/>
    <w:semiHidden/>
    <w:unhideWhenUsed/>
    <w:qFormat/>
    <w:uiPriority w:val="99"/>
    <w:rPr>
      <w:rFonts w:ascii="Times New Roman" w:hAnsi="Times New Roman" w:eastAsia="宋体" w:cs="宋体"/>
      <w:bCs/>
      <w:sz w:val="21"/>
      <w:szCs w:val="21"/>
      <w:vertAlign w:val="superscript"/>
      <w:lang w:val="en-US" w:eastAsia="zh-CN" w:bidi="ar-SA"/>
    </w:rPr>
  </w:style>
  <w:style w:type="character" w:customStyle="1" w:styleId="45">
    <w:name w:val="标题 1 字符"/>
    <w:basedOn w:val="40"/>
    <w:link w:val="2"/>
    <w:qFormat/>
    <w:uiPriority w:val="99"/>
    <w:rPr>
      <w:rFonts w:eastAsia="黑体"/>
      <w:b/>
      <w:bCs/>
      <w:kern w:val="44"/>
      <w:sz w:val="28"/>
      <w:szCs w:val="44"/>
    </w:rPr>
  </w:style>
  <w:style w:type="character" w:customStyle="1" w:styleId="46">
    <w:name w:val="标题 2 字符"/>
    <w:basedOn w:val="40"/>
    <w:link w:val="3"/>
    <w:qFormat/>
    <w:uiPriority w:val="0"/>
    <w:rPr>
      <w:rFonts w:ascii="Arial" w:hAnsi="Arial" w:cs="Times New Roman"/>
      <w:b/>
      <w:bCs/>
      <w:kern w:val="2"/>
    </w:rPr>
  </w:style>
  <w:style w:type="character" w:customStyle="1" w:styleId="47">
    <w:name w:val="标题 3 字符"/>
    <w:basedOn w:val="40"/>
    <w:link w:val="4"/>
    <w:qFormat/>
    <w:uiPriority w:val="9"/>
    <w:rPr>
      <w:b/>
      <w:bCs/>
      <w:kern w:val="2"/>
      <w:sz w:val="21"/>
      <w:szCs w:val="32"/>
    </w:rPr>
  </w:style>
  <w:style w:type="character" w:customStyle="1" w:styleId="48">
    <w:name w:val="标题 4 字符"/>
    <w:basedOn w:val="40"/>
    <w:link w:val="5"/>
    <w:qFormat/>
    <w:uiPriority w:val="9"/>
    <w:rPr>
      <w:rFonts w:ascii="Cambria" w:hAnsi="Cambria"/>
      <w:b/>
      <w:bCs/>
      <w:kern w:val="2"/>
      <w:sz w:val="21"/>
      <w:szCs w:val="28"/>
    </w:rPr>
  </w:style>
  <w:style w:type="character" w:customStyle="1" w:styleId="49">
    <w:name w:val="标题 5 字符"/>
    <w:basedOn w:val="40"/>
    <w:link w:val="6"/>
    <w:qFormat/>
    <w:uiPriority w:val="9"/>
    <w:rPr>
      <w:b/>
      <w:bCs/>
      <w:kern w:val="2"/>
      <w:sz w:val="21"/>
      <w:szCs w:val="28"/>
    </w:rPr>
  </w:style>
  <w:style w:type="character" w:customStyle="1" w:styleId="50">
    <w:name w:val="称呼 字符"/>
    <w:basedOn w:val="40"/>
    <w:link w:val="15"/>
    <w:qFormat/>
    <w:uiPriority w:val="99"/>
    <w:rPr>
      <w:rFonts w:ascii="Times New Roman" w:hAnsi="Times New Roman" w:eastAsia="宋体" w:cs="Times New Roman"/>
      <w:szCs w:val="21"/>
    </w:rPr>
  </w:style>
  <w:style w:type="paragraph" w:styleId="51">
    <w:name w:val="List Paragraph"/>
    <w:basedOn w:val="1"/>
    <w:qFormat/>
    <w:uiPriority w:val="34"/>
    <w:pPr>
      <w:widowControl w:val="0"/>
      <w:ind w:firstLine="420" w:firstLineChars="200"/>
      <w:jc w:val="both"/>
    </w:pPr>
    <w:rPr>
      <w:rFonts w:ascii="Calibri" w:hAnsi="Calibri" w:cs="Times New Roman"/>
      <w:kern w:val="2"/>
      <w:szCs w:val="22"/>
    </w:rPr>
  </w:style>
  <w:style w:type="character" w:customStyle="1" w:styleId="52">
    <w:name w:val="页眉 字符"/>
    <w:basedOn w:val="40"/>
    <w:link w:val="26"/>
    <w:qFormat/>
    <w:uiPriority w:val="99"/>
    <w:rPr>
      <w:rFonts w:ascii="Calibri" w:hAnsi="Calibri" w:eastAsia="宋体" w:cs="Times New Roman"/>
      <w:sz w:val="18"/>
      <w:szCs w:val="18"/>
    </w:rPr>
  </w:style>
  <w:style w:type="character" w:customStyle="1" w:styleId="53">
    <w:name w:val="页脚 字符"/>
    <w:basedOn w:val="40"/>
    <w:link w:val="25"/>
    <w:qFormat/>
    <w:uiPriority w:val="99"/>
    <w:rPr>
      <w:rFonts w:ascii="Calibri" w:hAnsi="Calibri" w:eastAsia="宋体" w:cs="Times New Roman"/>
      <w:sz w:val="18"/>
      <w:szCs w:val="18"/>
    </w:rPr>
  </w:style>
  <w:style w:type="character" w:customStyle="1" w:styleId="54">
    <w:name w:val="纯文本 字符"/>
    <w:basedOn w:val="40"/>
    <w:link w:val="20"/>
    <w:qFormat/>
    <w:uiPriority w:val="0"/>
    <w:rPr>
      <w:rFonts w:ascii="宋体" w:hAnsi="Courier New" w:eastAsia="宋体" w:cs="Times New Roman"/>
      <w:szCs w:val="20"/>
    </w:rPr>
  </w:style>
  <w:style w:type="character" w:customStyle="1" w:styleId="55">
    <w:name w:val="注释标题 字符"/>
    <w:basedOn w:val="40"/>
    <w:link w:val="10"/>
    <w:qFormat/>
    <w:uiPriority w:val="99"/>
    <w:rPr>
      <w:rFonts w:ascii="Times New Roman" w:hAnsi="Times New Roman" w:eastAsia="宋体" w:cs="Times New Roman"/>
      <w:szCs w:val="21"/>
    </w:rPr>
  </w:style>
  <w:style w:type="paragraph" w:styleId="56">
    <w:name w:val="No Spacing"/>
    <w:qFormat/>
    <w:uiPriority w:val="1"/>
    <w:pPr>
      <w:widowControl w:val="0"/>
      <w:jc w:val="both"/>
    </w:pPr>
    <w:rPr>
      <w:rFonts w:ascii="Times New Roman" w:hAnsi="Times New Roman" w:eastAsia="宋体" w:cs="宋体"/>
      <w:kern w:val="2"/>
      <w:sz w:val="21"/>
      <w:szCs w:val="22"/>
      <w:lang w:val="en-US" w:eastAsia="zh-CN" w:bidi="ar-SA"/>
    </w:rPr>
  </w:style>
  <w:style w:type="paragraph" w:customStyle="1" w:styleId="57">
    <w:name w:val="1"/>
    <w:basedOn w:val="1"/>
    <w:next w:val="51"/>
    <w:qFormat/>
    <w:uiPriority w:val="34"/>
    <w:pPr>
      <w:widowControl w:val="0"/>
      <w:ind w:firstLine="420" w:firstLineChars="200"/>
      <w:jc w:val="both"/>
    </w:pPr>
    <w:rPr>
      <w:rFonts w:ascii="Calibri" w:hAnsi="Calibri" w:cs="Times New Roman"/>
      <w:kern w:val="2"/>
      <w:szCs w:val="22"/>
    </w:rPr>
  </w:style>
  <w:style w:type="paragraph" w:customStyle="1" w:styleId="58">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table" w:customStyle="1" w:styleId="59">
    <w:name w:val="g2"/>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0">
    <w:name w:val="g4"/>
    <w:basedOn w:val="37"/>
    <w:autoRedefine/>
    <w:unhideWhenUsed/>
    <w:qFormat/>
    <w:uiPriority w:val="0"/>
    <w:pPr>
      <w:widowControl w:val="0"/>
      <w:jc w:val="both"/>
    </w:pPr>
    <w:rPr>
      <w:bC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1">
    <w:name w:val="天职国际上市2023_3级标题"/>
    <w:basedOn w:val="1"/>
    <w:link w:val="62"/>
    <w:autoRedefine/>
    <w:qFormat/>
    <w:uiPriority w:val="0"/>
    <w:pPr>
      <w:snapToGrid w:val="0"/>
      <w:spacing w:before="120" w:beforeLines="50" w:after="120" w:afterLines="50" w:line="360" w:lineRule="exact"/>
      <w:ind w:firstLine="420" w:firstLineChars="200"/>
      <w:jc w:val="both"/>
      <w:outlineLvl w:val="2"/>
    </w:pPr>
    <w:rPr>
      <w:rFonts w:ascii="宋体" w:hAnsiTheme="minorHAnsi" w:cstheme="minorBidi"/>
      <w:kern w:val="2"/>
      <w:szCs w:val="24"/>
      <w14:ligatures w14:val="standardContextual"/>
    </w:rPr>
  </w:style>
  <w:style w:type="character" w:customStyle="1" w:styleId="62">
    <w:name w:val="天职国际上市2023_3级标题 字符"/>
    <w:basedOn w:val="40"/>
    <w:link w:val="61"/>
    <w:qFormat/>
    <w:uiPriority w:val="0"/>
    <w:rPr>
      <w:rFonts w:ascii="宋体" w:hAnsiTheme="minorHAnsi" w:cstheme="minorBidi"/>
      <w:kern w:val="2"/>
      <w:szCs w:val="24"/>
      <w14:ligatures w14:val="standardContextual"/>
    </w:rPr>
  </w:style>
  <w:style w:type="table" w:customStyle="1" w:styleId="63">
    <w:name w:val="g3"/>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g6"/>
    <w:semiHidden/>
    <w:unhideWhenUsed/>
    <w:qFormat/>
    <w:uiPriority w:val="99"/>
    <w:tblPr>
      <w:tblCellMar>
        <w:top w:w="0" w:type="dxa"/>
        <w:left w:w="108" w:type="dxa"/>
        <w:bottom w:w="0" w:type="dxa"/>
        <w:right w:w="108" w:type="dxa"/>
      </w:tblCellMar>
    </w:tblPr>
  </w:style>
  <w:style w:type="table" w:customStyle="1" w:styleId="65">
    <w:name w:val="g7"/>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
    <w:name w:val="目录 1 字符"/>
    <w:basedOn w:val="1"/>
    <w:next w:val="1"/>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customStyle="1" w:styleId="67">
    <w:name w:val="列出段落 字符"/>
    <w:basedOn w:val="1"/>
    <w:qFormat/>
    <w:uiPriority w:val="0"/>
    <w:pPr>
      <w:widowControl w:val="0"/>
    </w:pPr>
    <w:rPr>
      <w:rFonts w:cs="Times New Roman"/>
      <w:kern w:val="2"/>
    </w:rPr>
  </w:style>
  <w:style w:type="paragraph" w:customStyle="1" w:styleId="68">
    <w:name w:val="_Style 41"/>
    <w:basedOn w:val="1"/>
    <w:qFormat/>
    <w:uiPriority w:val="34"/>
    <w:pPr>
      <w:widowControl w:val="0"/>
      <w:ind w:firstLine="420" w:firstLineChars="200"/>
      <w:jc w:val="both"/>
    </w:pPr>
    <w:rPr>
      <w:rFonts w:ascii="Calibri" w:hAnsi="Calibri" w:cs="Times New Roman"/>
      <w:kern w:val="2"/>
      <w:szCs w:val="22"/>
    </w:rPr>
  </w:style>
  <w:style w:type="paragraph" w:customStyle="1" w:styleId="69">
    <w:name w:val="无间隔 字符"/>
    <w:basedOn w:val="1"/>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customStyle="1" w:styleId="70">
    <w:name w:val="正文缩进 字符"/>
    <w:basedOn w:val="1"/>
    <w:unhideWhenUsed/>
    <w:qFormat/>
    <w:uiPriority w:val="99"/>
    <w:pPr>
      <w:widowControl w:val="0"/>
      <w:tabs>
        <w:tab w:val="center" w:pos="4153"/>
        <w:tab w:val="right" w:pos="8306"/>
      </w:tabs>
      <w:snapToGrid w:val="0"/>
    </w:pPr>
    <w:rPr>
      <w:rFonts w:ascii="Calibri" w:hAnsi="Calibri" w:cs="Times New Roman"/>
      <w:kern w:val="2"/>
      <w:sz w:val="18"/>
      <w:szCs w:val="18"/>
    </w:rPr>
  </w:style>
  <w:style w:type="character" w:customStyle="1" w:styleId="71">
    <w:name w:val="普通(网站) 字符"/>
    <w:basedOn w:val="40"/>
    <w:link w:val="33"/>
    <w:qFormat/>
    <w:uiPriority w:val="99"/>
    <w:rPr>
      <w:rFonts w:ascii="Calibri" w:hAnsi="Calibri" w:eastAsia="宋体" w:cs="Times New Roman"/>
      <w:sz w:val="18"/>
      <w:szCs w:val="18"/>
    </w:rPr>
  </w:style>
  <w:style w:type="character" w:customStyle="1" w:styleId="72">
    <w:name w:val="_Style 45"/>
    <w:basedOn w:val="40"/>
    <w:qFormat/>
    <w:uiPriority w:val="99"/>
    <w:rPr>
      <w:rFonts w:ascii="Times New Roman" w:hAnsi="Times New Roman" w:eastAsia="宋体" w:cs="Times New Roman"/>
      <w:szCs w:val="21"/>
    </w:rPr>
  </w:style>
  <w:style w:type="paragraph" w:customStyle="1" w:styleId="73">
    <w:name w:val="_Style 46"/>
    <w:qFormat/>
    <w:uiPriority w:val="1"/>
    <w:pPr>
      <w:widowControl w:val="0"/>
      <w:jc w:val="both"/>
    </w:pPr>
    <w:rPr>
      <w:rFonts w:ascii="Times New Roman" w:hAnsi="Times New Roman" w:eastAsia="宋体" w:cs="宋体"/>
      <w:kern w:val="2"/>
      <w:sz w:val="21"/>
      <w:szCs w:val="22"/>
      <w:lang w:val="en-US" w:eastAsia="zh-CN" w:bidi="ar-SA"/>
    </w:rPr>
  </w:style>
  <w:style w:type="table" w:customStyle="1" w:styleId="74">
    <w:name w:val="g1"/>
    <w:semiHidden/>
    <w:unhideWhenUsed/>
    <w:qFormat/>
    <w:uiPriority w:val="99"/>
    <w:tblPr>
      <w:tblCellMar>
        <w:top w:w="0" w:type="dxa"/>
        <w:left w:w="108" w:type="dxa"/>
        <w:bottom w:w="0" w:type="dxa"/>
        <w:right w:w="108" w:type="dxa"/>
      </w:tblCellMar>
    </w:tblPr>
  </w:style>
  <w:style w:type="table" w:customStyle="1" w:styleId="75">
    <w:name w:val="g8"/>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6">
    <w:name w:val="_Style 49"/>
    <w:basedOn w:val="1"/>
    <w:next w:val="1"/>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customStyle="1" w:styleId="77">
    <w:name w:val="_Style 50"/>
    <w:basedOn w:val="1"/>
    <w:next w:val="1"/>
    <w:unhideWhenUsed/>
    <w:qFormat/>
    <w:uiPriority w:val="9"/>
    <w:pPr>
      <w:keepNext/>
      <w:keepLines/>
      <w:spacing w:before="240" w:after="64" w:line="320" w:lineRule="auto"/>
      <w:outlineLvl w:val="6"/>
    </w:pPr>
    <w:rPr>
      <w:b/>
      <w:bCs/>
      <w:sz w:val="24"/>
    </w:rPr>
  </w:style>
  <w:style w:type="character" w:customStyle="1" w:styleId="78">
    <w:name w:val="_Style 51"/>
    <w:basedOn w:val="40"/>
    <w:qFormat/>
    <w:uiPriority w:val="99"/>
    <w:rPr>
      <w:rFonts w:eastAsia="黑体"/>
      <w:b/>
      <w:bCs/>
      <w:kern w:val="44"/>
      <w:sz w:val="28"/>
      <w:szCs w:val="44"/>
    </w:rPr>
  </w:style>
  <w:style w:type="paragraph" w:customStyle="1" w:styleId="79">
    <w:name w:val="_Style 52"/>
    <w:basedOn w:val="76"/>
    <w:next w:val="1"/>
    <w:qFormat/>
    <w:uiPriority w:val="39"/>
    <w:pPr>
      <w:widowControl/>
      <w:spacing w:before="480" w:after="0" w:line="276" w:lineRule="auto"/>
      <w:outlineLvl w:val="9"/>
    </w:pPr>
    <w:rPr>
      <w:rFonts w:ascii="Cambria" w:hAnsi="Cambria" w:eastAsia="宋体"/>
      <w:color w:val="365F91"/>
      <w:kern w:val="0"/>
      <w:szCs w:val="28"/>
    </w:rPr>
  </w:style>
  <w:style w:type="paragraph" w:customStyle="1" w:styleId="80">
    <w:name w:val="_Style 53"/>
    <w:basedOn w:val="1"/>
    <w:next w:val="1"/>
    <w:autoRedefine/>
    <w:qFormat/>
    <w:uiPriority w:val="39"/>
    <w:pPr>
      <w:spacing w:line="360" w:lineRule="auto"/>
      <w:ind w:left="200" w:hanging="200" w:hangingChars="200"/>
    </w:pPr>
    <w:rPr>
      <w:rFonts w:cstheme="minorHAnsi"/>
      <w:b/>
      <w:caps/>
      <w:szCs w:val="20"/>
    </w:rPr>
  </w:style>
  <w:style w:type="paragraph" w:customStyle="1" w:styleId="81">
    <w:name w:val="_Style 54"/>
    <w:basedOn w:val="1"/>
    <w:next w:val="1"/>
    <w:autoRedefine/>
    <w:qFormat/>
    <w:uiPriority w:val="39"/>
    <w:pPr>
      <w:ind w:left="210"/>
    </w:pPr>
    <w:rPr>
      <w:rFonts w:asciiTheme="minorHAnsi" w:hAnsiTheme="minorHAnsi" w:cstheme="minorHAnsi"/>
      <w:bCs/>
      <w:smallCaps/>
      <w:sz w:val="20"/>
      <w:szCs w:val="20"/>
    </w:rPr>
  </w:style>
  <w:style w:type="character" w:customStyle="1" w:styleId="82">
    <w:name w:val="_Style 55"/>
    <w:basedOn w:val="40"/>
    <w:qFormat/>
    <w:uiPriority w:val="99"/>
    <w:rPr>
      <w:rFonts w:cs="Times New Roman"/>
      <w:color w:val="0000FF"/>
      <w:u w:val="single"/>
    </w:rPr>
  </w:style>
  <w:style w:type="character" w:customStyle="1" w:styleId="83">
    <w:name w:val="_Style 56"/>
    <w:basedOn w:val="40"/>
    <w:qFormat/>
    <w:uiPriority w:val="99"/>
    <w:rPr>
      <w:rFonts w:eastAsia="宋体" w:cs="Times New Roman"/>
      <w:kern w:val="2"/>
      <w:sz w:val="21"/>
      <w:szCs w:val="21"/>
      <w:lang w:val="en-US" w:eastAsia="zh-CN" w:bidi="ar-SA"/>
    </w:rPr>
  </w:style>
  <w:style w:type="paragraph" w:customStyle="1" w:styleId="84">
    <w:name w:val="_Style 57"/>
    <w:basedOn w:val="1"/>
    <w:qFormat/>
    <w:uiPriority w:val="0"/>
    <w:pPr>
      <w:widowControl w:val="0"/>
    </w:pPr>
    <w:rPr>
      <w:rFonts w:cs="Times New Roman"/>
      <w:kern w:val="2"/>
    </w:rPr>
  </w:style>
  <w:style w:type="character" w:customStyle="1" w:styleId="85">
    <w:name w:val="_Style 58"/>
    <w:basedOn w:val="40"/>
    <w:qFormat/>
    <w:uiPriority w:val="0"/>
    <w:rPr>
      <w:rFonts w:ascii="Times New Roman" w:hAnsi="Times New Roman" w:eastAsia="宋体" w:cs="Times New Roman"/>
      <w:szCs w:val="21"/>
    </w:rPr>
  </w:style>
  <w:style w:type="table" w:customStyle="1" w:styleId="86">
    <w:name w:val="_Style 59"/>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7">
    <w:name w:val="_Style 60"/>
    <w:basedOn w:val="1"/>
    <w:unhideWhenUsed/>
    <w:qFormat/>
    <w:uiPriority w:val="99"/>
    <w:pPr>
      <w:widowControl w:val="0"/>
      <w:jc w:val="both"/>
    </w:pPr>
    <w:rPr>
      <w:rFonts w:ascii="Calibri" w:hAnsi="Calibri" w:cs="Times New Roman"/>
      <w:kern w:val="2"/>
      <w:sz w:val="18"/>
      <w:szCs w:val="18"/>
    </w:rPr>
  </w:style>
  <w:style w:type="paragraph" w:customStyle="1" w:styleId="88">
    <w:name w:val="_Style 61"/>
    <w:basedOn w:val="1"/>
    <w:next w:val="1"/>
    <w:qFormat/>
    <w:uiPriority w:val="99"/>
    <w:pPr>
      <w:widowControl w:val="0"/>
      <w:jc w:val="both"/>
    </w:pPr>
    <w:rPr>
      <w:rFonts w:cs="Times New Roman"/>
      <w:kern w:val="2"/>
    </w:rPr>
  </w:style>
  <w:style w:type="character" w:customStyle="1" w:styleId="89">
    <w:name w:val="_Style 62"/>
    <w:basedOn w:val="40"/>
    <w:qFormat/>
    <w:uiPriority w:val="99"/>
    <w:rPr>
      <w:rFonts w:ascii="Times New Roman" w:hAnsi="Times New Roman" w:eastAsia="宋体" w:cs="Times New Roman"/>
      <w:szCs w:val="21"/>
    </w:rPr>
  </w:style>
  <w:style w:type="character" w:customStyle="1" w:styleId="90">
    <w:name w:val="_Style 63"/>
    <w:basedOn w:val="40"/>
    <w:qFormat/>
    <w:uiPriority w:val="99"/>
    <w:rPr>
      <w:rFonts w:eastAsia="宋体" w:cs="Times New Roman"/>
      <w:color w:val="FF0000"/>
      <w:kern w:val="2"/>
      <w:sz w:val="24"/>
      <w:szCs w:val="24"/>
      <w:lang w:val="en-US" w:eastAsia="zh-CN" w:bidi="ar-SA"/>
    </w:rPr>
  </w:style>
  <w:style w:type="paragraph" w:customStyle="1" w:styleId="91">
    <w:name w:val="_Style 64"/>
    <w:basedOn w:val="1"/>
    <w:qFormat/>
    <w:uiPriority w:val="99"/>
    <w:pPr>
      <w:spacing w:before="100" w:after="100"/>
      <w:jc w:val="right"/>
    </w:pPr>
    <w:rPr>
      <w:rFonts w:ascii="Arial Unicode MS" w:eastAsia="Arial Unicode MS" w:cs="Times New Roman"/>
      <w:sz w:val="18"/>
      <w:szCs w:val="18"/>
    </w:rPr>
  </w:style>
  <w:style w:type="paragraph" w:customStyle="1" w:styleId="92">
    <w:name w:val="_Style 65"/>
    <w:basedOn w:val="1"/>
    <w:qFormat/>
    <w:uiPriority w:val="34"/>
    <w:pPr>
      <w:widowControl w:val="0"/>
      <w:ind w:firstLine="420" w:firstLineChars="200"/>
      <w:jc w:val="both"/>
    </w:pPr>
    <w:rPr>
      <w:rFonts w:ascii="Calibri" w:hAnsi="Calibri" w:cs="Times New Roman"/>
      <w:kern w:val="2"/>
      <w:szCs w:val="22"/>
    </w:rPr>
  </w:style>
  <w:style w:type="character" w:customStyle="1" w:styleId="93">
    <w:name w:val="_Style 66"/>
    <w:basedOn w:val="85"/>
    <w:qFormat/>
    <w:uiPriority w:val="99"/>
    <w:rPr>
      <w:rFonts w:ascii="Calibri" w:hAnsi="Calibri" w:eastAsia="宋体" w:cs="Times New Roman"/>
      <w:b/>
      <w:bCs/>
      <w:szCs w:val="21"/>
    </w:rPr>
  </w:style>
  <w:style w:type="paragraph" w:customStyle="1" w:styleId="94">
    <w:name w:val="_Style 67"/>
    <w:basedOn w:val="84"/>
    <w:unhideWhenUsed/>
    <w:qFormat/>
    <w:uiPriority w:val="99"/>
    <w:rPr>
      <w:rFonts w:ascii="Calibri" w:hAnsi="Calibri"/>
      <w:b/>
      <w:bCs/>
      <w:szCs w:val="22"/>
    </w:rPr>
  </w:style>
  <w:style w:type="paragraph" w:customStyle="1" w:styleId="95">
    <w:name w:val="_Style 68"/>
    <w:basedOn w:val="1"/>
    <w:next w:val="1"/>
    <w:autoRedefine/>
    <w:unhideWhenUsed/>
    <w:qFormat/>
    <w:uiPriority w:val="39"/>
    <w:pPr>
      <w:ind w:left="420"/>
    </w:pPr>
    <w:rPr>
      <w:rFonts w:asciiTheme="minorHAnsi" w:hAnsiTheme="minorHAnsi" w:cstheme="minorHAnsi"/>
      <w:bCs/>
      <w:i/>
      <w:iCs/>
      <w:sz w:val="20"/>
      <w:szCs w:val="20"/>
    </w:rPr>
  </w:style>
  <w:style w:type="paragraph" w:customStyle="1" w:styleId="96">
    <w:name w:val="_Style 69"/>
    <w:basedOn w:val="1"/>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character" w:customStyle="1" w:styleId="97">
    <w:name w:val="_Style 70"/>
    <w:basedOn w:val="40"/>
    <w:qFormat/>
    <w:uiPriority w:val="99"/>
    <w:rPr>
      <w:rFonts w:ascii="Calibri" w:hAnsi="Calibri" w:eastAsia="宋体" w:cs="Times New Roman"/>
      <w:sz w:val="18"/>
      <w:szCs w:val="18"/>
    </w:rPr>
  </w:style>
  <w:style w:type="paragraph" w:customStyle="1" w:styleId="98">
    <w:name w:val="_Style 71"/>
    <w:basedOn w:val="1"/>
    <w:unhideWhenUsed/>
    <w:qFormat/>
    <w:uiPriority w:val="99"/>
    <w:pPr>
      <w:widowControl w:val="0"/>
      <w:tabs>
        <w:tab w:val="center" w:pos="4153"/>
        <w:tab w:val="right" w:pos="8306"/>
      </w:tabs>
      <w:snapToGrid w:val="0"/>
    </w:pPr>
    <w:rPr>
      <w:rFonts w:ascii="Calibri" w:hAnsi="Calibri" w:cs="Times New Roman"/>
      <w:kern w:val="2"/>
      <w:sz w:val="18"/>
      <w:szCs w:val="18"/>
    </w:rPr>
  </w:style>
  <w:style w:type="character" w:customStyle="1" w:styleId="99">
    <w:name w:val="_Style 72"/>
    <w:basedOn w:val="40"/>
    <w:qFormat/>
    <w:uiPriority w:val="99"/>
    <w:rPr>
      <w:rFonts w:ascii="Calibri" w:hAnsi="Calibri" w:eastAsia="宋体" w:cs="Times New Roman"/>
      <w:sz w:val="18"/>
      <w:szCs w:val="18"/>
    </w:rPr>
  </w:style>
  <w:style w:type="paragraph" w:customStyle="1" w:styleId="100">
    <w:name w:val="_Style 73"/>
    <w:basedOn w:val="1"/>
    <w:qFormat/>
    <w:uiPriority w:val="0"/>
    <w:pPr>
      <w:widowControl w:val="0"/>
      <w:jc w:val="both"/>
    </w:pPr>
    <w:rPr>
      <w:rFonts w:hAnsi="Courier New" w:cs="Times New Roman"/>
      <w:kern w:val="2"/>
      <w:szCs w:val="20"/>
    </w:rPr>
  </w:style>
  <w:style w:type="character" w:customStyle="1" w:styleId="101">
    <w:name w:val="_Style 74"/>
    <w:basedOn w:val="40"/>
    <w:qFormat/>
    <w:uiPriority w:val="0"/>
    <w:rPr>
      <w:rFonts w:ascii="宋体" w:hAnsi="Courier New" w:eastAsia="宋体" w:cs="Times New Roman"/>
      <w:szCs w:val="20"/>
    </w:rPr>
  </w:style>
  <w:style w:type="character" w:customStyle="1" w:styleId="102">
    <w:name w:val="_Style 75"/>
    <w:basedOn w:val="40"/>
    <w:qFormat/>
    <w:uiPriority w:val="0"/>
    <w:rPr>
      <w:rFonts w:eastAsia="宋体" w:cs="Times New Roman"/>
      <w:kern w:val="2"/>
      <w:sz w:val="24"/>
      <w:szCs w:val="24"/>
      <w:lang w:val="en-US" w:eastAsia="zh-CN" w:bidi="ar-SA"/>
    </w:rPr>
  </w:style>
  <w:style w:type="paragraph" w:customStyle="1" w:styleId="103">
    <w:name w:val="_Style 76"/>
    <w:basedOn w:val="1"/>
    <w:qFormat/>
    <w:uiPriority w:val="99"/>
    <w:pPr>
      <w:widowControl w:val="0"/>
      <w:spacing w:after="120"/>
      <w:jc w:val="both"/>
    </w:pPr>
    <w:rPr>
      <w:rFonts w:cs="Times New Roman"/>
      <w:kern w:val="2"/>
    </w:rPr>
  </w:style>
  <w:style w:type="character" w:customStyle="1" w:styleId="104">
    <w:name w:val="_Style 77"/>
    <w:basedOn w:val="40"/>
    <w:qFormat/>
    <w:uiPriority w:val="99"/>
    <w:rPr>
      <w:rFonts w:ascii="Times New Roman" w:hAnsi="Times New Roman" w:eastAsia="宋体" w:cs="Times New Roman"/>
      <w:szCs w:val="21"/>
    </w:rPr>
  </w:style>
  <w:style w:type="paragraph" w:customStyle="1" w:styleId="105">
    <w:name w:val="_Style 78"/>
    <w:basedOn w:val="1"/>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106">
    <w:name w:val="_Style 79"/>
    <w:basedOn w:val="1"/>
    <w:next w:val="1"/>
    <w:qFormat/>
    <w:uiPriority w:val="99"/>
    <w:pPr>
      <w:widowControl w:val="0"/>
      <w:ind w:left="100" w:leftChars="2500"/>
      <w:jc w:val="both"/>
    </w:pPr>
    <w:rPr>
      <w:rFonts w:cs="Times New Roman"/>
      <w:kern w:val="2"/>
    </w:rPr>
  </w:style>
  <w:style w:type="paragraph" w:customStyle="1" w:styleId="107">
    <w:name w:val="_Style 80"/>
    <w:basedOn w:val="1"/>
    <w:next w:val="1"/>
    <w:qFormat/>
    <w:uiPriority w:val="99"/>
    <w:pPr>
      <w:widowControl w:val="0"/>
      <w:jc w:val="center"/>
    </w:pPr>
    <w:rPr>
      <w:rFonts w:cs="Times New Roman"/>
      <w:kern w:val="2"/>
    </w:rPr>
  </w:style>
  <w:style w:type="character" w:customStyle="1" w:styleId="108">
    <w:name w:val="_Style 81"/>
    <w:basedOn w:val="40"/>
    <w:qFormat/>
    <w:uiPriority w:val="99"/>
    <w:rPr>
      <w:rFonts w:ascii="Times New Roman" w:hAnsi="Times New Roman" w:eastAsia="宋体" w:cs="Times New Roman"/>
      <w:szCs w:val="21"/>
    </w:rPr>
  </w:style>
  <w:style w:type="paragraph" w:customStyle="1" w:styleId="109">
    <w:name w:val="_Style 82"/>
    <w:basedOn w:val="1"/>
    <w:next w:val="1"/>
    <w:semiHidden/>
    <w:qFormat/>
    <w:uiPriority w:val="0"/>
    <w:pPr>
      <w:widowControl w:val="0"/>
      <w:spacing w:before="120"/>
      <w:jc w:val="both"/>
    </w:pPr>
    <w:rPr>
      <w:rFonts w:ascii="Arial" w:hAnsi="Arial" w:cs="Times New Roman"/>
      <w:b/>
      <w:bCs/>
      <w:kern w:val="2"/>
    </w:rPr>
  </w:style>
  <w:style w:type="paragraph" w:customStyle="1" w:styleId="110">
    <w:name w:val="_Style 83"/>
    <w:basedOn w:val="1"/>
    <w:qFormat/>
    <w:uiPriority w:val="0"/>
    <w:pPr>
      <w:keepNext/>
      <w:keepLines/>
      <w:widowControl w:val="0"/>
      <w:spacing w:before="60" w:after="60"/>
      <w:ind w:hanging="420" w:hangingChars="200"/>
      <w:jc w:val="both"/>
      <w:outlineLvl w:val="4"/>
    </w:pPr>
    <w:rPr>
      <w:rFonts w:cs="Times New Roman"/>
      <w:b/>
      <w:bCs/>
      <w:kern w:val="2"/>
    </w:rPr>
  </w:style>
  <w:style w:type="paragraph" w:customStyle="1" w:styleId="111">
    <w:name w:val="_Style 84"/>
    <w:hidden/>
    <w:semiHidden/>
    <w:qFormat/>
    <w:uiPriority w:val="99"/>
    <w:rPr>
      <w:rFonts w:ascii="Times New Roman" w:hAnsi="Times New Roman" w:eastAsia="宋体" w:cs="宋体"/>
      <w:kern w:val="2"/>
      <w:sz w:val="21"/>
      <w:szCs w:val="22"/>
      <w:lang w:val="en-US" w:eastAsia="zh-CN" w:bidi="ar-SA"/>
    </w:rPr>
  </w:style>
  <w:style w:type="character" w:customStyle="1" w:styleId="112">
    <w:name w:val="_Style 85"/>
    <w:basedOn w:val="40"/>
    <w:qFormat/>
    <w:uiPriority w:val="0"/>
    <w:rPr>
      <w:kern w:val="2"/>
      <w:sz w:val="21"/>
      <w:szCs w:val="24"/>
    </w:rPr>
  </w:style>
  <w:style w:type="paragraph" w:customStyle="1" w:styleId="113">
    <w:name w:val="_Style 86"/>
    <w:basedOn w:val="1"/>
    <w:qFormat/>
    <w:uiPriority w:val="0"/>
    <w:pPr>
      <w:widowControl w:val="0"/>
      <w:spacing w:before="100" w:after="100"/>
      <w:jc w:val="both"/>
    </w:pPr>
    <w:rPr>
      <w:rFonts w:ascii="Calibri" w:hAnsi="Calibri" w:cs="Times New Roman"/>
      <w:kern w:val="2"/>
    </w:rPr>
  </w:style>
  <w:style w:type="paragraph" w:customStyle="1" w:styleId="114">
    <w:name w:val="_Style 87"/>
    <w:basedOn w:val="1"/>
    <w:semiHidden/>
    <w:unhideWhenUsed/>
    <w:qFormat/>
    <w:uiPriority w:val="99"/>
    <w:pPr>
      <w:widowControl w:val="0"/>
      <w:jc w:val="both"/>
    </w:pPr>
    <w:rPr>
      <w:rFonts w:hAnsi="Calibri" w:cs="Times New Roman"/>
      <w:kern w:val="2"/>
      <w:sz w:val="18"/>
      <w:szCs w:val="18"/>
    </w:rPr>
  </w:style>
  <w:style w:type="character" w:customStyle="1" w:styleId="115">
    <w:name w:val="_Style 88"/>
    <w:basedOn w:val="40"/>
    <w:semiHidden/>
    <w:qFormat/>
    <w:uiPriority w:val="99"/>
    <w:rPr>
      <w:rFonts w:ascii="宋体"/>
      <w:kern w:val="2"/>
      <w:sz w:val="18"/>
      <w:szCs w:val="18"/>
    </w:rPr>
  </w:style>
  <w:style w:type="character" w:customStyle="1" w:styleId="116">
    <w:name w:val="_Style 89"/>
    <w:basedOn w:val="40"/>
    <w:qFormat/>
    <w:uiPriority w:val="99"/>
    <w:rPr>
      <w:color w:val="auto"/>
    </w:rPr>
  </w:style>
  <w:style w:type="paragraph" w:customStyle="1" w:styleId="117">
    <w:name w:val="_Style 90"/>
    <w:basedOn w:val="1"/>
    <w:next w:val="1"/>
    <w:qFormat/>
    <w:uiPriority w:val="10"/>
    <w:pPr>
      <w:widowControl w:val="0"/>
      <w:spacing w:before="240" w:after="60"/>
      <w:jc w:val="center"/>
      <w:outlineLvl w:val="0"/>
    </w:pPr>
    <w:rPr>
      <w:rFonts w:asciiTheme="majorHAnsi" w:hAnsiTheme="majorHAnsi" w:cstheme="majorBidi"/>
      <w:b/>
      <w:bCs/>
      <w:kern w:val="2"/>
      <w:sz w:val="32"/>
      <w:szCs w:val="32"/>
    </w:rPr>
  </w:style>
  <w:style w:type="character" w:customStyle="1" w:styleId="118">
    <w:name w:val="_Style 91"/>
    <w:basedOn w:val="40"/>
    <w:qFormat/>
    <w:uiPriority w:val="10"/>
    <w:rPr>
      <w:rFonts w:asciiTheme="majorHAnsi" w:hAnsiTheme="majorHAnsi" w:cstheme="majorBidi"/>
      <w:b/>
      <w:bCs/>
      <w:kern w:val="2"/>
      <w:sz w:val="32"/>
      <w:szCs w:val="32"/>
    </w:rPr>
  </w:style>
  <w:style w:type="paragraph" w:customStyle="1" w:styleId="119">
    <w:name w:val="_Style 92"/>
    <w:qFormat/>
    <w:uiPriority w:val="1"/>
    <w:pPr>
      <w:widowControl w:val="0"/>
      <w:jc w:val="both"/>
    </w:pPr>
    <w:rPr>
      <w:rFonts w:ascii="Times New Roman" w:hAnsi="Times New Roman" w:eastAsia="宋体" w:cs="宋体"/>
      <w:kern w:val="2"/>
      <w:sz w:val="21"/>
      <w:szCs w:val="22"/>
      <w:lang w:val="en-US" w:eastAsia="zh-CN" w:bidi="ar-SA"/>
    </w:rPr>
  </w:style>
  <w:style w:type="paragraph" w:customStyle="1" w:styleId="120">
    <w:name w:val="_Style 93"/>
    <w:basedOn w:val="1"/>
    <w:next w:val="1"/>
    <w:autoRedefine/>
    <w:unhideWhenUsed/>
    <w:qFormat/>
    <w:uiPriority w:val="39"/>
    <w:pPr>
      <w:ind w:left="630"/>
    </w:pPr>
    <w:rPr>
      <w:rFonts w:asciiTheme="minorHAnsi" w:hAnsiTheme="minorHAnsi" w:cstheme="minorHAnsi"/>
      <w:bCs/>
      <w:sz w:val="18"/>
      <w:szCs w:val="18"/>
    </w:rPr>
  </w:style>
  <w:style w:type="paragraph" w:customStyle="1" w:styleId="121">
    <w:name w:val="_Style 94"/>
    <w:basedOn w:val="1"/>
    <w:next w:val="1"/>
    <w:autoRedefine/>
    <w:unhideWhenUsed/>
    <w:qFormat/>
    <w:uiPriority w:val="39"/>
    <w:pPr>
      <w:ind w:left="840"/>
    </w:pPr>
    <w:rPr>
      <w:rFonts w:asciiTheme="minorHAnsi" w:hAnsiTheme="minorHAnsi" w:cstheme="minorHAnsi"/>
      <w:bCs/>
      <w:sz w:val="18"/>
      <w:szCs w:val="18"/>
    </w:rPr>
  </w:style>
  <w:style w:type="paragraph" w:customStyle="1" w:styleId="122">
    <w:name w:val="_Style 95"/>
    <w:basedOn w:val="1"/>
    <w:next w:val="1"/>
    <w:autoRedefine/>
    <w:unhideWhenUsed/>
    <w:qFormat/>
    <w:uiPriority w:val="39"/>
    <w:pPr>
      <w:ind w:left="1050"/>
    </w:pPr>
    <w:rPr>
      <w:rFonts w:asciiTheme="minorHAnsi" w:hAnsiTheme="minorHAnsi" w:cstheme="minorHAnsi"/>
      <w:bCs/>
      <w:sz w:val="18"/>
      <w:szCs w:val="18"/>
    </w:rPr>
  </w:style>
  <w:style w:type="paragraph" w:customStyle="1" w:styleId="123">
    <w:name w:val="_Style 96"/>
    <w:basedOn w:val="1"/>
    <w:next w:val="1"/>
    <w:autoRedefine/>
    <w:unhideWhenUsed/>
    <w:qFormat/>
    <w:uiPriority w:val="39"/>
    <w:pPr>
      <w:ind w:left="1260"/>
    </w:pPr>
    <w:rPr>
      <w:rFonts w:asciiTheme="minorHAnsi" w:hAnsiTheme="minorHAnsi" w:cstheme="minorHAnsi"/>
      <w:bCs/>
      <w:sz w:val="18"/>
      <w:szCs w:val="18"/>
    </w:rPr>
  </w:style>
  <w:style w:type="paragraph" w:customStyle="1" w:styleId="124">
    <w:name w:val="_Style 97"/>
    <w:basedOn w:val="1"/>
    <w:next w:val="1"/>
    <w:autoRedefine/>
    <w:unhideWhenUsed/>
    <w:qFormat/>
    <w:uiPriority w:val="39"/>
    <w:pPr>
      <w:ind w:left="1470"/>
    </w:pPr>
    <w:rPr>
      <w:rFonts w:asciiTheme="minorHAnsi" w:hAnsiTheme="minorHAnsi" w:cstheme="minorHAnsi"/>
      <w:bCs/>
      <w:sz w:val="18"/>
      <w:szCs w:val="18"/>
    </w:rPr>
  </w:style>
  <w:style w:type="paragraph" w:customStyle="1" w:styleId="125">
    <w:name w:val="_Style 98"/>
    <w:basedOn w:val="1"/>
    <w:next w:val="1"/>
    <w:autoRedefine/>
    <w:unhideWhenUsed/>
    <w:qFormat/>
    <w:uiPriority w:val="39"/>
    <w:pPr>
      <w:ind w:left="1680"/>
    </w:pPr>
    <w:rPr>
      <w:rFonts w:asciiTheme="minorHAnsi" w:hAnsiTheme="minorHAnsi" w:cstheme="minorHAnsi"/>
      <w:bCs/>
      <w:sz w:val="18"/>
      <w:szCs w:val="18"/>
    </w:rPr>
  </w:style>
  <w:style w:type="paragraph" w:customStyle="1" w:styleId="126">
    <w:name w:val="_Style 99"/>
    <w:basedOn w:val="1"/>
    <w:qFormat/>
    <w:uiPriority w:val="99"/>
    <w:pPr>
      <w:spacing w:before="100" w:beforeAutospacing="1" w:after="100" w:afterAutospacing="1"/>
    </w:pPr>
    <w:rPr>
      <w:sz w:val="24"/>
    </w:rPr>
  </w:style>
  <w:style w:type="paragraph" w:customStyle="1" w:styleId="127">
    <w:name w:val="_Style 100"/>
    <w:basedOn w:val="1"/>
    <w:semiHidden/>
    <w:unhideWhenUsed/>
    <w:qFormat/>
    <w:uiPriority w:val="99"/>
    <w:pPr>
      <w:snapToGrid w:val="0"/>
    </w:pPr>
  </w:style>
  <w:style w:type="character" w:customStyle="1" w:styleId="128">
    <w:name w:val="_Style 101"/>
    <w:basedOn w:val="40"/>
    <w:semiHidden/>
    <w:qFormat/>
    <w:uiPriority w:val="99"/>
    <w:rPr>
      <w:rFonts w:ascii="宋体" w:hAnsi="宋体" w:cs="宋体"/>
      <w:sz w:val="21"/>
      <w:szCs w:val="24"/>
    </w:rPr>
  </w:style>
  <w:style w:type="character" w:customStyle="1" w:styleId="129">
    <w:name w:val="_Style 102"/>
    <w:basedOn w:val="40"/>
    <w:semiHidden/>
    <w:unhideWhenUsed/>
    <w:qFormat/>
    <w:uiPriority w:val="99"/>
    <w:rPr>
      <w:vertAlign w:val="superscript"/>
    </w:rPr>
  </w:style>
  <w:style w:type="character" w:customStyle="1" w:styleId="130">
    <w:name w:val="_Style 103"/>
    <w:basedOn w:val="85"/>
    <w:semiHidden/>
    <w:qFormat/>
    <w:uiPriority w:val="99"/>
    <w:rPr>
      <w:rFonts w:ascii="Times New Roman" w:hAnsi="Times New Roman" w:eastAsia="宋体" w:cs="Times New Roman"/>
      <w:b/>
      <w:bCs/>
      <w:szCs w:val="21"/>
    </w:rPr>
  </w:style>
  <w:style w:type="paragraph" w:customStyle="1" w:styleId="131">
    <w:name w:val="_Style 104"/>
    <w:basedOn w:val="1"/>
    <w:next w:val="1"/>
    <w:qFormat/>
    <w:uiPriority w:val="0"/>
    <w:pPr>
      <w:keepNext/>
      <w:keepLines/>
      <w:widowControl w:val="0"/>
      <w:spacing w:before="100" w:beforeAutospacing="1" w:after="100" w:afterAutospacing="1" w:line="415" w:lineRule="auto"/>
      <w:jc w:val="both"/>
    </w:pPr>
    <w:rPr>
      <w:rFonts w:cs="Times New Roman"/>
      <w:b/>
      <w:kern w:val="2"/>
    </w:rPr>
  </w:style>
  <w:style w:type="character" w:customStyle="1" w:styleId="132">
    <w:name w:val="_Style 105"/>
    <w:basedOn w:val="40"/>
    <w:qFormat/>
    <w:uiPriority w:val="0"/>
    <w:rPr>
      <w:rFonts w:ascii="Times New Roman" w:hAnsi="Times New Roman"/>
      <w:b/>
      <w:kern w:val="2"/>
      <w:sz w:val="21"/>
      <w:szCs w:val="24"/>
    </w:rPr>
  </w:style>
  <w:style w:type="character" w:customStyle="1" w:styleId="133">
    <w:name w:val="_Style 106"/>
    <w:basedOn w:val="85"/>
    <w:semiHidden/>
    <w:qFormat/>
    <w:uiPriority w:val="99"/>
    <w:rPr>
      <w:rFonts w:ascii="Times New Roman" w:hAnsi="Times New Roman" w:eastAsia="宋体" w:cs="Times New Roman"/>
      <w:b/>
      <w:bCs/>
      <w:szCs w:val="21"/>
    </w:rPr>
  </w:style>
  <w:style w:type="character" w:customStyle="1" w:styleId="134">
    <w:name w:val="_Style 107"/>
    <w:basedOn w:val="40"/>
    <w:qFormat/>
    <w:uiPriority w:val="9"/>
    <w:rPr>
      <w:rFonts w:ascii="宋体" w:hAnsi="宋体" w:cs="宋体"/>
      <w:b/>
      <w:bCs/>
      <w:sz w:val="24"/>
      <w:szCs w:val="24"/>
    </w:rPr>
  </w:style>
  <w:style w:type="paragraph" w:customStyle="1" w:styleId="135">
    <w:name w:val="_Style 108"/>
    <w:basedOn w:val="1"/>
    <w:next w:val="1"/>
    <w:autoRedefine/>
    <w:semiHidden/>
    <w:qFormat/>
    <w:uiPriority w:val="0"/>
    <w:pPr>
      <w:ind w:firstLine="420" w:firstLineChars="200"/>
    </w:pPr>
    <w:rPr>
      <w:rFonts w:cs="Times New Roman"/>
      <w:color w:val="000000"/>
    </w:rPr>
  </w:style>
  <w:style w:type="character" w:customStyle="1" w:styleId="136">
    <w:name w:val="_Style 109"/>
    <w:basedOn w:val="40"/>
    <w:qFormat/>
    <w:uiPriority w:val="0"/>
  </w:style>
  <w:style w:type="paragraph" w:customStyle="1" w:styleId="137">
    <w:name w:val="_Style 110"/>
    <w:basedOn w:val="1"/>
    <w:qFormat/>
    <w:uiPriority w:val="0"/>
    <w:pPr>
      <w:widowControl w:val="0"/>
      <w:ind w:firstLine="420" w:firstLineChars="200"/>
      <w:jc w:val="both"/>
    </w:pPr>
    <w:rPr>
      <w:rFonts w:cs="Times New Roman"/>
      <w:kern w:val="2"/>
    </w:rPr>
  </w:style>
  <w:style w:type="paragraph" w:customStyle="1" w:styleId="138">
    <w:name w:val="_Style 111"/>
    <w:basedOn w:val="1"/>
    <w:qFormat/>
    <w:uiPriority w:val="0"/>
    <w:pPr>
      <w:widowControl w:val="0"/>
      <w:tabs>
        <w:tab w:val="left" w:pos="1200"/>
      </w:tabs>
      <w:jc w:val="both"/>
    </w:pPr>
    <w:rPr>
      <w:rFonts w:cs="Times New Roman"/>
      <w:kern w:val="2"/>
    </w:rPr>
  </w:style>
  <w:style w:type="character" w:customStyle="1" w:styleId="139">
    <w:name w:val="_Style 112"/>
    <w:qFormat/>
    <w:uiPriority w:val="9"/>
    <w:rPr>
      <w:rFonts w:ascii="Cambria" w:hAnsi="Cambria"/>
      <w:b/>
      <w:bCs/>
      <w:kern w:val="2"/>
      <w:sz w:val="21"/>
      <w:szCs w:val="28"/>
    </w:rPr>
  </w:style>
  <w:style w:type="paragraph" w:customStyle="1" w:styleId="140">
    <w:name w:val="_Style 113"/>
    <w:basedOn w:val="1"/>
    <w:next w:val="20"/>
    <w:qFormat/>
    <w:uiPriority w:val="34"/>
    <w:pPr>
      <w:widowControl w:val="0"/>
      <w:ind w:firstLine="420" w:firstLineChars="200"/>
      <w:jc w:val="both"/>
    </w:pPr>
    <w:rPr>
      <w:rFonts w:ascii="Calibri" w:hAnsi="Calibri" w:cs="Times New Roman"/>
      <w:kern w:val="2"/>
      <w:szCs w:val="22"/>
    </w:rPr>
  </w:style>
  <w:style w:type="table" w:customStyle="1" w:styleId="141">
    <w:name w:val="_Style 114"/>
    <w:basedOn w:val="37"/>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42">
    <w:name w:val="_Style 115"/>
    <w:basedOn w:val="1"/>
    <w:next w:val="20"/>
    <w:qFormat/>
    <w:uiPriority w:val="34"/>
    <w:pPr>
      <w:widowControl w:val="0"/>
      <w:ind w:firstLine="420" w:firstLineChars="200"/>
      <w:jc w:val="both"/>
    </w:pPr>
    <w:rPr>
      <w:rFonts w:ascii="Calibri" w:hAnsi="Calibri" w:cs="Times New Roman"/>
      <w:kern w:val="2"/>
      <w:szCs w:val="22"/>
    </w:rPr>
  </w:style>
  <w:style w:type="character" w:customStyle="1" w:styleId="143">
    <w:name w:val="_Style 116"/>
    <w:qFormat/>
    <w:uiPriority w:val="9"/>
    <w:rPr>
      <w:b/>
      <w:bCs/>
      <w:kern w:val="2"/>
      <w:sz w:val="21"/>
      <w:szCs w:val="32"/>
    </w:rPr>
  </w:style>
  <w:style w:type="paragraph" w:customStyle="1" w:styleId="144">
    <w:name w:val="_Style 117"/>
    <w:basedOn w:val="1"/>
    <w:next w:val="20"/>
    <w:qFormat/>
    <w:uiPriority w:val="34"/>
    <w:pPr>
      <w:widowControl w:val="0"/>
      <w:ind w:firstLine="420" w:firstLineChars="200"/>
      <w:jc w:val="both"/>
    </w:pPr>
    <w:rPr>
      <w:rFonts w:ascii="Calibri" w:hAnsi="Calibri" w:cs="Times New Roman"/>
      <w:kern w:val="2"/>
      <w:szCs w:val="22"/>
    </w:rPr>
  </w:style>
  <w:style w:type="paragraph" w:customStyle="1" w:styleId="145">
    <w:name w:val="_Style 118"/>
    <w:basedOn w:val="1"/>
    <w:next w:val="20"/>
    <w:qFormat/>
    <w:uiPriority w:val="34"/>
    <w:pPr>
      <w:widowControl w:val="0"/>
      <w:ind w:firstLine="420" w:firstLineChars="200"/>
      <w:jc w:val="both"/>
    </w:pPr>
    <w:rPr>
      <w:rFonts w:ascii="Calibri" w:hAnsi="Calibri" w:cs="Times New Roman"/>
      <w:kern w:val="2"/>
      <w:szCs w:val="22"/>
    </w:rPr>
  </w:style>
  <w:style w:type="character" w:customStyle="1" w:styleId="146">
    <w:name w:val="_Style 119"/>
    <w:qFormat/>
    <w:uiPriority w:val="0"/>
    <w:rPr>
      <w:rFonts w:ascii="Times New Roman" w:hAnsi="Times New Roman"/>
      <w:kern w:val="2"/>
      <w:sz w:val="21"/>
      <w:szCs w:val="21"/>
    </w:rPr>
  </w:style>
  <w:style w:type="character" w:customStyle="1" w:styleId="147">
    <w:name w:val="_Style 120"/>
    <w:qFormat/>
    <w:uiPriority w:val="9"/>
    <w:rPr>
      <w:b/>
      <w:bCs/>
      <w:kern w:val="2"/>
      <w:sz w:val="21"/>
      <w:szCs w:val="28"/>
    </w:rPr>
  </w:style>
  <w:style w:type="paragraph" w:customStyle="1" w:styleId="148">
    <w:name w:val="_Style 121"/>
    <w:basedOn w:val="1"/>
    <w:next w:val="20"/>
    <w:qFormat/>
    <w:uiPriority w:val="34"/>
    <w:pPr>
      <w:widowControl w:val="0"/>
      <w:ind w:firstLine="420" w:firstLineChars="200"/>
      <w:jc w:val="both"/>
    </w:pPr>
    <w:rPr>
      <w:rFonts w:ascii="Calibri" w:hAnsi="Calibri" w:cs="Times New Roman"/>
      <w:kern w:val="2"/>
      <w:szCs w:val="22"/>
    </w:rPr>
  </w:style>
  <w:style w:type="character" w:customStyle="1" w:styleId="149">
    <w:name w:val="_Style 122"/>
    <w:qFormat/>
    <w:uiPriority w:val="0"/>
    <w:rPr>
      <w:rFonts w:ascii="Times New Roman" w:hAnsi="Times New Roman"/>
      <w:kern w:val="2"/>
      <w:sz w:val="21"/>
      <w:szCs w:val="21"/>
    </w:rPr>
  </w:style>
  <w:style w:type="character" w:customStyle="1" w:styleId="150">
    <w:name w:val="_Style 123"/>
    <w:qFormat/>
    <w:uiPriority w:val="9"/>
    <w:rPr>
      <w:b/>
      <w:bCs/>
      <w:kern w:val="2"/>
      <w:sz w:val="21"/>
      <w:szCs w:val="32"/>
    </w:rPr>
  </w:style>
  <w:style w:type="character" w:customStyle="1" w:styleId="151">
    <w:name w:val="标题 2 Char Char Char Char"/>
    <w:qFormat/>
    <w:uiPriority w:val="0"/>
    <w:rPr>
      <w:rFonts w:ascii="Arial" w:hAnsi="Arial"/>
      <w:b/>
      <w:bCs/>
      <w:kern w:val="2"/>
      <w:sz w:val="21"/>
      <w:szCs w:val="21"/>
    </w:rPr>
  </w:style>
  <w:style w:type="character" w:customStyle="1" w:styleId="152">
    <w:name w:val="_Style 125"/>
    <w:qFormat/>
    <w:uiPriority w:val="9"/>
    <w:rPr>
      <w:rFonts w:ascii="Cambria" w:hAnsi="Cambria"/>
      <w:b/>
      <w:bCs/>
      <w:kern w:val="2"/>
      <w:sz w:val="21"/>
      <w:szCs w:val="28"/>
    </w:rPr>
  </w:style>
  <w:style w:type="character" w:customStyle="1" w:styleId="153">
    <w:name w:val="_Style 126"/>
    <w:qFormat/>
    <w:uiPriority w:val="9"/>
    <w:rPr>
      <w:b/>
      <w:bCs/>
      <w:kern w:val="2"/>
      <w:sz w:val="21"/>
      <w:szCs w:val="28"/>
    </w:rPr>
  </w:style>
  <w:style w:type="paragraph" w:customStyle="1" w:styleId="154">
    <w:name w:val="_Style 127"/>
    <w:basedOn w:val="1"/>
    <w:next w:val="20"/>
    <w:qFormat/>
    <w:uiPriority w:val="34"/>
    <w:pPr>
      <w:widowControl w:val="0"/>
      <w:ind w:firstLine="420" w:firstLineChars="200"/>
      <w:jc w:val="both"/>
    </w:pPr>
    <w:rPr>
      <w:rFonts w:ascii="Calibri" w:hAnsi="Calibri" w:cs="Times New Roman"/>
      <w:kern w:val="2"/>
      <w:szCs w:val="22"/>
    </w:rPr>
  </w:style>
  <w:style w:type="character" w:customStyle="1" w:styleId="155">
    <w:name w:val="_Style 128"/>
    <w:qFormat/>
    <w:uiPriority w:val="99"/>
    <w:rPr>
      <w:rFonts w:ascii="Times New Roman" w:hAnsi="Times New Roman"/>
      <w:kern w:val="2"/>
      <w:sz w:val="21"/>
      <w:szCs w:val="21"/>
    </w:rPr>
  </w:style>
  <w:style w:type="character" w:customStyle="1" w:styleId="156">
    <w:name w:val="_Style 129"/>
    <w:qFormat/>
    <w:uiPriority w:val="0"/>
    <w:rPr>
      <w:rFonts w:ascii="Times New Roman" w:hAnsi="Times New Roman" w:cs="Times New Roman"/>
      <w:bCs/>
      <w:kern w:val="2"/>
      <w:sz w:val="21"/>
      <w:szCs w:val="21"/>
    </w:rPr>
  </w:style>
  <w:style w:type="character" w:customStyle="1" w:styleId="157">
    <w:name w:val="_Style 130"/>
    <w:qFormat/>
    <w:uiPriority w:val="99"/>
    <w:rPr>
      <w:rFonts w:ascii="Times New Roman" w:hAnsi="Times New Roman"/>
      <w:kern w:val="2"/>
      <w:sz w:val="21"/>
      <w:szCs w:val="21"/>
    </w:rPr>
  </w:style>
  <w:style w:type="character" w:customStyle="1" w:styleId="158">
    <w:name w:val="_Style 131"/>
    <w:qFormat/>
    <w:uiPriority w:val="0"/>
    <w:rPr>
      <w:rFonts w:hint="default" w:ascii="FZLTSK--GBK1-0" w:hAnsi="FZLTSK--GBK1-0"/>
      <w:color w:val="000000"/>
      <w:sz w:val="20"/>
      <w:szCs w:val="20"/>
    </w:rPr>
  </w:style>
  <w:style w:type="character" w:customStyle="1" w:styleId="159">
    <w:name w:val="_Style 132"/>
    <w:semiHidden/>
    <w:qFormat/>
    <w:locked/>
    <w:uiPriority w:val="99"/>
    <w:rPr>
      <w:rFonts w:ascii="Times New Roman" w:hAnsi="Times New Roman"/>
      <w:kern w:val="2"/>
      <w:sz w:val="21"/>
      <w:szCs w:val="21"/>
    </w:rPr>
  </w:style>
  <w:style w:type="character" w:customStyle="1" w:styleId="160">
    <w:name w:val="标题 2 Char Char Char Char1"/>
    <w:qFormat/>
    <w:uiPriority w:val="0"/>
    <w:rPr>
      <w:rFonts w:ascii="Arial" w:hAnsi="Arial"/>
      <w:b/>
      <w:bCs/>
      <w:kern w:val="2"/>
      <w:sz w:val="21"/>
      <w:szCs w:val="21"/>
    </w:rPr>
  </w:style>
  <w:style w:type="character" w:customStyle="1" w:styleId="161">
    <w:name w:val="_Style 134"/>
    <w:qFormat/>
    <w:uiPriority w:val="9"/>
    <w:rPr>
      <w:b/>
      <w:bCs/>
      <w:kern w:val="2"/>
      <w:sz w:val="21"/>
      <w:szCs w:val="28"/>
    </w:rPr>
  </w:style>
  <w:style w:type="character" w:customStyle="1" w:styleId="162">
    <w:name w:val="_Style 135"/>
    <w:qFormat/>
    <w:uiPriority w:val="9"/>
    <w:rPr>
      <w:b/>
      <w:bCs/>
      <w:kern w:val="2"/>
      <w:sz w:val="21"/>
      <w:szCs w:val="32"/>
    </w:rPr>
  </w:style>
  <w:style w:type="character" w:customStyle="1" w:styleId="163">
    <w:name w:val="_Style 136"/>
    <w:qFormat/>
    <w:uiPriority w:val="9"/>
    <w:rPr>
      <w:b/>
      <w:bCs/>
      <w:kern w:val="2"/>
      <w:sz w:val="21"/>
      <w:szCs w:val="32"/>
    </w:rPr>
  </w:style>
  <w:style w:type="paragraph" w:customStyle="1" w:styleId="164">
    <w:name w:val="_Style 137"/>
    <w:basedOn w:val="1"/>
    <w:semiHidden/>
    <w:unhideWhenUsed/>
    <w:qFormat/>
    <w:uiPriority w:val="99"/>
    <w:pPr>
      <w:widowControl w:val="0"/>
      <w:snapToGrid w:val="0"/>
    </w:pPr>
    <w:rPr>
      <w:rFonts w:ascii="Calibri" w:hAnsi="Calibri" w:cs="Times New Roman"/>
      <w:bCs/>
      <w:kern w:val="2"/>
      <w:sz w:val="18"/>
      <w:szCs w:val="18"/>
    </w:rPr>
  </w:style>
  <w:style w:type="character" w:customStyle="1" w:styleId="165">
    <w:name w:val="_Style 138"/>
    <w:basedOn w:val="40"/>
    <w:semiHidden/>
    <w:qFormat/>
    <w:uiPriority w:val="99"/>
    <w:rPr>
      <w:rFonts w:ascii="Calibri" w:hAnsi="Calibri" w:cs="Times New Roman"/>
      <w:bCs/>
      <w:kern w:val="2"/>
      <w:sz w:val="18"/>
      <w:szCs w:val="18"/>
    </w:rPr>
  </w:style>
  <w:style w:type="character" w:customStyle="1" w:styleId="166">
    <w:name w:val="_Style 139"/>
    <w:semiHidden/>
    <w:unhideWhenUsed/>
    <w:qFormat/>
    <w:uiPriority w:val="99"/>
    <w:rPr>
      <w:vertAlign w:val="superscript"/>
    </w:rPr>
  </w:style>
  <w:style w:type="paragraph" w:customStyle="1" w:styleId="167">
    <w:name w:val="_Style 140"/>
    <w:qFormat/>
    <w:uiPriority w:val="0"/>
    <w:rPr>
      <w:rFonts w:ascii="宋体" w:hAnsi="宋体" w:eastAsia="宋体" w:cs="宋体"/>
      <w:sz w:val="21"/>
      <w:szCs w:val="24"/>
      <w:lang w:val="en-US" w:eastAsia="zh-CN" w:bidi="ar-SA"/>
    </w:rPr>
  </w:style>
  <w:style w:type="paragraph" w:customStyle="1" w:styleId="168">
    <w:name w:val="_Style 47"/>
    <w:qFormat/>
    <w:uiPriority w:val="0"/>
    <w:rPr>
      <w:rFonts w:ascii="宋体" w:hAnsi="宋体" w:eastAsia="宋体" w:cs="宋体"/>
      <w:sz w:val="21"/>
      <w:szCs w:val="24"/>
      <w:lang w:val="en-US" w:eastAsia="zh-CN" w:bidi="ar-SA"/>
    </w:rPr>
  </w:style>
  <w:style w:type="character" w:styleId="169">
    <w:name w:val="Placeholder Text"/>
    <w:basedOn w:val="40"/>
    <w:qFormat/>
    <w:uiPriority w:val="99"/>
    <w:rPr>
      <w:color w:val="808080"/>
    </w:rPr>
  </w:style>
  <w:style w:type="character" w:customStyle="1" w:styleId="170">
    <w:name w:val="批注文字 字符"/>
    <w:basedOn w:val="40"/>
    <w:link w:val="14"/>
    <w:qFormat/>
    <w:uiPriority w:val="0"/>
    <w:rPr>
      <w:rFonts w:cs="宋体"/>
      <w:sz w:val="21"/>
      <w:szCs w:val="21"/>
    </w:rPr>
  </w:style>
  <w:style w:type="character" w:customStyle="1" w:styleId="171">
    <w:name w:val="批注主题 字符"/>
    <w:basedOn w:val="170"/>
    <w:link w:val="36"/>
    <w:semiHidden/>
    <w:qFormat/>
    <w:uiPriority w:val="99"/>
    <w:rPr>
      <w:rFonts w:cs="宋体"/>
      <w:b/>
      <w:bCs/>
      <w:sz w:val="21"/>
      <w:szCs w:val="21"/>
    </w:rPr>
  </w:style>
  <w:style w:type="character" w:customStyle="1" w:styleId="172">
    <w:name w:val="批注框文本 字符"/>
    <w:basedOn w:val="40"/>
    <w:link w:val="24"/>
    <w:semiHidden/>
    <w:qFormat/>
    <w:uiPriority w:val="99"/>
    <w:rPr>
      <w:rFonts w:cs="宋体"/>
      <w:sz w:val="18"/>
      <w:szCs w:val="18"/>
    </w:rPr>
  </w:style>
  <w:style w:type="paragraph" w:customStyle="1" w:styleId="173">
    <w:name w:val="TOC 标题1"/>
    <w:basedOn w:val="2"/>
    <w:next w:val="1"/>
    <w:qFormat/>
    <w:uiPriority w:val="39"/>
    <w:pPr>
      <w:widowControl/>
      <w:spacing w:before="480" w:after="0" w:line="276" w:lineRule="auto"/>
      <w:outlineLvl w:val="9"/>
    </w:pPr>
    <w:rPr>
      <w:rFonts w:ascii="Cambria" w:hAnsi="Cambria" w:eastAsia="宋体"/>
      <w:bCs w:val="0"/>
      <w:color w:val="365F91"/>
      <w:kern w:val="0"/>
      <w:szCs w:val="28"/>
    </w:rPr>
  </w:style>
  <w:style w:type="character" w:customStyle="1" w:styleId="174">
    <w:name w:val="notnullcss1"/>
    <w:basedOn w:val="40"/>
    <w:qFormat/>
    <w:uiPriority w:val="99"/>
    <w:rPr>
      <w:rFonts w:ascii="Times New Roman" w:hAnsi="Times New Roman" w:eastAsia="宋体" w:cs="Times New Roman"/>
      <w:bCs/>
      <w:color w:val="FF0000"/>
      <w:kern w:val="2"/>
      <w:sz w:val="24"/>
      <w:szCs w:val="24"/>
      <w:lang w:val="en-US" w:eastAsia="zh-CN" w:bidi="ar-SA"/>
    </w:rPr>
  </w:style>
  <w:style w:type="paragraph" w:customStyle="1" w:styleId="175">
    <w:name w:val="xl61"/>
    <w:basedOn w:val="1"/>
    <w:qFormat/>
    <w:uiPriority w:val="99"/>
    <w:pPr>
      <w:spacing w:before="100" w:after="100"/>
      <w:jc w:val="right"/>
    </w:pPr>
    <w:rPr>
      <w:rFonts w:ascii="Arial Unicode MS" w:eastAsia="Arial Unicode MS" w:cs="Times New Roman"/>
      <w:bCs/>
      <w:sz w:val="18"/>
      <w:szCs w:val="18"/>
    </w:rPr>
  </w:style>
  <w:style w:type="character" w:customStyle="1" w:styleId="176">
    <w:name w:val="headline-content2"/>
    <w:basedOn w:val="40"/>
    <w:qFormat/>
    <w:uiPriority w:val="0"/>
    <w:rPr>
      <w:rFonts w:ascii="Times New Roman" w:hAnsi="Times New Roman" w:eastAsia="宋体" w:cs="Times New Roman"/>
      <w:bCs/>
      <w:kern w:val="2"/>
      <w:sz w:val="24"/>
      <w:szCs w:val="24"/>
      <w:lang w:val="en-US" w:eastAsia="zh-CN" w:bidi="ar-SA"/>
    </w:rPr>
  </w:style>
  <w:style w:type="character" w:customStyle="1" w:styleId="177">
    <w:name w:val="正文文本 字符"/>
    <w:basedOn w:val="40"/>
    <w:link w:val="17"/>
    <w:qFormat/>
    <w:uiPriority w:val="99"/>
    <w:rPr>
      <w:rFonts w:ascii="Times New Roman" w:hAnsi="Times New Roman" w:eastAsia="宋体" w:cs="Times New Roman"/>
      <w:bCs/>
      <w:kern w:val="2"/>
      <w:sz w:val="21"/>
      <w:szCs w:val="21"/>
      <w:lang w:val="en-US" w:eastAsia="zh-CN" w:bidi="ar-SA"/>
    </w:rPr>
  </w:style>
  <w:style w:type="paragraph" w:customStyle="1" w:styleId="178">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s="Times New Roman"/>
      <w:bCs/>
      <w:lang w:val="en-AU"/>
    </w:rPr>
  </w:style>
  <w:style w:type="character" w:customStyle="1" w:styleId="179">
    <w:name w:val="日期 字符"/>
    <w:basedOn w:val="40"/>
    <w:link w:val="22"/>
    <w:qFormat/>
    <w:uiPriority w:val="99"/>
    <w:rPr>
      <w:rFonts w:ascii="Times New Roman" w:hAnsi="Times New Roman" w:eastAsia="宋体" w:cs="Times New Roman"/>
      <w:bCs/>
      <w:kern w:val="2"/>
      <w:sz w:val="21"/>
      <w:szCs w:val="21"/>
      <w:lang w:val="en-US" w:eastAsia="zh-CN" w:bidi="ar-SA"/>
    </w:rPr>
  </w:style>
  <w:style w:type="paragraph" w:customStyle="1" w:styleId="180">
    <w:name w:val="标题5"/>
    <w:basedOn w:val="1"/>
    <w:qFormat/>
    <w:uiPriority w:val="0"/>
    <w:pPr>
      <w:keepNext/>
      <w:keepLines/>
      <w:widowControl w:val="0"/>
      <w:spacing w:before="60" w:after="60"/>
      <w:ind w:hanging="420" w:hangingChars="200"/>
      <w:jc w:val="both"/>
      <w:outlineLvl w:val="4"/>
    </w:pPr>
    <w:rPr>
      <w:rFonts w:cs="Times New Roman"/>
      <w:b/>
      <w:kern w:val="2"/>
    </w:rPr>
  </w:style>
  <w:style w:type="paragraph" w:customStyle="1" w:styleId="181">
    <w:name w:val="修订1"/>
    <w:hidden/>
    <w:semiHidden/>
    <w:qFormat/>
    <w:uiPriority w:val="99"/>
    <w:rPr>
      <w:rFonts w:ascii="Times New Roman" w:hAnsi="Times New Roman" w:eastAsia="宋体" w:cs="宋体"/>
      <w:bCs/>
      <w:kern w:val="2"/>
      <w:sz w:val="21"/>
      <w:szCs w:val="22"/>
      <w:lang w:val="en-US" w:eastAsia="zh-CN" w:bidi="ar-SA"/>
    </w:rPr>
  </w:style>
  <w:style w:type="character" w:customStyle="1" w:styleId="182">
    <w:name w:val="正文的样式 Char"/>
    <w:basedOn w:val="40"/>
    <w:link w:val="183"/>
    <w:qFormat/>
    <w:uiPriority w:val="0"/>
    <w:rPr>
      <w:rFonts w:ascii="Calibri" w:hAnsi="Calibri" w:eastAsia="宋体" w:cs="Times New Roman"/>
      <w:bCs/>
      <w:kern w:val="2"/>
      <w:sz w:val="21"/>
      <w:szCs w:val="21"/>
      <w:lang w:val="en-US" w:eastAsia="zh-CN" w:bidi="ar-SA"/>
    </w:rPr>
  </w:style>
  <w:style w:type="paragraph" w:customStyle="1" w:styleId="183">
    <w:name w:val="正文的样式"/>
    <w:basedOn w:val="1"/>
    <w:link w:val="182"/>
    <w:qFormat/>
    <w:uiPriority w:val="0"/>
    <w:pPr>
      <w:widowControl w:val="0"/>
      <w:spacing w:before="100" w:after="100"/>
      <w:jc w:val="both"/>
    </w:pPr>
    <w:rPr>
      <w:rFonts w:ascii="Calibri" w:hAnsi="Calibri" w:cs="Times New Roman"/>
      <w:bCs/>
      <w:kern w:val="2"/>
    </w:rPr>
  </w:style>
  <w:style w:type="character" w:customStyle="1" w:styleId="184">
    <w:name w:val="文档结构图 字符"/>
    <w:basedOn w:val="40"/>
    <w:link w:val="12"/>
    <w:semiHidden/>
    <w:qFormat/>
    <w:uiPriority w:val="99"/>
    <w:rPr>
      <w:rFonts w:ascii="Times New Roman" w:hAnsi="Calibri" w:eastAsia="宋体" w:cs="Times New Roman"/>
      <w:bCs/>
      <w:kern w:val="2"/>
      <w:sz w:val="18"/>
      <w:szCs w:val="18"/>
      <w:lang w:val="en-US" w:eastAsia="zh-CN" w:bidi="ar-SA"/>
    </w:rPr>
  </w:style>
  <w:style w:type="character" w:customStyle="1" w:styleId="185">
    <w:name w:val="标题 字符"/>
    <w:basedOn w:val="40"/>
    <w:link w:val="35"/>
    <w:qFormat/>
    <w:uiPriority w:val="10"/>
    <w:rPr>
      <w:rFonts w:eastAsia="宋体" w:asciiTheme="majorHAnsi" w:hAnsiTheme="majorHAnsi" w:cstheme="majorBidi"/>
      <w:b/>
      <w:kern w:val="2"/>
      <w:sz w:val="32"/>
      <w:szCs w:val="32"/>
      <w:lang w:val="en-US" w:eastAsia="zh-CN" w:bidi="ar-SA"/>
    </w:rPr>
  </w:style>
  <w:style w:type="character" w:customStyle="1" w:styleId="186">
    <w:name w:val="标题 6 字符"/>
    <w:basedOn w:val="40"/>
    <w:link w:val="7"/>
    <w:qFormat/>
    <w:uiPriority w:val="9"/>
    <w:rPr>
      <w:rFonts w:eastAsia="宋体" w:asciiTheme="majorHAnsi" w:hAnsiTheme="majorHAnsi" w:cstheme="majorBidi"/>
      <w:b/>
      <w:sz w:val="21"/>
      <w:szCs w:val="21"/>
      <w:lang w:val="en-US" w:eastAsia="zh-CN" w:bidi="ar-SA"/>
    </w:rPr>
  </w:style>
  <w:style w:type="character" w:customStyle="1" w:styleId="187">
    <w:name w:val="尾注文本 字符"/>
    <w:basedOn w:val="40"/>
    <w:link w:val="23"/>
    <w:semiHidden/>
    <w:qFormat/>
    <w:uiPriority w:val="99"/>
    <w:rPr>
      <w:rFonts w:ascii="Times New Roman" w:hAnsi="Times New Roman" w:eastAsia="宋体" w:cs="宋体"/>
      <w:bCs/>
      <w:sz w:val="21"/>
      <w:szCs w:val="21"/>
      <w:lang w:val="en-US" w:eastAsia="zh-CN" w:bidi="ar-SA"/>
    </w:rPr>
  </w:style>
  <w:style w:type="character" w:customStyle="1" w:styleId="188">
    <w:name w:val="批注主题 Char1"/>
    <w:basedOn w:val="170"/>
    <w:semiHidden/>
    <w:qFormat/>
    <w:uiPriority w:val="99"/>
    <w:rPr>
      <w:rFonts w:ascii="Times New Roman" w:hAnsi="Times New Roman" w:eastAsia="宋体" w:cs="Times New Roman"/>
      <w:b/>
      <w:sz w:val="21"/>
      <w:szCs w:val="21"/>
      <w:lang w:val="en-US" w:eastAsia="zh-CN" w:bidi="ar-SA"/>
    </w:rPr>
  </w:style>
  <w:style w:type="paragraph" w:customStyle="1" w:styleId="189">
    <w:name w:val="标题  3"/>
    <w:basedOn w:val="1"/>
    <w:next w:val="1"/>
    <w:link w:val="190"/>
    <w:qFormat/>
    <w:uiPriority w:val="0"/>
    <w:pPr>
      <w:keepNext/>
      <w:keepLines/>
      <w:widowControl w:val="0"/>
      <w:spacing w:before="100" w:beforeAutospacing="1" w:after="100" w:afterAutospacing="1" w:line="415" w:lineRule="auto"/>
      <w:jc w:val="both"/>
    </w:pPr>
    <w:rPr>
      <w:rFonts w:cs="Times New Roman"/>
      <w:b/>
      <w:bCs/>
      <w:kern w:val="2"/>
    </w:rPr>
  </w:style>
  <w:style w:type="character" w:customStyle="1" w:styleId="190">
    <w:name w:val="标题  3 Char"/>
    <w:basedOn w:val="40"/>
    <w:link w:val="189"/>
    <w:qFormat/>
    <w:uiPriority w:val="0"/>
    <w:rPr>
      <w:rFonts w:ascii="Times New Roman" w:hAnsi="Times New Roman" w:eastAsia="宋体" w:cs="Times New Roman"/>
      <w:b/>
      <w:bCs/>
      <w:kern w:val="2"/>
      <w:sz w:val="21"/>
      <w:szCs w:val="21"/>
      <w:lang w:val="en-US" w:eastAsia="zh-CN" w:bidi="ar-SA"/>
    </w:rPr>
  </w:style>
  <w:style w:type="character" w:customStyle="1" w:styleId="191">
    <w:name w:val="批注主题 字符1"/>
    <w:basedOn w:val="170"/>
    <w:semiHidden/>
    <w:qFormat/>
    <w:uiPriority w:val="99"/>
    <w:rPr>
      <w:rFonts w:ascii="Times New Roman" w:hAnsi="Times New Roman" w:eastAsia="宋体" w:cs="Times New Roman"/>
      <w:b/>
      <w:sz w:val="21"/>
      <w:szCs w:val="21"/>
      <w:lang w:val="en-US" w:eastAsia="zh-CN" w:bidi="ar-SA"/>
    </w:rPr>
  </w:style>
  <w:style w:type="character" w:customStyle="1" w:styleId="192">
    <w:name w:val="标题 7 字符"/>
    <w:basedOn w:val="40"/>
    <w:link w:val="8"/>
    <w:qFormat/>
    <w:uiPriority w:val="9"/>
    <w:rPr>
      <w:rFonts w:ascii="Times New Roman" w:hAnsi="Times New Roman" w:eastAsia="宋体" w:cs="宋体"/>
      <w:b/>
      <w:sz w:val="24"/>
      <w:szCs w:val="21"/>
      <w:lang w:val="en-US" w:eastAsia="zh-CN" w:bidi="ar-SA"/>
    </w:rPr>
  </w:style>
  <w:style w:type="character" w:customStyle="1" w:styleId="193">
    <w:name w:val="span_"/>
    <w:basedOn w:val="40"/>
    <w:qFormat/>
    <w:uiPriority w:val="0"/>
    <w:rPr>
      <w:rFonts w:ascii="Times New Roman" w:hAnsi="Times New Roman" w:eastAsia="宋体" w:cs="宋体"/>
      <w:bCs/>
      <w:sz w:val="21"/>
      <w:szCs w:val="21"/>
      <w:lang w:val="en-US" w:eastAsia="zh-CN" w:bidi="ar-SA"/>
    </w:rPr>
  </w:style>
  <w:style w:type="character" w:customStyle="1" w:styleId="194">
    <w:name w:val="标题 4 Char"/>
    <w:qFormat/>
    <w:uiPriority w:val="9"/>
    <w:rPr>
      <w:rFonts w:ascii="Cambria" w:hAnsi="Cambria" w:eastAsia="宋体" w:cs="宋体"/>
      <w:b/>
      <w:kern w:val="2"/>
      <w:sz w:val="21"/>
      <w:szCs w:val="28"/>
      <w:lang w:val="en-US" w:eastAsia="zh-CN" w:bidi="ar-SA"/>
    </w:rPr>
  </w:style>
  <w:style w:type="paragraph" w:customStyle="1" w:styleId="195">
    <w:name w:val="4"/>
    <w:basedOn w:val="1"/>
    <w:next w:val="51"/>
    <w:qFormat/>
    <w:uiPriority w:val="34"/>
    <w:pPr>
      <w:widowControl w:val="0"/>
      <w:ind w:firstLine="420" w:firstLineChars="200"/>
      <w:jc w:val="both"/>
    </w:pPr>
    <w:rPr>
      <w:rFonts w:ascii="Calibri" w:hAnsi="Calibri" w:cs="Times New Roman"/>
      <w:bCs/>
      <w:kern w:val="2"/>
      <w:szCs w:val="22"/>
    </w:rPr>
  </w:style>
  <w:style w:type="table" w:customStyle="1" w:styleId="196">
    <w:name w:val="无格式表格 21"/>
    <w:basedOn w:val="37"/>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97">
    <w:name w:val="3"/>
    <w:basedOn w:val="1"/>
    <w:next w:val="51"/>
    <w:qFormat/>
    <w:uiPriority w:val="34"/>
    <w:pPr>
      <w:widowControl w:val="0"/>
      <w:ind w:firstLine="420" w:firstLineChars="200"/>
      <w:jc w:val="both"/>
    </w:pPr>
    <w:rPr>
      <w:rFonts w:ascii="Calibri" w:hAnsi="Calibri" w:cs="Times New Roman"/>
      <w:bCs/>
      <w:kern w:val="2"/>
      <w:szCs w:val="22"/>
    </w:rPr>
  </w:style>
  <w:style w:type="character" w:customStyle="1" w:styleId="198">
    <w:name w:val="标题 3 Char"/>
    <w:qFormat/>
    <w:uiPriority w:val="9"/>
    <w:rPr>
      <w:rFonts w:ascii="Times New Roman" w:hAnsi="Times New Roman" w:eastAsia="宋体" w:cs="宋体"/>
      <w:b/>
      <w:kern w:val="2"/>
      <w:sz w:val="21"/>
      <w:szCs w:val="32"/>
      <w:lang w:val="en-US" w:eastAsia="zh-CN" w:bidi="ar-SA"/>
    </w:rPr>
  </w:style>
  <w:style w:type="paragraph" w:customStyle="1" w:styleId="199">
    <w:name w:val="2"/>
    <w:basedOn w:val="1"/>
    <w:next w:val="51"/>
    <w:qFormat/>
    <w:uiPriority w:val="34"/>
    <w:pPr>
      <w:widowControl w:val="0"/>
      <w:ind w:firstLine="420" w:firstLineChars="200"/>
      <w:jc w:val="both"/>
    </w:pPr>
    <w:rPr>
      <w:rFonts w:ascii="Calibri" w:hAnsi="Calibri" w:cs="Times New Roman"/>
      <w:bCs/>
      <w:kern w:val="2"/>
      <w:szCs w:val="22"/>
    </w:rPr>
  </w:style>
  <w:style w:type="character" w:customStyle="1" w:styleId="200">
    <w:name w:val="批注文字 Char"/>
    <w:qFormat/>
    <w:uiPriority w:val="0"/>
    <w:rPr>
      <w:rFonts w:ascii="Times New Roman" w:hAnsi="Times New Roman" w:eastAsia="宋体" w:cs="宋体"/>
      <w:bCs/>
      <w:kern w:val="2"/>
      <w:sz w:val="21"/>
      <w:szCs w:val="21"/>
      <w:lang w:val="en-US" w:eastAsia="zh-CN" w:bidi="ar-SA"/>
    </w:rPr>
  </w:style>
  <w:style w:type="character" w:customStyle="1" w:styleId="201">
    <w:name w:val="标题 5 Char"/>
    <w:qFormat/>
    <w:uiPriority w:val="9"/>
    <w:rPr>
      <w:rFonts w:ascii="Times New Roman" w:hAnsi="Times New Roman" w:eastAsia="宋体" w:cs="宋体"/>
      <w:b/>
      <w:kern w:val="2"/>
      <w:sz w:val="21"/>
      <w:szCs w:val="28"/>
      <w:lang w:val="en-US" w:eastAsia="zh-CN" w:bidi="ar-SA"/>
    </w:rPr>
  </w:style>
  <w:style w:type="paragraph" w:customStyle="1" w:styleId="202">
    <w:name w:val="6"/>
    <w:basedOn w:val="1"/>
    <w:next w:val="51"/>
    <w:qFormat/>
    <w:uiPriority w:val="34"/>
    <w:pPr>
      <w:widowControl w:val="0"/>
      <w:ind w:firstLine="420" w:firstLineChars="200"/>
      <w:jc w:val="both"/>
    </w:pPr>
    <w:rPr>
      <w:rFonts w:ascii="Calibri" w:hAnsi="Calibri" w:cs="Times New Roman"/>
      <w:bCs/>
      <w:kern w:val="2"/>
      <w:szCs w:val="22"/>
    </w:rPr>
  </w:style>
  <w:style w:type="character" w:customStyle="1" w:styleId="203">
    <w:name w:val="批注文字 Char1"/>
    <w:qFormat/>
    <w:uiPriority w:val="0"/>
    <w:rPr>
      <w:rFonts w:ascii="Times New Roman" w:hAnsi="Times New Roman" w:eastAsia="宋体" w:cs="宋体"/>
      <w:bCs/>
      <w:kern w:val="2"/>
      <w:sz w:val="21"/>
      <w:szCs w:val="21"/>
      <w:lang w:val="en-US" w:eastAsia="zh-CN" w:bidi="ar-SA"/>
    </w:rPr>
  </w:style>
  <w:style w:type="character" w:customStyle="1" w:styleId="204">
    <w:name w:val="标题 3 Char1"/>
    <w:qFormat/>
    <w:uiPriority w:val="9"/>
    <w:rPr>
      <w:rFonts w:ascii="Times New Roman" w:hAnsi="Times New Roman" w:eastAsia="宋体" w:cs="宋体"/>
      <w:b/>
      <w:kern w:val="2"/>
      <w:sz w:val="21"/>
      <w:szCs w:val="32"/>
      <w:lang w:val="en-US" w:eastAsia="zh-CN" w:bidi="ar-SA"/>
    </w:rPr>
  </w:style>
  <w:style w:type="character" w:customStyle="1" w:styleId="205">
    <w:name w:val="标题 2 Char"/>
    <w:qFormat/>
    <w:uiPriority w:val="0"/>
    <w:rPr>
      <w:rFonts w:ascii="Arial" w:hAnsi="Arial" w:eastAsia="宋体" w:cs="宋体"/>
      <w:b/>
      <w:kern w:val="2"/>
      <w:sz w:val="21"/>
      <w:szCs w:val="21"/>
      <w:lang w:val="en-US" w:eastAsia="zh-CN" w:bidi="ar-SA"/>
    </w:rPr>
  </w:style>
  <w:style w:type="character" w:customStyle="1" w:styleId="206">
    <w:name w:val="标题 4 Char1"/>
    <w:qFormat/>
    <w:uiPriority w:val="9"/>
    <w:rPr>
      <w:rFonts w:ascii="Cambria" w:hAnsi="Cambria" w:eastAsia="宋体" w:cs="宋体"/>
      <w:b/>
      <w:kern w:val="2"/>
      <w:sz w:val="21"/>
      <w:szCs w:val="28"/>
      <w:lang w:val="en-US" w:eastAsia="zh-CN" w:bidi="ar-SA"/>
    </w:rPr>
  </w:style>
  <w:style w:type="character" w:customStyle="1" w:styleId="207">
    <w:name w:val="标题 5 Char1"/>
    <w:qFormat/>
    <w:uiPriority w:val="9"/>
    <w:rPr>
      <w:rFonts w:ascii="Times New Roman" w:hAnsi="Times New Roman" w:eastAsia="宋体" w:cs="宋体"/>
      <w:b/>
      <w:kern w:val="2"/>
      <w:sz w:val="21"/>
      <w:szCs w:val="28"/>
      <w:lang w:val="en-US" w:eastAsia="zh-CN" w:bidi="ar-SA"/>
    </w:rPr>
  </w:style>
  <w:style w:type="paragraph" w:customStyle="1" w:styleId="208">
    <w:name w:val="5"/>
    <w:basedOn w:val="1"/>
    <w:next w:val="51"/>
    <w:qFormat/>
    <w:uiPriority w:val="34"/>
    <w:pPr>
      <w:widowControl w:val="0"/>
      <w:ind w:firstLine="420" w:firstLineChars="200"/>
      <w:jc w:val="both"/>
    </w:pPr>
    <w:rPr>
      <w:rFonts w:ascii="Calibri" w:hAnsi="Calibri" w:cs="Times New Roman"/>
      <w:bCs/>
      <w:kern w:val="2"/>
      <w:szCs w:val="22"/>
    </w:rPr>
  </w:style>
  <w:style w:type="character" w:customStyle="1" w:styleId="209">
    <w:name w:val="批注文字 Char2"/>
    <w:qFormat/>
    <w:uiPriority w:val="99"/>
    <w:rPr>
      <w:rFonts w:ascii="Times New Roman" w:hAnsi="Times New Roman" w:eastAsia="宋体" w:cs="宋体"/>
      <w:bCs/>
      <w:kern w:val="2"/>
      <w:sz w:val="21"/>
      <w:szCs w:val="21"/>
      <w:lang w:val="en-US" w:eastAsia="zh-CN" w:bidi="ar-SA"/>
    </w:rPr>
  </w:style>
  <w:style w:type="character" w:customStyle="1" w:styleId="210">
    <w:name w:val="批注文字 Char3"/>
    <w:qFormat/>
    <w:uiPriority w:val="0"/>
    <w:rPr>
      <w:rFonts w:ascii="Times New Roman" w:hAnsi="Times New Roman" w:eastAsia="宋体" w:cs="Times New Roman"/>
      <w:kern w:val="2"/>
      <w:sz w:val="21"/>
      <w:szCs w:val="21"/>
      <w:lang w:val="en-US" w:eastAsia="zh-CN" w:bidi="ar-SA"/>
    </w:rPr>
  </w:style>
  <w:style w:type="character" w:customStyle="1" w:styleId="211">
    <w:name w:val="称呼 Char"/>
    <w:qFormat/>
    <w:uiPriority w:val="99"/>
    <w:rPr>
      <w:rFonts w:ascii="Times New Roman" w:hAnsi="Times New Roman" w:eastAsia="宋体" w:cs="宋体"/>
      <w:bCs/>
      <w:kern w:val="2"/>
      <w:sz w:val="21"/>
      <w:szCs w:val="21"/>
      <w:lang w:val="en-US" w:eastAsia="zh-CN" w:bidi="ar-SA"/>
    </w:rPr>
  </w:style>
  <w:style w:type="character" w:customStyle="1" w:styleId="212">
    <w:name w:val="fontstyle01"/>
    <w:qFormat/>
    <w:uiPriority w:val="0"/>
    <w:rPr>
      <w:rFonts w:hint="default" w:ascii="FZLTSK--GBK1-0" w:hAnsi="FZLTSK--GBK1-0" w:eastAsia="宋体" w:cs="宋体"/>
      <w:bCs/>
      <w:color w:val="000000"/>
      <w:sz w:val="20"/>
      <w:szCs w:val="20"/>
      <w:lang w:val="en-US" w:eastAsia="zh-CN" w:bidi="ar-SA"/>
    </w:rPr>
  </w:style>
  <w:style w:type="character" w:customStyle="1" w:styleId="213">
    <w:name w:val="批注文字 字符1"/>
    <w:semiHidden/>
    <w:qFormat/>
    <w:locked/>
    <w:uiPriority w:val="99"/>
    <w:rPr>
      <w:rFonts w:ascii="Times New Roman" w:hAnsi="Times New Roman" w:eastAsia="宋体" w:cs="宋体"/>
      <w:bCs/>
      <w:kern w:val="2"/>
      <w:sz w:val="21"/>
      <w:szCs w:val="21"/>
      <w:lang w:val="en-US" w:eastAsia="zh-CN" w:bidi="ar-SA"/>
    </w:rPr>
  </w:style>
  <w:style w:type="character" w:customStyle="1" w:styleId="214">
    <w:name w:val="标题 2 Char1"/>
    <w:qFormat/>
    <w:uiPriority w:val="0"/>
    <w:rPr>
      <w:rFonts w:ascii="Arial" w:hAnsi="Arial" w:eastAsia="宋体" w:cs="宋体"/>
      <w:b/>
      <w:kern w:val="2"/>
      <w:sz w:val="21"/>
      <w:szCs w:val="21"/>
      <w:lang w:val="en-US" w:eastAsia="zh-CN" w:bidi="ar-SA"/>
    </w:rPr>
  </w:style>
  <w:style w:type="character" w:customStyle="1" w:styleId="215">
    <w:name w:val="标题 5 Char2"/>
    <w:qFormat/>
    <w:uiPriority w:val="9"/>
    <w:rPr>
      <w:rFonts w:ascii="Times New Roman" w:hAnsi="Times New Roman" w:eastAsia="宋体" w:cs="宋体"/>
      <w:b/>
      <w:kern w:val="2"/>
      <w:sz w:val="21"/>
      <w:szCs w:val="28"/>
      <w:lang w:val="en-US" w:eastAsia="zh-CN" w:bidi="ar-SA"/>
    </w:rPr>
  </w:style>
  <w:style w:type="character" w:customStyle="1" w:styleId="216">
    <w:name w:val="标题 3 Char2"/>
    <w:qFormat/>
    <w:uiPriority w:val="9"/>
    <w:rPr>
      <w:rFonts w:ascii="Times New Roman" w:hAnsi="Times New Roman" w:eastAsia="宋体" w:cs="宋体"/>
      <w:b/>
      <w:kern w:val="2"/>
      <w:sz w:val="21"/>
      <w:szCs w:val="32"/>
      <w:lang w:val="en-US" w:eastAsia="zh-CN" w:bidi="ar-SA"/>
    </w:rPr>
  </w:style>
  <w:style w:type="character" w:customStyle="1" w:styleId="217">
    <w:name w:val="标题 3 Char3"/>
    <w:qFormat/>
    <w:uiPriority w:val="9"/>
    <w:rPr>
      <w:rFonts w:ascii="Times New Roman" w:hAnsi="Times New Roman" w:eastAsia="宋体" w:cs="宋体"/>
      <w:b/>
      <w:kern w:val="2"/>
      <w:sz w:val="21"/>
      <w:szCs w:val="32"/>
      <w:lang w:val="en-US" w:eastAsia="zh-CN" w:bidi="ar-SA"/>
    </w:rPr>
  </w:style>
  <w:style w:type="character" w:customStyle="1" w:styleId="218">
    <w:name w:val="脚注文本 字符"/>
    <w:basedOn w:val="40"/>
    <w:link w:val="29"/>
    <w:semiHidden/>
    <w:qFormat/>
    <w:uiPriority w:val="99"/>
    <w:rPr>
      <w:rFonts w:ascii="Calibri" w:hAnsi="Calibri" w:eastAsia="宋体" w:cs="Times New Roman"/>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wps\zh_CN\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11111111111111111111111111111"/>
        <w:style w:val=""/>
        <w:category>
          <w:name w:val="常规"/>
          <w:gallery w:val="placeholder"/>
        </w:category>
        <w:types>
          <w:type w:val="bbPlcHdr"/>
        </w:types>
        <w:behaviors>
          <w:behavior w:val="content"/>
        </w:behaviors>
        <w:description w:val=""/>
        <w:guid w:val="{B960C2E6-8E28-4930-AAD5-AA36AFD6E523}"/>
      </w:docPartPr>
      <w:docPartBody>
        <w:p w14:paraId="35F55FA3">
          <w:r>
            <w:rPr>
              <w:rStyle w:val="4"/>
              <w:rFonts w:hint="eastAsia"/>
            </w:rPr>
            <w:t>　</w:t>
          </w:r>
        </w:p>
      </w:docPartBody>
    </w:docPart>
    <w:docPart>
      <w:docPartPr>
        <w:name w:val="GBC22222222222222222222222222222"/>
        <w:style w:val=""/>
        <w:category>
          <w:name w:val="常规"/>
          <w:gallery w:val="placeholder"/>
        </w:category>
        <w:types>
          <w:type w:val="bbPlcHdr"/>
        </w:types>
        <w:behaviors>
          <w:behavior w:val="content"/>
        </w:behaviors>
        <w:description w:val=""/>
        <w:guid w:val="{54795268-88DE-4BB2-A320-6C6C52CBF450}"/>
      </w:docPartPr>
      <w:docPartBody>
        <w:p w14:paraId="41FC83F0">
          <w:r>
            <w:rPr>
              <w:rStyle w:val="4"/>
              <w:color w:val="333399"/>
              <w:u w:val="single"/>
            </w:rPr>
            <w:t>　　　</w:t>
          </w:r>
        </w:p>
      </w:docPartBody>
    </w:docPart>
    <w:docPart>
      <w:docPartPr>
        <w:name w:val="0A8A201A86EF4BD69819C615F4611C02"/>
        <w:style w:val=""/>
        <w:category>
          <w:name w:val="常规"/>
          <w:gallery w:val="placeholder"/>
        </w:category>
        <w:types>
          <w:type w:val="bbPlcHdr"/>
        </w:types>
        <w:behaviors>
          <w:behavior w:val="content"/>
        </w:behaviors>
        <w:description w:val=""/>
        <w:guid w:val="{DEB6B152-600F-47B0-9B5A-1391A1E53AE0}"/>
      </w:docPartPr>
      <w:docPartBody>
        <w:p w14:paraId="7CEE6F9D">
          <w:pPr>
            <w:pStyle w:val="5"/>
          </w:pPr>
          <w:r>
            <w:rPr>
              <w:rStyle w:val="4"/>
              <w:color w:val="333399"/>
              <w:u w:val="single"/>
            </w:rPr>
            <w:t>　　　</w:t>
          </w:r>
        </w:p>
      </w:docPartBody>
    </w:docPart>
    <w:docPart>
      <w:docPartPr>
        <w:name w:val="91A46B86DF544611AC7540E245EB09BF"/>
        <w:style w:val=""/>
        <w:category>
          <w:name w:val="常规"/>
          <w:gallery w:val="placeholder"/>
        </w:category>
        <w:types>
          <w:type w:val="bbPlcHdr"/>
        </w:types>
        <w:behaviors>
          <w:behavior w:val="content"/>
        </w:behaviors>
        <w:description w:val=""/>
        <w:guid w:val="{A47D833E-D5DC-4260-9DC4-FFE4F5D7A135}"/>
      </w:docPartPr>
      <w:docPartBody>
        <w:p w14:paraId="4C954C87">
          <w:pPr>
            <w:pStyle w:val="6"/>
          </w:pPr>
          <w:r>
            <w:rPr>
              <w:rStyle w:val="4"/>
              <w:color w:val="333399"/>
              <w:u w:val="single"/>
            </w:rPr>
            <w:t>　　　</w:t>
          </w:r>
        </w:p>
      </w:docPartBody>
    </w:docPart>
    <w:docPart>
      <w:docPartPr>
        <w:name w:val="ADED526B8C7C4863B82886CC952A19CC"/>
        <w:style w:val=""/>
        <w:category>
          <w:name w:val="常规"/>
          <w:gallery w:val="placeholder"/>
        </w:category>
        <w:types>
          <w:type w:val="bbPlcHdr"/>
        </w:types>
        <w:behaviors>
          <w:behavior w:val="content"/>
        </w:behaviors>
        <w:description w:val=""/>
        <w:guid w:val="{6AFA4CAE-98C1-4D13-807E-FFD6B021B1F0}"/>
      </w:docPartPr>
      <w:docPartBody>
        <w:p w14:paraId="12A78879">
          <w:pPr>
            <w:pStyle w:val="7"/>
          </w:pPr>
          <w:r>
            <w:rPr>
              <w:rStyle w:val="4"/>
              <w:color w:val="333399"/>
              <w:u w:val="single"/>
            </w:rPr>
            <w:t>　　　</w:t>
          </w:r>
        </w:p>
      </w:docPartBody>
    </w:docPart>
    <w:docPart>
      <w:docPartPr>
        <w:name w:val="D1FD054220E54558A883A0F71BF0B0B4"/>
        <w:style w:val=""/>
        <w:category>
          <w:name w:val="常规"/>
          <w:gallery w:val="placeholder"/>
        </w:category>
        <w:types>
          <w:type w:val="bbPlcHdr"/>
        </w:types>
        <w:behaviors>
          <w:behavior w:val="content"/>
        </w:behaviors>
        <w:description w:val=""/>
        <w:guid w:val="{22A943F0-3DFA-4D80-AC40-692E3056C42A}"/>
      </w:docPartPr>
      <w:docPartBody>
        <w:p w14:paraId="040137C8">
          <w:pPr>
            <w:pStyle w:val="8"/>
          </w:pPr>
          <w:r>
            <w:rPr>
              <w:rStyle w:val="4"/>
              <w:color w:val="333399"/>
              <w:u w:val="single"/>
            </w:rPr>
            <w:t>　　　</w:t>
          </w:r>
        </w:p>
      </w:docPartBody>
    </w:docPart>
    <w:docPart>
      <w:docPartPr>
        <w:name w:val="BD7FC7B937054DEDA43654C9C510D1A6"/>
        <w:style w:val=""/>
        <w:category>
          <w:name w:val="常规"/>
          <w:gallery w:val="placeholder"/>
        </w:category>
        <w:types>
          <w:type w:val="bbPlcHdr"/>
        </w:types>
        <w:behaviors>
          <w:behavior w:val="content"/>
        </w:behaviors>
        <w:description w:val=""/>
        <w:guid w:val="{0A389147-19B3-4484-8B63-093D0B7555BE}"/>
      </w:docPartPr>
      <w:docPartBody>
        <w:p w14:paraId="1D97F022">
          <w:pPr>
            <w:pStyle w:val="9"/>
          </w:pPr>
          <w:r>
            <w:rPr>
              <w:rStyle w:val="4"/>
              <w:color w:val="333399"/>
              <w:u w:val="single"/>
            </w:rPr>
            <w:t>　　　</w:t>
          </w:r>
        </w:p>
      </w:docPartBody>
    </w:docPart>
    <w:docPart>
      <w:docPartPr>
        <w:name w:val="5867D7D0E9E345948836A462CE83F6E6"/>
        <w:style w:val=""/>
        <w:category>
          <w:name w:val="常规"/>
          <w:gallery w:val="placeholder"/>
        </w:category>
        <w:types>
          <w:type w:val="bbPlcHdr"/>
        </w:types>
        <w:behaviors>
          <w:behavior w:val="content"/>
        </w:behaviors>
        <w:description w:val=""/>
        <w:guid w:val="{E9FC37C3-3C2C-465D-A503-85F6DDD7A2ED}"/>
      </w:docPartPr>
      <w:docPartBody>
        <w:p w14:paraId="618502C2">
          <w:pPr>
            <w:pStyle w:val="10"/>
          </w:pPr>
          <w:r>
            <w:rPr>
              <w:rStyle w:val="4"/>
              <w:color w:val="333399"/>
              <w:u w:val="single"/>
            </w:rPr>
            <w:t>　　　</w:t>
          </w:r>
        </w:p>
      </w:docPartBody>
    </w:docPart>
    <w:docPart>
      <w:docPartPr>
        <w:name w:val="852632E0D3634FA7B993816714BFA3FC"/>
        <w:style w:val=""/>
        <w:category>
          <w:name w:val="常规"/>
          <w:gallery w:val="placeholder"/>
        </w:category>
        <w:types>
          <w:type w:val="bbPlcHdr"/>
        </w:types>
        <w:behaviors>
          <w:behavior w:val="content"/>
        </w:behaviors>
        <w:description w:val=""/>
        <w:guid w:val="{930FB0C4-411D-4D7E-B53E-4997D791F4BD}"/>
      </w:docPartPr>
      <w:docPartBody>
        <w:p w14:paraId="69F9D672">
          <w:pPr>
            <w:pStyle w:val="11"/>
          </w:pPr>
          <w:r>
            <w:rPr>
              <w:rStyle w:val="4"/>
              <w:color w:val="333399"/>
              <w:u w:val="single"/>
            </w:rPr>
            <w:t>　　　</w:t>
          </w:r>
        </w:p>
      </w:docPartBody>
    </w:docPart>
    <w:docPart>
      <w:docPartPr>
        <w:name w:val="65D44078E0DA4C8C97ADFD5B34ABF223"/>
        <w:style w:val=""/>
        <w:category>
          <w:name w:val="常规"/>
          <w:gallery w:val="placeholder"/>
        </w:category>
        <w:types>
          <w:type w:val="bbPlcHdr"/>
        </w:types>
        <w:behaviors>
          <w:behavior w:val="content"/>
        </w:behaviors>
        <w:description w:val=""/>
        <w:guid w:val="{E8CDBFD1-5690-4AF1-816D-5E284D8EB618}"/>
      </w:docPartPr>
      <w:docPartBody>
        <w:p w14:paraId="4CF3E5B4">
          <w:pPr>
            <w:pStyle w:val="12"/>
          </w:pPr>
          <w:r>
            <w:rPr>
              <w:rStyle w:val="4"/>
              <w:color w:val="333399"/>
              <w:u w:val="single"/>
            </w:rPr>
            <w:t>　　　</w:t>
          </w:r>
        </w:p>
      </w:docPartBody>
    </w:docPart>
    <w:docPart>
      <w:docPartPr>
        <w:name w:val="E5D2A530CA3B4DB5A9B8F2DD67FA1DB1"/>
        <w:style w:val=""/>
        <w:category>
          <w:name w:val="常规"/>
          <w:gallery w:val="placeholder"/>
        </w:category>
        <w:types>
          <w:type w:val="bbPlcHdr"/>
        </w:types>
        <w:behaviors>
          <w:behavior w:val="content"/>
        </w:behaviors>
        <w:description w:val=""/>
        <w:guid w:val="{61A5E8FC-5F07-4159-94AA-970A32DB1332}"/>
      </w:docPartPr>
      <w:docPartBody>
        <w:p w14:paraId="3D595703">
          <w:pPr>
            <w:pStyle w:val="13"/>
          </w:pPr>
          <w:r>
            <w:rPr>
              <w:rStyle w:val="4"/>
              <w:color w:val="333399"/>
              <w:u w:val="single"/>
            </w:rPr>
            <w:t>　　　</w:t>
          </w:r>
        </w:p>
      </w:docPartBody>
    </w:docPart>
    <w:docPart>
      <w:docPartPr>
        <w:name w:val="7DCE43F128424BED9B00BE003472A691"/>
        <w:style w:val=""/>
        <w:category>
          <w:name w:val="常规"/>
          <w:gallery w:val="placeholder"/>
        </w:category>
        <w:types>
          <w:type w:val="bbPlcHdr"/>
        </w:types>
        <w:behaviors>
          <w:behavior w:val="content"/>
        </w:behaviors>
        <w:description w:val=""/>
        <w:guid w:val="{DDF3FC6D-DC77-48FF-9137-5B377FA690E5}"/>
      </w:docPartPr>
      <w:docPartBody>
        <w:p w14:paraId="6524B577">
          <w:pPr>
            <w:pStyle w:val="14"/>
          </w:pPr>
          <w:r>
            <w:rPr>
              <w:rStyle w:val="4"/>
              <w:color w:val="333399"/>
              <w:u w:val="single"/>
            </w:rPr>
            <w:t>　　　</w:t>
          </w:r>
        </w:p>
      </w:docPartBody>
    </w:docPart>
    <w:docPart>
      <w:docPartPr>
        <w:name w:val="61937129346B491D8B6D9CE3A40A73C2"/>
        <w:style w:val=""/>
        <w:category>
          <w:name w:val="常规"/>
          <w:gallery w:val="placeholder"/>
        </w:category>
        <w:types>
          <w:type w:val="bbPlcHdr"/>
        </w:types>
        <w:behaviors>
          <w:behavior w:val="content"/>
        </w:behaviors>
        <w:description w:val=""/>
        <w:guid w:val="{20020DB3-E55C-426D-B2DF-4C306CE23028}"/>
      </w:docPartPr>
      <w:docPartBody>
        <w:p w14:paraId="5C35030E">
          <w:pPr>
            <w:pStyle w:val="15"/>
          </w:pPr>
          <w:r>
            <w:rPr>
              <w:rStyle w:val="4"/>
              <w:color w:val="333399"/>
              <w:u w:val="single"/>
            </w:rPr>
            <w:t>　　　</w:t>
          </w:r>
        </w:p>
      </w:docPartBody>
    </w:docPart>
    <w:docPart>
      <w:docPartPr>
        <w:name w:val="7726C3976D6D4C2DBF0CA20708978E9E"/>
        <w:style w:val=""/>
        <w:category>
          <w:name w:val="常规"/>
          <w:gallery w:val="placeholder"/>
        </w:category>
        <w:types>
          <w:type w:val="bbPlcHdr"/>
        </w:types>
        <w:behaviors>
          <w:behavior w:val="content"/>
        </w:behaviors>
        <w:description w:val=""/>
        <w:guid w:val="{E8FE2ECE-96EE-4EFF-966B-DAC88E34E9C3}"/>
      </w:docPartPr>
      <w:docPartBody>
        <w:p w14:paraId="68B335D7">
          <w:pPr>
            <w:pStyle w:val="16"/>
          </w:pPr>
          <w:r>
            <w:rPr>
              <w:rStyle w:val="4"/>
              <w:rFonts w:hint="eastAsia"/>
            </w:rPr>
            <w:t>　</w:t>
          </w:r>
        </w:p>
      </w:docPartBody>
    </w:docPart>
    <w:docPart>
      <w:docPartPr>
        <w:name w:val="CB82F8C679AE4BA383530239D97AF073"/>
        <w:style w:val=""/>
        <w:category>
          <w:name w:val="常规"/>
          <w:gallery w:val="placeholder"/>
        </w:category>
        <w:types>
          <w:type w:val="bbPlcHdr"/>
        </w:types>
        <w:behaviors>
          <w:behavior w:val="content"/>
        </w:behaviors>
        <w:description w:val=""/>
        <w:guid w:val="{529E1601-95B3-43A4-8F75-AB74B28A6BBE}"/>
      </w:docPartPr>
      <w:docPartBody>
        <w:p w14:paraId="72291D2C">
          <w:pPr>
            <w:pStyle w:val="17"/>
          </w:pPr>
          <w:r>
            <w:rPr>
              <w:rStyle w:val="4"/>
              <w:color w:val="333399"/>
              <w:u w:val="single"/>
            </w:rPr>
            <w:t>　　　</w:t>
          </w:r>
        </w:p>
      </w:docPartBody>
    </w:docPart>
    <w:docPart>
      <w:docPartPr>
        <w:name w:val="{81d1eded-ca6a-4f44-bf0f-c7b1c8d05b91}"/>
        <w:style w:val=""/>
        <w:category>
          <w:name w:val="常规"/>
          <w:gallery w:val="placeholder"/>
        </w:category>
        <w:types>
          <w:type w:val="bbPlcHdr"/>
        </w:types>
        <w:behaviors>
          <w:behavior w:val="content"/>
        </w:behaviors>
        <w:description w:val=""/>
        <w:guid w:val="{81D1EDED-CA6A-4F44-BF0F-C7B1C8D05B91}"/>
      </w:docPartPr>
      <w:docPartBody>
        <w:p w14:paraId="08B4D085">
          <w:r>
            <w:rPr>
              <w:rStyle w:val="4"/>
              <w:color w:val="333399"/>
              <w:u w:val="single"/>
            </w:rPr>
            <w:t>　　　</w:t>
          </w:r>
        </w:p>
      </w:docPartBody>
    </w:docPart>
    <w:docPart>
      <w:docPartPr>
        <w:name w:val="{03e0cf10-9902-4810-9881-9ba1ba34bf4a}"/>
        <w:style w:val=""/>
        <w:category>
          <w:name w:val="常规"/>
          <w:gallery w:val="placeholder"/>
        </w:category>
        <w:types>
          <w:type w:val="bbPlcHdr"/>
        </w:types>
        <w:behaviors>
          <w:behavior w:val="content"/>
        </w:behaviors>
        <w:description w:val=""/>
        <w:guid w:val="{03E0CF10-9902-4810-9881-9BA1BA34BF4A}"/>
      </w:docPartPr>
      <w:docPartBody>
        <w:p w14:paraId="3A946CA1">
          <w:r>
            <w:rPr>
              <w:rStyle w:val="4"/>
              <w:color w:val="333399"/>
              <w:u w:val="single"/>
            </w:rPr>
            <w:t>　　　</w:t>
          </w:r>
        </w:p>
      </w:docPartBody>
    </w:docPart>
    <w:docPart>
      <w:docPartPr>
        <w:name w:val="{91fb0529-1b6f-4707-a161-ecf71314d165}"/>
        <w:style w:val=""/>
        <w:category>
          <w:name w:val="常规"/>
          <w:gallery w:val="placeholder"/>
        </w:category>
        <w:types>
          <w:type w:val="bbPlcHdr"/>
        </w:types>
        <w:behaviors>
          <w:behavior w:val="content"/>
        </w:behaviors>
        <w:description w:val=""/>
        <w:guid w:val="{91FB0529-1B6F-4707-A161-ECF71314D165}"/>
      </w:docPartPr>
      <w:docPartBody>
        <w:p w14:paraId="2EAF1B6D">
          <w:r>
            <w:rPr>
              <w:rStyle w:val="4"/>
              <w:color w:val="333399"/>
              <w:u w:val="single"/>
            </w:rPr>
            <w:t>　　　</w:t>
          </w:r>
        </w:p>
      </w:docPartBody>
    </w:docPart>
    <w:docPart>
      <w:docPartPr>
        <w:name w:val="{c74ea67a-698c-49e3-858e-008636dc9b65}"/>
        <w:style w:val=""/>
        <w:category>
          <w:name w:val="常规"/>
          <w:gallery w:val="placeholder"/>
        </w:category>
        <w:types>
          <w:type w:val="bbPlcHdr"/>
        </w:types>
        <w:behaviors>
          <w:behavior w:val="content"/>
        </w:behaviors>
        <w:description w:val=""/>
        <w:guid w:val="{C74EA67A-698C-49E3-858E-008636DC9B65}"/>
      </w:docPartPr>
      <w:docPartBody>
        <w:p w14:paraId="696C2C7B">
          <w:r>
            <w:rPr>
              <w:rStyle w:val="4"/>
              <w:color w:val="333399"/>
              <w:u w:val="single"/>
            </w:rPr>
            <w:t>　　　</w:t>
          </w:r>
        </w:p>
      </w:docPartBody>
    </w:docPart>
    <w:docPart>
      <w:docPartPr>
        <w:name w:val="{840a7055-40b0-43df-a894-e7c4291d2dcf}"/>
        <w:style w:val=""/>
        <w:category>
          <w:name w:val="常规"/>
          <w:gallery w:val="placeholder"/>
        </w:category>
        <w:types>
          <w:type w:val="bbPlcHdr"/>
        </w:types>
        <w:behaviors>
          <w:behavior w:val="content"/>
        </w:behaviors>
        <w:description w:val=""/>
        <w:guid w:val="{840A7055-40B0-43DF-A894-E7C4291D2DCF}"/>
      </w:docPartPr>
      <w:docPartBody>
        <w:p w14:paraId="53A4633D">
          <w:r>
            <w:rPr>
              <w:rStyle w:val="4"/>
              <w:color w:val="333399"/>
              <w:u w:val="single"/>
            </w:rPr>
            <w:t>　　　</w:t>
          </w:r>
        </w:p>
      </w:docPartBody>
    </w:docPart>
    <w:docPart>
      <w:docPartPr>
        <w:name w:val="{7d081782-a38f-4574-9ede-e761a3b98f51}"/>
        <w:style w:val=""/>
        <w:category>
          <w:name w:val="常规"/>
          <w:gallery w:val="placeholder"/>
        </w:category>
        <w:types>
          <w:type w:val="bbPlcHdr"/>
        </w:types>
        <w:behaviors>
          <w:behavior w:val="content"/>
        </w:behaviors>
        <w:description w:val=""/>
        <w:guid w:val="{7D081782-A38F-4574-9EDE-E761A3B98F51}"/>
      </w:docPartPr>
      <w:docPartBody>
        <w:p w14:paraId="2BDEDDF5">
          <w:r>
            <w:rPr>
              <w:rStyle w:val="4"/>
              <w:color w:val="333399"/>
              <w:u w:val="single"/>
            </w:rPr>
            <w:t>　　　</w:t>
          </w:r>
        </w:p>
      </w:docPartBody>
    </w:docPart>
    <w:docPart>
      <w:docPartPr>
        <w:name w:val="12F04DAC8C954051BB2C14249380700F"/>
        <w:style w:val=""/>
        <w:category>
          <w:name w:val="常规"/>
          <w:gallery w:val="placeholder"/>
        </w:category>
        <w:types>
          <w:type w:val="bbPlcHdr"/>
        </w:types>
        <w:behaviors>
          <w:behavior w:val="content"/>
        </w:behaviors>
        <w:description w:val=""/>
        <w:guid w:val="{C96F55BA-DDDB-47FF-BDA6-1E7B809F0A26}"/>
      </w:docPartPr>
      <w:docPartBody>
        <w:p w14:paraId="217446FB">
          <w:pPr>
            <w:pStyle w:val="18"/>
          </w:pPr>
          <w:r>
            <w:rPr>
              <w:rStyle w:val="4"/>
              <w:rFonts w:hint="eastAsia"/>
            </w:rPr>
            <w:t>　</w:t>
          </w:r>
        </w:p>
      </w:docPartBody>
    </w:docPart>
    <w:docPart>
      <w:docPartPr>
        <w:name w:val="501E9C1F75074586A4BA667F98959FBB"/>
        <w:style w:val=""/>
        <w:category>
          <w:name w:val="常规"/>
          <w:gallery w:val="placeholder"/>
        </w:category>
        <w:types>
          <w:type w:val="bbPlcHdr"/>
        </w:types>
        <w:behaviors>
          <w:behavior w:val="content"/>
        </w:behaviors>
        <w:description w:val=""/>
        <w:guid w:val="{E608AB17-F78E-47A9-B829-10748C710C17}"/>
      </w:docPartPr>
      <w:docPartBody>
        <w:p w14:paraId="48F05F9A">
          <w:pPr>
            <w:pStyle w:val="19"/>
          </w:pPr>
          <w:r>
            <w:rPr>
              <w:rStyle w:val="4"/>
              <w:color w:val="333399"/>
              <w:u w:val="single"/>
            </w:rPr>
            <w:t>　　　</w:t>
          </w:r>
        </w:p>
      </w:docPartBody>
    </w:docPart>
    <w:docPart>
      <w:docPartPr>
        <w:name w:val="4570334EBDCC49A594824A5F0B5CD8DB"/>
        <w:style w:val=""/>
        <w:category>
          <w:name w:val="常规"/>
          <w:gallery w:val="placeholder"/>
        </w:category>
        <w:types>
          <w:type w:val="bbPlcHdr"/>
        </w:types>
        <w:behaviors>
          <w:behavior w:val="content"/>
        </w:behaviors>
        <w:description w:val=""/>
        <w:guid w:val="{F034863C-9996-407B-9A95-12744B0E6FEB}"/>
      </w:docPartPr>
      <w:docPartBody>
        <w:p w14:paraId="69F1021D">
          <w:pPr>
            <w:pStyle w:val="20"/>
          </w:pPr>
          <w:r>
            <w:rPr>
              <w:rStyle w:val="4"/>
              <w:color w:val="333399"/>
              <w:u w:val="single"/>
            </w:rPr>
            <w:t>　　　</w:t>
          </w:r>
        </w:p>
      </w:docPartBody>
    </w:docPart>
    <w:docPart>
      <w:docPartPr>
        <w:name w:val="89761A5795A346E2A0272437AF187592"/>
        <w:style w:val=""/>
        <w:category>
          <w:name w:val="常规"/>
          <w:gallery w:val="placeholder"/>
        </w:category>
        <w:types>
          <w:type w:val="bbPlcHdr"/>
        </w:types>
        <w:behaviors>
          <w:behavior w:val="content"/>
        </w:behaviors>
        <w:description w:val=""/>
        <w:guid w:val="{C7131A73-6591-4103-BE7E-62760E458422}"/>
      </w:docPartPr>
      <w:docPartBody>
        <w:p w14:paraId="47E1A2DD">
          <w:pPr>
            <w:pStyle w:val="21"/>
          </w:pPr>
          <w:r>
            <w:rPr>
              <w:rStyle w:val="4"/>
              <w:color w:val="333399"/>
              <w:u w:val="single"/>
            </w:rPr>
            <w:t>　　　</w:t>
          </w:r>
        </w:p>
      </w:docPartBody>
    </w:docPart>
    <w:docPart>
      <w:docPartPr>
        <w:name w:val="885933D842F2488691E6F57C255EE3F5"/>
        <w:style w:val=""/>
        <w:category>
          <w:name w:val="常规"/>
          <w:gallery w:val="placeholder"/>
        </w:category>
        <w:types>
          <w:type w:val="bbPlcHdr"/>
        </w:types>
        <w:behaviors>
          <w:behavior w:val="content"/>
        </w:behaviors>
        <w:description w:val=""/>
        <w:guid w:val="{839B409A-B32E-4F9D-AC3F-551269827501}"/>
      </w:docPartPr>
      <w:docPartBody>
        <w:p w14:paraId="0A5B6563">
          <w:pPr>
            <w:pStyle w:val="22"/>
          </w:pPr>
          <w:r>
            <w:rPr>
              <w:rStyle w:val="4"/>
              <w:color w:val="333399"/>
              <w:u w:val="single"/>
            </w:rPr>
            <w:t>　　　</w:t>
          </w:r>
        </w:p>
      </w:docPartBody>
    </w:docPart>
    <w:docPart>
      <w:docPartPr>
        <w:name w:val="DBE6AC09F5874DED87DFAB4B5D6B1E9B"/>
        <w:style w:val=""/>
        <w:category>
          <w:name w:val="常规"/>
          <w:gallery w:val="placeholder"/>
        </w:category>
        <w:types>
          <w:type w:val="bbPlcHdr"/>
        </w:types>
        <w:behaviors>
          <w:behavior w:val="content"/>
        </w:behaviors>
        <w:description w:val=""/>
        <w:guid w:val="{A203F626-FBCB-4FFB-8BA3-C4701AF32A0F}"/>
      </w:docPartPr>
      <w:docPartBody>
        <w:p w14:paraId="436869F8">
          <w:pPr>
            <w:pStyle w:val="23"/>
          </w:pPr>
          <w:r>
            <w:rPr>
              <w:rStyle w:val="4"/>
              <w:color w:val="333399"/>
              <w:u w:val="single"/>
            </w:rPr>
            <w:t>　　　</w:t>
          </w:r>
        </w:p>
      </w:docPartBody>
    </w:docPart>
    <w:docPart>
      <w:docPartPr>
        <w:name w:val="07F341E97A2540A79B5BA7773A1A4ADD"/>
        <w:style w:val=""/>
        <w:category>
          <w:name w:val="常规"/>
          <w:gallery w:val="placeholder"/>
        </w:category>
        <w:types>
          <w:type w:val="bbPlcHdr"/>
        </w:types>
        <w:behaviors>
          <w:behavior w:val="content"/>
        </w:behaviors>
        <w:description w:val=""/>
        <w:guid w:val="{6A77B61A-83F6-44B4-8C45-1DCDC17D44DD}"/>
      </w:docPartPr>
      <w:docPartBody>
        <w:p w14:paraId="2586BAA7">
          <w:pPr>
            <w:pStyle w:val="24"/>
          </w:pPr>
          <w:r>
            <w:rPr>
              <w:rStyle w:val="4"/>
              <w:color w:val="333399"/>
              <w:u w:val="single"/>
            </w:rPr>
            <w:t>　　　</w:t>
          </w:r>
        </w:p>
      </w:docPartBody>
    </w:docPart>
    <w:docPart>
      <w:docPartPr>
        <w:name w:val="22D70776DDED43F6B7D1BB053D1BCA34"/>
        <w:style w:val=""/>
        <w:category>
          <w:name w:val="常规"/>
          <w:gallery w:val="placeholder"/>
        </w:category>
        <w:types>
          <w:type w:val="bbPlcHdr"/>
        </w:types>
        <w:behaviors>
          <w:behavior w:val="content"/>
        </w:behaviors>
        <w:description w:val=""/>
        <w:guid w:val="{70DFD4E5-8A85-4B49-8872-F80B6511E816}"/>
      </w:docPartPr>
      <w:docPartBody>
        <w:p w14:paraId="3EFA031B">
          <w:pPr>
            <w:pStyle w:val="25"/>
          </w:pPr>
          <w:r>
            <w:rPr>
              <w:rStyle w:val="4"/>
              <w:color w:val="333399"/>
              <w:u w:val="single"/>
            </w:rPr>
            <w:t>　　　</w:t>
          </w:r>
        </w:p>
      </w:docPartBody>
    </w:docPart>
    <w:docPart>
      <w:docPartPr>
        <w:name w:val="F66646AE77554B4C8EEF3A8B98AA0388"/>
        <w:style w:val=""/>
        <w:category>
          <w:name w:val="常规"/>
          <w:gallery w:val="placeholder"/>
        </w:category>
        <w:types>
          <w:type w:val="bbPlcHdr"/>
        </w:types>
        <w:behaviors>
          <w:behavior w:val="content"/>
        </w:behaviors>
        <w:description w:val=""/>
        <w:guid w:val="{8F9CB9EA-5052-4087-AF01-EF0FA7510279}"/>
      </w:docPartPr>
      <w:docPartBody>
        <w:p w14:paraId="7B869750">
          <w:pPr>
            <w:pStyle w:val="27"/>
          </w:pPr>
          <w:r>
            <w:rPr>
              <w:rStyle w:val="4"/>
              <w:color w:val="333399"/>
              <w:u w:val="single"/>
            </w:rPr>
            <w:t>　　　</w:t>
          </w:r>
        </w:p>
      </w:docPartBody>
    </w:docPart>
    <w:docPart>
      <w:docPartPr>
        <w:name w:val="E792C6E4365148378C3D428A68A2B7F3"/>
        <w:style w:val=""/>
        <w:category>
          <w:name w:val="常规"/>
          <w:gallery w:val="placeholder"/>
        </w:category>
        <w:types>
          <w:type w:val="bbPlcHdr"/>
        </w:types>
        <w:behaviors>
          <w:behavior w:val="content"/>
        </w:behaviors>
        <w:description w:val=""/>
        <w:guid w:val="{E880C146-3160-4D11-AB91-2A413AF98AF2}"/>
      </w:docPartPr>
      <w:docPartBody>
        <w:p w14:paraId="1DF49AC8">
          <w:pPr>
            <w:pStyle w:val="28"/>
          </w:pPr>
          <w:r>
            <w:rPr>
              <w:rStyle w:val="4"/>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C77"/>
    <w:rsid w:val="0001158B"/>
    <w:rsid w:val="0009072C"/>
    <w:rsid w:val="000A477A"/>
    <w:rsid w:val="000C1118"/>
    <w:rsid w:val="000E7004"/>
    <w:rsid w:val="000E75F8"/>
    <w:rsid w:val="00103680"/>
    <w:rsid w:val="00153459"/>
    <w:rsid w:val="0017381C"/>
    <w:rsid w:val="001A6372"/>
    <w:rsid w:val="001C14E2"/>
    <w:rsid w:val="001E55A1"/>
    <w:rsid w:val="001F78FF"/>
    <w:rsid w:val="002226AC"/>
    <w:rsid w:val="00237DAA"/>
    <w:rsid w:val="0024578B"/>
    <w:rsid w:val="0025636D"/>
    <w:rsid w:val="00263371"/>
    <w:rsid w:val="002A0A42"/>
    <w:rsid w:val="00310ECA"/>
    <w:rsid w:val="003444AB"/>
    <w:rsid w:val="00380D49"/>
    <w:rsid w:val="003A1599"/>
    <w:rsid w:val="003A28C2"/>
    <w:rsid w:val="00401964"/>
    <w:rsid w:val="00407CE7"/>
    <w:rsid w:val="00411AFC"/>
    <w:rsid w:val="0045653F"/>
    <w:rsid w:val="004800FE"/>
    <w:rsid w:val="004A5A78"/>
    <w:rsid w:val="004B66E3"/>
    <w:rsid w:val="004F11D9"/>
    <w:rsid w:val="00501328"/>
    <w:rsid w:val="00531B6E"/>
    <w:rsid w:val="00533B78"/>
    <w:rsid w:val="00543BF6"/>
    <w:rsid w:val="00563638"/>
    <w:rsid w:val="005939CC"/>
    <w:rsid w:val="005C1E5E"/>
    <w:rsid w:val="00624C9B"/>
    <w:rsid w:val="00647F80"/>
    <w:rsid w:val="00676051"/>
    <w:rsid w:val="0068076C"/>
    <w:rsid w:val="00693356"/>
    <w:rsid w:val="006A06C8"/>
    <w:rsid w:val="006B5E04"/>
    <w:rsid w:val="006E7732"/>
    <w:rsid w:val="00755B75"/>
    <w:rsid w:val="00775581"/>
    <w:rsid w:val="00776E0D"/>
    <w:rsid w:val="007945AC"/>
    <w:rsid w:val="007E6520"/>
    <w:rsid w:val="00816B35"/>
    <w:rsid w:val="00836E77"/>
    <w:rsid w:val="00844AC8"/>
    <w:rsid w:val="008B3694"/>
    <w:rsid w:val="008C6F31"/>
    <w:rsid w:val="008D460D"/>
    <w:rsid w:val="00907F6A"/>
    <w:rsid w:val="009113B7"/>
    <w:rsid w:val="00962D59"/>
    <w:rsid w:val="009A0D80"/>
    <w:rsid w:val="009A366E"/>
    <w:rsid w:val="009E24BC"/>
    <w:rsid w:val="009F181D"/>
    <w:rsid w:val="009F2256"/>
    <w:rsid w:val="00A16B36"/>
    <w:rsid w:val="00A6754D"/>
    <w:rsid w:val="00AB2024"/>
    <w:rsid w:val="00AC2FEC"/>
    <w:rsid w:val="00B31AEA"/>
    <w:rsid w:val="00BE0C4F"/>
    <w:rsid w:val="00C01823"/>
    <w:rsid w:val="00C17585"/>
    <w:rsid w:val="00C45C0C"/>
    <w:rsid w:val="00C45C34"/>
    <w:rsid w:val="00C90D78"/>
    <w:rsid w:val="00C94F9D"/>
    <w:rsid w:val="00CC4008"/>
    <w:rsid w:val="00CC5FD7"/>
    <w:rsid w:val="00D05E34"/>
    <w:rsid w:val="00D70983"/>
    <w:rsid w:val="00D832FA"/>
    <w:rsid w:val="00DB27BB"/>
    <w:rsid w:val="00DD460B"/>
    <w:rsid w:val="00DF2047"/>
    <w:rsid w:val="00E1360A"/>
    <w:rsid w:val="00E45A0F"/>
    <w:rsid w:val="00E56A37"/>
    <w:rsid w:val="00E803D5"/>
    <w:rsid w:val="00EA62C1"/>
    <w:rsid w:val="00EF673E"/>
    <w:rsid w:val="00F36CA2"/>
    <w:rsid w:val="00F53BBB"/>
    <w:rsid w:val="00F71847"/>
    <w:rsid w:val="00F91887"/>
    <w:rsid w:val="00FA0C77"/>
    <w:rsid w:val="00FB168F"/>
    <w:rsid w:val="00FD268A"/>
    <w:rsid w:val="00FD64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qFormat/>
    <w:uiPriority w:val="99"/>
    <w:rPr>
      <w:color w:val="808080"/>
    </w:rPr>
  </w:style>
  <w:style w:type="paragraph" w:customStyle="1" w:styleId="5">
    <w:name w:val="0A8A201A86EF4BD69819C615F4611C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A46B86DF544611AC7540E245EB09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ADED526B8C7C4863B82886CC952A19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D1FD054220E54558A883A0F71BF0B0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BD7FC7B937054DEDA43654C9C510D1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5867D7D0E9E345948836A462CE83F6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852632E0D3634FA7B993816714BFA3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65D44078E0DA4C8C97ADFD5B34ABF2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E5D2A530CA3B4DB5A9B8F2DD67FA1D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7DCE43F128424BED9B00BE003472A6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61937129346B491D8B6D9CE3A40A73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7726C3976D6D4C2DBF0CA20708978E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CB82F8C679AE4BA383530239D97AF0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12F04DAC8C954051BB2C1424938070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501E9C1F75074586A4BA667F98959F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4570334EBDCC49A594824A5F0B5CD8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89761A5795A346E2A0272437AF1875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885933D842F2488691E6F57C255EE3F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DBE6AC09F5874DED87DFAB4B5D6B1E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07F341E97A2540A79B5BA7773A1A4A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22D70776DDED43F6B7D1BB053D1BCA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F8CF322C0808428380BBCADC4720B4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F66646AE77554B4C8EEF3A8B98AA03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E792C6E4365148378C3D428A68A2B7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3720F6B2737F45919B96803804AF9A4D"/>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重庆千里科技股份有限公司</clcid-cgi:GongSiFaDingZhongWenMingCheng>
  <clcid-mr:GongSiFuZeRenXingMing xmlns:clcid-mr="clcid-mr">印奇</clcid-mr:GongSiFuZeRenXingMing>
  <clcid-mr:ZhuGuanKuaiJiGongZuoFuZeRenXingMing xmlns:clcid-mr="clcid-mr">黄强</clcid-mr:ZhuGuanKuaiJiGongZuoFuZeRenXingMing>
  <clcid-mr:KuaiJiJiGouFuZeRenXingMing xmlns:clcid-mr="clcid-mr">徐衬</clcid-mr:KuaiJiJiGouFuZeRenXingMing>
  <clcid-cgi:GongSiFaDingDaiBiaoRen xmlns:clcid-cgi="clcid-cgi"/>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clcid-mr:DuiBaoGaoCunZaiYiYiDeDongShiXingMing/>
  <bond:DanWeiFeiJingYingXingWangLaiZhanKuanHeZiJinChaiJie>100000000</bond:DanWeiFeiJingYingXingWangLaiZhanKuanHeZiJinChaiJie>
  <bond:DanWeiMuGongSiYouXiZhaiWu>亿元</bond:DanWeiMuGongSiYouXiZhaiWu>
  <bond:DanWeiYouXiZhaiWu>亿元</bond:DanWeiYouXiZhaiWu>
  <bond:DanWeiFaXingRenJingWaiShiChangFaXingZhaiQuan>亿元</bond:DanWeiFaXingRenJingWaiShiChangFaXingZhaiQuan>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FeiJingChangXingSunYiXiangMu/>
  <clcid-pte:DanDuJinXingJianZhiCeShiDeYingShouKuanXiangHeTongZiChanJianZhiZhunBeiZhuanHuiDeShuoMingFeiJingChangXingSunYiXiangMu/>
  <clcid-pte:YinQuXiaoXiuGaiGuQuanJiLiJiHuaYiCiXingQueRenDeGuFenZhiFuFeiYong/>
  <clcid-pte:DuiYuXianJinJieSuanDeGuFenZhiFuZaiKeXingQuanRiZhiHouYingFuZhiGongXinChouDeGongYunJiaZhiBianDongChanShengDeSunYi/>
  <bond:BiZhongFeiJingYingXingWangLaiZhanKuanHeZiJinChaiJie>人民币</bond:BiZhongFeiJingYingXingWangLaiZhanKuanHeZiJinChaiJie>
  <bond:JingWaiZhaiQuan/>
  <bond:BiZhongFaXingRenJingWaiShiChangFaXingZhaiQuan>人民币</bond:BiZhongFaXingRenJingWaiShiChangFaXingZhaiQuan>
  <bond:DanWeiZhuYaoZiChanHeFuZhaiBianDongQingKuang>亿元</bond:DanWeiZhuYaoZiChanHeFuZhaiBianDongQingKuang>
  <bond:BiZhongZhuYaoZiChanHeFuZhaiBianDongQingKuang>人民币</bond:BiZhongZhuYaoZiChanHeFuZhaiBianDongQingKuang>
</b:binding>
</file>

<file path=customXml/item4.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namespaceDeclare prefix="bond" namespaceURI="http://www.xbrl-cn.org/cn/bond/2017-06-30"/>
  <m:document name="" version="0.1" axisType="Column" optimized="true" originalVersion="0.1" taggingType="Axis" fallbackIntervalCalc="true" cryptoType="SM4" columnType="true" siblingTextSaved="true">
    <m:item xlName="_GBC_782d803d917f4432be22f5ded01fbc6d" concept="clcid-cgi:GongSiFaDingZhongWenMingCheng" label="公司法定中文名称" binding="true"/>
    <m:placeholder xlName="_PLD_e2023e93e9d5454698c56f4b7265ca56"/>
    <m:item xlName="_GBC_704b7b03ea3f4a93b8d4655a09b2ff61" concept="clcid-gcd:GongSiDaiMa" label="公司代码" fixedType="EntityCode" keyCode="GONGSI_DAIMA" keyAction="5"/>
    <m:placeholder xlName="_PLD_9cd7c9dfc1e1482cb001b3fad058a63c"/>
    <m:item xlName="_GBC_0384ae715a1e4b4894a29e4d27f5bef4" concept="clcid-gcd:GongSiJianCheng" label="公司简称" keyCode="GONGSI_JIANCHENG" keyAction="5"/>
    <m:item xlName="_GBC_ef279e32efc14c6bb521c62ff1f265ba" textBlock="true" up="tag:_PLD_e2023e93e9d5454698c56f4b7265ca56" down="2025年半年度报告" concept="clcid-cgi:GongSiFaDingZhongWenMingCheng" label="公司法定中文名称" binding="true" keyCode="InitialValue:股份有限公司" keyAction="31">
      <m:simpleRule dataType="Any" comparator="None" minOccurs="1"/>
    </m:item>
    <m:placeholder xlName="_PLD_845fa8b330524542a31e33dd31c44bb8" keyCode="PageId:ch0000" keyAction="31"/>
    <m:section xlName="_SEC_d5e0e82062cc4f3cb5a290078031cbd7" title="董事会及董事声明" checkKey="!无法保证" headerRef="1" summaryGuid="_SEC_cfbf6931f3444f44940972008f086a29" helpId="101001001" primarySection="_SEC_d5e0e82062cc4f3cb5a290078031cbd7" optionText="公司全体董监高保证内容真实、准确、完整" optionGroupTitle="董事会及董事声明情况"/>
    <m:section xlName="_SEC_0bd09595636a40e9a57d708860ca9135" title="董事、监事、高级管理人员无法保证的声明" afterEmptyPhCount="0" checkKey="无法保证" headerRef="2" ignorePeriod="1" summaryGuid="_SEC_cfbf6931f3444f44940972008f086a29" helpId="101001003" primarySection="_SEC_d5e0e82062cc4f3cb5a290078031cbd7" optionText="公司部分董监高无法保证内容真实、准确、完整" activeContentOption="_GBC_c39714d4523c4f26bc10a8bd552c9a0c" optionGroupTitle="董事会及董事声明情况"/>
    <m:section xlName="_GBC_1b1325bf1ae840869be71054a10ad268" title="公司全体董事出席董事会会议。" checkKey="全体董事出席&amp;!未出席&amp;!未能出席&amp;!未亲自出席&amp;!委托" headerRef="3"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section xlName="_GBC_782ae2efbebb4873980d40bd21713c00" title="未出席董事情况" checkKey="!全体出席" headerRef="4"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section xlName="_GBC_07370c6ee32a4bea8271133440d087fd" title="本年度报告未经审计。" checkKey="!带强调事项段或其他事项段的无保留意见&amp;!保留意见&amp;!无法表示意见&amp;!否定意见&amp;!标准无保留意见" headerRef="5" summaryGuid="_SEC_6bd7e9a7daad491ca88a8b61c8ca9156" helpId="101001004" primarySection="_GBC_07370c6ee32a4bea8271133440d087fd" optionText="未经审计" activeContentOption="_GBC_07370c6ee32a4bea8271133440d087fd" optionGroupTitle="审计报告情况"/>
    <m:section xlName="_GBC_03a09ae7cff4426393cc0d64b59cc810" title="事务所为本公司出具了标准无保留意见的审计报告。" checkKey="!带强调事项段或其他事项段的无保留意见&amp;!无法表示意见&amp;!否定意见&amp;!未经审计" headerRef="6" summaryGuid="_SEC_6bd7e9a7daad491ca88a8b61c8ca9156" helpId="101001004" primarySection="_GBC_07370c6ee32a4bea8271133440d087fd" optionText="标准无保留意见" optionGroupTitle="审计报告情况"/>
    <m:section xlName="_GBC_a3cb6d3de6c1425cb1ae504871e39a94" title="非标意见说明" checkKey="!标准无保留意见&amp;!未经审计" headerRef="7" summaryGuid="_SEC_6bd7e9a7daad491ca88a8b61c8ca9156" helpId="101001004" primarySection="_GBC_07370c6ee32a4bea8271133440d087fd" optionText="非标意见" optionGroupTitle="审计报告情况"/>
    <m:section xlName="_GBC_04b137e7f87b43b8812b2c33bd605e04" title="公司负责人等声明" headerRef="8" helpId="101001005"/>
    <m:section xlName="_GBC_21c095fa67114a208ee8411405e3a22a" title="经董事会审议的报告期利润分配预案或公积金转增股本预案" headerRef="9" convertSummaryRule="NoConvert" helpId="101001007"/>
    <m:section xlName="_GBC_cc24ced211694e75b40a9765d2616e01" title="前瞻性陈述的风险声明" headerRef="10" helpId="102001006" helpText="注：如半年度报告涉及未来计划等前瞻性陈述，同时附有相应的警示性陈述，则应当声明该计划不构成公司对投资者的实质承诺，请投资者注意投资风险。 "/>
    <m:section xlName="_GBC_70f733efbc484640a48089ddc49bf2b9" title="是否存在被控股股东及其关联方非经营性占用资金情况" headerRef="11"/>
    <m:section xlName="_GBC_0b5725dfa5c04f85874bece4083eddb4" title="是否存在违反规定决策程序对外提供担保的情况" headerRef="12" convertSummaryRule="NoConvert"/>
    <m:section xlName="_SEC_f8924de2a90b4f29b727c0dcf0bfd58a" headerRef="13"/>
    <m:section xlName="_SEC_765dd5e867e04417bfcc7ba07f902949" title="重大风险提示" headerRef="14" helpId="112001203"/>
    <m:section xlName="_GBC_b8bb35c675b44fbdaf150c1114447d89" title="重要提示的其他情况说明" headerRef="15"/>
    <m:section xlName="_SEC_821e9eb80bde4a9883ae71815f226d98" title="备查文件目录" headerRef="15"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placeholder xlName="_PLD_cddb82e37bd847e68624ee2fb262fd06" keyCode="PageId:ch0100" keyAction="31"/>
    <m:section xlName="_GBC_5d2d156d1e654b289921f6ca279d0332" title="释义" headerRef="16" ignorePeriod="1" convertSummaryRule="NoConvert" helpId="101001008"/>
    <m:placeholder xlName="_PLD_d1ba05d619c6403cb81e6e0d827b0ef2" keyCode="PageId:ch0200" keyAction="31"/>
    <m:section xlName="_GBC_aa763dfc67ed4eac9000c019cc1ff258" title="公司信息" headerRef="18" ignorePeriod="1" convertSummaryRule="NoConvert" helpId="102001001"/>
    <m:section xlName="_GBC_c68db6bd18a148f3a9683d04b791123b" title="联系人和联系方式" headerRef="19" ignorePeriod="1" convertSummaryRule="NoConvert" helpId="102001002">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aderRef="20" helpId="102001003"/>
    <m:section xlName="_GBC_20a39c6141734cc19616660ebf1a0dfa" title="信息披露及备置地点变更情况简介" headerRef="21" ignorePeriod="1" convertSummaryRule="NoConvert" helpId="102001004"/>
    <m:section xlName="_GBC_f73e31215837403db78d7a2ed15723c6" title="公司股票简况" headerRef="22" ignorePeriod="1" helpId="102001005" helpText="注：本项可选填“A股”、“B股”、“H股”或其他。"/>
    <m:section xlName="_GBC_cd186ef4acaf4e28b71fed998e691ebd" title="其他有关资料" headerRef="23" ignorePeriod="1" convertSummaryRule="NoConvert" helpId="102001008"/>
    <m:placeholder xlName="_PLD_b47d677776aa4149b98a7d448142ed48" keyCode="PageId:ch0201" keyAction="31"/>
    <m:item xlName="_GBC_c7cd0dd826b247dbba8cc8b1a811aefb" indRef="1" concept="clcid-ci-ar:DanWeiBaoGaoQiMoGongSiQianSanNianZhuYaoKuaiJiShuJuHeCaiWuZhiBiao" label="单位：报告期末公司前三年主要会计数据和财务指标" selectOptions="_buildInScales" controlType="Combobox" cellType="Scale" keyCode="InitialValue:元" keyAction="31"/>
    <m:item xlName="_GBC_2df6a5d441324c13bcf6c4c54ac41eb0" indRef="2" concept="clcid-ci-ar:BiZhongBaoGaoQiMoGongSiQianSanNianZhuYaoKuaiJiShuJuHeCaiWuZhiBiao" label="币种：报告期末公司前三年主要会计数据和财务指标" selectOptions="_buildInISO4217" controlType="Combobox" cellType="Measure" keyCode="InitialValue:人民币" keyAction="31"/>
    <m:section xlName="_GBC_aea1fefe2cc54d88a8a870982a41d97a" title="主要会计数据(无追溯)" rules="R2015_R2_001" checkKey="!调整" headerRef="25"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m:section xlName="_GBC_f3826dda988749e78931d3af98058157" title="主要会计数据(追溯)" rules="R2015_R2_001" checkKey="调整" headerRef="25"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section xlName="_GBC_b44cc48c2c094fe699f563d257345cf5" title="主要财务指标(无追溯)" rules="R2015_R2_001" checkKey="!调整" headerRef="26"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section xlName="_GBC_f2e015828f0e4c85978a15defdf078a0" title="主要财务指标(追溯)" rules="R2015_R2_001" checkKey="调整" headerRef="26" helpId="103004001" helpText="注1：涉及非经常性损益的，都应当按照《公开发行证券的公司信息披露解释性公告第1号-非经常性损益(2023)》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section xlName="_GBC_89dd4b4cf79140928f55be83e164f009" title="公司主要会计数据和财务指标的说明" rules="R2015_R2_001" headerRef="26" convertSummaryRule="NoConvert" helpId="103004001"/>
    <m:item xlName="_GBC_bdabc18d82504a7696c49b78e67b7ce4" headerRef="27" up="境内外会计准则下会计数据差异"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headerRef="28" convertSummaryRule="NoConvert" helpId="103002001"/>
    <m:section xlName="_GBC_2f705e4eae72458eb00a3440cec6f7c7" title="同时按照境外会计准则与按中国会计准则披露的差异" rules="R2015_R2_002" headerRef="29" convertSummaryRule="NoConvert" helpId="103002001" helpText="注：境内外会计准则下会计数据差异填列合并报表数据。"/>
    <m:section xlName="_GBC_b29c1fea910b4dfca31323fe84213a44" title="境内外会计准则差异的说明" rules="R2015_R2_002" headerRef="30" convertSummaryRule="NoConvert" helpId="103002001"/>
    <m:section xlName="_SEC_90b59d2109be4d75a6210da2f2ee54cb" title="非经常性损益项目和金额" headerRef="31" helpId="103003001" helpText="1.非经常性损益的界定，应以非经常性损益的定义为依据。在界定非经常性损益项目时，应遵循以下原则：\n（一）非经常性损益的认定应基于交易和事项的经济性质判断\n（二）非经常性损益的认定应基于行业特点和业务模式判断\n（三）非经常性损益的认定应遵循重要性原则。\n2.各非经常性损益项目按税前金额列示。\n3.非经常性损益项目中的损失类应以负数填写。\n4.自定义科目全部填入“其他符合非经常性损益定义的损益项目”，并在该项目附注中说明具体情况。"/>
    <m:section xlName="_SEC_3fbc22adf9774d23a74dc1230c514eff" title="将《公开发行证券的公司信息披露解释性公告第1号——非经常性损..." headerRef="31" helpId="103003001"/>
    <m:section xlName="_SEC_7d3650d94de74af8939d44f4df000418" title="存在股权激励、员工持股计划的公司可选择披露扣除股份支付影响后的净利润" headerRef="32"/>
    <m:section xlName="_SEC_91fb5ac2aac642e89e6b316117b23f35" title="扣除股份支付影响后的净利润（无追溯）" checkKey="!调整" headerRef="32" helpId="102001007" primarySection="_SEC_91fb5ac2aac642e89e6b316117b23f35" optionText="无追溯调整" optionGroupTitle="主要会计数据和财务指标情况" optionTargetConcept="clcid-ci-ar:ShiFouZhuiSuTiaoZheng" optionTargetConceptValue="无追溯调整"/>
    <m:section xlName="_SEC_ea0392b1078c4ff88755b685a4b20ba0" title="扣除股份支付影响后的净利润（有追溯）" checkKey="调整" headerRef="32" helpId="102001007" primarySection="_SEC_91fb5ac2aac642e89e6b316117b23f35" optionText="追溯调整" optionGroupTitle="主要会计数据和财务指标情况" optionTargetConcept="clcid-ci-ar:ShiFouZhuiSuTiaoZheng" optionTargetConceptValue="追溯调整"/>
    <m:section xlName="_GBC_129e81c113f94ab2b6af974b5d24abc6" title="其他财务和业务数据" headerRef="33"/>
    <m:placeholder xlName="_PLD_6cca53cc041f41edb5387e57121841d5" keyCode="PageId:ch0300" keyAction="31"/>
    <m:section xlName="_SEC_30613ac4c1d74a918acca2b58acc457d" title="报告期内公司所从事的主要业务、经营模式及行业情况说明" rules="R2015_R3_001" headerRef="35" helpId="101001009" helpText="公司应当简要介绍报告期内公司所属行业发展情况、主要业务、主要产品及其用途、经营模式、市场地位、主要的业绩驱动因素等发生的主要变化情况。"/>
    <m:section xlName="_SEC_f15d0d7540414c49a7604c682d4e3278" title="报告期内公司新增重要非主营业务的说明" headerRef="35"/>
    <m:section xlName="_GBC_ba3734a9f27a452095f3115c17f4b09e" title="经营情况的讨论与分析" headerRef="36" convertSummaryRule="NoConvert" helpId="104001002"/>
    <m:section xlName="_SEC_5c790aea31ad48bb8832d20c53fcc625" title="报告期内公司经营情况的重大变化，以及报告期内发生的对公司经营..." headerRef="36" helpId="110002108"/>
    <m:section xlName="_SEC_95fcc6373f8d4d92bdccbe04323713c4" title="报告期内核心竞争力分析" rules="R2015_R3_001" headerRef="37"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section xlName="_GBC_281bf95299804381a41f7dd82e2c19f3" title="财务报表相关科目变动分析表" headerRef="40"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GBC_2346c2f60a0d447bb4e68d1cdeb1ae6e" title="公司利润构成或利润来源发生重大变动的详细说明" headerRef="41" convertSummaryRule="NoConvert" helpId="108001001"/>
    <m:section xlName="_SEC_8eca3e31ebef41f0bccb8c1e5fae0579" title="非主营业务导致利润重大变化的说明" headerRef="42" helpId="108005007"/>
    <m:placeholder xlName="_PLD_3fac5a5b77844135b5f776fa93da3108" keyCode="PageId:ch0301" keyAction="31"/>
    <m:item xlName="_GBC_7e768f46f428417e8696bff3cfaf9902" headerRef="43" up="资产、负债情况分析"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aderRef="44" helpId="108005004" axisType="Column"/>
    <m:item xlName="_GBC_95d71e9a9dcd4966863ba2859a3bf0b7" headerRef="45" up="境外资产情况" concept="clcid-ci-ar:ShiFouShiYongJingWaiZiChanQingKuang" label="是否适用：境外资产情况 " selectOptions="_buildInAppliance" controlType="CustomCheckbox" cRanges="[{&quot;StartName&quot;:&quot;_GBC_95d71e9a9dcd4966863ba2859a3bf0b7&quot;,&quot;EndName&quot;:&quot;_SEC_1054cd8b91c348ed94f7bc925d57ba7b&quot;,&quot;CType&quot;:1}]"/>
    <m:section xlName="_SEC_7f2308a9bb284441948806ea6c09c608" headerRef="46" helpId="108005004"/>
    <m:section xlName="_SEC_d3282e023dd342148088e8b62a141d34" title="境外资产占比较高的相关说明" headerRef="47" helpId="101001042" helpText="若境外资产占总资产的比例大于或等于30%，一般认为境外资产占比较高。在此基础上，公司可以根据境外资产贡献收入、利润等情况，判断是否构成重要境外资产，进行披露。"/>
    <m:section xlName="_SEC_1054cd8b91c348ed94f7bc925d57ba7b" title="其他说明" headerRef="47"/>
    <m:section xlName="_SEC_390cddc4349f46b4bcccd468c3e69d14" title="截至报告期末主要资产受限情" headerRef="48" helpId="108005004"/>
    <m:section xlName="_SEC_a3069c29080242b4a4de48db80a4164e" title="其他说明" headerRef="49" helpId="108005004"/>
    <m:section xlName="_SEC_e7a08c655c9844a8b5127e2ae800064c" title="对外股权投资总体分析" headerRef="51" convertSummaryRule="NoConvert" helpId="108005001" helpText="公司应当介绍本半年度投资情况，分析报告期内公司投资额同比变化情况。"/>
    <m:section xlName="_SEC_6dcee2c665d94c8b941605cedc06f568" title="重大的股权投资" headerRef="52" helpId="101001044" helpText="例如私募基金、证券公司等。"/>
    <m:section xlName="_SEC_ac9932f6d2bb4e35b86dbcc496bca6c4" title="重大的非股权投资" headerRef="53"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section xlName="_SEC_5ac920b545894503a0b852b58774a2f1" title="以公允价值计量的金融资产" headerRef="54" helpId="101001046" helpText="1、涉及银行理财的，购买和赎回金额列填写净发生额；2、选择其他的，需自行添加普通行说明其他项下产品类型；如添加后为控件行请操作【报告编制】-【表格】-【转为普通行】。"/>
    <m:section xlName="_SEC_223855f312f442628a6b89be29f039a8" title="证券投资情况" headerRef="54" helpText="若因为自营业务投资品种较多，可选择不适用，但应当说明原因。"/>
    <m:section xlName="_SEC_1fd1b5403f6b4f59b90a86c5afda2100" title="证券投资情况的说明  " headerRef="54"/>
    <m:section xlName="_SEC_1314f2a4c4444241bb2afb255168e300" title="私募基金投资情况" headerRef="54"/>
    <m:item xlName="_GBC_bfd154b38b804edbb19ff4896b6b9c42" headerRef="54" up="衍生品投资情况" concept="clcid-ci-ar:ShiFouShiYongYanShengPinTouZiQingKuang" label="是否适用：衍生品投资情况  " selectOptions="_buildInAppliance" controlType="CustomCheckbox" cRanges="[{&quot;StartName&quot;:&quot;_GBC_bfd154b38b804edbb19ff4896b6b9c42&quot;,&quot;EndName&quot;:&quot;_SEC_7f3a1a0062ac456f8a983b6567183908&quot;,&quot;CType&quot;:1}]"/>
    <m:item xlName="_GBC_5859448da4c34bc4af3f8639036828dd" headerRef="54" up="报告期内以套期保值为目的的衍生品投资" concept="clcid-ci-ar:ShiFouShiYongBaoGaoQiNeiYiTaoQiBaoZhiWeiMuDeDeYanShengPinTouZi" label="是否适用：报告期内以套期保值为目的的衍生品投资" selectOptions="_buildInAppliance" controlType="CustomCheckbox" cRanges="[{&quot;StartName&quot;:&quot;_GBC_5859448da4c34bc4af3f8639036828dd&quot;,&quot;EndName&quot;:&quot;_SEC_01cbfb7e8e8545a7ab7909e2370b26d7&quot;,&quot;CType&quot;:1}]"/>
    <m:section xlName="_SEC_01cbfb7e8e8545a7ab7909e2370b26d7" title="报告期内以套期保值为目的的衍生品投资" headerRef="54" helpText="1、本表非金融类公司须填写。本表中“衍生品投资”是指对价值依赖于基础资产价值变动的合约的交易行为。其中，合约包括远期、期货、期权、掉期或互换及其组合；基础资产包括证券、指数、利率、汇率、货币、商品、其他标的，或上述基础资产的组合。\n2、公司可根据投资的衍生品基础商品及合约种类情况进行分类汇总披露，但须对所采用分类方式及标准予以说明。\n3、各“投资金额”均指合约金额。\n4、公司应当将套期工具与被套期项目价值变动加总后说明报告期内的实际损益。\n5、公司应在定期报告中结合被套期项目情况对套期保值效果进行全面披露，套期保值业务不满足会计准则规定的套期会计适用条件或未适用套期会计核算，但能够通过衍生品交易实现风险管理目标的，可以结合套期工具和被套期项目之间的关系等说明是否有效实现了预期风险管理目标。"/>
    <m:item xlName="_GBC_c55d25ebbbbc4a9a894716278303dec4" headerRef="54" up="报告期内以投机为目的的衍生品投资" concept="clcid-ci-ar:ShiFouShiYongBaoGaoQiNeiYiTouJiWeiMuDeDeYanShengPinTouZi" label="是否适用：报告期内以投机为目的的衍生品投资" selectOptions="_buildInAppliance" controlType="CustomCheckbox" cRanges="[{&quot;StartName&quot;:&quot;_GBC_c55d25ebbbbc4a9a894716278303dec4&quot;,&quot;EndName&quot;:&quot;_SEC_b420da0f8c4343c0a1214c19c3689c01&quot;,&quot;CType&quot;:1}]"/>
    <m:section xlName="_SEC_b420da0f8c4343c0a1214c19c3689c01" title="报告期内以投机为目的的衍生品投资" headerRef="54" helpText="1、本表非金融类公司须填写。本表中“衍生品投资”是指对价值依赖于基础资产价值变动的合约的交易行为。其中，合约包括远期、期货、期权、掉期或互换及其组合；基础资产包括证券、指数、利率、汇率、货币、商品、其他标的，或上述基础资产的组合。\n2、公司可根据投资的衍生品基础商品及合约种类情况进行分类汇总披露，但须对所采用分类方式及标准予以说明。\n3、表格中“衍生品投资操作方”，是指公司交易上述合约的交易对方。\n4、各“投资金额”均指合约金额。"/>
    <m:section xlName="_SEC_7f3a1a0062ac456f8a983b6567183908" title="其他说明" headerRef="54"/>
    <m:section xlName="_SEC_04b9238e9d184f1bab78bd58a24f46ef" title="重大资产和股权出售" headerRef="55"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section xlName="_SEC_2a2bbe84e5b044d9b42284613cdb120d" title="主要控股参股公司分析" headerRef="56"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section xlName="_SEC_1ac5f271c9c14f569093b3be96ecc8d2" title="公司控制的结构化主体情况" headerRef="57"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section xlName="_SEC_81e2de17d1214ba3b0e3ff89b6c2b65d" title="可能面对的风险" headerRef="59" helpId="104002005" helpText="公司应当针对自身特点，遵循关联性原则和重要性原则充分披露可能对公司核心竞争力、经营活动和未来发展产生重大不利影响的风险因素。"/>
    <m:section xlName="_SEC_2d00d0d8a1b7409b884a0beb6a447e0d" title="其他披露事项" headerRef="60" orient="landscape"/>
    <m:placeholder xlName="_PLD_57909b9ef42f4287bf9fc4c184c9b2f5" keyCode="PageId:ch0400" keyAction="31"/>
    <m:section xlName="_SEC_fe90051e8bfd40b8bb8541284a29b30e" title="公司董事、监事、高级管理人员变动情况" headerRef="62" helpId="105001004" helpText="注：\n1、报告期内离任的董事、监事、高级管理人员，仍需按本章要求披露相关内容。\n2、报告期后新任的，董事、监事、高级管理人员可作附注说明。"/>
    <m:section xlName="_SEC_9d764ab9e1c44e0e972e846b8ecf0813" title="公司董事、监事、高级管理人员变动的情况说明" headerRef="62" helpId="105001004"/>
    <m:section xlName="_GBC_e4b48d016b974478b1fce3e8671a7227" title="半年度拟定的利润分配预案" rules="R2015_R5_001" headerRef="63"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section xlName="_SEC_27d68d30f5fb4d008c2e762ac7309c77" title="相关股权激励事项已在临时公告披露且后续实施无进展或变化的" headerRef="65" helpId="110005001"/>
    <m:item xlName="_GBC_388221bc7be24cdca55be337256c8bc1" headerRef="66" up="股权激励情况" concept="clcid-ci-ar:ShiFouShiYongGuQuanJiLiQingKuang" label="是否适用：股权激励情况 "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aderRef="66" helpId="110005001" helpText="注：报告期内失效的权益总额以负数填列。"/>
    <m:section xlName="_SEC_a417a9b40b6a4adeba436d511837e016" title="股权激励情况的说明" headerRef="66" helpId="110005001"/>
    <m:section xlName="_SEC_70861e225efc4a6aa2a87c82bdeffa60" title="员工持股计划情况" rules="R2015_R5_008" headerRef="66" helpId="110005001"/>
    <m:section xlName="_SEC_63920368dc0b49e9a257b190129bf278" title="其他激励措施" rules="R2015_R5_008" headerRef="66" helpId="110005001"/>
    <m:section xlName="_SEC_ab58f0198e65475bb5f5f50593019206" title="纳入环境信息依法披露企业名单的上市公司及其主要子公司的环境信息情况" headerRef="67"/>
    <m:section xlName="_SEC_7eeef6a842224b3eac28c0a6aa105d7d" title="巩固拓展脱贫攻坚成果、乡村振兴工作具体情况" headerRef="68" helpId="104002004"/>
    <m:placeholder xlName="_PLD_66d15229764a4914b70c862eb5cfce2d" keyCode="PageId:ch0600" keyAction="31"/>
    <m:section xlName="_SEC_29ca9ecf549940e5a0b5179d68e38198" title="上市公司、持股5%以上的股东、控股股东及实际控制人在报告期内承诺事项" rules="R2015_R5_002" headerRef="71" convertSummaryRule="NoConvert" helpId="101001058" helpText="注：公司应当披露报告期内履行完毕的，以及截至报告期末尚未履行完毕的承诺事项。"/>
    <m:section xlName="_SEC_2f371a3cc949400ea818d66a836d5785" title="报告期内控股股东及其他关联方非经营性占用资金情况" headerRef="72" helpId="110002101"/>
    <m:section xlName="_SEC_623f0c33c18d4979b146b229057a4e89" title="违规担保情况" headerRef="73" orient="landscape" helpId="110002102"/>
    <m:item xlName="_GBC_b2faf86be7fd4060a2a7ad4018aaf033" headerRef="74" up="半年报审计情况"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aderRef="75" helpId="110009001" helpText="《国有企业、上市公司选聘会计师事务所管理办法》\n第十二条 国有企业连续聘任同一会计师事务所原则上不超过8年。国有企业因业务需要拟继续聘用同一会计师事务所超过8年的，应当综合考虑会计师事务所前期审计质量、股东评价、监管部门意见等情况，在履行法人治理程序及内部决策程序后，可适当延长聘用年限，但连续聘任期限不得超过10年。\n第十三条 审计项目合伙人、签字注册会计师累计实际承担同一国有企业、上市公司审计业务满5年的，之后连续5年不得参与该国有企业、上市公司的审计业务。\n审计项目合伙人、签字注册会计师由于工作变动，在不同会计师事务所为同一国有企业、上市公司提供审计服务的期限应当合并计算。\n国有企业、上市公司发生重大资产重组、子公司分拆上市，为其提供审计服务的审计项目合伙人、签字注会计师未变更的，相关审计项目合伙人、签字注册会计师在该重大资产重组、子公司分拆上市前后提供审计服务的期限应当合并计算。\n审计项目合伙人、签字注册会计师在公司上市前后审计服务年限应当合并计算。审计项目合伙人、签字注册会计师承担首次公开发行股票或者向不特定对象公开发行股票并上市审计业务的，上市后连续执行审计业务的期限不得超过两年。\n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39a839676dca47f595f0cbe05d986e81" title="审计期间改聘会计师事务所的情况说明" headerRef="75" helpId="110009001" helpText="注：公司若改聘、解聘会计师事务所，则必须填写改聘、解聘的情况说明。"/>
    <m:section xlName="_SEC_ff2ca8295db041209fe47eea7ae742aa" title="公司对会计师事务所“非标准审计报告”的说明" rules="R2015_R5_004" headerRef="76"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section xlName="_SEC_10be83ff0126440a8620e35536191767" title="公司对上年年度报告中的财务报告被注册会计师出具“非标准审计报..." headerRef="77" helpId="110002109" helpText="《国有企业、上市公司选聘会计师事务所管理办法》\n第十二条 国有企业连续聘任同一会计师事务所原则上不超过8年。国有企业因业务需要拟继续聘用同一会计师事务所超过8年的，应当综合考虑会计师事务所前期审计质量、股东评价、监管部门意见等情况，在履行法人治理程序及内部决策程序后，可适当延长聘用年限，但连续聘任期限不得超过10年。\n第十三条 审计项目合伙人、签字注册会计师累计实际承担同一国有企业、上市公司审计业务满5年的，之后连续5年不得参与该国有企业、上市公司的审计业务。\n审计项目合伙人、签字注册会计师由于工作变动，在不同会计师事务所为同一国有企业、上市公司提供审计服务的期限应当合并计算。\n国有企业、上市公司发生重大资产重组、子公司分拆上市，为其提供审计服务的审计项目合伙人、签字注会计师未变更的，相关审计项目合伙人、签字注册会计师在该重大资产重组、子公司分拆上市前后提供审计服务的期限应当合并计算。\n审计项目合伙人、签字注册会计师在公司上市前后审计服务年限应当合并计算。审计项目合伙人、签字注册会计师承担首次公开发行股票或者向不特定对象公开发行股票并上市审计业务的，上市后连续执行审计业务的期限不得超过两年。\n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1ae3a3f4b3c4484980120137749e19ed" title="破产重整相关事项" headerRef="78"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0fcf1cd2d0814185bde747855edf5227" headerRef="79" up="重大诉讼、仲裁事项"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headerRef="80" convertSummaryRule="NoConvert" helpId="110001001" helpText="注：如以上诉讼、仲裁或媒体质疑事项已在临时公告披露且无后续进展的，仅需披露该事项概述，并提供临时报告披露网站的查询索引。"/>
    <m:section xlName="_SEC_85376178a04b46fb90efc5d6fa2e6a28" title="临时公告未披露或有后续进展的诉讼、仲裁情况" rules="R2015_R5_006" headerRef="81" convertSummaryRule="NoConvert" helpId="110001001"/>
    <m:section xlName="_SEC_c92a88ec21204766afe5f9688cbd21bd" title="其他诉讼仲裁事项说明" rules="R2015_R5_006" headerRef="82" convertSummaryRule="NoConvert" helpId="110001001"/>
    <m:section xlName="_SEC_61682565f6714c6a81ab8e6d05a5abaa" title="上市公司及其董事、监事、高级管理人员、控股股东、实际控制人、收购人处罚及整改情况" headerRef="83"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b6520273283341408b24eceadfb999dd" title="报告期内公司及其控股股东、实际控制人诚信状况的说明" headerRef="84" helpId="104002006" helpText="公司应当披露报告期内公司及其控股股东、实际控制人的诚信状况，包括但不限于：是否存在未履行法院生效法律文书确定的义务、所负数额较大的债务到期未清偿等情况。"/>
    <m:placeholder xlName="_PLD_ed0a75531ff14ea1aad22e0ef7e2aa32" keyCode="PageId:ch0602" keyAction="31"/>
    <m:section xlName="_SEC_b9489dd6b4c843e6be6e5a97de24b51b" title="已在临时公告披露且后续实施无进展或变化的事项" rules="R2015_R5_009" headerRef="87" convertSummaryRule="NoConvert" helpId="110006001"/>
    <m:section xlName="_SEC_ec9777844cc44aa6b3f98c8af0a20f95" title="已在临时公告披露，但有后续实施的进展或变化的事项" rules="R2015_R5_009" headerRef="88" convertSummaryRule="NoConvert" helpId="110006001"/>
    <m:section xlName="_SEC_227a4feb5cd045acb20f0e655bf26ea8" title="临时公告未披露的事项" rules="R2015_R5_009" headerRef="89" convertSummaryRule="NoConvert" helpId="110006001"/>
    <m:section xlName="_SEC_bf9131838c5b421d81cb3165b3861506" title="已在临时公告披露且后续实施无进展或变化的事项" rules="R2015_R5_009" headerRef="91" convertSummaryRule="NoConvert" helpId="110006003"/>
    <m:section xlName="_SEC_f9a57b14408248c4bc6881cfd0e81074" title="已在临时公告披露，但有后续实施的进展或变化的事项" rules="R2015_R5_009" headerRef="92" convertSummaryRule="NoConvert" helpId="110006003"/>
    <m:section xlName="_SEC_a7b4eef2f39c4550974e81ee8caca798" title="临时公告未披露的事项" rules="R2015_R5_009" headerRef="93" convertSummaryRule="NoConvert" helpId="110006003"/>
    <m:section xlName="_SEC_e17a03ced9e54c92b773a7e185d85bd3" title="涉及业绩约定的，应当披露报告期内的业绩实现情况" headerRef="94" helpId="110006003"/>
    <m:section xlName="_SEC_d9e67609bdab489e985efba8758860bd" title="已在临时公告披露且后续实施无进展或变化的事项" rules="R2015_R5_009" headerRef="96" convertSummaryRule="NoConvert" helpId="110006004"/>
    <m:section xlName="_SEC_53e4f8cd2c114fb1a1c9d74236ebd2fc" title="已在临时公告披露，但有后续实施的进展或变化的事项" rules="R2015_R5_009" headerRef="97" convertSummaryRule="NoConvert" helpId="110006004"/>
    <m:section xlName="_SEC_25e347f9cbc546cbafdf30522b654328" title="临时公告未披露的事项" rules="R2015_R5_009" headerRef="98" convertSummaryRule="NoConvert" helpId="110006004"/>
    <m:section xlName="_SEC_2fd4e717dd2949d2b4b4fb580dfce32a" title="已在临时公告披露且后续实施无进展或变化的事项" rules="R2015_R5_009" headerRef="100" convertSummaryRule="NoConvert" helpId="110006005"/>
    <m:section xlName="_SEC_dcb3650518df4296931e576a9d6fdaf3" title="已在临时公告披露，但有后续实施的进展或变化的事项" rules="R2015_R5_009" headerRef="101" convertSummaryRule="NoConvert" helpId="110006005"/>
    <m:section xlName="_SEC_da19abf815bb4e3a97fcb901c6225551" title="临时公告未披露的事项" rules="R2015_R5_009" headerRef="102"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918ef76103ad41b4a79075b59fdb8bf4" headerRef="103" up="公司与存在关联关系的财务公司、公司控股财务公司与关联方之间的金融业务"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aderRef="104" helpId="110002103"/>
    <m:section xlName="_SEC_45b8c1047ae846eebaed610686a59163" title="贷款业务" headerRef="105" helpId="110002103"/>
    <m:section xlName="_SEC_12af8280dba7414eaa58fcdd5ef5ac8d" title="授信业务或其他金融业务" headerRef="106" helpId="110002103"/>
    <m:section xlName="_SEC_ede026bdca864b809b90849751fe4fc0" title="其他说明" headerRef="107"/>
    <m:section xlName="_SEC_d0d528034450466db3d12315559a161a" title="(五) 其他重大关联交易" rules="R2015_R5_009" headerRef="108" helpId="104002007"/>
    <m:section xlName="_SEC_94b5dc0c50e04cae8442e9675bd15742" title="其他" headerRef="109"/>
    <m:placeholder xlName="_PLD_c4fb91d213914f02914129de5a9f3dcf" keyCode="PageId:ch0604" keyAction="31"/>
    <m:item xlName="_GBC_daed561e68674d828a348a97bffbc154" headerRef="111" up="托管、承包、租赁事项"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headerRef="112" isSupervision="true" convertSummaryRule="NoConvert" helpId="110007001" helpText="注：为公司带来的利润达到公司本期利润总额10％以上（含10％）的托管、承包、租赁事项"/>
    <m:section xlName="_SEC_37ed7d66ad1d401d8403e9b54bcb42bc" title="承包情况                         ..." headerRef="113" convertSummaryRule="NoConvert" helpId="110007001" helpText="注：为公司带来的利润达到公司本期利润总额10％以上（含10％）的托管、承包、租赁事项"/>
    <m:section xlName="_SEC_c517528524f046abb8a7c1e21d61ed7c" title="租赁情况                         ..." headerRef="114" convertSummaryRule="NoConvert" helpId="110007001" helpText="注：为公司带来的利润达到公司本期利润总额10％以上（含10％）的托管、承包、租赁事项"/>
    <m:item xlName="_GBC_aae98b3e30bd49e4b2e1d2643f200047" headerRef="115" up="报告期内履行的及尚未履行完毕的重大担保情况"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headerRef="115" orient="landscape"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section xlName="_SEC_e046194a1b604165ab4ac9dbd406e6b1" title="其他重大合同" headerRef="116" convertSummaryRule="NoConvert" helpId="110007004"/>
    <m:placeholder xlName="_PLD_e81f1d6e46664a099c23364cdb71d69a" keyCode="PageId:ch0603" keyAction="31"/>
    <m:item xlName="_GBC_680b9390780e4e2096adf48e91fa95ca" headerRef="117" up="募集资金使用进展说明" concept="clcid-ci-ar:ShiFouShiYongMuJiZiJinShiYongJinZhanShuoMing" label="是否适用：募集资金使用进展说明" selectOptions="_buildInAppliance" controlType="CustomCheckbox" cRanges="[{&quot;StartName&quot;:&quot;_GBC_680b9390780e4e2096adf48e91fa95ca&quot;,&quot;EndName&quot;:&quot;_SEC_a2c604b847a04b50b6319cabc2e71012&quot;,&quot;CType&quot;:1}]"/>
    <m:section xlName="_SEC_413dfb4663ad4788be1ab30f51e9ad00" title="募集资金整体使用情况" headerRef="118" helpText="如数据校验提示错误，请在其他说明中具体解释原因。\n1、对于某次融资的募集资金在报告期之前已经全部使用完毕的，无需填写。\n2、募集资金来源分为首次公开发行股票、向特定对象发行股票、发行可转换债券、其他。请填写对应募集资金到位时间，格式为：xxxx年xx月xx日。\n3、填写单位为：元"/>
    <m:item xlName="_GBC_d62426eab3014f178b7d8906e6ab8d2c" headerRef="119" up="募投项目明细" concept="clcid-ci-ar:ShiFouShiYongMuTouXiangMuMingXi" label="是否适用：募投项目明细" selectOptions="_buildInAppliance" controlType="CustomCheckbox" cRanges="[{&quot;StartName&quot;:&quot;_GBC_d62426eab3014f178b7d8906e6ab8d2c&quot;,&quot;EndName&quot;:&quot;_SEC_b926ba928d574ba0a7e97ab61b1105fc&quot;,&quot;CType&quot;:1}]"/>
    <m:section xlName="_SEC_e6c63beeba524f6c8c28498ba5240ad9" title="募投项目明细" headerRef="780" helpText="如数据校验提示错误，请在上一张表“募集资金整体使用情况”表下方的其他说明中解释具体原因。\n1、对于某次融资的募集资金在报告期之前已经全部使用完毕的，无需填写。\n2、该表列示目前仍在执行的或结项的募投项目明细，即如涉及募投项目变更，该表列示变更后的项目。对于某次融资的募集资金已经全部使用完毕的无需列示。\n3、募集资金来源分为首次公开发行股票、向特定对象发行股票、发行可转换债券、其他。请填写对应募集资金到位时间，格式为：xxxx年xx月xx日。\n4、募集资金计划投资总额：填写项目的实际募集资金计划投资额。如果项目变更过投资金额，则以最新披露过的公告内容为准，如有新增项目则新建一行。\n5、项目达到预定可使用状态日期：根据招股书/募集说明书中披露的项目实施周期及实际启动日期，填写具体时间，精确到月份。\n6、本项目已实现的效益或者研发成果：填写已实现的产能、已研发出的产品或已获批的专利等；如无前述成果，填写“无”。\n公司的子公司发生的本节所列重大事项，对投资者作出价值判断和投资决策有重大影响的，应当视同公司的重大事项予以披露。"/>
    <m:section xlName="_SEC_b926ba928d574ba0a7e97ab61b1105fc" title="超募资金明细使用情况" headerRef="781" helpText="对于某次融资的募集资金在报告期之前已经全部使用完毕的，无需填写。\n公司的子公司发生的本节所列重大事项，对投资者作出价值判断和投资决策有重大影响的，应当视同公司的重大事项予以披露。"/>
    <m:section xlName="_SEC_765a4abd121e4bf8bc1267fde4c0401f" title="报告期内募投变更情况" headerRef="120" orient="landscape" helpText="1、对于某次融资的募集资金在报告期之前已经全部使用完毕的，无需填写。\n2、包含终止募投项目用于补充流动资金情形，该情形下变更后项目名称填写补充流动资金。\n3、变更前项目名称：仅适用于原募投项目变更金额、原募投项目取消或终止。如因低募调低募集资金投入金额或取消某募投项目，不属于此处变更用途情形。\n4、变更或终止原因：具体说明变更或终止的原因及合理性，并明确变更或终止后的项目是否用于主营业务。"/>
    <m:section xlName="_SEC_46cef5bb25984707aca27aa80f83fd2a" title="募集资金投资项目先期投入及置换情况  ____" headerRef="122" helpText="对于某次融资的募集资金在报告期之前已经全部使用完毕的，无需填写。"/>
    <m:section xlName="_SEC_ff3e2416ad6c4af48b73d6cc3ce54fc1" title="用闲置募集资金暂时补充流动资金情况  ____" headerRef="123" helpText="对于某次融资的募集资金在报告期之前已经全部使用完毕的，无需填写。"/>
    <m:section xlName="_SEC_5e51418415d94f41b9d1f518b7caa82a" title="对闲置募集资金进行现金管理，投资相关产品情况  ____" headerRef="124" helpText="1、对于某次融资的募集资金在报告期之前已经全部使用完毕的，无需填写。\n2、董事会审议日期、起始日期和结束日期”的格式为：xxxx年xx月xx日。"/>
    <m:section xlName="_SEC_711697a1f7a2410da19e2ebf4fd0a8d9" title="其他" headerRef="125" helpText="对于某次融资的募集资金在报告期之前已经全部使用完毕的，无需填写。"/>
    <m:section xlName="_SEC_4682dca9b4434d0db792a55324015986" title="中介机构关于募集资金存储与使用情况的专项核查、鉴证的结论性意见" headerRef="126"/>
    <m:section xlName="_SEC_a2c604b847a04b50b6319cabc2e71012" title="擅自变更募集资金用途、违规占用募集资金的后续整改情况" headerRef="127" helpText="请补充说明擅自变更募集资金用途、违规占用募集资金的具体情形及对应的整改情况。"/>
    <m:section xlName="_SEC_82a7281a6dc544bea8ef97d430f7b6fc" headerRef="128" helpId="110011001"/>
    <m:placeholder xlName="_PLD_cde8434e71444eafa523d9d0ecc7c784" keyCode="PageId:ch0700" keyAction="31"/>
    <m:section xlName="_GBC_dd8bc2a0b3ed4147a1e657cdc8573344" title="报告期内，公司股份总数及股本结构未发生变化。" checkKey="!变动增减" headerRef="132" helpId="104001001" primarySection="_GBC_dd8bc2a0b3ed4147a1e657cdc8573344"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m:section xlName="_GBC_f9397743097a41aeb54f7cc576d0c924" title="股份变动情况表(已完成或不涉及股改)" rules="R2015_R6_001" checkKey="!未发生变化&amp;!未上市流通股份" headerRef="132"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872d4d405bf64e4d9c4e4ee9330ec2d5" title="股份变动情况表(未完成股改)" rules="R2015_R6_001" checkKey="!未发生变化&amp;!有限售条件股份" headerRef="132"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11d26f58e47e4a1f997d73362074f464" title="股份变动情况说明" rules="R2015_R6_001" headerRef="133" convertSummaryRule="NoConvert" helpId="104001001"/>
    <m:section xlName="_GBC_2c9eb79778814e39ab254196ba75dab3" title="报告期后到半年报披露日期间发生股份变动对每股收益等指标影响" rules="R2015_R6_001" headerRef="134" convertSummaryRule="NoConvert" helpId="104001001"/>
    <m:section xlName="_GBC_ea8cea8d08c04df4b51a4a58c86eadd2" title="公司认为必要或证券监管机构要求披露的其他内容" rules="R2015_R6_001" headerRef="135" convertSummaryRule="NoConvert" helpId="104001001"/>
    <m:section xlName="_SEC_71bda84d0fff4902850bfc37d3477fb7" title="限售股份变动情况" headerRef="136" helpId="104001031" helpText="注：若同一股东因不同限售原因或限售期限持有几类限售股份的，应当区别不同的限售原因或解除限售日期填写上表。"/>
    <m:section xlName="_GBC_ba0ac3b5d31347c0a620e3662112fa62" title="股东总数" rules="R2015_R6_002" headerRef="138" convertSummaryRule="NoConvert" helpId="104002001"/>
    <m:section xlName="_SEC_592bb0bb4ec54f4281af37e1affd5a7d" title="截至报告期末前十名股东持股情况表" checkKey="!非流通股" headerRef="139"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592bb0bb4ec54f4281af37e1affd5a7d" optionText="已完成股权分置改革或不涉及股权分置改革" optionGroupTitle="前十名股东持股情况" optionTargetConcept="clcid-cgi:GuQuanFenZhiGaiGeZhuangTai" optionTargetConceptValue="已完成股权分置改革" mergeDisplayOptionTag="_SEC_592bb0bb4ec54f4281af37e1affd5a7d"/>
    <m:section xlName="_SEC_e6be5feadfe34f78a95c27bf11e8485b" title="前十名股东参与转融通业务出借股份情况" checkKey="!非流通股" headerRef="139" helpText="《上海证券交易所上市公司自律监管指南第2号——业务办理（2023年11月修订）》第十一号 融资融券、转融通相关事项：\n四、定期报告相关要求\n（一）上市公司应当在定期报告的“股份变动和股东情况”部分，披露持股5%以上股东、前10名股东及前10名无限售流通股股东在报告期内参与融资融券及转融通业务的具体情况，包括相关股东名称、报告期初持股数量及比例、报告期初转融通出借股份数量及比例、报告期末持股数量及比例、报告期末转融通出借股份数量及比例等。\n（二）上市公司前10名股东及前10名无限售流通股股东较前一个定期报告中披露的情况发生变化的，公司应当向相关股东核实变化原因是否涉及股东在报告期内参与转融通业务，如是，公司应当在定期报告“股份变动和股东情况”部分，披露报告期内相关股东以公司证券为标的参与转融通业务的证券数量及占上市公司总股本的比例，以及报告期末该等股东所持该公司股份数量与已通过转融通出借尚未归还的该公司股份数量的合计数及占上市公司总股本的合计比例。\n（三）上市公司可登陆中国证券金融股份有限公司证券出借数据查询平台（https://margindata.csf.com.cn）查询证券出借数据。" optionTargetConcept="clcid-cgi:GuQuanFenZhiGaiGeZhuangTai" optionTargetConceptValue="已完成股权分置改革" mergeDisplayOptionTag="_SEC_592bb0bb4ec54f4281af37e1affd5a7d"/>
    <m:section xlName="_SEC_754d5c3876f14c478be5d284316e9503" title="前十名股东较上期发生变化" checkKey="!非流通股" headerRef="139" helpText="1、本表仅填写转融通引起的变化，不填其他原因引起的变化。\n2、本表的变化指的是股东与上期相比的新进和退出，不是指股份数量与上期相比的增加和减少。" optionTargetConcept="clcid-cgi:GuQuanFenZhiGaiGeZhuangTai" optionTargetConceptValue="已完成股权分置改革" mergeDisplayOptionTag="_SEC_592bb0bb4ec54f4281af37e1affd5a7d"/>
    <m:section xlName="_SEC_b5308a454ece4ff1ac26795955195341" title="前十名有限售条件股东持股数量及限售条件" checkKey="!非流通股" headerRef="139" optionTargetConcept="clcid-cgi:GuQuanFenZhiGaiGeZhuangTai" optionTargetConceptValue="已完成股权分置改革" mergeDisplayOptionTag="_SEC_592bb0bb4ec54f4281af37e1affd5a7d"/>
    <m:section xlName="_GBC_4a9721209ff04ca9a1a9139d61e2a864" title="持有公司5%以上股份的前十名股东持股情况(未完成股改)" rules="R2015_R6_002" headerRef="140" helpId="104001032" primarySection="_SEC_592bb0bb4ec54f4281af37e1affd5a7d"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section xlName="_GBC_e978a717352b4bf6852a761b15c1e95b" title="战略投资者或一般法人因配售新股成为前10名股东" rules="R2015_R6_002" headerRef="141" convertSummaryRule="NoConvert" helpId="104001032"/>
    <m:placeholder xlName="_PLD_6b831d200a944e2085dc13f82ae7a59e" keyCode="PageId:ch0701" keyAction="31">
      <m:placeholder xlName="_PLD_9d2c0b803c8340e89586e10920d012bd" keyCode="SF_CL_SJWYH" keyAction="30"/>
    </m:placeholder>
    <m:section xlName="_SEC_34f8808520ab47be851d00ee44fc510b" title="现任及报告期内离任董事、监事和高级管理人员持股变动情况 " headerRef="143" helpId="105001001" helpText="注：\n1、报告期内离任的董事、监事、高级管理人员，仍需按本章要求披露相关内容。\n2、报告期后新任的，董事、监事、高级管理人员可作附注说明。\n注：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keyAction="31" keyCode="AutoSplitRow"/>
    <m:section xlName="_SEC_ddbdd27d049d452a9d63bfa087a3f3c5" title="其它情况说明" headerRef="143"/>
    <m:section xlName="_SEC_e31f847e559a4ff7aa07914d45526543" title="董事、监事、高级管理人员报告期内被授予的股权激励情况" headerRef="144" helpId="105001001" helpText="注：\n1、报告期内离任的董事、监事、高级管理人员，仍需按本章要求披露相关内容。\n2、报告期后新任的，董事、监事、高级管理人员可作附注说明。"/>
    <m:section xlName="_SEC_b5cd47f19fe24fecafd1039d3c1c6b51" title="董事、监事、高级管理人员报告期内被授予的股权激励情况表二" headerRef="144" helpId="105001001" helpText="注：\n1、报告期内离任的董事、监事、高级管理人员，仍需按本章要求披露相关内容。\n2、报告期后新任的，董事、监事、高级管理人员可作附注说明。"/>
    <m:section xlName="_SEC_a1a4d90699494886b231030a7c17645b" title="其他董事、监事、高级管理人员和员工情况" rules="R2015_R8_001" headerRef="145" helpText="注：\n1、报告期内离任的董事、监事、高级管理人员，仍需按本章要求披露相关内容。\n2、报告期后新任的，董事、监事、高级管理人员可作附注说明。"/>
    <m:section xlName="_GBC_2e7a202224f3494aa0093f3bd0f39d33" title="控股股东及实际控制人变更情况" rules="R2015_R6_003" headerRef="146" convertSummaryRule="ConvertDefinedText" convertText="本报告期内公司控股股东或实际控制人没有发生变更。" helpId="104002003"/>
    <m:placeholder xlName="_PLD_f265807d96c149c1b9ed9134b86e3d4c" keyCode="PageId:ch0800" keyAction="31"/>
    <m:item xlName="_GBC_2113adbee8464e1c828b3d6d35c60abf" headerRef="147" up="优先股相关情况"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aderRef="148" helpId="112001228"/>
    <m:section xlName="_SEC_09ecd5a571d64e909892f8249659d711" title="优先股股东情况" tupleConcept="clcid-cgi:QianShiMingYouXianGuGuDongQingKuangMingXi" repeatable="1" headerRef="150" helpId="104002009"/>
    <m:section xlName="_GBC_cdbecede1d44433785be1be860bc785b" title="其他优先股股东情况说明" rules="R2015_R7_001" headerRef="152" helpId="110008001"/>
    <m:section xlName="_GBC_dd0252a8df9640e89dc854d849426857" title="回购情况" rules="R2015_R7_001" headerRef="154" helpId="112001230"/>
    <m:section xlName="_GBC_bfe4b4f422a94baaa8274d70ba44bfb9" title="转换情况" rules="R2015_R7_001" headerRef="155" helpId="112001229"/>
    <m:section xlName="_GBC_ddb96eb7a92a4d6285f620d33674775f" title="报告期内存在优先股表决权恢复的，公司应当披露相关表决权的恢复情况" rules="R2015_R7_001" headerRef="156" helpId="112001231"/>
    <m:section xlName="_GBC_8c2b7a1d2d1b4786b4822d8ec9c8c28f" title="公司对优先股采取的会计政策及理由" rules="R2015_R7_001" headerRef="157" helpId="112001232"/>
    <m:section xlName="_GBC_8fb06e980aee40a3b1b78ccabb3fc0e3" title="其他优先股相关情况" rules="R2015_R7_001" headerRef="158"/>
    <m:placeholder xlName="_PLD_de1412537a3e4974a4bb3bfafcae6d7a" keyCode="PageId:ch0900" keyAction="31"/>
    <m:item xlName="_GBC_8e6b9cf2d8c24a6faf41199f98e408b3" helpId="112500014" headerRef="160" up="公司债券（含企业债券）和非金融企业债务融资工具"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0aefba4fc6d84d32a7c7d372906dfb2e" headerRef="161" up="公司债券（含企业债券）" concept="clcid-ci-ar:ShiFouShiYongGongSiZhaiQuanXiangGuanQingKuang" label="是否适用：公司债券相关情况" selectOptions="_buildInAppliance" controlType="CustomCheckbox" cRanges="[{&quot;StartName&quot;:&quot;_GBC_0aefba4fc6d84d32a7c7d372906dfb2e&quot;,&quot;EndName&quot;:&quot;_SEC_82f9c67b20cb45eda99d978cc09be2e9&quot;,&quot;CType&quot;:1}]"/>
    <m:section xlName="_SEC_ea7d4fd769564315a74d9d85b6aed2f9" title="公司债券基本情况" headerRef="162" convertSummaryRule="NoConvert" helpId="112500001" helpText="公司债券基本信息列表以未来行权（含到期及回售）时间顺序排列"/>
    <m:section xlName="_SEC_a78818601652484a980eda0c78d6536d" title="公司对债券终止上市交易风险的应对措施  ____" headerRef="162" helpId="112500001"/>
    <m:section xlName="_SEC_5399143278374bc6a0338b597e80e0a8" title="公司或投资者选择权条款、投资者保护条款的触发和执行情况 ..." headerRef="163" helpId="110002105"/>
    <m:section xlName="_SEC_f79901d570c546118d8c8e652fd6699d" title="信用评级结果调整情况" headerRef="165" helpId="101001123">
      <m:axisValue occRef="非金融企业债务融资工具"/>
    </m:section>
    <m:section xlName="_SEC_f0fb497d2dc44da48452d2fd65e1db0f" title="其他说明  ____" headerRef="165" orient="landscape">
      <m:axisValue occRef="非金融企业债务融资工具"/>
    </m:section>
    <m:section xlName="_SEC_82f9c67b20cb45eda99d978cc09be2e9" title="担保情况、偿债计划及其他偿债保障措施在报告期内的执行和变化情况及其影响" headerRef="166" helpId="101001126">
      <m:axisValue occRef="非金融企业债务融资工具"/>
    </m:section>
    <m:item xlName="_GBC_a9fc2a22a6aa4f7bb7f1d88774b6e37e" headerRef="167" up="公司债券募集资金情况" concept="bond:ShiFouZaiBaoGaoQiNeiShiYongMuJiZiJin" label="是否：在报告期内使用募集资金" selectOptions="8dbeb5f896c9489f8b8bd763e64b1cf5" controlType="CustomCheckbox" helpText="在报告期内使用募集资金或整改" cRanges="[{&quot;StartName&quot;:&quot;_SEC_0c4699f9caa945d6ad96327a29ce56ea&quot;,&quot;EndName&quot;:&quot;_SEC_e8a1e91d119a469bbf2a0fbb3b4bd25d&quot;,&quot;CType&quot;:1}]">
      <m:simpleRule dataType="Any" comparator="None" minOccurs="1"/>
    </m:item>
    <m:section xlName="_SEC_0c4699f9caa945d6ad96327a29ce56ea" title="公司债券募集资金基本情况" headerRef="168" helpText="在报告期内使用募集资金或整改"/>
    <m:section xlName="_SEC_676b13bf3ea84b1d87a05b83d847511a" title="募集资金用途变更调整" headerRef="169" helpText="报告期内发生变更调整公司债券募集资金用途的情况"/>
    <m:section xlName="_SEC_94da10aea3dd45a88dc65d869f389ae0" title="募集资金实际使用情况（此处不含临时补流）" headerRef="170"/>
    <m:section xlName="_SEC_ae92c9e866534ac092824753789aa7f6" title="募集资金用于偿还公司债券及其他有息债务" headerRef="777"/>
    <m:section xlName="_SEC_e089a48a86974c13b461b62dd8a6d93d" title="募集资金用于补充流动资金（此处不含临时补流）" headerRef="778"/>
    <m:section xlName="_SEC_01906e9c9259492086483d7b990d3fc0" title="募集资金用于特定项目" headerRef="172" helpText="公司债券募集资金用于固定资产投资项目或者股权投资、债权投资或者资产收购等其他特定项目。"/>
    <m:section xlName="_SEC_1b0d783ef3104ade8396082f7a0e5fb8" title="募集资金用于其他用途债券代码债券简称其他用途的具体情况..." headerRef="779"/>
    <m:section xlName="_SEC_3482e772d0ce487ca811421341bb0309" title="临时补流" headerRef="173" helpText="报告期内公司债券募集资金用于临时补流"/>
    <m:section xlName="_SEC_80467ffc626e47de9a4877593d240cd2" title="募集资金合规情况" headerRef="174"/>
    <m:section xlName="_SEC_0eb66e4cf9df4a9f97a0ef7b0417a8ce" title="募集资金使用和募集资金账户管理存在违法违规情况" headerRef="174"/>
    <m:section xlName="_SEC_e8a1e91d119a469bbf2a0fbb3b4bd25d" title="因募集资金违规使用行为被处罚处分" headerRef="174"/>
    <m:section xlName="_SEC_9e1c83ec0d3f4df2bc002a4d3ef8c9d9" title="专项品种债券应当披露的其他事项" headerRef="175" helpText="1、涉及公司债券（含企业债券）的判断是否适用填写。\n2、报告期内存续专项债的，无论批准报出日债券是否出存续，均应披露。"/>
    <m:section xlName="_SEC_99e99c9c85aa4dfc91cf84253fff29c5" title="公司为可交换债券发行人" headerRef="176"/>
    <m:section xlName="_SEC_295d93c849224fc28693863e59d1b952" title="可交换债券发行人单位币种" headerRef="176"/>
    <m:section xlName="_SEC_f9e1aacd54054e64bb49d3524bcaad63" title="可交换债券发行人" repeatable="1" headerRef="176" helpText="1、涉及公司债券（含企业债券）的判断是否适用填写。\n2、报告期内存续专项债的，无论批准报出日债券是否出存续，均应披露。" lockTable="4" keyAction="65">
      <m:virtualTuples>
        <m:virtualTuple id="105f8db2-47b5-4283-accf-4680581487c8" tupleRef="bond:FaXingRenWeiKeJiaoHuanZhaiQuanFaXingRenMingXi" extendDirection="2" splitWidth="1"/>
      </m:virtualTuples>
    </m:section>
    <m:section xlName="_SEC_9cc69df433eb420a8ab95d298f6de46d" title="公司为绿色公司债券发行人" headerRef="177" helpText="1、涉及公司债券（含企业债券）的判断是否适用填写。\n2、报告期内存续专项债的，无论批准报出日债券是否出存续，均应披露。"/>
    <m:section xlName="_SEC_373f3feeaacc400597afa1087267addc" title="其他特殊品种债券发行人" headerRef="177"/>
    <m:section xlName="_SEC_894dd48e6e2d422a9bb833d337a5f634" title="绿色公司债券发行人" repeatable="1" headerRef="177" helpText="1、涉及公司债券（含企业债券）的判断是否适用填写。\n2、报告期内存续专项债的，无论批准报出日债券是否出存续，均应披露。" lockTable="4">
      <m:virtualTuples>
        <m:virtualTuple id="df9a8ef3-4979-4416-9f5a-2c6a08762377" tupleRef="bond:LvSeGongSiZhaiQuanFaXingRenMingXi" extendDirection="2" splitWidth="1"/>
      </m:virtualTuples>
    </m:section>
    <m:section xlName="_SEC_84a8b74ec41145199218cf0df66ce28d" title="公司为可续期公司债券发行人" headerRef="178" helpText="1、涉及公司债券（含企业债券）的判断是否适用填写。\n2、报告期内存续专项债的，无论批准报出日债券是否出存续，均应披露。"/>
    <m:section xlName="_SEC_e1e47a42b80842eaa2bb6b87fc2afc3f" headerRef="178"/>
    <m:section xlName="_SEC_825b38c1e3bf424ab51c5e0bdcaeb327" title="可续期公司债券发行人" repeatable="1" headerRef="178" helpText="1、涉及公司债券（含企业债券）的判断是否适用填写。\n2、报告期内存续专项债的，无论批准报出日债券是否出存续，均应披露。">
      <m:virtualTuples>
        <m:virtualTuple id="697c70b8-5d9d-426a-8d46-62027057f90f" tupleRef="bond:KeXuQiGongSiZhaiQuanFaXingRenMingXi" extendDirection="2" splitWidth="1"/>
      </m:virtualTuples>
    </m:section>
    <m:section xlName="_SEC_80bb3a08f5224510abe5ebc8e258e4ea" title="公司为扶贫债券发行人" headerRef="179" helpText="1、涉及公司债券（含企业债券）的判断是否适用填写。\n2、报告期内存续专项债的，无论批准报出日债券是否出存续，均应披露。"/>
    <m:section xlName="_SEC_8ae0e150e2fc47eab902aa5895bc03df" title="单位：亿元 币种：人民币" headerRef="179"/>
    <m:section xlName="_SEC_c9d187031aab4e4dbd1508214ab287a7" title="扶贫债券" repeatable="1" headerRef="179" helpText="1、涉及公司债券（含企业债券）的判断是否适用填写。\n2、报告期内存续专项债的，无论批准报出日债券是否出存续，均应披露。" lockTable="4">
      <m:virtualTuples>
        <m:virtualTuple id="ae00df5b-89be-4468-b309-faba708a2c6c" tupleRef="bond:FuPinZhaiQuanMingXi" extendDirection="2" splitWidth="1"/>
      </m:virtualTuples>
    </m:section>
    <m:section xlName="_SEC_40d25a185dc04bb9a8dd60a18262df0d" title="公司为乡村振兴债券发行人" headerRef="180" helpText="1、涉及公司债券（含企业债券）的判断是否适用填写。\n2、报告期内存续专项债的，无论批准报出日债券是否出存续，均应披露。"/>
    <m:section xlName="_SEC_96e8c6128c8e4061beb682af3b7f3277" title="单位：亿元 币种：人民币" headerRef="180"/>
    <m:section xlName="_SEC_74bde326fd5b4d70a79e3446c69a8544" title="乡村振兴债券" repeatable="1" headerRef="180" helpText="1、涉及公司债券（含企业债券）的判断是否适用填写。\n2、报告期内存续专项债的，无论批准报出日债券是否出存续，均应披露。" lockTable="4">
      <m:virtualTuples>
        <m:virtualTuple id="3bef7e25-4ba7-4df8-8fa9-75d3a813e9e8" tupleRef="bond:XiangCunZhenXingZhaiQuanMingXi" extendDirection="2" splitWidth="1"/>
      </m:virtualTuples>
    </m:section>
    <m:section xlName="_SEC_970b07ed75b2479785ae079e6e9cf872" title="公司为一带一路债券发行人" headerRef="181" helpText="1、涉及公司债券（含企业债券）的判断是否适用填写。\n2、报告期内存续专项债的，无论批准报出日债券是否出存续，均应披露。"/>
    <m:section xlName="_SEC_feac35d86f954f90a30b2a255406f833" title="单位：亿元 币种：人民币" headerRef="181"/>
    <m:section xlName="_SEC_86758553c6b24c189ef1ca48667cb6de" title="一带一路债券" repeatable="1" headerRef="181" helpText="1、涉及公司债券（含企业债券）的判断是否适用填写。\n2、报告期内存续专项债的，无论批准报出日债券是否出存续，均应披露。" lockTable="4">
      <m:virtualTuples>
        <m:virtualTuple id="6a1b0d14-443b-47c3-90a9-c8e785dacece" tupleRef="bond:YiDaiYiLuZhaiQuanMingXi" extendDirection="2" splitWidth="1"/>
      </m:virtualTuples>
    </m:section>
    <m:section xlName="_SEC_0d27e7bdd08e49899944f118911fa06a" title="科技创新债或者双创债" headerRef="182" helpText="1、涉及公司债券（含企业债券）的判断是否适用填写。\n2、报告期内存续专项债的，无论批准报出日债券是否出存续，均应披露。"/>
    <m:section xlName="_SEC_1dca8234e1094fcc84ed32a396ac283d" title="单位币种" headerRef="182"/>
    <m:section xlName="_SEC_6eda2438636f49ca84266469d19db2c9" title="科技创新债或者双创债" repeatable="1" headerRef="182" helpText="1、涉及公司债券（含企业债券）的判断是否适用填写。\n2、报告期内存续专项债的，无论批准报出日债券是否出存续，均应披露。">
      <m:virtualTuples>
        <m:virtualTuple id="8ed19c78-2061-4e9d-b3a8-e5b9b2d79b21" tupleRef="bond:KeJiChuangXinZhaiMingXi" extendDirection="2" splitWidth="1"/>
      </m:virtualTuples>
    </m:section>
    <m:section xlName="_SEC_a81cc1e7215a4d06aef3d2a95fb3091c" title="低碳转型（挂钩）公司债券" headerRef="183" helpText="1、涉及公司债券（含企业债券）的判断是否适用填写。\n2、报告期内存续专项债的，无论批准报出日债券是否出存续，均应披露。"/>
    <m:section xlName="_SEC_a9c53a8b726840e6911405b3fc9d11f1" title="单位币种" headerRef="183"/>
    <m:section xlName="_SEC_df2aaebfbe484098aaab8e22415e35b2" title="低碳转型（挂钩）公司债券" repeatable="1" headerRef="183" helpText="1、涉及公司债券（含企业债券）的判断是否适用填写。\n2、报告期内存续专项债的，无论批准报出日债券是否出存续，均应披露。">
      <m:virtualTuples>
        <m:virtualTuple id="0b14a4a7-7bc3-46ab-98fa-cd5e0d43dbcb" tupleRef="bond:DiTanZhuanXingGongSiZhaiQuanMingXi" extendDirection="2" splitWidth="1"/>
      </m:virtualTuples>
    </m:section>
    <m:section xlName="_SEC_70b856b8fcad4671a8341d55e19623f8" title="纾困公司债券" headerRef="184" helpText="1、涉及公司债券（含企业债券）的判断是否适用填写。\n2、报告期内存续专项债的，无论批准报出日债券是否出存续，均应披露。"/>
    <m:section xlName="_SEC_49196774b1ae4e20a0f329db2ac3dae9" title="单位币种" headerRef="184"/>
    <m:section xlName="_SEC_403d749ccc6344c9b679c7f7930c0a9f" title="纾困公司债券" repeatable="1" headerRef="184" helpText="1、涉及公司债券（含企业债券）的判断是否适用填写。\n2、报告期内存续专项债的，无论批准报出日债券是否出存续，均应披露。">
      <m:virtualTuples>
        <m:virtualTuple id="8795b403-d049-41a8-b4be-3085f35d2246" tupleRef="bond:ShuKunGongSiZhaiQuanMingXi" extendDirection="2" splitWidth="1"/>
      </m:virtualTuples>
    </m:section>
    <m:section xlName="_SEC_fb15ab3e74a040cf8b47149eb7ea30e3" title="中小微企业支持债券" headerRef="185" helpText="1、涉及公司债券（含企业债券）的判断是否适用填写。\n2、报告期内存续专项债的，无论批准报出日债券是否出存续，均应披露。"/>
    <m:section xlName="_SEC_70deea48cc544f91b9b42903ca24540e" title="单位：亿元  币种：人民币" headerRef="185"/>
    <m:section xlName="_SEC_aad62f05b42849039322dfa138e1c277" title="中小微企业支持债券发行人" repeatable="2" headerRef="185" helpText="1、涉及公司债券（含企业债券）的判断是否适用填写。\n2、报告期内存续专项债的，无论批准报出日债券是否出存续，均应披露。">
      <m:virtualTuples>
        <m:virtualTuple id="41ec6b9e-07d8-4e9c-8e62-fb77729c5bc9" tupleRef="bond:ZhongXiaoWeiQiYeZhiChiZhaiQuanMingXi" extendDirection="2" splitWidth="1"/>
      </m:virtualTuples>
    </m:section>
    <m:section xlName="_SEC_66a9fdd1c5aa4c6bab045d51254d9be7" title="其他特定品种债券事项" headerRef="186" helpText="1、涉及公司债券（含企业债券）的判断是否适用填写。\n2、报告期内存续专项债的，无论批准报出日债券是否出存续，均应披露。"/>
    <m:section xlName="_SEC_89bbfbd577384b6082eed6305d758cdb" title="报告期内公司债券相关重要事项" headerRef="187" helpText="涉及公司债券（含企业债券）的需填写"/>
    <m:section xlName="_SEC_22bc7414df8e4760a7f83accef77a1ca" title="非经营性往来占款和资金拆借余额" headerRef="188" helpText="涉及公司债券（含企业债券）的需填写"/>
    <m:section xlName="_SEC_ec97a61d67724ed0a6e24554bfd553f3" title="截止报告期末，未收回的非经营性往来占款和资金拆借的主要构成、..." headerRef="190" helpText="涉及公司债券（含企业债券）的需填写" optionTargetConcept="bond:MoKuaiFeiJingChangXingWangLaiZhanKuanHeZiJinChaiJie" optionTargetConceptValue="true"/>
    <m:section xlName="_SEC_3053e21160aa4cf8839fb1a9edef8d45" title="公司非经营性往来占款和资金拆借账龄结构" headerRef="190" helpText="涉及公司债券（含企业债券）的需填写" optionTargetConcept="bond:MoKuaiFeiJingChangXingWangLaiZhanKuanHeZiJinChaiJie" optionTargetConceptValue="true"/>
    <m:section xlName="_SEC_ddc5e4c900ec49f3adcfe393281fa2b8" title="报告期末，公司非经营性往来占款和资金拆借前5名债务方情况" headerRef="190"/>
    <m:section xlName="_SEC_0756ce3975cf4fce90f5541e8f952c06" title="以前报告期内披露的回款安排的执行情况" headerRef="191" helpText="涉及公司债券（含企业债券）的需填写"/>
    <m:section xlName="_SEC_9d83f549b0b84cff8d3523d1174d5e77" title="发行人债务结构情况报告期初和报告期末，发行人口径（非发行人..." headerRef="194" helpText="涉及公司债券（含企业债券）的需填写"/>
    <m:section xlName="_SEC_139e2c1b974e4a54997cc9b4fdb7a7f4" title="发行人合并口径有息债务结构情况报告期初和报告期末，发行人合..." headerRef="195" helpText="涉及公司债券（含企业债券）的需填写"/>
    <m:section xlName="_SEC_ecfb6211bb734dba9c41de024576810c" title="截止报告期末，发行人合并口径内发行的境外债券余额亿元人..." headerRef="196" helpText="涉及公司债券（含企业债券）的需填写"/>
    <m:section xlName="_SEC_5702f60cb45747bab6bad125fbd9fa39" title="报告期末是否存在公司信用类债券逾期或其他单笔债务逾期金额超过..." headerRef="197" helpText="涉及公司债券（含企业债券）的需填写"/>
    <m:section xlName="_SEC_66a589b4d26e45ac89e205f97f0654e6" title="存在逾期金额超过1000万元的有息债务" headerRef="197" helpText="涉及公司债券（含企业债券）的需填写"/>
    <m:section xlName="_SEC_9738a2f6f1d24bd6a456c0b644492507" title="可对抗第三人的优先偿付负债情况" headerRef="199" helpText="涉及公司债券（含企业债券）的需填写"/>
    <m:section xlName="_SEC_fd283009d94f4a5189e64004043ddd73" title="报告期内违反法律法规、公司章程、信息披露事务管理制度规定的情..." headerRef="773"/>
    <m:item xlName="_GBC_26e1b928d11c47bfad361d998e446706" headerRef="200" up="银行间债券市场非金融企业债务融资工具" concept="clcid-ci-ar:ShiFouShiYongYinXingJianZhaiQuanShiChangFeiJinRongQiYeZhaiWuRongZiGongJuXiangGuanQingKuang" label="是否适用：银行间债券市场非金融企业债务融资工具相关情况" selectOptions="_buildInAppliance" appId="_GBC_8e6b9cf2d8c24a6faf41199f98e408b3" controlType="CustomCheckbox"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headerRef="201" convertSummaryRule="NoConvert" helpId="112500001"/>
    <m:section xlName="_SEC_c960bfcad3944f559dd2eefcbad971ce" title="(一) 非金融企业债务融资工具 公司对债券终止上市交易风险的应对措施" headerRef="201" helpId="112500001"/>
    <m:section xlName="_SEC_7e4c682ba29946ae888dca7864714f9e" title="非金融企业债务融资工具逾期未偿还债券" headerRef="201" helpId="101001119"/>
    <m:section xlName="_SEC_cb4bcf836680447fb1216fcc0601f9db" title="非金融企业债务融资工具关于逾期债项的说明" headerRef="201" helpId="112500009"/>
    <m:section xlName="_SEC_ee8ef2708a4c4a4bbfcdb7705ac59e4b" title="非金融企业债务融资工具发行人或投资者选择权条款、投资者保护条款的触发和执行情况" headerRef="202" helpId="110002105"/>
    <m:section xlName="_SEC_21c70a9f67594b1f943dc6ddb6783183" title="企业债券信用评级结果调整情况" headerRef="205" helpId="101001123">
      <m:axisValue occRef="非金融企业债务融资工具"/>
    </m:section>
    <m:section xlName="_SEC_edcb7f3e4f694fc8b787ab7a6d69a671" title="其他说明  ____" headerRef="205">
      <m:axisValue occRef="非金融企业债务融资工具"/>
    </m:section>
    <m:section xlName="_SEC_1787be1f0f6f4989a888633e99a258d5" title="企业债券_担保情况、偿债计划及其他偿债保障措施在报告期内的执行和变化情况及其影响" headerRef="206" helpId="101001126">
      <m:axisValue occRef="非金融企业债务融资工具"/>
    </m:section>
    <m:section xlName="_SEC_96d3c49bcdff4a708e6cc02215c1760c" title="非金融企业债务融资工具担保情况、偿债计划及其他偿债保障措施在报告期内的执行和变化情况及其影响" headerRef="206" helpId="110002106"/>
    <m:section xlName="_SEC_f9bf2c4fe6ff467498e3773fc0c13df6" title="非金融企业债务融资工具其他情况的说明" headerRef="207" orient="landscape"/>
    <m:section xlName="_SEC_53cb8a9927c84975874838d7d288b8eb" title="公司报告期内合并报表范围亏损超过上年末净资产10%亏损情..." headerRef="208" helpId="110002107" keyAction="42" keyCode="2"/>
    <m:section xlName="_SEC_9f3013bc6d4940f49cf3cfe39dab5a57" title="截至报告期末公司近2年的会计数据和财务指标" headerRef="211" helpId="112500008" helpText="表里的“扣除非经常性损益后净利润”指的是“归属于上市公司股东的扣除非经常性损益的净利润”"/>
    <m:placeholder xlName="_PLD_d08d223f82ea489e8527d6111e23987c" keyCode="PageId:ch0901" keyAction="31"/>
    <m:item xlName="_GBC_6a49e99841294af3b87ba6216b1997d9" headerRef="212" up="可转换公司债券情况"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headerRef="213" convertSummaryRule="NoConvert"/>
    <m:section xlName="_SEC_7f82abb841ec4e91b7d333b30060eb09" title="报告期转债持有人及担保人情况" tupleConcept="clcid-cgi:BaoGaoQiZhuanZhaiChiYouRenJiDanBaoRenQingKuangMingXi" repeatable="1" headerRef="214"/>
    <m:section xlName="_SEC_b9f22fe710ea43fdac5cd3b3d1602d99" title="报告期转债变动情况" headerRef="215" convertSummaryRule="NoConvert"/>
    <m:section xlName="_SEC_9efab8215ecb4674a0bf11385b12d00f" title="报告期转债累计转股情况" tupleConcept="clcid-cgi:BaoGaoQiZhuanZhaiLeiJiZhuanGuQingKuangMingXi" repeatable="1" headerRef="216"/>
    <m:item xlName="_GBC_00961fb4f3ee4a1694a243600402a0a9" indRef="147" concept="clcid-ci-ar:DanWeiZhuanGuJiaGeLiCiTiaoZhengQingKuang" label="单位：转股价格历次调整情况" selectOptions="_buildInScales" appId="_GBC_6a49e99841294af3b87ba6216b1997d9" controlType="Combobox" cellType="Scale" keyCode="InitialValue:元" keyAction="31"/>
    <m:item xlName="_GBC_a431a6b0a18c49efa3d2e8d3c8bd1e70" indRef="148" concept="clcid-ci-ar:BiZhongZhuanGuJiaGeLiCiTiaoZhengQingKuang" label="币种：转股价格历次调整情况" selectOptions="_buildInISO4217" appId="_GBC_6a49e99841294af3b87ba6216b1997d9" controlType="Combobox" cellType="Measure" keyCode="InitialValue:人民币" keyAction="31"/>
    <m:section xlName="_SEC_a5cea25713674d7d8959e2b0b662b500" title="转股价格历次调整情况" tupleConcept="clcid-cgi:ZhuanGuJiaGeLiCiDiaoZhengQingKuangMingXi" repeatable="1" headerRef="217"/>
    <m:section xlName="_SEC_61331536cfaf4da0a6a270818a4ab35b" title="公司的负债情况、资信变化情况及在未来年度还债的现金安排" headerRef="218" convertSummaryRule="NoConvert"/>
    <m:section xlName="_SEC_cc036ec1e45042a4a4bce38515d23fb4" title="转债其他情况说明" headerRef="219" convertSummaryRule="NoConvert"/>
    <m:placeholder xlName="_PLD_476cb65012914b3ebd1504690c591df0" keyCode="PageId:ch1000" keyAction="31"/>
    <m:section xlName="_GBC_3c4b7d00409449a2b71d41277e7bd042" title="审计报告" headerRef="221" helpId="112001005" helpText="注：公司应披露具有证券期货业务资格的会计师事务所盖章及由两名或两名以上注册会计师签名盖章的审计报告全文。请上市公司将审计报告全文填写在此文本框内。"/>
    <m:section xlName="_GBC_f3d43b26b5d34a4c88db3cb7d81650cc" title="需要编制合并报表" checkKey="合并" headerRef="223" helpId="112001001" helpText="若2024年首次执行新会计准则或准则解释等调整首次执行当年年初财务报表相关项目的，则2023年12月31日列按照旧会计准则涉及科目填写；若首次执行新会计准则或准则解释等追溯调整前期比较数据的，则2023年12月31日列按照新会计准则涉及科目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otherKeyActions="{&quot;KeyCode&quot;:&quot;2&quot;,&quot;KeyAction&quot;:42,&quot;KeyActionTitle&quot;:null,&quot;OtherActions&quot;:null}" noCustom="1"/>
    <m:section xlName="_GBC_1503eb297d3448c582e8e9dc7031b2c7" title="无需编制合并报表" checkKey="!合并" headerRef="225" helpId="112001001" helpText="若2024年首次执行新会计准则或准则解释等调整首次执行当年年初财务报表相关项目的，则2023年12月31日列按照旧会计准则涉及科目填写；若首次执行新会计准则或准则解释等追溯调整前期比较数据的，则2023年12月31日列按照新会计准则涉及科目填写。" primarySection="_GBC_f3d43b26b5d34a4c88db3cb7d81650cc"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aderRef="226" helpId="112001001" primarySection="_GBC_bf89afc47e17438594730edb3412d929" optionText="需要编制合并报表" optionGroupTitle="是否需要合并报表" optionTargetConcept="clcid-ci-ar:ShiFouXuYaoHeBingBaoBiao" optionTargetConceptValue="true" keyAction="57" otherKeyActions="{&quot;KeyCode&quot;:null,&quot;KeyAction&quot;:88,&quot;KeyActionTitle&quot;:null,&quot;OtherActions&quot;:null}|{&quot;KeyCode&quot;:&quot;2&quot;,&quot;KeyAction&quot;:42,&quot;KeyActionTitle&quot;:null,&quot;OtherActions&quot;:null}" noCustom="1"/>
    <m:section xlName="_GBC_3ad209fb8b5d433d8d91b39c5a1a6fe2" title="无需编制合并报表" checkKey="!合并" headerRef="228" helpId="112001001" primarySection="_GBC_bf89afc47e17438594730edb3412d929" optionText="无需编制合并报表" optionGroupTitle="是否需要合并报表" optionTargetConcept="clcid-ci-ar:ShiFouXuYaoHeBingBaoBiao" optionTargetConceptValue="false" keyAction="57" otherKeyActions="{&quot;KeyCode&quot;:null,&quot;KeyAction&quot;:88,&quot;KeyActionTitle&quot;:null,&quot;OtherActions&quot;:null}|{&quot;KeyCode&quot;:&quot;2&quot;,&quot;KeyAction&quot;:42,&quot;KeyActionTitle&quot;:null,&quot;OtherActions&quot;:null}" noCustom="1">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aderRef="229" helpId="112001001" primarySection="_GBC_d6533048a32749eaa7738390457b7f24" optionText="需要编制合并报表" optionGroupTitle="是否需要合并报表" optionTargetConcept="clcid-ci-ar:ShiFouXuYaoHeBingBaoBiao" optionTargetConceptValue="true" keyAction="57" otherKeyActions="{&quot;KeyCode&quot;:&quot;2&quot;,&quot;KeyAction&quot;:42,&quot;KeyActionTitle&quot;:null,&quot;OtherActions&quot;:null}" noCustom="1"/>
    <m:section xlName="_GBC_de8d3cfcf111414a940cf01324ef9389" title="无需编制合并报表" checkKey="!合并" headerRef="231" helpId="112001001" primarySection="_GBC_d6533048a32749eaa7738390457b7f24"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aderRef="232"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axisType="XYAxis" keyAction="57" otherKeyActions="{&quot;KeyCode&quot;:&quot;2&quot;,&quot;KeyAction&quot;:42,&quot;KeyActionTitle&quot;:null,&quot;OtherActions&quot;:null}" noCustom="1"/>
    <m:section xlName="_GBC_f6396333f93949a599b3a170d5a7962b" title="无需编制合并报表" checkKey="!合并" headerRef="234" orient="landscape"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axisType="XYAxis" keyAction="57" otherKeyActions="{&quot;KeyCode&quot;:&quot;2&quot;,&quot;KeyAction&quot;:42,&quot;KeyActionTitle&quot;:null,&quot;OtherActions&quot;:null}" noCustom="1">
      <m:rowModel/>
    </m:section>
    <m:section xlName="_SEC_fd2e2f67954e46ae836300d3eb98cf6d" title="公司基本情况" headerRef="235" ignorePeriod="1" convertSummaryRule="NoConvert" helpId="112001003"/>
    <m:section xlName="_GBC_6d12949d3695402592266a78137dcfb5" title="财务报表的编制基础" headerRef="238" helpId="112001007"/>
    <m:section xlName="_GBC_69ae6baeacb44e8fa17b0b984abbf6ab" title="持续经营" headerRef="239"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headerRef="240" helpId="112001010" helpText="注：公司根据实际生产经营特点制定的具体会计政策和会计估计，应在本节开始部分对相关事项进行提示。"/>
    <m:section xlName="_GBC_a0afbb5b3a444bce84ee78a2a282cb28" title="遵循企业会计准则的声明" headerRef="241" helpId="112001010"/>
    <m:section xlName="_GBC_2d7f332501c8461ea731797db5588ee5" title="会计期间" headerRef="242" helpId="112001010"/>
    <m:section xlName="_GBC_b045784ca7904d52a060134ffec0d88c" title="营业周期" headerRef="243" ignorePeriod="1" helpId="112001010" helpText="注：公司对营业周期不同于12个月，并以营业周期作为资产和负债的流动性划分标准的，应说明营业周期及确定依据。"/>
    <m:section xlName="_GBC_13b1061968754e20bebf2099281ed54f" title="记账本位币" headerRef="244" helpId="112001010"/>
    <m:section xlName="_SEC_76d2fbb6df224868bf571b62d2c7c349" title="重要性标准确定方法和选择依据" headerRef="245" helpText="根据15号文第四条，公司在编制和披露财务报告时应遵循重要性原则，披露事项涉及重要性标准判断的，应披露重要性标准确定方法和选择依据。\n公司可结合自身实际情况，选择在此处按照一定分类标准集中披露附注所涉的重要性标准；或者在后文各具体附注项下的“其他说明”中分别披露，此处索引。\n项目示例：重要的单项计提坏账准备的应收款项；应收款项本期坏账准备收回或转回金额重要的；本期重要的应收款项核销；合同资产账面价值发生重大变动；重要的债权投资；重要的在建工程；重要的非全资子公司；重要的资本化研发项目..."/>
    <m:section xlName="_GBC_f44e1e76b2a3457ea36bc088adcbb4c3" title="同一控制下和非同一控制下企业合并的会计处理方法" headerRef="246" ignorePeriod="1" convertSummaryRule="NoConvert" helpId="112001010"/>
    <m:section xlName="_GBC_c23be25e527044f689b710dabd312b04" title="合并财务报表的编制方法" headerRef="247" ignorePeriod="1" helpId="112001010"/>
    <m:section xlName="_GBC_a6643877dd0341e39dee12c064dc6fdc" title="合营安排分类及共同经营会计处理方法" headerRef="248" ignorePeriod="1" helpId="112001010"/>
    <m:section xlName="_GBC_9f2dfe6521c4434b9ad3e7bb1a8a52b7" title="现金及现金等价物的确定标准" headerRef="249" helpId="112001010"/>
    <m:section xlName="_GBC_cff1e1487c3242a8a1be0ce9c2b7a554" title="外币业务和外币报表折算" headerRef="250" ignorePeriod="1" convertSummaryRule="NoConvert" helpId="112001010" helpText="注：说明发生外币交易时折算汇率的确定方法、在资产负债表日外币货币性项目采用的折算方法、汇兑损益的处理方法以及外币报表折算的会计处理方法。"/>
    <m:section xlName="_GBC_4b3a058b038b41689d379e6a2726a904" title="金融工具" headerRef="251" ignorePeriod="1" helpId="112001010"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aefda35d1a7148f0844e33d721703cda" headerRef="252" up="应收票据" concept="clcid-ci-ar:ShiFouShiYongYingShouPiaoJuZhongYaoHuiJiZhengCeHeGuJi" label="是否适用：应收票据_重要会计政策和估计" selectOptions="_buildInAppliance" controlType="CustomCheckbox" cRanges="[{&quot;StartName&quot;:&quot;_GBC_aefda35d1a7148f0844e33d721703cda&quot;,&quot;EndName&quot;:&quot;_SEC_250b7b96804647b0920c1cf5c92456c9&quot;,&quot;CType&quot;:1}]"/>
    <m:section xlName="_SEC_5f7ccc4533204a4ea40abf6cfc0e2cf7" title="按照信用风险特征组合计提坏账准备的组合类别及确定依据单击或..." headerRef="252" helpId="112001010"/>
    <m:section xlName="_SEC_92b754b9d1c8488b9a3dbd4f8e544605" title="基于账龄确认信用风险特征组合的账龄计算方法单击或点击此处输..." headerRef="252" helpId="112001010"/>
    <m:section xlName="_SEC_250b7b96804647b0920c1cf5c92456c9" title="按照单项计提坏账准备的单项计提判断标准单击或点击此处输入文..." headerRef="252" helpId="112001010"/>
    <m:item xlName="_GBC_9bb0ad4fd90e4860a048c5c1b42cdc17" headerRef="253" up="应收账款" concept="clcid-ci-ar:ShiFouShiYongYingShouZhangKuanZhongYaoHuiJiZhengCeHeGuJi" label="是否适用：应收账款_重要会计政策和估计" selectOptions="_buildInAppliance" controlType="CustomCheckbox" cRanges="[{&quot;StartName&quot;:&quot;_GBC_9bb0ad4fd90e4860a048c5c1b42cdc17&quot;,&quot;EndName&quot;:&quot;_SEC_c8e55835e2d842228ebba8e2018130c8&quot;,&quot;CType&quot;:1}]"/>
    <m:section xlName="_SEC_69bd2fa75eba49e8a935e93c11b981ac" title="按照信用风险特征组合计提坏账准备的组合类别及确定依据单击或..." headerRef="253" helpId="112001010"/>
    <m:section xlName="_SEC_82302f3d7cd346af81560053dc7d45b5" title="基于账龄确认信用风险特征组合的账龄计算方法单击或点击此处输..." headerRef="253" helpId="112001010"/>
    <m:section xlName="_SEC_c8e55835e2d842228ebba8e2018130c8" title="按照单项计提坏账准备的认定单项计提判断标准单击或点击此处输..." headerRef="253" helpId="112001010"/>
    <m:item xlName="_GBC_47906a8d31c54a72891112f417e1058d" headerRef="254" up="应收款项融资" concept="clcid-ci-ar:ShiFouShiYongYingShouKuanXiangRongZiZhongYaoKuaiJiZhengCeHeGuJi" label="是否适用：应收款项融资_重要会计政策和估计" selectOptions="_buildInAppliance" controlType="CustomCheckbox" cRanges="[{&quot;StartName&quot;:&quot;_GBC_47906a8d31c54a72891112f417e1058d&quot;,&quot;EndName&quot;:&quot;_SEC_a133dfa6dbfe498b86ace80225b3dbb3&quot;,&quot;CType&quot;:1}]"/>
    <m:section xlName="_SEC_416ee1c34e144a8e91d422b5d31a97f8" title="按照信用风险特征组合计提坏账准备的组合类别及确定依据单击或..." headerRef="254" helpId="112001010"/>
    <m:section xlName="_SEC_717801d7faa4451aa8dc0acca0e0447e" title="基于账龄确认信用风险特征组合的账龄计算方法单击或点击此处输..." headerRef="254" helpId="112001010"/>
    <m:section xlName="_SEC_a133dfa6dbfe498b86ace80225b3dbb3" title="按照单项计提坏账准备的单项计提判断标准单击或点击此处输入文..." headerRef="254" helpId="112001010"/>
    <m:placeholder xlName="_PLD_16058f6847404d8f8ecaeeb086284c95" keyCode="PageId:ch1004" keyAction="31"/>
    <m:item xlName="_GBC_dfe58b09048a4951b32b48ce6a3930aa" headerRef="255" up="其他应收款" concept="clcid-ci-ar:ShiFouShiYongQiTaYingShouKuanZhongYaoHuiJiZhengCeHeGuJi" label="是否适用：其他应收款_重要会计政策和估计" selectOptions="_buildInAppliance" controlType="CustomCheckbox" cRanges="[{&quot;StartName&quot;:&quot;_GBC_dfe58b09048a4951b32b48ce6a3930aa&quot;,&quot;EndName&quot;:&quot;_SEC_65907d2dee3243b0a625259201221910&quot;,&quot;CType&quot;:1}]"/>
    <m:section xlName="_SEC_cff58e8508c147a08145be5515d678b9" title="按照信用风险特征组合计提坏账准备的组合类别及确定依据单击或..." headerRef="255" helpId="112001010"/>
    <m:section xlName="_SEC_8efbd247b505408c96e7133da8424c42" title="基于账龄确认信用风险特征组合的账龄计算方法单击或点击此处输..." headerRef="255" helpId="112001010"/>
    <m:section xlName="_SEC_65907d2dee3243b0a625259201221910" title="按照单项计提坏账准备的单项计提判断标准单击或点击此处输入文..." headerRef="255" helpId="112001010"/>
    <m:item xlName="_GBC_517cddca0e1f4d4bb5ef2c4a3d049269" headerRef="256" up="存货" concept="clcid-ci-ar:ShiFouShiYongCunHuoZhongYaoHuiJiZhengCeHeGuJi" label="是否适用：存货_重要会计政策和估计" selectOptions="_buildInAppliance" controlType="CustomCheckbox" cRanges="[{&quot;StartName&quot;:&quot;_GBC_517cddca0e1f4d4bb5ef2c4a3d049269&quot;,&quot;EndName&quot;:&quot;_SEC_e792e598ea494b138dbd9229e5d967bc&quot;,&quot;CType&quot;:1}]"/>
    <m:section xlName="_SEC_45c9cda1a7954913af07b0fc6bed1f4b" title="存货类别、发出计价方法、盘存制度、低值易耗品和包装物的摊销方..." headerRef="256" helpId="112001010"/>
    <m:section xlName="_SEC_1cd44856f54a4f16bb58d8a9949bdc7c" title="存货跌价准备的确认标准和计提方法单击或点击此处输入文字。..." headerRef="256" helpId="112001010"/>
    <m:section xlName="_SEC_8081ecb7900049458086a58014c3416e" title="按照组合计提存货跌价准备的组合类别及确定依据、不同类别存货可..." headerRef="256" helpId="112001010"/>
    <m:section xlName="_SEC_e792e598ea494b138dbd9229e5d967bc" title="基于库龄确认存货可变现净值的各库龄组合可变现净值的计算方法和..." headerRef="256" helpId="112001010"/>
    <m:item xlName="_GBC_2975adaf2d6646238ccae8f732c465f0" headerRef="257" up="合同资产" concept="clcid-ci-ar:ShiFouShiYongHeTongZiChanZhongYaoHuiJiZhengCeHeGuJi" label="是否适用：合同资产_重要会计政策和估计" selectOptions="_buildInAppliance" controlType="CustomCheckbox" cRanges="[{&quot;StartName&quot;:&quot;_GBC_2975adaf2d6646238ccae8f732c465f0&quot;,&quot;EndName&quot;:&quot;_SEC_6a596f9564ab4625ac5d0afcdacc5ae6&quot;,&quot;CType&quot;:1}]"/>
    <m:section xlName="_SEC_b4bffb1f8e2d49bb8a666b1dadf04d84" title="合同资产的确认方法及标准" headerRef="257" helpId="112001010"/>
    <m:section xlName="_SEC_da461cc09c004df4a44dd5c240ffa826" title="按照信用风险特征组合计提坏账准备的组合类别及确定依据单击或..." headerRef="257" helpId="112001010"/>
    <m:section xlName="_SEC_f972af48a0434a32b9fe11decaa5ebe7" title="基于账龄确认信用风险特征组合的账龄计算方法单击或点击此处输..." headerRef="257" helpId="112001010"/>
    <m:section xlName="_SEC_6a596f9564ab4625ac5d0afcdacc5ae6" title="按照单项计提坏账准备的认定单项计提判断标准单击或点击此处输..." headerRef="257" helpId="112001010"/>
    <m:section xlName="_SEC_fb9fc514fe4b4fd1a4c298384e5375dd" title="持有待售的非流动资产或处置组单击或点击此处输入文字。单击..." headerRef="258" helpId="112001010"/>
    <m:section xlName="_SEC_830b4f94591548efb1adc0f21a1b31fd" title="划分为持有待售的非流动资产或处置组的确认标准和会计处理方法..." headerRef="258" helpId="112001010"/>
    <m:section xlName="_SEC_f042a63dae564989b0cc0a0f1b88c85a" title="终止经营的认定标准和列报方法单击或点击此处输入文字。单击..." headerRef="258" helpId="112001010"/>
    <m:section xlName="_GBC_d82c12cf13554acd90dfb7880244798c" title="长期股权投资" headerRef="259" ignorePeriod="1" helpId="112001010" helpText="注：说明共同控制、重要影响的判断标准，长期股权投资的初始投资成本确定、后续计量及损益确认方法。"/>
    <m:placeholder xlName="_PLD_45281b8bf99b4125ae788ee254a4a655" keyCode="PageId:ch1005" keyAction="31"/>
    <m:section xlName="_GBC_20b1c487c1e348188269523d7d980194" title="成本计量模式" checkKey="!公允价值计量&amp;!不适用" headerRef="261" ignorePeriod="1" helpId="112001010" primarySection="_GBC_20b1c487c1e348188269523d7d980194" optionText="成本计量模式" activeContentOption="_GBC_2b2036270bc84711804cd256998442a6" optionGroupTitle="投资性房地产计量模式" optionTargetConcept="clcid-pte:TouZiXingFangDiChanJiLiangMoShi" optionTargetConceptValue="成本计量模式" afterEmptyParagraphs="1"/>
    <m:section xlName="_GBC_2b2036270bc84711804cd256998442a6" title="公允价值计量模式" checkKey="!成本计量&amp;!不适用" headerRef="262"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headerRef="262" helpId="112001010" primarySection="_GBC_20b1c487c1e348188269523d7d980194" optionText="不适用" optionGroupTitle="投资性房地产计量模式" optionTargetConcept="clcid-pte:TouZiXingFangDiChanJiLiangMoShi" optionTargetConceptValue="不适用"/>
    <m:section xlName="_GBC_662771796da549e1b2a02fb7d497f077" title="固定资产确认条件" headerRef="264" ignorePeriod="1" helpId="112001010"/>
    <m:section xlName="_GBC_7c749a57d4094b3386978c34c3487e2a" title="固定资产折旧方法" headerRef="265" isSupervision="true" helpId="112001010" helpText="注：公司根据自身实际情况确定类别，一般包括房屋及建筑物、机器设备、电子设备、运输设备等。折旧方法有年限平均法、工作量法、双倍余额递减法、年数总和法，其他。如选择其他，请在文本框中说明。"/>
    <m:section xlName="_GBC_3eb5f960df3e47f0a4bf3af0bc67ca96" title="在建工程会计处理方法" headerRef="266" ignorePeriod="1" convertSummaryRule="NoConvert" helpId="112001010" helpText="注：说明在建工程结转为固定资产的标准和时点。"/>
    <m:section xlName="_GBC_e3e4d07ea08d4589a9293563ea655b42" title="借款费用会计处理方法" headerRef="267" ignorePeriod="1" convertSummaryRule="NoConvert" helpId="112001010" helpText="注：说明借款费用资本化的确认原则、资本化期间、暂停资本化期间、借款费用资本化率以及资本化金额的计算方法。"/>
    <m:section xlName="_GBC_0b83f813710f436286429917c8c39567" title="生物资产会计处理方法" headerRef="268" ignorePeriod="1" convertSummaryRule="NoConvert" helpId="112001010"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headerRef="269" ignorePeriod="1" convertSummaryRule="NoConvert" helpId="112001010" helpText="注：说明与各类油气资产相关支出的资本化标准，各类油气资产的折耗或摊销方法，采矿许可证等执照费用的会计处理方法以及油气储量估计的判断依据等。"/>
    <m:section xlName="_GBC_0a8b293ff9e94173b2e385f4ef2a8c89" title="无形资产会计处理方法" headerRef="270" ignorePeriod="1" convertSummaryRule="NoConvert" helpId="112001010"/>
    <m:section xlName="_SEC_c11b0580b6b040ca9dbb882b383dfc03" title="长期资产减值" headerRef="273" helpId="112001010"/>
    <m:section xlName="_SEC_716e5dd4aef549d9b8815a4e1474e63d" title="长期待摊费用" headerRef="274" helpId="112001010"/>
    <m:section xlName="_SEC_2988762bdf3a48178e0180a615cb7705" title="合同负债" headerRef="275" ignorePeriod="1" helpId="112001010"/>
    <m:section xlName="_GBC_8ec8855eb4d5447ab785e4bd4b0b73aa" title="职工薪酬" headerRef="276" ignorePeriod="1" helpId="112001010"/>
    <m:section xlName="_GBC_b5b71a4d3cc1425c80f55e751e7e18c2" title="预计负债会计处理方法" headerRef="281" ignorePeriod="1" convertSummaryRule="NoConvert" helpId="112001010" helpText="注：说明预计负债的确认标准和各类预计负债的计量方法。"/>
    <m:section xlName="_GBC_5300d3ce4b5f4c1690fe13bde0a610e3" title="股份支付" headerRef="282" ignorePeriod="1" helpId="112001010" helpText="注：说明股份支付计划的会计处理方法，包括修改或终止股份支付计划的相关会计处理。"/>
    <m:section xlName="_GBC_d3c9524999e647d78f354bb216cfb1aa" title="优先股、永续债" headerRef="283" ignorePeriod="1" helpId="112001010" helpText="注：说明优先股、永续债等其他金融工具的会计处理方法"/>
    <m:section xlName="_GBC_19704df9fd714cad895419bf4903f70e" title="收入会计处理方法" headerRef="284" ignorePeriod="1" convertSummaryRule="NoConvert" helpId="11200101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section xlName="_SEC_d90e7184f27046ff9caab68c045539c7" title="同类业务采用不同经营模式导致收入确认会计政策存在差异的情况" headerRef="286" ignorePeriod="1" helpId="112001010"/>
    <m:section xlName="_SEC_1a8f2a657b9d471d80373f3b25cb1dfe" title="合同成本" headerRef="287" ignorePeriod="1" helpId="112001010"/>
    <m:section xlName="_GBC_b03bd816e50b42ae97b660897ca33234" title="政府补助会计处理方法" headerRef="288" ignorePeriod="1" convertSummaryRule="NoConvert" helpId="112001010"/>
    <m:section xlName="_GBC_01f1973e44f24cd99b90200f8205be13" title="递延所得税资产/递延所得税负债会计处理方法" headerRef="289" ignorePeriod="1" convertSummaryRule="NoConvert" helpId="112001010" helpText="注：说明递延所得税资产和递延所得税负债的确认依据。"/>
    <m:item xlName="_GBC_7f954ee357264e2c946d2c530d8787c5" headerRef="290" up="租赁" concept="clcid-ci-ar:ShiFouShiYongZuLinZhongYaoKuaiJiZhengCeHeGuJi" label="是否适用：租赁_重要会计政策和估计" selectOptions="_buildInAppliance" controlType="CustomCheckbox" cRanges="[{&quot;StartName&quot;:&quot;_GBC_7f954ee357264e2c946d2c530d8787c5&quot;,&quot;EndName&quot;:&quot;_SEC_de0d6f86c5e44e9ba9ed0ad83d081f20&quot;,&quot;CType&quot;:1}]"/>
    <m:section xlName="_SEC_0b2a109afef44d198ca2c3ed557c8d1d" title="作为承租方对短期租赁和低价值资产租赁进行简化处理的判断依据和..." headerRef="290" helpId="112001010"/>
    <m:section xlName="_SEC_de0d6f86c5e44e9ba9ed0ad83d081f20" title="作为出租方的租赁分类标准和会计处理方法单击或点击此处输入文..." headerRef="290" helpId="112001010"/>
    <m:section xlName="_GBC_208440ea3a0f4676970b3672c3cdf96f" title="其他重要的会计政策和会计估计" headerRef="291" ignorePeriod="1" helpId="112001010" helpText="注：说明其他重要的会计政策和会计估计，包括但不限于：终止经营的确认标准、会计处理方法，采用套期会计的依据、会计处理方法，与回购公司股份相关的会计处理方法，资产证券化业务的会计处理方法等。"/>
    <m:item xlName="_GBC_f1ebc580f60c4d30a80747190ffbec4f" headerRef="293" up="重要会计政策变更" concept="clcid-pte:ShiFouShiYongZhongYaoKuaiJiZhengCeBianGeng" label="是否适用：重要会计政策变更" selectOptions="_buildInAppliance" controlType="CustomCheckbox" cRanges="[{&quot;StartName&quot;:&quot;_GBC_f1ebc580f60c4d30a80747190ffbec4f&quot;,&quot;EndName&quot;:&quot;_SEC_b59487ebdc7b4d11894136077303d0d8&quot;,&quot;CType&quot;:1}]"/>
    <m:section xlName="_SEC_b59487ebdc7b4d11894136077303d0d8" title="会计政策变更" headerRef="293" ignorePeriod="1" convertSummaryRule="ConvertDefinedText" convertText="无" helpId="112001010" helpText="注：说明受重要影响的报表项目名称和金额。"/>
    <m:item xlName="_GBC_902f08bd36774074945386d2d1f9b67d" headerRef="294" up="重要会计估计变更" concept="clcid-pte:ShiFouShiYongZhongYaoKuaiJiGuJiBianGeng" label="是否适用：重要会计估计变更" selectOptions="_buildInAppliance" controlType="CustomCheckbox" cRanges="[{&quot;StartName&quot;:&quot;_GBC_902f08bd36774074945386d2d1f9b67d&quot;,&quot;EndName&quot;:&quot;_SEC_acb82d75d97145538369850670e86521&quot;,&quot;CType&quot;:1}]"/>
    <m:section xlName="_SEC_acb82d75d97145538369850670e86521" title="会计估计变更" headerRef="294" ignorePeriod="1" helpId="112001010" helpText="注：说明受重要影响的报表项目名称和金额。"/>
    <m:section xlName="_SEC_a9815fd707d7490aa4f57a92594115cf" title="首次执行新金融工具准则、新收入准则、新租赁准则调整首次执行当年年初财务报表相关项目情况" headerRef="295" primarySection="_SEC_a9815fd707d7490aa4f57a92594115cf" optionText="需要编制合并报表" optionGroupTitle="是否需要合并报表" optionTargetConcept="clcid-ci-ar:ShiFouXuYaoHeBingBaoBiao" optionTargetConceptValue="true" keyAction="42" keyCode="2"/>
    <m:section xlName="_SEC_b25f53d81de34b61bf171ff5ba21cfa8" title="首次执行新金融工具准则、新收入准则、新租赁准则调整首次执行当年年初财务报表相关项目情况" headerRef="296" primarySection="_SEC_a9815fd707d7490aa4f57a92594115cf" optionText="无需编制合并报表" optionGroupTitle="是否需要合并报表" optionTargetConcept="clcid-ci-ar:ShiFouXuYaoHeBingBaoBiao" optionTargetConceptValue="false" keyAction="42" keyCode="2">
      <m:rowModel locationConcept="clcid-ci-ar:ZiDingYiKeMuWeiZhi" labelConcept="clcid-ci-ar:ZiDingYiKeMuMingCheng" conceptPrefix="资产负债表" presentationRole="http://www.xbrl-cn.org/cn/lcid/lr/role/BalanceSheetforCommercialandIndustrialCompanies " presentationParentConcept="clcid-pte:ZiChanFuZhaiBiao" tuplePrefix="项目"/>
    </m:section>
    <m:section xlName="_GBC_f9189f2c315949f484bded540173f7a8" title="其他" headerRef="297" helpId="112001034"/>
    <m:section xlName="_GBC_21c965fa52af49a9865023fb4e05671a" title="主要税种及税率" headerRef="299" convertSummaryRule="NoConvert" helpId="112001036" axisType="Column"/>
    <m:section xlName="_GBC_8efa381cc976417f9135f0c744d05452" title="税收优惠及批文" headerRef="300" convertSummaryRule="NoConvert" helpId="112001036" helpText="注：说明主要税收优惠政策及依据。"/>
    <m:section xlName="_GBC_9fdef48633e142f68e18dc5da08c2deb" title="其他说明" headerRef="301" convertSummaryRule="NoConvert" helpId="112001038"/>
    <m:placeholder xlName="_PLD_5caece51bbf041cfa2138d22a8ddeef3" keyCode="PageId:ch1009" keyAction="31"/>
    <m:section xlName="_SEC_fe3ce9278bcc4538b07f06ed84d7ee69" title="货币资金" rules="R2015_R11_002" headerRef="303" convertSummaryRule="NoConvert" helpId="112001039" helpText="注：因抵押、质押或冻结等对使用有限制，以及存放在境外且资金汇回受到限制的款项应单独说明。\n“根据《企业会计准则解释第15号》，对于成员单位未归集至集团母公司账户而直接存入财务公司的资金，成员单位应当在资产负债表“货币资金” 项目中列示， 根据重要性原则并结合本企业的实际情况，成员单位还可以在“货币资金” 项目之下增设“其中：存放财务公司款项” 项目单独列示。”"/>
    <m:section xlName="_SEC_6fb2365d490c45119367e7aca86f857c" title="交易性金融资产" headerRef="304" helpId="112001041"/>
    <m:section xlName="_GBC_bc314407a9a14c2f8b2b5368638e0a51" title="衍生金融资产" headerRef="305" helpId="112001042" helpText="注：说明衍生金融工具形成原因以及相关会计处理等。"/>
    <m:placeholder xlName="_PLD_5f1e8572fc9c4837a19df40c8bc28554" keyCode="PageId:ch1039" keyAction="31"/>
    <m:section xlName="_GBC_c1ce1fc5bd0f42bca82cd02f3a6b623f" title="应收票据分类" rules="R2015_R11_003" headerRef="307" convertSummaryRule="NoConvert" helpId="112001044"/>
    <m:section xlName="_GBC_8fdb3f7098324d0d8b9f6e395abf9009" title="期末公司已质押的应收票据情况" rules="R2015_R11_003" headerRef="308" convertSummaryRule="NoConvert" helpId="112001044"/>
    <m:section xlName="_GBC_d0a9833415574c7baa9ef176fea05ecf" title="因出票人无力履约而将票据转为应收账款的票据，以及期末已背书未到期票据" rules="R2015_R11_003" headerRef="309" convertSummaryRule="NoConvert" helpId="112001044"/>
    <m:item xlName="_GBC_064ae6cf552d47d6abf4ad2b5c55d254" headerRef="310" up="按坏账计提方法分类披露"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dc3b0ce015a4b54a67e0a855abb57d7&quot;,&quot;CType&quot;:1}]"/>
    <m:section xlName="_SEC_2dc3b0ce015a4b54a67e0a855abb57d7" title="按坏账计提方法分类披露" headerRef="310" helpId="112001044"/>
    <m:section xlName="_SEC_35f0dd53a3094420ab950eaf2d236098" title="按单项计提坏账准备：" headerRef="310" helpId="112001044"/>
    <m:item xlName="_GBC_2b00fe7228b14b11bdb374e735777f02" headerRef="310" up="按组合计提坏账准备："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headerRef="310" helpId="112001044"/>
    <m:section xlName="_SEC_6b9325db8bc94217b3b159530c2e7ce6" title="如按预期信用损失一般模型计提坏账准备，请参照其他应收款披露" headerRef="310" helpId="112001044">
      <m:axisValue occRef="应收票据"/>
    </m:section>
    <m:section xlName="_SEC_c99da1af26b84f39935c31f457be5726" title="坏账准备的情况" headerRef="311" helpId="112001044"/>
    <m:section xlName="_SEC_b5b10fb76e04464dac1f70f677b727ee" title="应收票据本期坏账准备收回或转回金额重要的" headerRef="311" helpId="112001044"/>
    <m:section xlName="_SEC_d1d07f77bea54442a58602a5a3e94f42" title="本期实际核销的应收票据情况" headerRef="312" helpId="112001044"/>
    <m:section xlName="_GBC_c7095bafbab543a9bb9dcc587154df29" title="应收票据其他说明" rules="R2015_R11_003" headerRef="312" convertSummaryRule="NoConvert" helpId="112001044"/>
    <m:placeholder xlName="_PLD_19b98ceec6c14d9a8bb1ce7d7374749c" keyCode="PageId:ch1010" keyAction="31"/>
    <m:section xlName="_SEC_a298d7120a244ca9b9690c64cb86f6ad" title="按账龄披露" headerRef="314" helpId="112001045" helpText="表中的“期末账面余额”指的是包含单项计提和组合计提的期末账面余额。"/>
    <m:item xlName="_GBC_fc55e6778e08412caa3e7b9e7a1a0f85" headerRef="315" up="按坏账计提方法分类披露" concept="clcid-ci-ar:ShiFouShiYongYingShouZhangKuanFenLeiPiLu" label="是否适用：应收账款分类披露" selectOptions="_buildInAppliance" controlType="CustomCheckbox" cRanges="[{&quot;StartName&quot;:&quot;_GBC_fc55e6778e08412caa3e7b9e7a1a0f85&quot;,&quot;EndName&quot;:&quot;_SEC_0398db7d3d0941d99bcd41800ef0e448&quot;,&quot;CType&quot;:1}]"/>
    <m:section xlName="_SEC_0398db7d3d0941d99bcd41800ef0e448" title="(2). 按坏账计提方法分类披露" headerRef="315" helpId="112001045"/>
    <m:section xlName="_SEC_498beef22f03474fa398c526ee8a934d" title="按单项计提坏账准备：" headerRef="315" helpId="112001045"/>
    <m:item xlName="_GBC_47a07baa9a4f4c5ea6de193ae7b87e74" headerRef="315" up="按组合计提坏账准备："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headerRef="315" helpId="112001045"/>
    <m:section xlName="_SEC_e432f11a05d54da1a71a76d4978c5139" title="如按预期信用损失一般模型计提坏账准备" headerRef="315" helpId="112001045">
      <m:axisValue occRef="应收账款"/>
    </m:section>
    <m:section xlName="_SEC_12d740ff187b4b12aec92868132c72ed" title="坏账准备的情况" headerRef="316" helpId="112001045"/>
    <m:section xlName="_SEC_cdecb9c204ca4a9c9226b9ac1afaefaa" title="本期坏账准备收回或转回金额重要的" rules="R2015_R11_004" headerRef="316" convertSummaryRule="NoConvert" helpId="112001045" helpText="注：说明转回或收回原因，确定原坏账准备计提比例的依据及其合理性。"/>
    <m:section xlName="_GBC_af8ceb97930d4d7391d4823a068c824b" title="本报告期实际核销的应收账款情况" rules="R2015_R11_004" headerRef="317" convertSummaryRule="NoConvert" helpId="112001045"/>
    <m:section xlName="_SEC_0de922a4c3ae428ca01a32fccaf5a259" title="按欠款方归集的期末余额前五名的应收账款情况：" rules="R2015_R11_004" headerRef="318" helpId="112001045" helpText="注：按欠款方集中度，汇总或分别披露期末余额前五名的应收账款的期末余额及占应收账款期末余额合计数的比例，以及相应计提的坏账准备期末余额。"/>
    <m:section xlName="_GBC_2f38c172c62a46cfa73776efdf952fad" title="应收账款其他说明" rules="R2015_R11_004" headerRef="318" helpId="112001045"/>
    <m:section xlName="_SEC_9eb3b6c88c0a41f7a3f6a2f43946f06c" title="合同资产" headerRef="319" helpId="112002271"/>
    <m:section xlName="_SEC_e8c350da8e69479e93eb03226371923c" title="报告期内账面价值发生重大变动的金额和原因" headerRef="321" helpId="112002271"/>
    <m:section xlName="_SEC_79262ce3c3fa43da93ff17d323d38679" title="按坏账计提方法分类披露" headerRef="322" helpId="112002271">
      <m:axisValue occRef="合同资产"/>
      <m:axisValue occRef="长期应收款"/>
    </m:section>
    <m:section xlName="_SEC_8ff311ab8694456982efe033266b0818" title="按单项计提坏账准备：  单位：元币种：人民币名称 期..." headerRef="322" helpId="112002271">
      <m:axisValue occRef="合同资产"/>
      <m:axisValue occRef="长期应收款"/>
    </m:section>
    <m:item xlName="_GBC_059f7dfd74cd41d4b2b8918cfc3d067f" headerRef="322" up="按组合计提坏账准备：" concept="clcid-ci-ar:ShiFouShiYongAnZuHeJiTiHuaiZhangZhunBeiDeXiangXiQingKuang" label="是否适用：按组合计提坏账准备的详细情况" selectOptions="_buildInAppliance" controlType="CustomCheckbox" cRanges="[{&quot;StartName&quot;:&quot;_GBC_059f7dfd74cd41d4b2b8918cfc3d067f&quot;,&quot;EndName&quot;:&quot;_SEC_7ee1acac21f147e8be51ad7c182a59cc&quot;,&quot;CType&quot;:1}]">
      <m:axisValue occRef="合同资产"/>
    </m:item>
    <m:section xlName="_SEC_7ee1acac21f147e8be51ad7c182a59cc" title="组合计提项目" tupleConcept="clcid-pte:AnZuHeJiTiHuaiZhangZhunBeiDeXiangXiMingXi" repeatable="1" headerRef="322" helpId="112002271">
      <m:axisValue occRef="合同资产"/>
      <m:axisValue occRef="长期应收款"/>
    </m:section>
    <m:section xlName="_SEC_cda340aaf00a44e5b3e83efedfe3e597" title="如按预期信用损失一般模型计提坏账准备" headerRef="322" helpId="112002271">
      <m:axisValue occRef="合同资产"/>
    </m:section>
    <m:section xlName="_SEC_bf3d6e0971b243878381353846199645" title="本期合同资产计提减值准备情况" headerRef="323" helpId="112002271"/>
    <m:section xlName="_SEC_41fd81b29b64408b828316d7fae0e4f5" title="其中本期坏账准备收回或转回金额重要的" headerRef="323" helpId="112002271">
      <m:axisValue occRef="合同资产"/>
    </m:section>
    <m:section xlName="_SEC_483be52511e0421bb90a3e86c5b7e9ed" title="本期实际核销的合同资产情况" headerRef="324" helpId="112002271"/>
    <m:section xlName="_SEC_a12e20a7ea774c8197717894a1e3f908" title="其中重要的合同资产核销情况 " headerRef="324" helpId="112002271">
      <m:axisValue occRef="合同资产"/>
      <m:axisValue occRef="长期应收款"/>
    </m:section>
    <m:section xlName="_SEC_5b10981ad765434eb8d30a4d75bff071" title="其他说明：" headerRef="324" helpId="112002271"/>
    <m:placeholder xlName="_PLD_4377fa9346cc450dbde8979afdffb399" keyCode="PageId:ch1041" keyAction="31"/>
    <m:section xlName="_SEC_b9585f9030e74f2d93f72009bc3b92cd" title="应收款项融资分类列示" headerRef="326" helpId="112002268" helpText="按信用风险等级分类披露应收款项融资明细。"/>
    <m:section xlName="_SEC_ec636e9fe97347bfab252a12b8e3278b" title="期末公司已质押的应收款项融资" headerRef="327" helpId="112002268"/>
    <m:section xlName="_SEC_789198171e364e6b81e731af96218522" title="期末公司已背书或贴现且在资产负债表日尚未到期的应收款项融资" headerRef="328" helpId="112002268" keyAction="42" keyCode="2"/>
    <m:section xlName="_SEC_a8011b91cc30479fbff85c1b0f7c9ba6" title="按坏账计提方法分类披露" headerRef="329" helpId="112002268">
      <m:axisValue occRef="应收款项融资"/>
    </m:section>
    <m:section xlName="_SEC_325c2ed151c84f059ead84fd926427c9" title="按单项计提坏账准备：  单位：元币种：人民币名称 期..." headerRef="329" helpId="112002268">
      <m:axisValue occRef="应收款项融资"/>
    </m:section>
    <m:item xlName="_GBC_02191f78423f4f4ca97cd31179bf21d5" headerRef="329" up="按组合计提坏账准备：" concept="clcid-ci-ar:ShiFouShiYongAnZuHeJiTiHuaiZhangZhunBeiDeXiangXiQingKuang" label="是否适用：按组合计提坏账准备的详细情况" selectOptions="_buildInAppliance" controlType="CustomCheckbox" cRanges="[{&quot;StartName&quot;:&quot;_GBC_02191f78423f4f4ca97cd31179bf21d5&quot;,&quot;EndName&quot;:&quot;_SEC_3b46e5fa769b48378dd226f4c8f25a6d&quot;,&quot;CType&quot;:1}]">
      <m:axisValue occRef="应收款项融资"/>
    </m:item>
    <m:section xlName="_SEC_3b46e5fa769b48378dd226f4c8f25a6d" title="组合计提项目" tupleConcept="clcid-pte:AnZuHeJiTiHuaiZhangZhunBeiDeXiangXiMingXi" repeatable="1" headerRef="329" helpId="112002268">
      <m:axisValue occRef="应收款项融资"/>
    </m:section>
    <m:section xlName="_SEC_0c668b0e80ca4583b8434cfcd068e62f" title="如按预期信用损失一般模型计提坏账准备" headerRef="329" helpId="112002268">
      <m:axisValue occRef="应收款项融资"/>
    </m:section>
    <m:section xlName="_SEC_8fbaf4832b8a4df2a8add0c01204cf49" title="坏账准备的情况" headerRef="330" helpId="112002268"/>
    <m:section xlName="_SEC_008a4bca1fca4fc1be642fcc3d913567" title="其中本期坏账准备收回或转回金额重要的" headerRef="330" helpId="112002268">
      <m:axisValue occRef="应收款项融资"/>
    </m:section>
    <m:section xlName="_SEC_edb06bb7ac854fa4be196ec302ba7ddf" title="本期实际核销的应收款项融资情况" headerRef="331" helpId="112002268"/>
    <m:section xlName="_SEC_db1213cf20c146178575f11ed7dafbf6" title="其中重要的应收款项融资核销情况单位：币种：（..." headerRef="331" helpId="112002268">
      <m:axisValue occRef="应收款项融资"/>
    </m:section>
    <m:section xlName="_SEC_f622924e64af4a44a962a96fa26bf3ea" title="应收款项融资本期增减变动及公允价值变动情况：  " headerRef="332" helpId="112002268"/>
    <m:section xlName="_SEC_cc1b5a87b00b4f9597e03f379dacda36" title="其他说明：  " headerRef="333" helpId="112002268"/>
    <m:section xlName="_GBC_4c02994d3bd04bacba6592630552e576" title="预付款项按账龄列示" rules="R2015_R11_005" headerRef="335" convertSummaryRule="NoConvert" helpId="112001047"/>
    <m:section xlName="_GBC_2c5fba8651a04a6d88c0c9fc33310c57" title="预付款项金额前五名单位情况" rules="R2015_R11_005" headerRef="336" convertSummaryRule="NoConvert" helpId="112001047" helpText="注：按预付对象集中度，汇总或分别披露期末余额前五名的预付款项的期末余额及占预付款项期末余额合计数的比例。"/>
    <m:section xlName="_GBC_ee9bedfa5e5340c9b02fb474f1a1fc26" title="预付款项的说明" rules="R2015_R11_005" headerRef="336" convertSummaryRule="NoConvert" helpId="112001047"/>
    <m:placeholder xlName="_PLD_15d22efc683642ab9c4d303ac2774bd8" keyCode="PageId:ch1043" keyAction="31"/>
    <m:section xlName="_SEC_440b8bdb86984dd89d750fdd7845fe71" title="分类列示" headerRef="338"/>
    <m:section xlName="_GBC_6620e2366b444b3fb9e784e1bb6a87fd" title="应收利息" headerRef="339" convertSummaryRule="NoConvert" helpId="112001049"/>
    <m:section xlName="_GBC_bcfcff19f55a43f988e9223dca0728dc" title="逾期利息" headerRef="341" convertSummaryRule="NoConvert" helpId="112001049"/>
    <m:section xlName="_SEC_3c4747ce924442abb81880a0653caa26" title="按坏账计提方法分类披露" headerRef="342" helpId="112001049">
      <m:axisValue occRef="应收利息"/>
    </m:section>
    <m:section xlName="_SEC_20180252db834d89b2024c56a55e6339" title="按单项计提坏账准备：  单位：元币种：人民币名称 期..." headerRef="342" helpId="112001049">
      <m:axisValue occRef="应收利息"/>
    </m:section>
    <m:item xlName="_GBC_0dc49505e0b44d56bf15079c4ea20a9a" headerRef="342" up="按组合计提坏账准备：" concept="clcid-ci-ar:ShiFouShiYongAnZuHeJiTiHuaiZhangZhunBeiDeXiangXiQingKuang" label="是否适用：按组合计提坏账准备的详细情况" selectOptions="_buildInAppliance" controlType="CustomCheckbox" cRanges="[{&quot;StartName&quot;:&quot;_GBC_0dc49505e0b44d56bf15079c4ea20a9a&quot;,&quot;EndName&quot;:&quot;_SEC_36b1b98311154e0784b35cec07d0e1ff&quot;,&quot;CType&quot;:1}]">
      <m:axisValue occRef="应收利息"/>
    </m:item>
    <m:section xlName="_SEC_36b1b98311154e0784b35cec07d0e1ff" title="组合计提项目" tupleConcept="clcid-pte:AnZuHeJiTiHuaiZhangZhunBeiDeXiangXiMingXi" repeatable="1" headerRef="342" helpId="112001049">
      <m:axisValue occRef="应收利息"/>
    </m:section>
    <m:section xlName="_SEC_61c56552057346dd98026d659f25d3ef" title="坏账准备计提情况" headerRef="343" helpId="112001049"/>
    <m:section xlName="_SEC_17aef62ec0584f7d9e3478a8e415e7b0" title="坏账准备的情况" headerRef="344" helpId="112001049"/>
    <m:section xlName="_SEC_2262ff1f38cb4a9a8b0014b1f85f01c2" title="其中本期坏账准备收回或转回金额重要的" headerRef="344" helpId="112001049">
      <m:axisValue occRef="应收利息"/>
    </m:section>
    <m:section xlName="_SEC_4961ad9f36704cc08392d69b741c3f4d" title="本期实际核销的应收利息情况" headerRef="345" helpId="112001049"/>
    <m:section xlName="_SEC_54cd05ce6e8b41e8ae8e158cd50f20ec" title="其中重要的应收利息核销情况" headerRef="345" helpId="112001049">
      <m:axisValue occRef="应收利息"/>
    </m:section>
    <m:section xlName="_GBC_0dc3bcd06a754f79952657ba82acdc9f" title="应收利息的说明" headerRef="345" helpId="112001049"/>
    <m:section xlName="_GBC_94a22362634d47499fd45a0a5577c49b" title="应收股利" headerRef="347" helpId="112001050"/>
    <m:section xlName="_GBC_aafe0f2583ac4a35a029d834ee52b5de" title="应收股利" headerRef="348" convertSummaryRule="NoConvert" helpId="112001050"/>
    <m:section xlName="_SEC_46e8b25d525743bd96171366da61cc99" title="按坏账计提方法分类披露" headerRef="349" helpId="112001050">
      <m:axisValue occRef="应收股利"/>
    </m:section>
    <m:section xlName="_SEC_a626035601754a95bb4dbfad76205526" title="按单项计提坏账准备：  单位：元币种：人民币名称 期..." headerRef="349" helpId="112001050">
      <m:axisValue occRef="应收股利"/>
    </m:section>
    <m:item xlName="_GBC_37434366d06a4e49b22522b1d88358dd" headerRef="349" up="按组合计提坏账准备：" concept="clcid-ci-ar:ShiFouShiYongAnZuHeJiTiHuaiZhangZhunBeiDeXiangXiQingKuang" label="是否适用：按组合计提坏账准备的详细情况" selectOptions="_buildInAppliance" controlType="CustomCheckbox" cRanges="[{&quot;StartName&quot;:&quot;_GBC_37434366d06a4e49b22522b1d88358dd&quot;,&quot;EndName&quot;:&quot;_SEC_bf8c9c72115249d0ae24858a46c41775&quot;,&quot;CType&quot;:1}]">
      <m:axisValue occRef="应收股利"/>
    </m:item>
    <m:section xlName="_SEC_bf8c9c72115249d0ae24858a46c41775" title="组合计提项目" tupleConcept="clcid-pte:AnZuHeJiTiHuaiZhangZhunBeiDeXiangXiMingXi" repeatable="1" headerRef="349" helpId="112001050">
      <m:axisValue occRef="应收股利"/>
    </m:section>
    <m:section xlName="_SEC_cce3905839dc4d6ea19cf81ee0af7e4b" title="坏账准备计提情况" headerRef="350" helpId="112001050"/>
    <m:section xlName="_SEC_ff5cad629068408799f5650de6d18979" title="坏账准备的情况" headerRef="351" helpId="112001050"/>
    <m:section xlName="_SEC_5d828ebb427e444da707ce439ad480e0" title="其中本期坏账准备收回或转回金额重要的" headerRef="351" helpId="112001050">
      <m:axisValue occRef="应收股利"/>
    </m:section>
    <m:section xlName="_SEC_918d3902ab7f4bc58530738be7a5c260" title="本期实际核销的应收股利情况" headerRef="352" helpId="112001050"/>
    <m:section xlName="_SEC_5dd71b6ee5e7434a9121bbc0060b5fb0" title="其中重要的应收股利核销情况" headerRef="352" helpId="112001050">
      <m:axisValue occRef="应收股利"/>
    </m:section>
    <m:section xlName="_GBC_3543035ac1594f0aaa966ebb907a6f0d" title="应收股利的说明" headerRef="352" convertSummaryRule="NoConvert" helpId="112001050"/>
    <m:section xlName="_SEC_59c1797238404acbb309d3cabb45702e" title="按账龄披露" headerRef="354" helpId="112001051" helpText="表里的“期末账面余额”指的是包含单项计提和组合计提的期末账面余额。"/>
    <m:section xlName="_GBC_84d520d656b8446b87c909f5ff2b545d" title="其他应收款按款项性质分类情况" rules="R2015_R11_006" headerRef="355" helpId="112001051"/>
    <m:section xlName="_SEC_5ff83398df8949c88f89340b5b0e52f6" title="坏账准备计提情况" headerRef="356" helpId="112001051" helpText="如存在坏账准备，应按照财政部企业会计准则第37号第83条规定，披露损失准备期初余额与期末余额的调节表"/>
    <m:section xlName="_SEC_7849289533db4e96add81004bc8b8e26" title="坏账准备的情况" headerRef="357" helpId="112001051"/>
    <m:section xlName="_SEC_c7b512866069406b8202b761cc645bc8" title="本期坏账准备转回或收回金额重要的" headerRef="357" helpId="112001051"/>
    <m:section xlName="_GBC_ca12851378c64f09a5335b8a527df46f" title="本报告期实际核销的其他应收款情况" rules="R2015_R11_006" headerRef="358" convertSummaryRule="NoConvert" helpId="112001051"/>
    <m:section xlName="_GBC_a83a3fc7866445d68738701d3998ac0b" title="按欠款方归集的期末余额其中前五名的其他应收款单位情况" rules="R2015_R11_006" headerRef="359" helpId="112001051"/>
    <m:section xlName="_SEC_1c58bc8760574788a64c13226568d4d4" title="因资金集中管理而列报于其他应收款 " headerRef="360" helpId="112001051"/>
    <m:section xlName="_GBC_de4246046d754793a6a2db96dd5bb245" title="其他应收款其他说明" rules="R2015_R11_006" headerRef="360" helpId="112001051"/>
    <m:placeholder xlName="_PLD_1bc58b299bae44378ee0798c35d77f29" keyCode="PageId:ch1011" keyAction="31"/>
    <m:section xlName="_GBC_1953ea50f68542df9fa36d84b994cf17" title="存货分类 " rules="R2015_R11_007" headerRef="362" convertSummaryRule="NoConvert" helpId="112001053" axisType="Column"/>
    <m:section xlName="_SEC_ea0da6bd0d2c478e8dec978906af6b21" title="确认为存货的数据资源" headerRef="363"/>
    <m:section xlName="_GBC_d00b46c41ac84794bd1f7b10e97923a0" title="存货跌价准备" rules="R2015_R11_007" headerRef="364" convertSummaryRule="NoConvert" helpId="112001053" helpText="注：说明确定可变现净值的具体依据及本期转回或转销存货跌价准备的原因。" axisType="Column" keyAction="89"/>
    <m:section xlName="_SEC_06b6288b45644d34b15b9a65afd820ce" title="本期转回或转销存货跌价准备的原因  " headerRef="364" helpId="112001053"/>
    <m:section xlName="_SEC_e1c4b4d6cd8a41f493e3b74a0a74c2cb" title="按组合计提存货跌价准备  单位：元币种：人民币组合名称..." headerRef="364" helpId="112001053"/>
    <m:section xlName="_SEC_4f2c30a069004806a3a3fb2eb2452fc7" title="按组合计提存货跌价准备的计提标准  ___" headerRef="364" helpId="112001053"/>
    <m:section xlName="_GBC_dc559aaf0bf0428386e2f7f2cdeb43ec" title="存货期末余额含有借款费用资本化金额的说明：" rules="R2015_R11_007" headerRef="365" helpId="112001053"/>
    <m:section xlName="_SEC_8c46917973d94083a642ad0ca746d3cd" title="合同履约成本本期摊销金额的说明" headerRef="366" helpId="112001053"/>
    <m:section xlName="_SEC_96c2195df56b4f3eb6049f39e6923486" title="存货的其他说明" headerRef="366" helpId="112001053"/>
    <m:section xlName="_GBC_b8017c342539428893a6ec198dd061b3" title="划分为持有待售的资产" headerRef="367" helpId="112001055" helpText="企业应当按照《企业会计准则第42号——持有待售的非流动资产、处置组和终止经营》（财会〔2017〕13号）等规定，披露划分为持有待售类别的数据资源无形资产有关信息。\n注：说明划分为持有待售的资产的原因等。"/>
    <m:section xlName="_SEC_dbd8b443bc2d472ca3a90241f958114b" title="一年内到期的非流动资产" headerRef="368" helpId="112002269"/>
    <m:item xlName="_GBC_ed748eccf06845059b7b75fbb321c08e" headerRef="369" up="一年内到期的债权投资" concept="clcid-ci-ar:ShiFouShiYongYiNianNeiDaoQiDeZhaiQuanTouZi" label="是否适用：一年内到期的债权投资" selectOptions="_buildInAppliance" controlType="CustomCheckbox" cRanges="[{&quot;StartName&quot;:&quot;_GBC_ed748eccf06845059b7b75fbb321c08e&quot;,&quot;EndName&quot;:&quot;_SEC_d042825cbefd47cf84e253b4c6891fc8&quot;,&quot;CType&quot;:1}]"/>
    <m:section xlName="_SEC_39f1e39174ab4e07b2b9c6fab708b6de" title="一年内到期的债权投资情况" headerRef="370" helpId="112002269"/>
    <m:section xlName="_SEC_28254391fc4643aea4ff7f60a433e4a5" title="一年内到期的债权投资减值准备本期变动情况  单位：元币种..." headerRef="370" helpId="112002269">
      <m:axisValue occRef="一年内到期的债权投资"/>
      <m:axisValue occRef="一年内到期的其他债权投资"/>
      <m:axisValue occRef="债权投资"/>
      <m:axisValue occRef="其他债权投资"/>
    </m:section>
    <m:section xlName="_SEC_904de3ad5cbe4b719b3f3d7b6a127bd1" title="一年内到期的非流动资产期末重要的债权投资" headerRef="371" helpId="112002269"/>
    <m:section xlName="_SEC_e425664a289e46a3aa9d3a22a507f462" title="一年内到期的债权投资的减值准备计提情况" headerRef="372" helpId="112002269">
      <m:axisValue occRef="一年内到期的债权投资"/>
      <m:axisValue occRef="一年内到期的其他债权投资"/>
    </m:section>
    <m:section xlName="_SEC_76b7c4cd1d434c33a3be5908053f7051" title="本期减值准备计提金额以及评估金融工具的信用风险是否显著增加的..." headerRef="372" helpId="112002269">
      <m:axisValue occRef="一年内到期的债权投资"/>
      <m:axisValue occRef="一年内到期的其他债权投资"/>
    </m:section>
    <m:section xlName="_SEC_2fee3a86c12a495f95fcf37d4d35b7ef" title="本期实际核销的一年内到期的债权投资情况" headerRef="373" helpId="112002269"/>
    <m:section xlName="_SEC_23536a7cef02401eba5e128f1a9376b5" title="其中重要的一年内到期的债权投资的核销情况 " headerRef="373" helpId="112002269">
      <m:axisValue occRef="一年内到期的债权投资"/>
      <m:axisValue occRef="一年内到期的其他债权投资"/>
      <m:axisValue occRef="债权投资"/>
      <m:axisValue occRef="其他债权投资"/>
    </m:section>
    <m:section xlName="_SEC_d042825cbefd47cf84e253b4c6891fc8" title="其他说明 " headerRef="373" helpId="112002269"/>
    <m:item xlName="_GBC_4fffef07e644478cae129eff5661f608" headerRef="374" up="一年内到期的其他债权投资" concept="clcid-ci-ar:ShiFouShiYongYiNianNeiDaoQiDeQiTaZhaiQuanTouZi" label="是否适用：一年内到期的其他债权投资" selectOptions="_buildInAppliance" controlType="CustomCheckbox" cRanges="[{&quot;StartName&quot;:&quot;_GBC_4fffef07e644478cae129eff5661f608&quot;,&quot;EndName&quot;:&quot;_SEC_b78d5344fc5c4cb5a6bde20882705a89&quot;,&quot;CType&quot;:1}]"/>
    <m:section xlName="_SEC_22990f1e7af94869b0fbac47401ea617" title="一年内到期的其他债权投资情况" headerRef="375" helpId="112002269"/>
    <m:section xlName="_SEC_756850893c8e4f4da521cd021c2d4443" title="一年内到期的债权投资减值准备本期变动情况" headerRef="375" helpId="112002269">
      <m:axisValue occRef="一年内到期的债权投资"/>
      <m:axisValue occRef="一年内到期的其他债权投资"/>
      <m:axisValue occRef="债权投资"/>
      <m:axisValue occRef="其他债权投资"/>
    </m:section>
    <m:section xlName="_SEC_3cd7fe0fbf3a43cca3cccee5448ced1e" title="期末重要的一年内到期的其他债权投资  单位：元 币种：人..." headerRef="376" helpId="112002269"/>
    <m:section xlName="_SEC_0ee8c481fefd4fd1950720b5fa46d118" title="一年内到期的其他债权投资的减值准备计提情况" headerRef="377" helpId="112002269">
      <m:axisValue occRef="一年内到期的债权投资"/>
      <m:axisValue occRef="一年内到期的其他债权投资"/>
    </m:section>
    <m:section xlName="_SEC_e0233feae2ae424a8f685639047bc7cd" title="本期减值准备计提金额以及评估金融工具的信用风险是否显著增加的..." headerRef="377" helpId="112002269">
      <m:axisValue occRef="一年内到期的债权投资"/>
      <m:axisValue occRef="一年内到期的其他债权投资"/>
    </m:section>
    <m:section xlName="_SEC_64077e8b6cdb42a7a3c728e7774007ed" title="本期实际核销的一年内到期的其他债权投资情况" headerRef="378" helpId="112002269"/>
    <m:section xlName="_SEC_2bb2fa8912ff4c7c8354413711ab986c" title="其中重要的一年内到期的债权投资的核销情况 " headerRef="378" helpId="112002269">
      <m:axisValue occRef="一年内到期的债权投资"/>
      <m:axisValue occRef="一年内到期的其他债权投资"/>
    </m:section>
    <m:section xlName="_SEC_b78d5344fc5c4cb5a6bde20882705a89" title="其他说明" headerRef="378" helpId="112002269">
      <m:axisValue occRef="一年内到期的其他债权投资"/>
    </m:section>
    <m:section xlName="_SEC_744e256464b14d4d97c35dc1e5e2405c" title="一年内到期的非流动资产其他说明" headerRef="378" helpId="112002269"/>
    <m:section xlName="_GBC_e29fd29bee934fc3ab8325cf3625b905" title="其他流动资产" rules="R2015_R11_008" headerRef="379" helpId="112002272"/>
    <m:section xlName="_SEC_949cb4eb7a744418a5a5c6266b7029c9" title="债权投资债权投资情况" headerRef="380" helpId="112001057"/>
    <m:section xlName="_SEC_1a87d44858e0409e959095bd8463fb27" title="债权投资减值准备本期变动情况  单位：元币种..." headerRef="381" helpId="112001057">
      <m:axisValue occRef="一年内到期的债权投资"/>
      <m:axisValue occRef="一年内到期的其他债权投资"/>
      <m:axisValue occRef="债权投资"/>
      <m:axisValue occRef="其他债权投资"/>
    </m:section>
    <m:section xlName="_SEC_57ae6e89921c46d1ae9f8e69cdc2b4ab" title="期末重要的债权投资" headerRef="382" helpId="112001057"/>
    <m:section xlName="_SEC_bff86b17d4774a4a9f8a3329635b5429" title="减值准备计提情况" headerRef="383" helpId="112001057"/>
    <m:section xlName="_SEC_521886b28c8b4c10be77dbf48e5a1ca9" title="本期实际的核销债权投资情况" headerRef="384" helpId="112001057"/>
    <m:section xlName="_SEC_ffcb8eb3b5084d1eb5088577a0db748e" title="其中重要的债权投资的核销情况 " headerRef="384" helpId="112001057">
      <m:axisValue occRef="一年内到期的债权投资"/>
      <m:axisValue occRef="一年内到期的其他债权投资"/>
      <m:axisValue occRef="债权投资"/>
      <m:axisValue occRef="其他债权投资"/>
    </m:section>
    <m:section xlName="_SEC_669c12f4634f476da12e8828ee348501" headerRef="384" helpId="112001057"/>
    <m:section xlName="_SEC_715ae48b76e04c4997ebf3f4be7dd37e" title="其他债权投资情况" headerRef="385" helpId="112001058"/>
    <m:section xlName="_SEC_603c2d24f1dc40448de4d279e85dbf6b" title="其他债权投资减值准备本期变动情况  单位：元币种..." headerRef="386" helpId="112001058">
      <m:axisValue occRef="一年内到期的债权投资"/>
      <m:axisValue occRef="一年内到期的其他债权投资"/>
      <m:axisValue occRef="债权投资"/>
      <m:axisValue occRef="其他债权投资"/>
    </m:section>
    <m:section xlName="_SEC_d26a416206fd4897bf57b05069b5e5f6" title="期末重要的其他债权投资" headerRef="387" helpId="112001058"/>
    <m:section xlName="_SEC_a18c2d8250c64daf904816a57fe286bd" title="减值准备计提情况" headerRef="388" helpId="112001058"/>
    <m:section xlName="_SEC_b66b91d8022d4effac38beecbf9956e3" title="本期实际核销的其他债权投资情况" headerRef="389" helpId="112001058"/>
    <m:section xlName="_SEC_61ef436f99f84243a58411b54b1bf890" title="其中重要的其他债权投资的核销情况 " headerRef="389" helpId="112001058">
      <m:axisValue occRef="一年内到期的债权投资"/>
      <m:axisValue occRef="一年内到期的其他债权投资"/>
      <m:axisValue occRef="债权投资"/>
      <m:axisValue occRef="其他债权投资"/>
    </m:section>
    <m:section xlName="_SEC_a6d7d62dd24747a08e0a132cf37e100c" title="其他说明：" headerRef="389" helpId="112001058"/>
    <m:section xlName="_GBC_2642a454002a499399e1b643b91ef1ad" title="长期应收款" rules="R2015_R11_009" headerRef="391" helpId="112001061"/>
    <m:section xlName="_SEC_677d06412bc54d80a1e1c315047edb2d" title="按坏账计提方法分类披露" headerRef="392" helpId="112001061">
      <m:axisValue occRef="合同资产"/>
      <m:axisValue occRef="长期应收款"/>
    </m:section>
    <m:section xlName="_SEC_cc5139ab22f449a8bac68465ebcc2c9a" title="按单项计提坏账准备：  单位：元币种：人民币名称 期..." headerRef="392" helpId="112001061">
      <m:axisValue occRef="合同资产"/>
      <m:axisValue occRef="长期应收款"/>
    </m:section>
    <m:item xlName="_GBC_555a40ceb7d348a0a16b652ac8e1178a" headerRef="392" up="按组合计提坏账准备：" concept="clcid-ci-ar:ShiFouShiYongAnZuHeJiTiHuaiZhangZhunBeiDeXiangXiQingKuang" label="是否适用：按组合计提坏账准备的详细情况" selectOptions="_buildInAppliance" controlType="CustomCheckbox" cRanges="[{&quot;StartName&quot;:&quot;_GBC_555a40ceb7d348a0a16b652ac8e1178a&quot;,&quot;EndName&quot;:&quot;_SEC_2478fb544ee941deb728fafe76a7d1be&quot;,&quot;CType&quot;:1}]">
      <m:axisValue occRef="长期应收款"/>
    </m:item>
    <m:section xlName="_SEC_2478fb544ee941deb728fafe76a7d1be" title="组合计提项目" tupleConcept="clcid-pte:AnZuHeJiTiHuaiZhangZhunBeiDeXiangXiMingXi" repeatable="1" headerRef="392" helpId="112001061">
      <m:axisValue occRef="合同资产"/>
      <m:axisValue occRef="长期应收款"/>
    </m:section>
    <m:section xlName="_SEC_a0520f64d4bd49e5a3638a0386a233ee" title="坏账准备计提情况" headerRef="392" helpId="112001061"/>
    <m:section xlName="_SEC_6277fd9ac8dc4fd683276214c0ea87d3" title="坏账准备的情况" headerRef="393" helpId="112001061"/>
    <m:section xlName="_SEC_0e294835c7a44e64a546aacdcd871d63" title="长期应收款其中本期坏账准备收回或转回金额重要的" headerRef="393" helpId="112001061">
      <m:axisValue occRef="合同资产"/>
      <m:axisValue occRef="长期应收款"/>
    </m:section>
    <m:section xlName="_SEC_dbf6f18a3a664f2ea79e9eb7f7d0f1a5" title="本期实际核销的长期应收款情况" headerRef="394" helpId="112001061"/>
    <m:section xlName="_SEC_bc7c1f08d9dc46d4b18f6800d8e6559f" title="其中重要的长期应收款核销情况 " headerRef="394" helpId="112001061">
      <m:axisValue occRef="合同资产"/>
      <m:axisValue occRef="长期应收款"/>
    </m:section>
    <m:section xlName="_GBC_2a6246644ca84dfdb1b5ecc95ea5c0c2" title="长期应收款的其他说明" rules="R2015_R11_009" headerRef="394" helpId="112001061"/>
    <m:placeholder xlName="_PLD_00c73562658d406e8e175638dc90bc82" keyCode="PageId:ch10112" keyAction="31"/>
    <m:item xlName="_GBC_bafa2cb2262c4c4ebc4eed8f4e4a81c6" headerRef="396" up="长期股权投资情况"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aderRef="396" helpId="112001063" helpText="期初余额（账面价值）、期末余额（账面价值）请填写扣除减值准备后的净值"/>
    <m:item xlName="_GBC_c736c8a0ce06478bb4d52ef30b7043c8" headerRef="397" up="长期股权投资的减值测试情况" concept="clcid-ci-ar:ShiFouShiYongJianZhiCeShiQingKuang" label="是否适用：减值测试情况" selectOptions="_buildInAppliance" controlType="CustomCheckbox" cRanges="[{&quot;StartName&quot;:&quot;_GBC_c736c8a0ce06478bb4d52ef30b7043c8&quot;,&quot;EndName&quot;:&quot;_SEC_56d24c02504f4a8a8676c53fdded27ce&quot;,&quot;CType&quot;:1}]">
      <m:axisValue occRef="长期股权投资"/>
    </m:item>
    <m:section xlName="_SEC_0a174fdc5c7d48809c1d711c76d9ba8a" title="可收回金额按公允价值减去处置费用后的净额确定" headerRef="398" helpId="112001063">
      <m:axisValue occRef="长期股权投资"/>
      <m:axisValue occRef="母公司"/>
    </m:section>
    <m:section xlName="_SEC_0e4d4221660a4a80a54e3296f02262c3" title="可收回金额按预计未来现金流量的现值确定" headerRef="399" helpId="112001063">
      <m:axisValue occRef="长期股权投资"/>
      <m:axisValue occRef="母公司"/>
    </m:section>
    <m:section xlName="_SEC_2876f6f79eb34152b3b96723e77f2cce" title="前述信息与以前年度减值测试采用的信息或外部信息明显不一致的差..." headerRef="400" helpId="112001063">
      <m:axisValue occRef="长期股权投资"/>
      <m:axisValue occRef="母公司"/>
    </m:section>
    <m:section xlName="_SEC_56d24c02504f4a8a8676c53fdded27ce" title="公司以前年度减值测试采用信息与当年实际情况明显不一致的差异原..." headerRef="401" helpId="112001063">
      <m:axisValue occRef="长期股权投资"/>
      <m:axisValue occRef="母公司"/>
    </m:section>
    <m:section xlName="_SEC_43b46610901442f38169529110b4d1ca" headerRef="401"/>
    <m:section xlName="_SEC_cd316123938740ec921ccd61703a59f5" title="其他权益工具投资情况" headerRef="402" helpId="112001059"/>
    <m:section xlName="_SEC_c9055ca12ca24c51b5df8004a6efb8fa" title="本期存在终止确认的情况说明  单位：元币种：人民币项目..." headerRef="404" helpId="112001059"/>
    <m:section xlName="_SEC_e3d4d5136ad847a0a66a1c4edca28c29" title="其他说明：" headerRef="404" orient="landscape" helpId="112001059"/>
    <m:section xlName="_SEC_446d157c4e3f4bd19055f19972462c2d" title="其他非流动金融资产" headerRef="405"/>
    <m:placeholder xlName="_PLD_a0580233baba48c0a21367be0e7bf38a" keyCode="PageId:ch1013" keyAction="31"/>
    <m:section xlName="_GBC_f6dac261d9a74df7a48db85ed7768fd1" title="成本计量模式" rules="R2015_R11_011" checkKey="!公允价值计量" headerRef="407" convertSummaryRule="NoConvert" helpId="112001064" primarySection="_GBC_f6dac261d9a74df7a48db85ed7768fd1" optionText="成本计量模式" activeContentOption="_GBC_528a899f5044443fa0dd6606f304d80d" optionGroupTitle="投资性房地产计量模式" optionTargetConcept="clcid-pte:TouZiXingFangDiChanJiLiangMoShi" optionTargetConceptValue="成本计量模式" keyAction="89" afterEmptyParagraphs="1" mergeDisplayOptionTag="_GBC_f6dac261d9a74df7a48db85ed7768fd1"/>
    <m:section xlName="_SEC_77b2ce8551974817b0692d7ab7e94f22" title="采用成本计量模式的投资性房地产的减值测试情况" headerRef="409" optionTargetConcept="clcid-pte:TouZiXingFangDiChanJiLiangMoShi" optionTargetConceptValue="成本计量模式" mergeDisplayOptionTag="_GBC_f6dac261d9a74df7a48db85ed7768fd1"/>
    <m:section xlName="_SEC_95447f1ab4fa4aec91376142aaa92050" title="可收回金额按公允价值减去处置费用后的净额确定" headerRef="410"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optionTargetConcept="clcid-pte:TouZiXingFangDiChanJiLiangMoShi" optionTargetConceptValue="成本计量模式" mergeDisplayOptionTag="_GBC_f6dac261d9a74df7a48db85ed7768fd1">
      <m:axisValue occRef="投资性房地产"/>
    </m:section>
    <m:section xlName="_SEC_6285864112634a7688006d7f773301eb" title="可收回金额按预计未来现金流量的现值确定" headerRef="411"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optionTargetConcept="clcid-pte:TouZiXingFangDiChanJiLiangMoShi" optionTargetConceptValue="成本计量模式" mergeDisplayOptionTag="_GBC_f6dac261d9a74df7a48db85ed7768fd1">
      <m:axisValue occRef="投资性房地产"/>
    </m:section>
    <m:section xlName="_SEC_cf50dba5d5e24b8db5c2841a4dee6489" title="前述信息与以前年度减值测试采用的信息或外部信息明显不一致的差..." headerRef="412"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optionTargetConcept="clcid-pte:TouZiXingFangDiChanJiLiangMoShi" optionTargetConceptValue="成本计量模式" mergeDisplayOptionTag="_GBC_f6dac261d9a74df7a48db85ed7768fd1">
      <m:axisValue occRef="投资性房地产"/>
    </m:section>
    <m:section xlName="_SEC_86740bbfa4e94364a59be0de1e90da83" title="公司以前年度减值测试采用信息与当年实际情况明显不一致的差异原..." headerRef="413" helpId="112001064" helpText="减值测试情况仅适用于采用成本计量模式的投资性房地产，采用公允价值计量模式的投资性房地产或者不适用的，请手动删除，删除方法：双击“采用成本计量模式的投资性房地产的减值测试情况”下方的不适用。" optionTargetConcept="clcid-pte:TouZiXingFangDiChanJiLiangMoShi" optionTargetConceptValue="成本计量模式" mergeDisplayOptionTag="_GBC_f6dac261d9a74df7a48db85ed7768fd1">
      <m:axisValue occRef="投资性房地产"/>
    </m:section>
    <m:section xlName="_SEC_3edd44fe2cb04e7886b542d771d4e134" title="其他说明" headerRef="413" helpText="减值测试情况仅适用于采用成本计量模式的投资性房地产，采用公允价值计量模式的投资性房地产或者不适用的，请手动删除，删除方法：双击“采用成本计量模式的投资性房地产的减值测试情况”下方的不适用。" optionTargetConcept="clcid-pte:TouZiXingFangDiChanJiLiangMoShi" optionTargetConceptValue="成本计量模式" mergeDisplayOptionTag="_GBC_f6dac261d9a74df7a48db85ed7768fd1"/>
    <m:section xlName="_GBC_528a899f5044443fa0dd6606f304d80d" title="公允价值计量模式" rules="R2015_R11_011" checkKey="!成本计量" headerRef="414"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section xlName="_GBC_3910517a603f4979b551ec278644d4e0" title="不适用" checkKey="!公允价值计量&amp;!成本计量" headerRef="416" primarySection="_GBC_f6dac261d9a74df7a48db85ed7768fd1" optionText="不适用" optionGroupTitle="投资性房地产计量模式" optionTargetConcept="clcid-pte:TouZiXingFangDiChanJiLiangMoShi" optionTargetConceptValue="不适用"/>
    <m:section xlName="_SEC_d216074d2ae442239dbb6f5f9b7a5d89" title="固定资产项目列示" headerRef="418"/>
    <m:section xlName="_GBC_6b764c2f9af049ba98fb55c66fe083a9" title="固定资产情况" rules="R2015_R11_012" headerRef="420" convertSummaryRule="NoConvert" helpId="112001065" helpText="注：公司根据自身实际情况确定类别，一般包括房屋及建筑物、机器设备、电子设备、运输设备等。" keyAction="89">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headerRef="421" convertSummaryRule="NoConvert" helpId="112001065"/>
    <m:section xlName="_GBC_06e38c241c8a43a99fdd68c92888bab1" title="通过经营租赁租出的固定资产" rules="R2015_R11_012" headerRef="422" helpId="112001065" helpText="未执行新租赁准则的公司填写。"/>
    <m:section xlName="_GBC_5b357259936442c38f67f17b533c7085" title="未办妥产权证书的固定资产情况" rules="R2015_R11_012" headerRef="423" convertSummaryRule="NoConvert" helpId="112001065"/>
    <m:item xlName="_GBC_9a66caee6756422c9cb01da54631670e" headerRef="424" up="固定资产的减值测试情况" concept="clcid-ci-ar:ShiFouShiYongJianZhiCeShiQingKuang" label="是否适用：减值测试情况" selectOptions="_buildInAppliance" controlType="CustomCheckbox" cRanges="[{&quot;StartName&quot;:&quot;_GBC_9a66caee6756422c9cb01da54631670e&quot;,&quot;EndName&quot;:&quot;_SEC_3766642b8ed048e7a1b5fe6a63ec3b63&quot;,&quot;CType&quot;:1}]">
      <m:axisValue occRef="固定资产"/>
    </m:item>
    <m:section xlName="_SEC_e565856d06374184b0128fde0ef05842" title="可收回金额按公允价值减去处置费用后的净额确定" headerRef="425" helpId="112001065">
      <m:axisValue occRef="固定资产"/>
    </m:section>
    <m:section xlName="_SEC_713a431386524412af8474497588c82c" title="可收回金额按预计未来现金流量的现值确定" headerRef="426" helpId="112001065">
      <m:axisValue occRef="固定资产"/>
    </m:section>
    <m:section xlName="_SEC_fbc44acbcda745aa9b026082e71ef4d9" title="前述信息与以前年度减值测试采用的信息或外部信息明显不一致的差..." headerRef="427" helpId="112001065">
      <m:axisValue occRef="固定资产"/>
    </m:section>
    <m:section xlName="_SEC_3766642b8ed048e7a1b5fe6a63ec3b63" title="公司以前年度减值测试采用信息与当年实际情况明显不一致的差异原..." headerRef="428" helpId="112001065">
      <m:axisValue occRef="固定资产"/>
    </m:section>
    <m:section xlName="_GBC_c93a179f84504ae59ee71556bc9afb64" title="固定资产说明" rules="R2015_R11_012" headerRef="428" convertSummaryRule="NoConvert" helpId="112001065"/>
    <m:section xlName="_GBC_0de4677cdcb54eaa8c2b2afa938f1054" title="固定资产清理" headerRef="429"/>
    <m:section xlName="_SEC_5259769a5b954eaaa39f8ab4268be07c" title="在建工程项目列示" headerRef="431"/>
    <m:section xlName="_GBC_88cd7483eb15414d84d17f5cc1a4bf78" title="在建工程情况" rules="R2015_R11_012" headerRef="433" convertSummaryRule="NoConvert" helpId="112001067"/>
    <m:section xlName="_GBC_b1eb75f465d7494995f17407201cfca9" title="重大在建工程项目变动情况" rules="R2015_R11_012" headerRef="434" convertSummaryRule="NoConvert" helpId="112001067" helpText="注：资金来源，一般包括募股资金、金融机构贷款和其他来源等。"/>
    <m:section xlName="_SEC_b381f285b0124fbaa1cdaa9d7cd6d93a" title="在建工程减值准备" rules="R2015_R11_012" headerRef="435" convertSummaryRule="NoConvert" helpId="112001067"/>
    <m:item xlName="_GBC_f6d4bcf1dee14a709974326281981b12" headerRef="436" up="在建工程的减值测试情况" concept="clcid-ci-ar:ShiFouShiYongJianZhiCeShiQingKuang" label="是否适用：减值测试情况" selectOptions="_buildInAppliance" controlType="CustomCheckbox" cRanges="[{&quot;StartName&quot;:&quot;_GBC_f6d4bcf1dee14a709974326281981b12&quot;,&quot;EndName&quot;:&quot;_SEC_b46390f610c64619936db407e5835ea1&quot;,&quot;CType&quot;:1}]">
      <m:axisValue occRef="在建工程"/>
    </m:item>
    <m:section xlName="_SEC_3201c8866808401db639cc2771e1c670" title="可收回金额按公允价值减去处置费用后的净额确定" headerRef="437" helpId="112001067">
      <m:axisValue occRef="在建工程"/>
    </m:section>
    <m:section xlName="_SEC_5fab5c9d4d144176b70ef763748d7a2e" title="可收回金额按预计未来现金流量的现值确定" headerRef="438" helpId="112001067">
      <m:axisValue occRef="在建工程"/>
    </m:section>
    <m:section xlName="_SEC_b1e11a250c2847a083a7929766535c0d" title="前述信息与以前年度减值测试采用的信息或外部信息明显不一致的差..." headerRef="439" helpId="112001067">
      <m:axisValue occRef="在建工程"/>
    </m:section>
    <m:section xlName="_SEC_b46390f610c64619936db407e5835ea1" title="公司以前年度减值测试采用信息与当年实际情况明显不一致的差异原..." headerRef="440" helpId="112001067">
      <m:axisValue occRef="在建工程"/>
    </m:section>
    <m:section xlName="_GBC_d5aec612c6334d1b8a827f3f39a2781d" title="在建工程的说明" rules="R2015_R11_012" headerRef="440" convertSummaryRule="NoConvert" helpId="112001067"/>
    <m:section xlName="_GBC_12c2ea8f308b49c7b5e2baae867f1ec7" title="工程物资" headerRef="441" convertSummaryRule="NoConvert" helpId="112001069"/>
    <m:section xlName="_GBC_e4aea5da03534f61818766a33b5ada09" title="采用成成本计量模式的生产性生物资产" headerRef="443" helpId="112001070" keyAction="89">
      <m:virtualTuples>
        <m:virtualTuple id="5080c45b-c3e2-466e-8ce4-2a86227ee3da" tupleRef="clcid-pte:CaiYongChengBenJiLiangMoShiDeShengChanXingShengWuZiChanMingXi" defaultRows="8" extendDirection="2" splitWidth="1"/>
      </m:virtualTuples>
    </m:section>
    <m:item xlName="_GBC_9e260b0f45a84f50898aaf872db0ca84" headerRef="444" up="采用成本计量模式的生产性生物资产的减值测试情况" concept="clcid-ci-ar:ShiFouShiYongJianZhiCeShiQingKuang" label="是否适用：减值测试情况" selectOptions="_buildInAppliance" controlType="CustomCheckbox" cRanges="[{&quot;StartName&quot;:&quot;_GBC_9e260b0f45a84f50898aaf872db0ca84&quot;,&quot;EndName&quot;:&quot;_SEC_ee7f552f0cfe436183502e530d92c458&quot;,&quot;CType&quot;:1}]">
      <m:axisValue occRef="生产性生物资产"/>
    </m:item>
    <m:section xlName="_SEC_e34a6e21f8284a14895655d8cbbd4a0c" title="可收回金额按公允价值减去处置费用后的净额确定" headerRef="445" helpId="112001070">
      <m:axisValue occRef="生产性生物资产"/>
    </m:section>
    <m:section xlName="_SEC_d5bc4d80f72d433897c978ec3ec13d90" title="可收回金额按预计未来现金流量的现值确定" headerRef="446" helpId="112001070">
      <m:axisValue occRef="生产性生物资产"/>
    </m:section>
    <m:section xlName="_SEC_6a9bdae55c0548b3b641e5c9e51a1a55" title="前述信息与以前年度减值测试采用的信息或外部信息明显不一致的差..." headerRef="447" helpId="112001070">
      <m:axisValue occRef="生产性生物资产"/>
    </m:section>
    <m:section xlName="_SEC_ee7f552f0cfe436183502e530d92c458" title="公司以前年度减值测试采用信息与当年实际情况明显不一致的差异原..." headerRef="448" helpId="112001070">
      <m:axisValue occRef="生产性生物资产"/>
    </m:section>
    <m:section xlName="_GBC_c6f2d306944241a8a32f51421c437b66" title="采用公允价值计量模式的生产性生物资产" headerRef="449" helpId="112001070">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headerRef="449" convertSummaryRule="NoConvert" helpId="112001070"/>
    <m:section xlName="_GBC_fe60430654f541aab1da59bd08202085" title="油气资产" headerRef="450" convertSummaryRule="NoConvert" helpId="112001071" keyAction="89">
      <m:virtualTuples>
        <m:virtualTuple id="391f4d5d-e2bb-4e43-a73b-1a879022eeed" tupleRef="clcid-pte:YouQiZiChanMingXi" extendDirection="2" splitWidth="1"/>
      </m:virtualTuples>
    </m:section>
    <m:item xlName="_GBC_3d3afd59d9f741639537a668ab2d0ccf" headerRef="452" up="油气资产的减值测试情况" concept="clcid-ci-ar:ShiFouShiYongJianZhiCeShiQingKuang" label="是否适用：减值测试情况" selectOptions="_buildInAppliance" controlType="CustomCheckbox" cRanges="[{&quot;StartName&quot;:&quot;_GBC_3d3afd59d9f741639537a668ab2d0ccf&quot;,&quot;EndName&quot;:&quot;_SEC_f83763a685a745958904228b88bf4990&quot;,&quot;CType&quot;:1}]">
      <m:axisValue occRef="油气资产"/>
    </m:item>
    <m:section xlName="_SEC_a123788a0d8646699cf3ba94b6bc60aa" title="可收回金额按公允价值减去处置费用后的净额确定" headerRef="453" helpId="112001071">
      <m:axisValue occRef="油气资产"/>
    </m:section>
    <m:section xlName="_SEC_66c0f5190caa4463aca66c5cd4b32993" title="可收回金额按预计未来现金流量的现值确定" headerRef="454" helpId="112001071">
      <m:axisValue occRef="油气资产"/>
    </m:section>
    <m:section xlName="_SEC_6ca54465ede8432ab94c9c12b3b05a77" title="前述信息与以前年度减值测试采用的信息或外部信息明显不一致的差..." headerRef="455" helpId="112001071">
      <m:axisValue occRef="油气资产"/>
    </m:section>
    <m:section xlName="_SEC_f83763a685a745958904228b88bf4990" title="公司以前年度减值测试采用信息与当年实际情况明显不一致的差异原..." headerRef="456" helpId="112001071">
      <m:axisValue occRef="油气资产"/>
    </m:section>
    <m:section xlName="_SEC_e84ea8baed5f427281f9567ccf4fce73" headerRef="456"/>
    <m:section xlName="_SEC_42126bf96c7241e38ff33aae0d98dae2" title="使用权资产" headerRef="457" tagAction="1" helpId="112001060" keyAction="89">
      <m:virtualTuples>
        <m:virtualTuple id="06aa4ced-53cd-4ab4-88f8-025c43637847" tupleRef="clcid-pte:ShiYongQuanZiChanMingXi" extendDirection="2"/>
      </m:virtualTuples>
    </m:section>
    <m:item xlName="_GBC_d79f93753a2c43fc80991be4c588d144" headerRef="459" up="使用权资产的减值测试情况" concept="clcid-ci-ar:ShiFouShiYongJianZhiCeShiQingKuang" label="是否适用：减值测试情况" selectOptions="_buildInAppliance" controlType="CustomCheckbox" cRanges="[{&quot;StartName&quot;:&quot;_GBC_d79f93753a2c43fc80991be4c588d144&quot;,&quot;EndName&quot;:&quot;_SEC_2efe345077f34dc7b56c8b6dd09737d0&quot;,&quot;CType&quot;:1}]">
      <m:axisValue occRef="使用权资产"/>
    </m:item>
    <m:section xlName="_SEC_66982ba855cf475dbc8cade4c82ea78f" title="可收回金额按公允价值减去处置费用后的净额确定" headerRef="460" helpId="112001060">
      <m:axisValue occRef="使用权资产"/>
    </m:section>
    <m:section xlName="_SEC_7b67f63c7bda4ded9aeb5eccbcbf5448" title="可收回金额按预计未来现金流量的现值确定" headerRef="461" helpId="112001060">
      <m:axisValue occRef="使用权资产"/>
    </m:section>
    <m:section xlName="_SEC_3f9e651c30d340f7abad0cbb82380466" title="前述信息与以前年度减值测试采用的信息或外部信息明显不一致的差..." headerRef="462" helpId="112001060">
      <m:axisValue occRef="使用权资产"/>
    </m:section>
    <m:section xlName="_SEC_2efe345077f34dc7b56c8b6dd09737d0" title="公司以前年度减值测试采用信息与当年实际情况明显不一致的差异原..." headerRef="463" helpId="112001060">
      <m:axisValue occRef="使用权资产"/>
    </m:section>
    <m:section xlName="_SEC_5070aea807214dbd90520876987851ca" headerRef="463" helpId="112001060"/>
    <m:item xlName="_GBC_0882d05501f84259b91efc5f2eae98cf" headerRef="465" up="无形资产情况"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aderRef="465" helpId="112001072" keyAction="89">
      <m:virtualTuples>
        <m:virtualTuple id="dd625539-1bb3-40f2-b0d4-0097d3143f41" tupleRef="clcid-pte:WuXingZiChanMingXi" extendDirection="2" splitWidth="1"/>
      </m:virtualTuples>
    </m:section>
    <m:section xlName="_SEC_4286bf9a44474b9d8db2dc6464331cb7" title="确认为无形资产的数据资源" headerRef="466"/>
    <m:section xlName="_GBC_0daf5d1e7172402ab885ca5e5b78a389" title="未办妥产权证书的土地使用权情况：" rules="R2015_R11_013" headerRef="467" helpId="112001072"/>
    <m:item xlName="_GBC_6523dfc219a7467fb60857d0ff4fbd37" headerRef="468" up="无形资产的减值测试情况" concept="clcid-ci-ar:ShiFouShiYongJianZhiCeShiQingKuang" label="是否适用：减值测试情况" selectOptions="_buildInAppliance" controlType="CustomCheckbox" cRanges="[{&quot;StartName&quot;:&quot;_GBC_6523dfc219a7467fb60857d0ff4fbd37&quot;,&quot;EndName&quot;:&quot;_SEC_cf85eb8dfb4045928123b6c2e1643578&quot;,&quot;CType&quot;:1}]">
      <m:axisValue occRef="无形资产"/>
    </m:item>
    <m:section xlName="_SEC_38d3a053503345f48df315a347f2112c" title="可收回金额按公允价值减去处置费用后的净额确定" headerRef="469" helpId="112001072">
      <m:axisValue occRef="无形资产"/>
    </m:section>
    <m:section xlName="_SEC_b8d20578cfac42ecb639bf6fbee628e2" title="可收回金额按预计未来现金流量的现值确定" headerRef="470" helpId="112001072">
      <m:axisValue occRef="无形资产"/>
    </m:section>
    <m:section xlName="_SEC_e219e131009f41f9a2016c5cbf9bd063" title="前述信息与以前年度减值测试采用的信息或外部信息明显不一致的差..." headerRef="471" helpId="112001072">
      <m:axisValue occRef="无形资产"/>
    </m:section>
    <m:section xlName="_SEC_cf85eb8dfb4045928123b6c2e1643578" title="公司以前年度减值测试采用信息与当年实际情况明显不一致的差异原..." headerRef="472" helpId="112001072">
      <m:axisValue occRef="无形资产"/>
    </m:section>
    <m:section xlName="_GBC_c2d02a8bb1274cb1bf0330030cc64229" title="无形资产说明" rules="R2015_R11_013" headerRef="472" helpId="112001072"/>
    <m:placeholder xlName="_PLD_d0c315cafa75407a9dd26d6933e4846e" keyCode="PageId:ch10113" keyAction="31"/>
    <m:section xlName="_SEC_0d13253f4b004ecdaea8960cfb92cf26" title="商誉账面原值" headerRef="474" helpId="112001075"/>
    <m:section xlName="_SEC_6fe538077d4746d4ba51a5610b4bd03b" title="商誉减值准备" headerRef="475" helpId="112001075"/>
    <m:section xlName="_SEC_ad8117fc791d472f816d77862f5dddb4" title="商誉所在资产组或资产组组合的相关信息  名称 所属资产..." headerRef="476" helpId="112001075"/>
    <m:section xlName="_SEC_58151e6228ce4a57b53a0b1abcc5a0a9" title="资产组或资产组组合发生变化  名称 变化前的构成 变..." headerRef="476" helpId="112001075"/>
    <m:section xlName="_SEC_18a69ff62df94142843ad78b7290472e" title="其他说明  " headerRef="476" helpId="112001075"/>
    <m:section xlName="_SEC_2f648d692d984e19aadb87773c563ba4" title="可收回金额按公允价值减去处置费用后的净额确定" headerRef="477" helpId="112001075">
      <m:axisValue occRef="商誉"/>
    </m:section>
    <m:section xlName="_SEC_2721f807202e48fabdc088f2bc6ee06e" title="可收回金额按预计未来现金流量的现值确定" headerRef="477" helpId="112001075">
      <m:axisValue occRef="商誉"/>
    </m:section>
    <m:section xlName="_SEC_702fa636abe24a5bad8a5822ba64893a" title="前述信息与以前年度减值测试采用的信息或外部信息明显不一致的差..." headerRef="477" helpId="112001075">
      <m:axisValue occRef="商誉"/>
    </m:section>
    <m:section xlName="_SEC_8704482859ed4b46ac6112fdc46ac26d" title="公司以前年度减值测试采用信息与当年实际情况明显不一致的差异原..." headerRef="477" helpId="112001075">
      <m:axisValue occRef="商誉"/>
    </m:section>
    <m:section xlName="_SEC_f50dbc62868f42b1bba55adf22761b01" title="业绩承诺完成及对应商誉减值情况形成商誉时存在业绩承诺且报告..." headerRef="478" helpId="112001075"/>
    <m:section xlName="_SEC_fd9f0a21b0c44e29ba84ddb7842fe32a" title="其他说明" headerRef="478"/>
    <m:section xlName="_GBC_c7f901dce89846cbbbab6c51c3213a6f" title="长期待摊费用" headerRef="479" convertSummaryRule="NoConvert" helpId="112001076"/>
    <m:section xlName="_SEC_24cb6110bf5143448478343c289c754e" title="未经抵销的递延所得税资产" headerRef="480" helpId="112001077"/>
    <m:section xlName="_SEC_022eb52f9e1542cbb5aaa5a287b8ee2a" title="未经抵销的递延所得税负债" headerRef="482" helpId="112001077"/>
    <m:section xlName="_SEC_393d53219fe44274aa0bc5257c75c762" title="以抵销后净额列示的递延所得税资产或负债" headerRef="483" helpId="112001077"/>
    <m:section xlName="_SEC_858c4743950048c4949e354ac068e8af" title="未确认递延所得税资产明细" headerRef="484" helpId="112001077"/>
    <m:section xlName="_SEC_a5f2b329395b406fa4b30b710f4a81e0" title="未确认递延所得税资产的可抵扣亏损将于以下年度到期" headerRef="485" helpId="112001077"/>
    <m:section xlName="_GBC_057749240d604d9ab0db94f6e505935f" title="递延所得税资产和递延所得税负债的说明" rules="R2015_R11_015" headerRef="485" convertSummaryRule="NoConvert" helpId="112001077"/>
    <m:section xlName="_GBC_b8db472f168c433c9cdb46a39ab78b50" title="其他非流动资产" rules="R2015_R11_016" headerRef="486" helpId="112001235"/>
    <m:section xlName="_SEC_a97d8d910214412e8d8459047fe06b94" title="所有权或使用权受到限制的资产" headerRef="487" helpId="112002306" helpText="1、应当披露所有权或使用权受到限制的数据资源无形资产，以及用于担保的数据资源无形资产的账面价值、当期摊销额等情况。\n2、应当披露所有权或使用权受到限制的数据资源存货，以及用于担保的数据资源存货的账面价值等情况。" axisType="Column"/>
    <m:section xlName="_GBC_7bd2428d8b3140c1a80e7a88bb928c1f" title="短期借款分类" headerRef="489" convertSummaryRule="NoConvert" helpId="112001079" axisType="Column"/>
    <m:section xlName="_GBC_ed2a6c31b7cf49cda098dbe4c44cf674" title="已到期未偿还的短期借款情况" headerRef="490" convertSummaryRule="NoConvert" helpId="112001079"/>
    <m:section xlName="_GBC_46c6d163213144f484acc37c597c42f6" title="短期借款的说明" headerRef="490" helpId="112001079"/>
    <m:section xlName="_SEC_f2a8047b67b94258bc29276832ced511" title="交易性金融负债" headerRef="491" helpId="112001080"/>
    <m:section xlName="_GBC_c6a901495ec44a7798e3a75ddb5e06bf" title="衍生金融负债" headerRef="492" helpId="112001081" helpText="注：说明衍生金融工具形成原因及相关会计处理等。"/>
    <m:placeholder xlName="_PLD_aabcb312fb674272a25843abf3b3e4e5" keyCode="PageId:ch1015" keyAction="31"/>
    <m:item xlName="_GBC_57c67181b34944e782b23a48b1843e8f" headerRef="493" up="应付票据"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商业承兑汇票" headerRef="493" helpId="112001083"/>
    <m:section xlName="_GBC_0f1b98b90c3845e1a1ad65786460f84b" title="应付账款情况" rules="R2015_R11_018" headerRef="495" convertSummaryRule="NoConvert" helpId="112001084"/>
    <m:section xlName="_GBC_5fffbd1416eb408d959645d37f190cf5" title="重要的账龄超过1年的应付账款" rules="R2015_R11_018" headerRef="496" helpId="112001084"/>
    <m:section xlName="_GBC_aecd44efc3ea456b9149dd662d0a5085" title="应付账款的其他说明" rules="R2015_R11_018" headerRef="496" convertSummaryRule="NoConvert" helpId="112001084"/>
    <m:section xlName="_GBC_d7dac18f0444439d83469555857c3195" title="预收账款情况" headerRef="498" convertSummaryRule="NoConvert" helpId="112002200"/>
    <m:section xlName="_GBC_59300802f7ac43e3ab1ce4a570fb0267" title="账龄超过1年的重要预收款项" headerRef="499" helpId="112002200"/>
    <m:section xlName="_SEC_e82c3ab4c94e42259deb54d8b6083101" title="报告期内账面价值发生重大变动的金额和原因  单位：元 币..." headerRef="500" helpId="112002200"/>
    <m:section xlName="_GBC_3b693e8055374a80821823cdad74f225" title="账龄超过1年的大额预收款项情况的说明" headerRef="500" convertSummaryRule="NoConvert" helpId="112002200"/>
    <m:section xlName="_SEC_c98a59ac0d184ea5b3b590c23bf7ff8d" title="合同负债" headerRef="501" helpId="112002281"/>
    <m:section xlName="_SEC_4460fbb7bed54524a745325e3da992a1" title="账龄超过1年的重要合同负债  单位：元币种：人民币项目..." headerRef="503" helpId="112002281"/>
    <m:section xlName="_SEC_c824c488dbc74824b379bb9187c7bdf0" title="报告期内账面价值发生重大变动的金额和原因" headerRef="504" helpId="112002281"/>
    <m:section xlName="_SEC_1910d69cccc04d3fb0422784d0b1dd58" title="其他说明：" headerRef="504" helpId="112002281"/>
    <m:section xlName="_GBC_fa609950067149f1a5c0a6c3ba353431" title="应付职工薪酬列示：" headerRef="506" helpId="112001085"/>
    <m:section xlName="_GBC_8889528627cf49dfa80ba4d972a53405" title="短期薪酬列示" headerRef="507" helpId="112001085"/>
    <m:section xlName="_GBC_b98ebc9fce454755bd30d763bee0283a" title="设定提存计划列示" headerRef="508" helpId="112001085"/>
    <m:section xlName="_GBC_9173eff793e04226ba65f69088a27313" title="应付职工薪酬说明" headerRef="508" helpId="112001085"/>
    <m:section xlName="_GBC_50fc9ef51868432e98c401f69097dfc6" title="应交税费" headerRef="509" convertSummaryRule="NoConvert" helpId="112001086" axisType="Column"/>
    <m:section xlName="_SEC_91b63eaccd3b4791a7db86166a2d97cb" title="其他应付款分类列示" headerRef="511" helpId="112001089"/>
    <m:section xlName="_SEC_60feb8ef6f7c4655a263f50d12c222d8" title="应付利息" headerRef="512" helpId="112001087"/>
    <m:section xlName="_SEC_454db7ed64ca40e48e42eb6c38ae54ca" title="应付股利" headerRef="513" helpId="112001088"/>
    <m:section xlName="_SEC_df361e68406f49208d47d08674984872" title="按款项性质列示其他应付款" headerRef="514" helpId="112001089"/>
    <m:section xlName="_SEC_83408720712d4902a68e6c9ddd4c67ae" title="账龄超过1年的重要其他应付款" headerRef="514" helpId="112001089"/>
    <m:section xlName="_SEC_b03fcb02b4b747249703cbc2e0a127fd" title="其他说明" headerRef="514" helpId="112001089"/>
    <m:section xlName="_GBC_b863defdccbc448695ee82953f3da273" title="划分为持有待售的负债" headerRef="515" helpId="112001091" helpText="注：说明划分为持有待售的负债的原因等。"/>
    <m:section xlName="_GBC_d5b7f9c02d494f85b85a36713895b9f8" title="1年内到期的非流动负债" headerRef="516" helpId="112001092"/>
    <m:item xlName="_GBC_80907e3e53c44260b850f42646eb3d63" headerRef="517" up="其他流动负债"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headerRef="517" helpId="112001093"/>
    <m:section xlName="_SEC_6226fe3c90c0484c9259178938031584" title="短期应付债券的增减变动" headerRef="517" convertSummaryRule="NoConvert" helpId="112001093"/>
    <m:section xlName="_GBC_b1cb6faf7bad41e4868a075c1a423566" title="其他流动负债说明" headerRef="517" helpId="112001093"/>
    <m:placeholder xlName="_PLD_29c71a102517413c9698bce76cefa0ee" keyCode="PageId:ch1017" keyAction="31"/>
    <m:section xlName="_GBC_8b6acb9acc4745f09cf8ff1a98787eb9" title="长期借款分类 " headerRef="519" convertSummaryRule="NoConvert" helpId="112001094" axisType="Column"/>
    <m:section xlName="_GBC_7195bfed3c6d4a6fb2b17f01aa73f311" title="长期借款的说明" headerRef="519" helpId="112001094"/>
    <m:section xlName="_GBC_cd8e29427b9b4eecb46188c744528e27" title="应付债券" headerRef="521" helpId="112001095"/>
    <m:section xlName="_SEC_69d7c6c2b0fc4bd9b880a456523c61cd" title="应付债券的增减变动" headerRef="522" helpId="112001095">
      <m:virtualTuples>
        <m:virtualTuple id="05b1f0af-c01f-4fce-96b8-29a3faf0470e" tupleRef="clcid-pte:YingFuZhaiQuanMingXi" defaultRows="0" extendDirection="2"/>
      </m:virtualTuples>
    </m:section>
    <m:section xlName="_SEC_0d9de70c755e4939995c0e6cbbc104e1" title="可转换公司债券的说明" headerRef="523" helpId="112001095"/>
    <m:section xlName="_SEC_8ec97182697c4b739248bc1b21675e92" title="转股权会计处理及判断依据" headerRef="523" helpId="112001095"/>
    <m:section xlName="_GBC_d031ed2380884bb4aa3cb2efb2740308" title="划分为金融负债的其他金融工具说明" headerRef="524" helpId="112001095"/>
    <m:section xlName="_GBC_32fb23173d7a4a4fa8cb056982254a59" title="应付债券其他说明" headerRef="524" helpId="112001095"/>
    <m:section xlName="_SEC_6bd3f432494344eb8aaf6d133dbbfdc8" title="租赁负债" headerRef="525" helpId="112002270" helpText="按租赁负债年限分类列示"/>
    <m:section xlName="_SEC_c0e96ee0f49e415f98873dfb1c798446" title="项目列示" headerRef="527" helpId="112001096"/>
    <m:section xlName="_SEC_1ac73daea3484386b92787e79e677fbb" title="长期应付款" headerRef="528" helpId="112001096"/>
    <m:section xlName="_GBC_6847689be8c1493eb5db4e6dbab0fdbe" title="专项应付款" headerRef="529" convertSummaryRule="NoConvert" helpId="112001096"/>
    <m:item xlName="_GBC_077559b601814bb38f16734f98e8c045" headerRef="530" up="长期应付职工薪酬"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aderRef="531" helpId="112001097"/>
    <m:section xlName="_GBC_afdd9211c159429fa2d6540cc92dda04" title="设定受益计划变动情况" headerRef="532" helpId="112001097"/>
    <m:section xlName="_GBC_9d7ebc39babc43788a550e83deca7fdc" title="长期应付职工薪酬的其他说明" headerRef="532" helpId="112001097"/>
    <m:section xlName="_GBC_6b41f75046264d5392c8786bf4fd2da4" title="预计负债" headerRef="533" convertSummaryRule="NoConvert" helpId="112001099"/>
    <m:section xlName="_GBC_8d74a4d69f6940c3968ca9c4cf2a1b4c" title="递延收益" rules="R2015_R11_019" headerRef="534" helpId="112001100"/>
    <m:section xlName="_GBC_3e5bdbca1c524ed19d397da3dfaf83a9" title="递延收益其他说明" rules="R2015_R11_019" headerRef="534" helpId="112001100"/>
    <m:section xlName="_GBC_ebdcd37ba77540d78079b1e51c20b6ce" title="其他非流动负债" headerRef="535" convertSummaryRule="NoConvert" helpId="112001235"/>
    <m:section xlName="_GBC_7f4b2f9bba854132af4bbd6504a10383" title="股本" headerRef="536" convertSummaryRule="NoConvert" helpId="112001101"/>
    <m:section xlName="_GBC_4f862512b6914630932c1857df6db6e4" title="其他权益工具" headerRef="538" helpId="112001102"/>
    <m:section xlName="_GBC_23fef1c643714b9f82710e33a1bef935" title="资本公积" headerRef="540" convertSummaryRule="NoConvert" helpId="112001105"/>
    <m:section xlName="_GBC_02198eb4b89045c5af2f3bcd240e18af" title="库存股" headerRef="541" convertSummaryRule="NoConvert" helpId="112001103" keyAction="89"/>
    <m:section xlName="_GBC_de162f89125c4dc8abd2331e6cce7184" title="其他综合收益" headerRef="542"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section xlName="_GBC_8a08fa7a416e4e52a104ea9b06479f9e" title="专项储备" headerRef="543" convertSummaryRule="NoConvert" helpId="112001104" axisType="Column"/>
    <m:section xlName="_GBC_fc97b66d150f4d31ba9096ec58341715" title="盈余公积" headerRef="544" convertSummaryRule="NoConvert" helpId="112001108"/>
    <m:placeholder xlName="_PLD_2ba088e129ff48c8ba916e20604a56ab" keyCode="PageId:ch1020" keyAction="31"/>
    <m:item xlName="_GBC_32c558bdbb77445cabeee783e5ff910e" headerRef="545" up="未分配利润"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aderRef="545" helpId="112001109"/>
    <m:section xlName="_GBC_a3a22662ec3d4fb69e12845051ced996" title="营业收入和营业成本" rules="R2015_R11_020" headerRef="546" helpId="112001110" keyAction="89"/>
    <m:section xlName="_SEC_c4e8c6d213eb4da9850e04355e0aa292" title="合同产生的收入的情况" headerRef="548" tagAction="1" helpId="112001110">
      <m:virtualTuples>
        <m:virtualTuple id="47b64d54-c0cb-4c7a-a1b2-733bbb651abd" tupleRef="clcid-pte:HeTongChanShengDeShouRuFenBuMingXi" extendDirection="2"/>
      </m:virtualTuples>
    </m:section>
    <m:section xlName="_SEC_8329630823ac439580d388526c3a8bbd" title="履约义务的说明" headerRef="549" helpId="112001110"/>
    <m:section xlName="_SEC_52c497559d5c4501875a7b175ab4b1eb" title="分摊至剩余履约义务的说明" headerRef="550" helpId="112001110" helpText="如需删除段落，请通过模块-删除段落进行删除。"/>
    <m:section xlName="_SEC_f9c2a7e15a02428d920ae65723615b8a" title="重大合同变更或重大交易价格调整" headerRef="551" helpId="112001110"/>
    <m:section xlName="_SEC_530aa03318f04819b92848bd4d1e0874" title="营业收入和营业成本的说明" headerRef="551" helpId="112001110"/>
    <m:section xlName="_GBC_38185835049143dd873ff3e7d0941647" title="税金及附加" rules="R2015_R11_021" headerRef="552" convertSummaryRule="NoConvert" helpId="112001112" axisType="Column" keyAction="89"/>
    <m:section xlName="_GBC_3faa14b862dd44e8a54b6137b70adace" title="成本费用" rules="R2015_R11_022" headerRef="553" convertSummaryRule="NoConvert" helpId="112001111" keyAction="89"/>
    <m:section xlName="_GBC_d5a6283bdea64513980a0cc618e2ec60" title="管理费用" rules="R2015_R11_023" headerRef="554" helpId="112001111" keyAction="89"/>
    <m:section xlName="_SEC_5070ecc0a0324b189a4ec7d6e218c5d7" title="研发费用" headerRef="555" helpId="112002273" keyAction="89"/>
    <m:section xlName="_GBC_aeeadad5456b4097a79668e5a1cadb17" title="财务费用" rules="R2015_R11_024" headerRef="556" helpId="112001111" keyAction="89"/>
    <m:section xlName="_SEC_b7dd1353107541ffa3a1d66fbb85a037" title="其他收益" headerRef="557" helpId="112002275"/>
    <m:section xlName="_SEC_56e74a133dff4dcebe7ed76c1a92a2e5" title="投资收益" headerRef="558" helpId="112001114" helpText="填写时注意区分新会计准则和旧会计准则适用的明细科目"/>
    <m:section xlName="_SEC_cbd8186e9cf3452cab63fa24a69149bc" title="净敞口套期收益" headerRef="559" helpId="112002276"/>
    <m:section xlName="_GBC_66e6cb51ec7740408a31ff233ae3330d" title="公允价值变动收益" rules="R2015_R11_025" headerRef="560" convertSummaryRule="NoConvert" helpId="112001113"/>
    <m:section xlName="_SEC_00e0e3c1427f4344825ff5b9912fdfd2" title="信用减值损失" headerRef="561" helpId="112002277" keyAction="89"/>
    <m:section xlName="_SEC_73945c101b414d309d5de40d75e99e2d" title="资产减值损失" rules="R2015_R11_027" headerRef="562" helpId="112001115" keyAction="89"/>
    <m:section xlName="_SEC_32e84127ca0a46b8896ad8e149c91048" title="资产处置收益" headerRef="563" helpId="112002278"/>
    <m:item xlName="_GBC_b6e9df1124844122abb2dde58392c605" headerRef="564" up="营业外收入"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营业外收入" headerRef="564" helpId="112001116"/>
    <m:section xlName="_GBC_613f834d57f34b828d1fb937ee139a13" title="营业外收入说明" rules="R2015_R11_028" headerRef="564" convertSummaryRule="NoConvert" helpId="112001116"/>
    <m:section xlName="_GBC_7c51aa70be1f405d954dc316ed26b5b4" title="营业外支出" headerRef="565" convertSummaryRule="NoConvert" helpId="112001117" keyAction="89"/>
    <m:section xlName="_GBC_c8eb4731730a4ca395e992a85b3eafe1" title="所得税费用" headerRef="566" convertSummaryRule="NoConvert" helpId="112001119" keyAction="89"/>
    <m:section xlName="_GBC_a490950b62a146d9901e0aeb01787f97" title="其他综合收益" headerRef="569" helpId="112001121"/>
    <m:section xlName="_GBC_aebbed0d25f14d50b64339a751dec4bd" title="收到的其他与经营活动有关的现金" rules="R2015_R11_029" headerRef="571" convertSummaryRule="NoConvert" helpId="112002201"/>
    <m:section xlName="_GBC_3c8453861c4b4e94956633ec6c228388" title="支付的其他与经营活动有关的现金" rules="R2015_R11_030" headerRef="571" convertSummaryRule="NoConvert" helpId="112002201" keyAction="89"/>
    <m:section xlName="_SEC_00166f1660634497b2d715b89989923c" title="收到的重要的投资活动有关的现金" headerRef="572" helpId="112002201"/>
    <m:section xlName="_SEC_81b0db51e3fd4c3384f8009bd8e7890b" title="支付的重要的投资活动有关的现金 " headerRef="572" helpId="112002201"/>
    <m:section xlName="_GBC_7d29c8348da547cab82786074f1b3249" title="收到的其他与投资活动有关的现金" headerRef="572" convertSummaryRule="NoConvert" helpId="112002201"/>
    <m:section xlName="_GBC_fa501b3ede254af6bdfad826e328392a" title="支付的其他与投资活动有关的现金" headerRef="572" convertSummaryRule="NoConvert" helpId="112002201" keyAction="89"/>
    <m:section xlName="_GBC_6e57c618c25c498db37f205341e0c66a" title="收到的其他与筹资活动有关的现金" headerRef="573" convertSummaryRule="NoConvert" helpId="112002201"/>
    <m:section xlName="_GBC_96162aa406234e2485524876a03968e7" title="支付的其他与筹资活动有关的现金" headerRef="573" convertSummaryRule="NoConvert" helpId="112002201" keyAction="89"/>
    <m:section xlName="_SEC_ba18b0bdcdd046cfad79970305409a68" title="筹资活动产生的各项负债变动情况" headerRef="573" helpId="112002201"/>
    <m:section xlName="_SEC_e02efe2e841a4fb29f6751e521aa7b7b" title="以净额列报现金流量的说明" headerRef="574" helpId="112002201"/>
    <m:section xlName="_SEC_85819472f12d474cb1b5117d89f488d5" title="不涉及当期现金收支、但影响企业财务状况或在未来可能影响企业现..." headerRef="575" helpId="112002201"/>
    <m:section xlName="_GBC_7c9a174810ac4558be4e54f8019d5a1a" title="现金流量表补充资料" headerRef="577" helpId="112001123" keyAction="42" keyCode="2">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aderRef="578" helpId="112001123"/>
    <m:section xlName="_GBC_2b15b115b2104b8ba327581d943203fc" title="处置子公司收到的现金净额" headerRef="579" helpId="112001123"/>
    <m:section xlName="_SEC_710336eea0e84b06ae3909c9e31d3ab0" title="现金和现金等价物的构成" headerRef="580" helpId="112001123"/>
    <m:section xlName="_SEC_2c9b142eefcb4db489a9c79d6d555791" title="使用范围受限但仍作为现金和现金等价物列示的情况" headerRef="581" helpId="112001123"/>
    <m:section xlName="_SEC_d6a80981c9424a3ba4698a0c8af5f921" title="不属于现金及现金等价物的货币资金  单位：元币种：人民币..." headerRef="582" helpId="112001123"/>
    <m:section xlName="_SEC_3f4e4b92c0554338b3ebe5206d887d6d" title="其他说明" headerRef="582" helpId="112001123"/>
    <m:section xlName="_GBC_f67b410d6123403caa2cee84fe191372" title="所有者权益变动表项目注释" headerRef="583" convertSummaryRule="NoConvert" helpId="112001124" keyAction="42" keyCode="2"/>
    <m:section xlName="_GBC_7a80c9b78caf4e6686905c555fe61f9a" title="外币货币性项目" resetControlTag="true" headerRef="584" helpId="112001118" axisType="Column" keyAction="48" keyCode="currency"/>
    <m:item xlName="_GBC_1a127bd18c664ed8bca6a513c43f1fa2" headerRef="588" up="作为承租人" concept="clcid-ci-ar:ShiFouShiYongZuoWeiChengZuRen" label="是否适用：作为承租人" selectOptions="_buildInAppliance" controlType="CustomCheckbox" cRanges="[{&quot;StartName&quot;:&quot;_GBC_1a127bd18c664ed8bca6a513c43f1fa2&quot;,&quot;EndName&quot;:&quot;_SEC_3d5a1e2b71884e9894780879dc182d51&quot;,&quot;CType&quot;:1}]"/>
    <m:section xlName="_SEC_cca19a1f6a5d42209985b6ec76560937" title="未纳入租赁负债计量的可变租赁付款额  ___" headerRef="588" helpId="112001198"/>
    <m:section xlName="_SEC_063ee0d2743048e58bea781c5d8165fd" title="简化处理的短期租赁或低价值资产的租赁费用  ___" headerRef="588" helpId="112001198"/>
    <m:section xlName="_SEC_0e90b414de1c40d881111d251e59104d" title="售后租回交易及判断依据  ___" headerRef="588" helpId="112001198"/>
    <m:section xlName="_SEC_3d5a1e2b71884e9894780879dc182d51" title="与租赁相关的现金流出总额" headerRef="588" helpId="112001198"/>
    <m:section xlName="_SEC_eea5e1baa5c34eab8d8ce50d01cf47fb" title="作为出租人的经营租赁" headerRef="589" helpId="112001198"/>
    <m:section xlName="_SEC_597ee86053c44de3befe25077fa87863" title="作为出租人的融资租赁" headerRef="589" helpId="112001198"/>
    <m:section xlName="_SEC_e74be360ac0d4ce89dc395c58bc6b74d" title="未折现租赁收款额与租赁投资净额的调节表" headerRef="589" helpId="112001198"/>
    <m:section xlName="_SEC_b73454b592e541048d9da59dab975100" title="未来五年未折现租赁收款额" headerRef="589" helpId="112001198"/>
    <m:section xlName="_SEC_1d50b3775de944d1adb408ea57227980" title="作为生产商或经销商确认融资租赁销售损益" headerRef="590" helpId="112001198"/>
    <m:section xlName="_SEC_f04d4ec0f0254b05bb0e1094dae777c4" title="其他说明" headerRef="590" helpId="112001198"/>
    <m:section xlName="_SEC_bc9f2882a5a14114b0398db427647ead" title="数据资源" headerRef="591" helpText="企业对数据资源进行评估且评估结果对企业财务报表具有重要影响的，应当披露评估依据的信息来源，评估结论成立的假设前提和限制条件，评估方法的选择，各重要参数的来源、分析、比较与测算过程等信息。\n企业可以根据实际情况，自愿披露数据资源（含未作为无形资产或存货确认的数据资源）下列相关信息：\n（1）数据资源的应用场景或业务模式、对企业创造价值的影响方式，与数据资源应用场景相关的宏观经济和行业领域前景等。\n（2）用于形成相关数据资源的原始数据的类型、规模、来源、权属、质量等信息。\n（3）企业对数据资源的加工维护和安全保护情况，以及相关人才、关键技术等的持有和投入情况。\n（4）数据资源的应用情况，包括数据资源相关产品或9服务等的运营应用、作价出资、流通交易、服务计费方式等情况。\n（5）重大交易事项中涉及的数据资源对该交易事项的影响及风险分析，重大交易事项包括但不限于企业的经营活动、投融资活动、质押融资、关联方及关联交易、承诺事项、或有事项、债务重组、资产置换等。\n（6）数据资源相关权利的失效情况及失效事由、对企业的影响及风险分析等，如数据资源已确认为资产的，还包括相关资产的账面原值及累计摊销、减值准备或跌价准备、失效部分的会计处理。\n（7）数据资源转让、许可或应用所涉及的地域限制、领域限制及法律法规限制等权利限制。\n（8）企业认为有必要披露的其他数据资源相关信息。"/>
    <m:section xlName="_GBC_f027b70d30154df58ffdc310123f3e1f" title="合并财务报表项目注释其他需要说明的事项" headerRef="592" helpId="112001122"/>
    <m:section xlName="_SEC_e63ffc0b4c1848bcbfcb6a0272f643cb" title="研发费用" headerRef="593" helpId="112002273"/>
    <m:section xlName="_SEC_b312f37f7aab4f59975eec37dbd6855a" title="公司开发项目支出" headerRef="595" helpId="112002273"/>
    <m:section xlName="_SEC_021e44d8dc664861b863a81af49beeec" title="重要的资本化研发项目" headerRef="595" helpId="112002273"/>
    <m:section xlName="_SEC_b67f81b1fda94b0fa6bfc4319495e3fe" title="开发支出减值准备" headerRef="595" helpId="112002273"/>
    <m:section xlName="_SEC_807c7af5fda245b0a98ccab9591d9625" title="其他说明___" headerRef="595" helpId="112002273"/>
    <m:section xlName="_SEC_0f1e461cf6154cbda5da69406432abfe" title="重要的外购在研项目  项目 预期产生经济利益的方式 ..." headerRef="596" helpId="112002273"/>
    <m:placeholder xlName="_PLD_49841b6d23384cfd86a456ce580d70b6" keyCode="PageId:ch1026" keyAction="31"/>
    <m:item xlName="_GBC_2f9a65b0b4644b14ab5af1407e6467f1" headerRef="598" up="非同一控制下企业合并"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SEC_66258ebef13c4cb99a0a2c7fcf18a276" title="本期发生的非同一控制下企业合并" headerRef="599" helpId="112001125" helpText="注：分步实现企业合并且在本期取得控制权的交易，应分别说明前期和本期取得股权的时点、成本、比例及方式。"/>
    <m:item xlName="_GBC_56d9f6aa774c4776ac65c41472b0a280" headerRef="600" up="合并成本及商誉" concept="clcid-ci-ar:ShiFouShiYongHeBingChengBenJiShangYu" label="是否适用：合并成本及商誉" selectOptions="_buildInAppliance" controlType="CustomCheckbox" cRanges="[{&quot;StartName&quot;:&quot;_GBC_56d9f6aa774c4776ac65c41472b0a280&quot;,&quot;EndName&quot;:&quot;_GBC_b580c6f1845b4d7b8bf9ccaec8a64584&quot;,&quot;CType&quot;:1}]"/>
    <m:item xlName="_GBC_7dcc905e1cc54d7da6ff3999e09e0f1f" indRef="719" concept="clcid-ci-ar:DanWeiCaiWuFuZhuHeBingChengBenJiShangYu" label="单位：财务附注：合并成本及商誉" selectOptions="_buildInScales" appId="_GBC_56d9f6aa774c4776ac65c41472b0a280" controlType="Combobox" cellType="Scale" keyCode="InitialValue:元" keyAction="31"/>
    <m:item xlName="_GBC_1d4f1604e6724ad4aa12235f8be81df0" indRef="720" concept="clcid-ci-ar:BiZhongCaiWuFuZhuHeBingChengBenJiShangYu" label="币种：财务附注：合并成本及商誉" selectOptions="_buildInISO4217" appId="_GBC_56d9f6aa774c4776ac65c41472b0a280" controlType="Combobox" cellType="Measure" keyCode="InitialValue:人民币" keyAction="31"/>
    <m:section xlName="_GBC_b580c6f1845b4d7b8bf9ccaec8a64584" title="合并成本及商誉" repeatable="2" headerRef="600" helpId="112001126">
      <m:virtualTuples>
        <m:virtualTuple id="dc40489a-919e-4301-8c5f-ee7896369dc8" tupleRef="clcid-pte:FeiTongYiKongZhiXiaQiYeHeBingChengBenJiShangYuMingXi" extendDirection="2" splitWidth="1"/>
      </m:virtualTuples>
    </m:section>
    <m:item xlName="_GBC_b192e56c8e2242b3bf12a08de6dc76d4" headerRef="601" up="被购买方于购买日可辨认资产、负债"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indRef="721" concept="clcid-ci-ar:DanWeiCaiWuFuZhuBeiGouMaiFangYuGouMaiRiKeBianRenZiChanFuZhai" label="单位：财务附注：被购买方于购买日可辨认资产、负债" selectOptions="_buildInScales" appId="_GBC_b192e56c8e2242b3bf12a08de6dc76d4" controlType="Combobox" cellType="Scale" keyCode="InitialValue:元" keyAction="31"/>
    <m:item xlName="_GBC_83c566a361664b7c893465ef7708f711" indRef="722" concept="clcid-ci-ar:BiZhongCaiWuFuZhuBeiGouMaiFangYuGouMaiRiKeBianRenZiChanFuZhai" label="币种：财务附注：被购买方于购买日可辨认资产、负债" selectOptions="_buildInISO4217" appId="_GBC_b192e56c8e2242b3bf12a08de6dc76d4" controlType="Combobox" cellType="Measure" keyCode="InitialValue:人民币" keyAction="31"/>
    <m:section xlName="_GBC_bae5eee03904496d93aa515da79c8f71" title="被购买方于购买日可辨认资产、负债" repeatable="1" headerRef="601"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aderRef="601" helpId="112001128"/>
    <m:section xlName="_SEC_151a1db37b9340d789b6d92a5e03cbd2" title="购买日之前持有的股权按照公允价值重新计量产生的利得或损失" headerRef="602" helpId="112001130"/>
    <m:section xlName="_GBC_fec890c9a924410f898d02e5323920ad" title="购买日或合并当期期末无法合理确定合并对价或被购买方可辨认资产..." headerRef="603" helpId="112001131"/>
    <m:section xlName="_GBC_a8e368f1c89042528538f003b17f5f6e" title="非同一控制下企业合并其他说明" headerRef="604"/>
    <m:item xlName="_GBC_cde296136a1d4f2094eb79d21291eae2" headerRef="605" up="同一控制下企业合并"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aderRef="606" helpId="112001132"/>
    <m:item xlName="_GBC_1e3feddd46da4a95805d8f480f4c84d9" headerRef="607" up="合并成本"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indRef="727" concept="clcid-ci-ar:DanWeiHeBingChengBen" label="单位：合并成本" selectOptions="_buildInScales" appId="_GBC_1e3feddd46da4a95805d8f480f4c84d9" controlType="Combobox" cellType="Scale" keyCode="InitialValue:元" keyAction="31"/>
    <m:item xlName="_GBC_f6f12759e0c84fb0a180a147cec7432e" indRef="728" concept="clcid-ci-ar:BiZhongHeBingChengBen" label="币种：合并成本" selectOptions="_buildInISO4217" appId="_GBC_1e3feddd46da4a95805d8f480f4c84d9" controlType="Combobox" cellType="Measure" keyCode="InitialValue:人民币" keyAction="31"/>
    <m:section xlName="_GBC_e51629db13fd46dd9d30ae3e3729cd68" title="合并成本" repeatable="1" headerRef="607" helpId="112001133">
      <m:virtualTuples>
        <m:virtualTuple id="986fe223-72fe-4432-9239-c0d0b7b4149b" tupleRef="clcid-pte:TongYiKongZhiXiaQiYeHeBingChengBenMingXi" extendDirection="2" splitWidth="1"/>
      </m:virtualTuples>
    </m:section>
    <m:section xlName="_SEC_d81c382e27f24c569c4bbf5642a055db" title="合并成本说明" headerRef="607" helpId="112001133"/>
    <m:item xlName="_GBC_b46a615b0ac64c019a83debe19fe4c1c" headerRef="608" up="合并日被合并方资产、负债的账面价值"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indRef="729" concept="clcid-ci-ar:DanWeiCaiWuFuZhuHeBingRiBeiHeBingFangZiChanFuZhaiDeZhangMianJiaZhi" label="单位：财务附注：合并日被合并方资产、负债的账面价值" selectOptions="_buildInScales" appId="_GBC_b46a615b0ac64c019a83debe19fe4c1c" controlType="Combobox" cellType="Scale" keyCode="InitialValue:元" keyAction="31"/>
    <m:item xlName="_GBC_80b9c60fc85e443f9c97e5d91db031a4" indRef="730" concept="clcid-ci-ar:BiZhongCaiWuFuZhuHeBingRiBeiHeBingFangZiChanFuZhaiDeZhangMianJiaZhi" label="币种：财务附注：合并日被合并方资产、负债的账面价值" selectOptions="_buildInISO4217" appId="_GBC_b46a615b0ac64c019a83debe19fe4c1c" controlType="Combobox" cellType="Measure" keyCode="InitialValue:人民币" keyAction="31"/>
    <m:section xlName="_GBC_fd7a9ab8dc354763b98a4d577428c932" title="被合并方的资产、负债" repeatable="1" headerRef="608" helpId="112001135" helpText="注：资产、负债项目可根据重要性原则分类汇总列示；单项不重大的企业合并可汇总列示。">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aderRef="608" helpId="112001135"/>
    <m:section xlName="_GBC_487797176f3744a7a99d390be05f0a8a" title="被合并方的资产、负债的说明" headerRef="608" helpId="112001135"/>
    <m:section xlName="_SEC_e0818786830d42ce99957d3ef113691a" title="反向购买" headerRef="609" helpId="112001137" helpText="注：上市公司保留的资产、负债构成业务的，同时还应按照非同一控制下企业合并披露相关信息。"/>
    <m:section xlName="_SEC_ddce958afd104b9e8903e71458d86efc" title="处置子公司" headerRef="610" helpId="112001139"/>
    <m:section xlName="_SEC_0088252418084ec7b98582fb9064102d" title="是否存在通过多次交易分步处置对子公司投资且在本期丧失控制权的情形" headerRef="610" helpId="112001139" helpText="注：分别说明前期和本期处置股权的时点、价款、比例及方式。"/>
    <m:section xlName="_SEC_2fcab20db6f0477d9b6d3e4d246339a2" title="其他说明" headerRef="610" helpId="112001139"/>
    <m:section xlName="_GBC_c61d869cb31c439992bb2118c8eaac1e" title="其他原因的合并范围变动" headerRef="611" helpId="112001141"/>
    <m:section xlName="_GBC_8ddcb59af8af49d295c61727d65b8301" title="同一控制下企业合并其他" headerRef="612" helpId="112001142"/>
    <m:placeholder xlName="_PLD_15096783e16c4b3a8666e1f85649202c" keyCode="PageId:ch1027" keyAction="31"/>
    <m:section xlName="_SEC_595cb386dc7744d6a8f7456c5226bc6e" title="企业集团的构成" rules="R2015_R11_031" headerRef="615" helpId="112001143"/>
    <m:section xlName="_GBC_a2ec6e05ebd34d2fa14b1ba6b3ba8eb1" title="重要的非全资子公司" rules="R2015_R11_031" headerRef="616" helpId="112001144"/>
    <m:section xlName="_GBC_501222dd8f884fabbdeaec6fe7e79709" title="重要非全资子公司的主要财务信息" rules="R2015_R11_031" headerRef="617" orient="landscape" helpId="112001145"/>
    <m:section xlName="_GBC_573fe5c9daf0401da00d8fc5198daf66" title="使用企业集团资产和清偿企业集团债务的重大限制" rules="R2015_R11_031" headerRef="618" helpId="112001146"/>
    <m:section xlName="_GBC_114877d69a2e4b56b15fb618155127e3" title="向纳入合并财务报表范围的结构化主体提供的财务支持或其他支持" rules="R2015_R11_031" headerRef="619" helpId="112001147"/>
    <m:section xlName="_GBC_a0f68dc0a3a24efaa431a8c8d768eb0f" title="在子公司中的权益其他说明" rules="R2015_R11_031" headerRef="619"/>
    <m:item xlName="_GBC_51b903d8f50944dc91e91048eba723cd" headerRef="620" up="在子公司的所有者权益份额发生变化且仍控制子公司的交易"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aderRef="621" helpId="112001148"/>
    <m:section xlName="_GBC_6c711c3ca3c84136960924716eba5afd" title="交易对于少数股东权益及归属于母公司所有者权益的影响" rules="R2015_R11_031" repeatable="2" headerRef="622" helpId="112001148">
      <m:virtualTuples>
        <m:virtualTuple id="a9fdb2d5-7ad8-422d-a254-52ab68cea10e" tupleRef="clcid-pte:JiaoYiDuiYuShaoShuGuDongQuanYiJiGuiShuYuMuGongSiSuoYouZheQuanYiDeYingXiangMingXi" extendDirection="2" splitWidth="1"/>
      </m:virtualTuples>
    </m:section>
    <m:item xlName="_GBC_31c0fe2068fd4a898e4269df4925aa76" headerRef="623" up="在合营企业或联营企业中的权益"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aderRef="624" helpId="112001149"/>
    <m:item xlName="_GBC_6241cde567c342139ae6186afeea9fb4" headerRef="625" up="重要合营企业的主要财务信息"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indRef="745" concept="clcid-ci-ar:DanWeiCaiWuFuZhuZhongYaoHeYingQiYeDeZhuYaoCaiWuXinXi" label="单位：财务附注：重要合营企业的主要财务信息" selectOptions="_buildInScales" appId="_GBC_31c0fe2068fd4a898e4269df4925aa76" controlType="Combobox" cellType="Scale" keyCode="InitialValue:元" keyAction="31"/>
    <m:item xlName="_GBC_dbf325e8ec10449ba127b878292f7bb1" indRef="746" concept="clcid-ci-ar:BiZhongCaiWuFuZhuZhongYaoHeYingQiYeDeZhuYaoCaiWuXinXi" label="币种：财务附注：重要合营企业的主要财务信息" selectOptions="_buildInISO4217" appId="_GBC_31c0fe2068fd4a898e4269df4925aa76" controlType="Combobox" cellType="Measure" keyCode="InitialValue:人民币" keyAction="31"/>
    <m:section xlName="_GBC_10d60417c84d41c1b3386073557d9d05" title="重要合营企业的主要财务信息" repeatable="1" rules="" headerRef="625" helpId="112001150">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aderRef="625" helpId="112001150"/>
    <m:item xlName="_GBC_e304b69adb6f449495c3916754024763" headerRef="626" up="重要联营企业的主要财务信息"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indRef="747" concept="clcid-ci-ar:DanWeiCaiWuFuZhuZhongYaoLianYingQiYeDeZhuYaoCaiWuXinXi" label="单位：财务附注：重要联营企业的主要财务信息" selectOptions="_buildInScales" appId="_GBC_31c0fe2068fd4a898e4269df4925aa76" controlType="Combobox" cellType="Scale" keyCode="InitialValue:元" keyAction="31"/>
    <m:item xlName="_GBC_a2e655bae21746219bfd958c6f5b8be9" indRef="748" concept="clcid-ci-ar:BiZhongCaiWuFuZhuZhongYaoLianYingQiYeDeZhuYaoCaiWuXinXi" label="币种：财务附注：重要联营企业的主要财务信息" selectOptions="_buildInISO4217" appId="_GBC_31c0fe2068fd4a898e4269df4925aa76" controlType="Combobox" cellType="Measure" keyCode="InitialValue:人民币" keyAction="31"/>
    <m:section xlName="_GBC_ac3eed998bbd4658ab651a88daefefb1" title="重要联营企业的主要财务信息" repeatable="1" rules="R2015_R11_031" headerRef="626" helpId="112001150">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aderRef="626" helpId="112001150"/>
    <m:section xlName="_GBC_7592afe8201c4b36a34fa177ca124037" title="不重要的合营企业和联营企业的汇总财务信息" rules="R2015_R11_031" headerRef="627" helpId="112001151"/>
    <m:section xlName="_GBC_2874973c28b34357bf81a60947721baa" title="合营企业或联营企业向公司转移资金的能力存在重大限制的说明" rules="R2015_R11_031" headerRef="628" helpId="112001152"/>
    <m:section xlName="_GBC_a9980062c82d44acae24fae7368ea42f" title="合营企业或联营企业发生的超额亏损" rules="R2015_R11_031" headerRef="629" helpId="112001153"/>
    <m:section xlName="_GBC_da055842bf8c4e9598b87bd760d969ec" title="与合营企业投资相关的未确认承诺" rules="R2015_R11_031" headerRef="630" helpId="112001154"/>
    <m:section xlName="_GBC_1f803def681a42ba91cdde709a067b3f" title="与合营企业或联营企业投资相关的或有负债" rules="R2015_R11_031" headerRef="631" helpId="112001154"/>
    <m:section xlName="_GBC_90d44eb1222944759107483908112493" title="重要的共同经营" rules="R2015_R11_031" headerRef="632" helpId="112001155"/>
    <m:section xlName="_GBC_5cfea65e45c44f1b9fdec762be35880d" title="在未纳入合并财务报表范围的结构化主体中的权益" rules="R2015_R11_031" headerRef="633" helpId="112001156"/>
    <m:section xlName="_GBC_b24eb633f5244c748225389f3b3cedd1" title="在其他主体中的权益其他需要说明的事项" rules="R2015_R11_031" headerRef="634" helpId="112001157"/>
    <m:placeholder xlName="_PLD_8e90be469c524d31ba55c9cac8b0312c" keyCode="PageId:ch1028" keyAction="31"/>
    <m:section xlName="_SEC_987a3d87ba834dc3b82089e9d883e7ce" title="报告期末按应收金额确认的政府补助" headerRef="636" helpId="112002267"/>
    <m:section xlName="_SEC_4172c6c138864a1eafbce132eaba57ee" title="涉及政府补助的负债项目  单位:元币种:人民币财务报表..." headerRef="637" helpId="112002267" helpText="仅披露财务报表项目整体情况，无需逐笔披露政府补助项目"/>
    <m:section xlName="_SEC_aabb5dbe78054448bb1ab6aa5212e3bd" title="计入当期损益的政府补助" rules="R2015_R11_028" headerRef="638" convertSummaryRule="NoConvert" helpId="112002267" helpText="可按与资产/收益相关分类"/>
    <m:section xlName="_SEC_f98ef3cd61f7485e8a39176125e33f30" title="政府补助说明" headerRef="638" helpId="112002267"/>
    <m:section xlName="_SEC_5036d897cc9d4560bb716a188c49ae2f" title="与金融工具相关的风险" headerRef="639" helpId="112001158"/>
    <m:section xlName="_SEC_e38a8f292c6c49b5bdc0646a4bd61a0c" title="公司开展套期业务进行风险管理" headerRef="642" helpId="112001120"/>
    <m:section xlName="_SEC_e0de139c8e354e2b99ccf8cc6db4d9a7" title="公司开展符合条件套期业务并应用套期会计" headerRef="643" helpId="112001120"/>
    <m:section xlName="_SEC_e538f2679b9f435cb95de6c5b99133a6" title="公司开展套期业务进行风险管理、预期能实现风险管理" headerRef="644" helpId="112001120"/>
    <m:section xlName="_SEC_cef6acfba6ff48959f279b6ad5e3b0a3" title="转移方式分类" headerRef="646" helpId="112002314"/>
    <m:section xlName="_SEC_5af2aff14ae64dc2b959ce6dd009ef56" title="因转移而终止确认的金融资产" headerRef="647" helpId="112002314"/>
    <m:section xlName="_SEC_add8fbbe5cd24406afde8f9b36e57034" title="继续涉入的转移金融资产" headerRef="648" helpId="112002314"/>
    <m:section xlName="_SEC_495da6069ec14de9a8d0b2a40984514d" title="其他说明" headerRef="648" helpId="112002314"/>
    <m:placeholder xlName="_PLD_de28e5cffc614c74ae35d26351b2efcd" keyCode="PageId:ch1029" keyAction="31"/>
    <m:section xlName="_GBC_b5067cea5bbf475388ac2623e2c669d7" title="以公允价值计量的资产和负债的期末公允价值" headerRef="650" helpId="112001159"/>
    <m:section xlName="_GBC_9cf59ced96b14247921100dffef5784f" title="持续和非持续第一层次公允价值计量项目市价的确定依据" headerRef="651" helpId="112001160"/>
    <m:section xlName="_GBC_8e00be36ed6245f895b032b3059a4854" title="持续和非持续第二层次公允价值计量项目，采用的估值技术和重要参数的定性及定量信息" headerRef="652" helpId="112001161"/>
    <m:section xlName="_GBC_5d389bac3ad747a292eb45fd87ce5896" title="持续和非持续第三层次公允价值计量项目，采用的估值技术和重要参数的定性及定量信息" headerRef="653" helpId="112001161"/>
    <m:section xlName="_GBC_353ab3e0cb19455ab2c2c2a397421afe" title="持续的第三层次公允价值计量的项目期初与期末账面价值之间的调节信息及不可观察参数的敏感性分析" headerRef="654" helpId="112001162"/>
    <m:section xlName="_GBC_a9200ec73b8d485e80b76f1a9ee34c49" title="持续的公允价值计量项目，本期内发生各层级之间转换的，转换的原因及确定转换时点的政策" headerRef="655" helpId="112001163"/>
    <m:section xlName="_GBC_8e563310a4b84a5d9dfe74fdbc178926" title="本期内发生的估值技术变更及变更原因" headerRef="656" helpId="112001164"/>
    <m:section xlName="_GBC_e354e1f41f824854b8f3345d52a9cfab" title="不以公允价值计量的金融资产和金融负债的公允价值情况" headerRef="657" helpId="112001165"/>
    <m:section xlName="_GBC_1551c1b4fedc4ac0ae859b67b4b79904" title="公允价值其他需要披露的事项" headerRef="658" helpId="112001166"/>
    <m:placeholder xlName="_PLD_6c4f95d1c08841c69de6b11ce54c978d" keyCode="PageId:ch1030" keyAction="31"/>
    <m:section xlName="_GBC_29e1f7491caa4c3e96eef8c84532de84" title="本企业的母公司情况" rules="R2015_R11_032" headerRef="660" helpId="112001167"/>
    <m:section xlName="_GBC_244a434a920446c1838410fee0ac8ba8" title="本企业的子公司情况" rules="R2015_R11_032" headerRef="661" helpId="112001167"/>
    <m:section xlName="_GBC_a5638b7fd6a848a19564209060b6909a" title="存在关联方交易或余额的合营和联营企业情况" rules="R2015_R11_032" headerRef="662" helpId="112001167"/>
    <m:section xlName="_GBC_047a0ce3dc594d779db6d4cbc1623727" title="其他关联方情况" rules="R2015_R11_032" headerRef="663" helpId="112001167"/>
    <m:placeholder xlName="_PLD_71bd54a2ffca4b8d9dd797351a504c9f" keyCode="PageId:ch1031" keyAction="31"/>
    <m:section xlName="_SEC_fb5c7314892940239be1e53fefbaec88" title="采购商品/接受劳务情况表" rules="R2015_R11_032" headerRef="665" helpId="112001168"/>
    <m:section xlName="_GBC_a4e1c0efe9f741ecbb648a33c9afb8fd" title="出售商品/提供劳务情况" rules="R2015_R11_032" headerRef="665" helpId="112001168"/>
    <m:section xlName="_GBC_41e9e66a2ab04304a0db7b9e032817c5" title="关联受托管理/承包及委托管理/出包情况" rules="R2015_R11_032" headerRef="666" helpId="112001168" helpText="注：托管资产类型包括：股权托管、其他资产托管。"/>
    <m:section xlName="_GBC_17f3281299e640aa88ca71463490c054" title="关联租赁情况" rules="R2015_R11_032" headerRef="667" orient="landscape" helpId="112001168"/>
    <m:section xlName="_GBC_a87b2e666bc14a67817d2d3189396350" title="关联担保情况" rules="R2015_R11_032" headerRef="668" helpId="112001168"/>
    <m:section xlName="_SEC_b82cc4dd84264685b7f47657a2755690" headerRef="669" helpId="112001168"/>
    <m:section xlName="_GBC_9319584d30f7446b9ff3e2a3d50022d5" title="关联方资产转让、债务重组情况" rules="R2015_R11_032" headerRef="670" helpId="112001168"/>
    <m:section xlName="_GBC_16da1beac91f4544809058bfda2ad3bf" title="关键管理人员报酬" rules="R2015_R11_032" headerRef="671" helpId="112001168"/>
    <m:section xlName="_GBC_45e2e59b0d6145b48f7cfd576edaa9e6" title="其他关联交易" rules="R2015_R11_032" headerRef="672" convertSummaryRule="NoConvert" helpId="112001168"/>
    <m:section xlName="_GBC_a8ddb53cf3424889a48a1749b5a1d910" title="上市公司应收关联方款项" rules="R2015_R11_032" headerRef="674" convertSummaryRule="NoConvert" helpId="112001168" helpText="注：关联交易约定以净额结算的，应收关联方款项可以抵销后金额填列。"/>
    <m:section xlName="_GBC_e7a5511f50dd4f05a897cdfaeac4023f" title="上市公司应付关联方款项" rules="R2015_R11_032" headerRef="675" convertSummaryRule="NoConvert" helpId="112001168" helpText="注：关联交易约定以净额结算的，应付关联方款项可以抵销后金额填列。"/>
    <m:section xlName="_SEC_e87e61b614b042e0b0ec6cdcff3c2fb9" title="其他项目" headerRef="676" helpId="112001168"/>
    <m:section xlName="_GBC_945a5f0033de4c9786bb7245eedc88e3" title="关联方承诺" rules="R2015_R11_032" headerRef="677" helpId="112001168"/>
    <m:section xlName="_GBC_f467d909644e4ab6b08e0abfbea78eb8" title="关联方及关联情况的其他说明" rules="R2015_R11_032" headerRef="678" helpId="112001166"/>
    <m:placeholder xlName="_PLD_a73f933b37714d8c822294471663c2a1" keyCode="PageId:ch1032" keyAction="31"/>
    <m:item xlName="_GBC_65abee0b78064363a3f4a058a40176bf" headerRef="775" up="明细情况" concept="clcid-ci-ar:ShiFouShiYongGeXiangQuanYiGongJu" label="是否适用：各项权益工具" selectOptions="_buildInAppliance" controlType="CustomCheckbox" cRanges="[{&quot;StartName&quot;:&quot;_GBC_65abee0b78064363a3f4a058a40176bf&quot;,&quot;EndName&quot;:&quot;_SEC_269bd1acfbb84dee9ccf7f6044aa8bf3&quot;,&quot;CType&quot;:1}]"/>
    <m:section xlName="_SEC_269bd1acfbb84dee9ccf7f6044aa8bf3" title="各项权益工具" repeatable="1" tupleConcept="clcid-pte:GeXiangQuanYiGongJuDuoBiaoMingXi" headerRef="775" helpId="112001170"/>
    <m:item xlName="_GBC_f17c034d860345b98ee280169a254e4a" headerRef="776" up="期末发行在外的股票期权或其他权益工具" concept="clcid-ci-ar:ShiFouShiYongQiMoFaXingZaiWaiDeGuPiaoQiQuanHuoQiTaQuanYiGongJu" label="是否适用：期末发行在外的股票期权或其他权益工具" selectOptions="_buildInAppliance" controlType="CustomCheckbox" cRanges="[{&quot;StartName&quot;:&quot;_GBC_f17c034d860345b98ee280169a254e4a&quot;,&quot;EndName&quot;:&quot;_SEC_f772829ee36d45de95f9cca03f80e340&quot;,&quot;CType&quot;:1}]"/>
    <m:section xlName="_SEC_80f1a12d66c14051a45cd426403e05b9" title="期末发行在外的股票期权或其他权益工具" tupleConcept="clcid-pte:QiMoFaXingZaiWaiDeGuPiaoQiQuanHuoQiTaQuanYiGongJuDuoBiaoMingXi" repeatable="1" headerRef="776" helpId="112001170"/>
    <m:section xlName="_SEC_f772829ee36d45de95f9cca03f80e340" title="期末发行在外的股票期权或其他权益工具的其他说明" headerRef="776" helpId="112001170"/>
    <m:section xlName="_SEC_4157e56c7b2e4192983d8b53bcda8fec" title="以权益结算的股份支付情况" headerRef="681" convertSummaryRule="NoConvert" helpId="112001171" helpText="注：本期估计与上期估计不存在重大差异的，请填写“无”。"/>
    <m:section xlName="_SEC_ceb0668a9ef344f4873549a6299682c4" title="以现金结算的股份支付情况" headerRef="683" helpId="112002203"/>
    <m:item xlName="_GBC_5b0304a006c7437ca2961c2d2bdf142a" headerRef="684" up="本期股份支付费用" concept="clcid-ci-ar:ShiFouShiYongGuFenZhiFuFeiYong" label="是否适用：股份支付费用" selectOptions="_buildInAppliance" controlType="CustomCheckbox" cRanges="[{&quot;StartName&quot;:&quot;_GBC_5b0304a006c7437ca2961c2d2bdf142a&quot;,&quot;EndName&quot;:&quot;_SEC_28a8d17b729847e1bbc4f523e1720242&quot;,&quot;CType&quot;:1}]"/>
    <m:section xlName="_SEC_f1d2ef590c584674bba731c2c55aca70" title="本期股份支付费用" tupleConcept="clcid-pte:GuFenZhiFuFeiYongDuoBiaoMingXi" repeatable="1" headerRef="684" helpId="112002315"/>
    <m:section xlName="_SEC_28a8d17b729847e1bbc4f523e1720242" title="本期股份支付费用的其他说明" headerRef="684"/>
    <m:section xlName="_GBC_ae153862caea4ff5a57470b6f594f167" title="股份支付的修改、终止情况" headerRef="685" convertSummaryRule="NoConvert" helpId="112001173" helpText="注：本期未发生股份支付修改、终止情况的，请填写“无”。"/>
    <m:section xlName="_GBC_d9554f13d811474eab6fe8ab0c5c8811" title="股份支付的其他情况说明" headerRef="686" helpId="112001166"/>
    <m:placeholder xlName="_PLD_0c90f0d615e4477e85d4ca361c4ea598" keyCode="PageId:ch1033" keyAction="31"/>
    <m:item xlName="_GBC_3ee02d2bff5e4dd69f75cc6148bdda8f" headerRef="688" up="重要承诺事项"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aderRef="688" helpId="112002263" helpText="注：与合营企业投资相关的未确认承诺索引至“附注九、在其他主体中的权益”部分相应内容。" keyAction="42" keyCode="2"/>
    <m:section xlName="_GBC_c667d796bd114ba58f4592903a5601f3" title="资产负债表日存在的或有事项" headerRef="690" helpId="112002204" helpText="注：与合营企业或联营企业投资相关的或有负债索引至“附注九、在其他主体中的权益”部分相应内容。" keyAction="42" keyCode="2"/>
    <m:section xlName="_GBC_428b07d001974f7390d8bb4142377be9" title="公司没有需要披露的或有事项，也应予以说明" headerRef="691" helpId="112002206"/>
    <m:section xlName="_GBC_7967de77d1eb4fa3968e072c7d0d24ca" title="承诺及或有事项的其他情况说明" headerRef="692" helpId="112001166"/>
    <m:placeholder xlName="_PLD_1f849776a16a46f28486dac36a6710d0" keyCode="PageId:ch1034" keyAction="31"/>
    <m:section xlName="_GBC_5d1bcf8f61b9443ba6ffa54897c724fc" title="重要的非调整事项" headerRef="694" helpId="112001176"/>
    <m:section xlName="_GBC_0fa3d44599d34674894cec144baccd50" title="资产负债表日后利润分配情况说明" headerRef="695" convertSummaryRule="NoConvert" helpId="112001177" keyAction="42" keyCode="2"/>
    <m:section xlName="_GBC_189c429afb95427192d478a4da4061cd" title="资产负债表日后事项-销售退回说明" headerRef="696" helpId="112001178" helpText="注：说明在资产负债表日后发生重要销售退回的相关情况及对报表的影响。" keyAction="42" keyCode="2"/>
    <m:section xlName="_GBC_90d185c72bfe452398767dd3a98447a5" title="其他资产负债表日后事项说明" headerRef="697" helpId="112001166" keyAction="42" keyCode="2"/>
    <m:placeholder xlName="_PLD_9f090bce27ca4e239e6cd3de3fb2fe24" keyCode="PageId:ch1035" keyAction="31"/>
    <m:section xlName="_GBC_cb1f61a36a2a43b0ad30697c25cce450" title="会计差错更正(追溯重述)" headerRef="700" convertSummaryRule="ConvertDefinedText" convertText="无" helpId="112001180"/>
    <m:section xlName="_GBC_6bd40de18d9047e48f182803eefc5581" title="未来适用法本报告期是否发现采用未来适用法的前期会计差错：（..." headerRef="701" helpId="112001180"/>
    <m:section xlName="_SEC_3b93aae1bf0f4cd5afa055ee872804c3" title="债务重组" headerRef="702"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GBC_c8e7bc701c4e40cea43130c65dd24cdf" title="非货币性资产交换" headerRef="704" convertSummaryRule="NoConvert" helpId="112001183" helpText="注：非货币性资产交换应披露换入资产的类别、成本确定方式和公允价值，换出资产的类别、账面价值和公允价值，以及非货币性资产交换确认的损益。"/>
    <m:section xlName="_GBC_a7d8a797c78a4fb398d42fc923a0a5dc" title="其他资产置换资产说明" headerRef="705" helpId="112001183" helpText="注：说明重要资产置换、转让及出售的情况，包括资产账面价值、转让金额、对财务状况与经营成果的影响、转让原因等。"/>
    <m:section xlName="_GBC_868ef73c1ce14e36a7c8c41a6c9d1268" title="年金计划主要内容及重大变化" headerRef="706" convertSummaryRule="NoConvert" helpId="112001185" helpText="注：说明年金计划的主要内容及重要变化。"/>
    <m:section xlName="_GBC_eb9f713a39454ce1a2b0b09086ca70cc" title="终止经营" headerRef="707" convertSummaryRule="NoConvert" helpId="112001187"/>
    <m:section xlName="_GBC_a659f5b3817d4a3394d1850cd82bbbab" title="分部信息报告分部的确定依据与会计政策" rules="R2015_R11_033" headerRef="709" helpId="112001188"/>
    <m:section xlName="_GBC_7bcfc6b35dea4597b05ae9db882c542b" title="报告分部的财务信息" rules="R2015_R11_033" headerRef="710" helpId="112001188" helpText="注：报告分部的财务信息应结合公司具体情况披露，包括主营业务收入、主营业务成本等信息。"/>
    <m:section xlName="_GBC_0a73290869524182a42675dee97eaa48" title="公司无报告分部的，或者不能披露各报告分部的资产总额和负债总额的，应说明原因" rules="R2015_R11_033" headerRef="711" helpId="112001188"/>
    <m:section xlName="_GBC_bf8b759cb5b84035861b501b67f52f53" title="分部信息其他说明" rules="R2015_R11_033" headerRef="712" helpId="112001188"/>
    <m:section xlName="_GBC_0e2af5e32a53408bb340218a0c352be0" title="其他重要事项说明" headerRef="713" convertSummaryRule="NoConvert" helpId="112001190" helpText="注：说明其他对投资者决策有影响的重要交易和事项，包括具体情况、判断依据及相关会计处理。"/>
    <m:section xlName="_GBC_a9d998641356411784b3ec54387f322d" title="其他重要事项的说明" headerRef="714" helpId="112001166"/>
    <m:placeholder xlName="_PLD_0f9a2970e88848cfa13ef47ec3251a4e" keyCode="PageId:ch1036" keyAction="31"/>
    <m:section xlName="_SEC_5859d30d861c4c0292d303045c54bde7" title="按账龄披露" headerRef="717" helpId="112002207" helpText="表中“期末账面余额”指的是包含单项计提和组合计提的期末账面余额。"/>
    <m:item xlName="_GBC_bd7fb52eb7f647d5aa6c10677b261ee1" headerRef="718" up="按坏账计提方法分类披露"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22b53fc701704bd9858f1a601e7a3144&quot;,&quot;CType&quot;:1}]"/>
    <m:section xlName="_SEC_22b53fc701704bd9858f1a601e7a3144" title="(2).  按坏账计提方法分类披露" headerRef="718" helpId="112002207"/>
    <m:section xlName="_SEC_25fdb1db4e684b509f2d87c2a7766da9" title="按单项计提坏账准备：" headerRef="718" helpId="112002207"/>
    <m:item xlName="_GBC_bf96e631f2cf4f6a876dff49863ee9d3" headerRef="718" up="按组合计提坏账准备："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headerRef="718" helpId="112002207"/>
    <m:section xlName="_SEC_c60e95248c4a4b468d429be8e0ec51d3" title="如按照一般预计信用损失模型计提坏账，请参照其他应收款的披露方式披露" headerRef="718" helpId="112002207"/>
    <m:item xlName="_GBC_f73789de2ecf49c4bad380c8767c93cf" headerRef="719" up="坏账准备的情况"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计提坏账准备情况" headerRef="719" helpId="112002207"/>
    <m:section xlName="_SEC_4190eeaef32c4ff2b6c26bd394b92040" title="本期转回或收回情况" headerRef="719" convertSummaryRule="NoConvert" helpId="112002207" helpText="注：说明转回或收回原因，确定原坏账准备计提比例的依据及其合理性。"/>
    <m:section xlName="_GBC_72fe1bcd09e2470f910107f1e159af49" title="本报告期实际核销的应收账款情况" headerRef="720" convertSummaryRule="NoConvert" helpId="112002207"/>
    <m:section xlName="_SEC_3d1ed932505a4d07984c925784c16944" title="按欠款方归集的期末余额前五名的应收账款情况：" rules="R2015_R11_004" headerRef="721" helpId="112002207" helpText="注：按欠款方集中度，汇总或分别披露期末余额前五名的应收账款的期末余额及占应收账款期末余额合计数的比例，以及相应计提的坏账准备期末余额。">
      <m:axisValue occRef="母公司"/>
    </m:section>
    <m:section xlName="_GBC_eac4abdf299a4312a10e680c5fc79ef9" title="其他说明：" headerRef="721" helpId="112002207"/>
    <m:section xlName="_SEC_e2f0b728ae404babbb57dfbc1fafed13" title="项目列示" headerRef="723"/>
    <m:section xlName="_SEC_91e08163b2464f8cb5d135fd131f631f" title="应收利息分类" headerRef="725" helpId="112002209"/>
    <m:section xlName="_SEC_e80bd789f30b40de829902e04129ef49" title="重要逾期利息" headerRef="726" helpId="112002209"/>
    <m:section xlName="_SEC_b442fa9a2c684bca8071281c3cd03c34" title="按坏账计提方法分类披露" headerRef="727" helpId="112002209">
      <m:axisValue occRef="应收利息"/>
    </m:section>
    <m:section xlName="_SEC_89e2ac286b0643a7a8caf5b7e2b151a5" title="按单项计提坏账准备：  单位：元币种：人民币名称 期..." headerRef="727" helpId="112002209">
      <m:axisValue occRef="应收利息"/>
    </m:section>
    <m:item xlName="_GBC_d3043e47b1544d94a13ce780dd85e9fc" headerRef="727" up="按组合计提坏账准备：" concept="clcid-ci-ar:ShiFouShiYongMuGongSiAnZuHeJiTiHuaiZhangZhunBeiDeXiangXiQingKuang" label="是否适用：母公司按组合计提坏账准备的详细情况" selectOptions="_buildInAppliance" controlType="CustomCheckbox" cRanges="[{&quot;StartName&quot;:&quot;_GBC_d3043e47b1544d94a13ce780dd85e9fc&quot;,&quot;EndName&quot;:&quot;_SEC_d105d8ca510d42ca9fbd5947fe6f662b&quot;,&quot;CType&quot;:1}]">
      <m:axisValue occRef="应收利息"/>
    </m:item>
    <m:section xlName="_SEC_d105d8ca510d42ca9fbd5947fe6f662b" title="组合计提项目" tupleConcept="clcid-pte:AnZuHeJiTiHuaiZhangZhunBeiDeXiangXiMingXi" repeatable="1" headerRef="727" helpId="112002209">
      <m:axisValue occRef="应收利息"/>
    </m:section>
    <m:section xlName="_SEC_ce38368754b54030878f7a4b3d48648e" title="坏账准备计提情况" headerRef="728" helpId="112002209"/>
    <m:section xlName="_SEC_9bea6546387147b0820f4215aa005e52" title="母公司应收利息坏账准备的情况" headerRef="729" helpId="112002209"/>
    <m:section xlName="_SEC_152c862663f24ed881706322f4817efb" title="其中本期坏账准备收回或转回金额重要的" headerRef="729" helpId="112002209">
      <m:axisValue occRef="应收利息"/>
    </m:section>
    <m:section xlName="_SEC_82ac412e608349798785ff91b50dc0b5" title="母公司实际核销的应收利息情况" headerRef="730" helpId="112002209"/>
    <m:section xlName="_SEC_d5a3493d4d5c43979c12a289d5d94e6b" title="其中重要的应收利息核销情况" headerRef="730" helpId="112002209">
      <m:axisValue occRef="应收利息"/>
    </m:section>
    <m:section xlName="_SEC_ad2b0daa52af481d8a56e5f8f2ccc52e" title="其他说明：" headerRef="730" helpId="112002209"/>
    <m:section xlName="_SEC_18f0cc3557ff45749d07d7a27d7c9620" title="应收股利" headerRef="732" helpId="112002209"/>
    <m:section xlName="_SEC_ccfd129beeb14f31b282a062cd845e5e" title="重要的账龄超过1年的应收股利" headerRef="733" helpId="112002209"/>
    <m:section xlName="_SEC_697abfe55ee446509f5a8969b2d67a8f" title="按坏账计提方法分类披露" headerRef="734" helpId="112002209">
      <m:axisValue occRef="应收股利"/>
    </m:section>
    <m:section xlName="_SEC_781cf520716148ff97619c28f803657e" title="按单项计提坏账准备：  单位：元币种：人民币名称 期..." headerRef="734" helpId="112002209">
      <m:axisValue occRef="应收股利"/>
    </m:section>
    <m:item xlName="_GBC_9f9d44f1ec164a3da4b2c14d4d129121" headerRef="734" up="按组合计提坏账准备：" concept="clcid-ci-ar:ShiFouShiYongMuGongSiAnZuHeJiTiHuaiZhangZhunBeiDeXiangXiQingKuang" label="是否适用：母公司按组合计提坏账准备的详细情况" selectOptions="_buildInAppliance" controlType="CustomCheckbox" cRanges="[{&quot;StartName&quot;:&quot;_GBC_9f9d44f1ec164a3da4b2c14d4d129121&quot;,&quot;EndName&quot;:&quot;_SEC_c33d943e8d104301ab742de8215ea747&quot;,&quot;CType&quot;:1}]">
      <m:axisValue occRef="应收股利"/>
    </m:item>
    <m:section xlName="_SEC_c33d943e8d104301ab742de8215ea747" title="组合计提项目" tupleConcept="clcid-pte:AnZuHeJiTiHuaiZhangZhunBeiDeXiangXiMingXi" repeatable="1" headerRef="734" helpId="112002209">
      <m:axisValue occRef="应收股利"/>
    </m:section>
    <m:section xlName="_SEC_3d41530a7b3d408cbfe627f818ea914c" title="坏账准备计提情况" headerRef="735" helpId="112002209"/>
    <m:section xlName="_SEC_975a098f9e44436686992f27ed9ae1c3" title="母公司应收股利坏账准备的情况" headerRef="736" helpId="112002209"/>
    <m:section xlName="_SEC_367ce86c62fe4d36a3f067e579dc9221" title="其中本期坏账准备收回或转回金额重要的" headerRef="736" helpId="112002209">
      <m:axisValue occRef="应收股利"/>
    </m:section>
    <m:section xlName="_SEC_d86f941ba0ed440db8b5c57d27cdae38" title="母公司本期实际核销的应收股利情况" headerRef="737" helpId="112002209"/>
    <m:section xlName="_SEC_9e1f721ff3884db48731bb4d485d232f" title="其中重要的应收股利核销情况" headerRef="737" helpId="112002209">
      <m:axisValue occRef="应收股利"/>
    </m:section>
    <m:section xlName="_SEC_2b03a6eb53a24c76a6dc28f0478009f2" title="其他说明：" headerRef="737" helpId="112002209"/>
    <m:section xlName="_SEC_db399aa123ce49ddb0116f33fe18109b" title="按账龄披露" headerRef="739" helpId="112002209" helpText="表里的这里的“期末账面余额”指的是包含单项计提和组合计提的期末账面余额。"/>
    <m:section xlName="_GBC_c9f7dc8489b74105a28800b5cfad23af" title="其他应收款按款项性质分类情况" headerRef="740" helpId="112002209"/>
    <m:section xlName="_SEC_15d9e20371d54bec9233b27dd50b301d" title="坏账准备计提情况" headerRef="741" helpId="112002209" helpText="如存在坏账准备，应按照财政部企业会计准则第37号第83条规定，披露损失准备期初余额与期末余额的调节表"/>
    <m:section xlName="_SEC_1eec480beee449d4b98b9ea58a782bf3" title="坏账准备的情况" headerRef="742" helpId="112002209"/>
    <m:section xlName="_SEC_f36c1b4ef7514683b7c1ed6f28889287" title="其中本期坏账准备转回或收回金额重要的" headerRef="742" helpId="112002209"/>
    <m:section xlName="_SEC_ffe6c87a4f4a49bd9769cbeb746b444b" title="本期实际核销的其他应收款情况" headerRef="743" helpId="112002209"/>
    <m:section xlName="_SEC_6c44e00a54d34fb1a03f38b7cf5b8a5d" title="其他应收款核销说明：  " headerRef="743" helpId="112002209"/>
    <m:section xlName="_GBC_c77f7efeabc1402191807946a9bfe714" title="按欠款方归集的期末余额前五名的其他应收款情况" headerRef="744" helpId="112002209"/>
    <m:section xlName="_SEC_be582c15ca6d4a0ab5668538b5593187" title="因资金集中管理而列报于其他应收款 " headerRef="745" helpId="112002209"/>
    <m:section xlName="_GBC_4b6cd384bee54ff79269fa4457c70d49" title="其他应收款其他说明" headerRef="745" helpId="112002209"/>
    <m:placeholder xlName="_PLD_5e932ba34e5c49eb9fa8242fe47243cd" keyCode="PageId:ch1042" keyAction="31"/>
    <m:item xlName="_GBC_61071b9a58624e83bfc4232808751b95" headerRef="746" up="长期股权投资"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aderRef="746" helpId="112002211"/>
    <m:section xlName="_SEC_28dc68e8c1ad450f9e39054df86a285c" title="对子公司投资" headerRef="747" helpId="112002211" helpText="期初余额（账面价值）、期末余额（账面价值）请填写扣除减值准备后的净值"/>
    <m:section xlName="_SEC_6b695e9037d74ac480566f6b0cc3ea0d" title="对联营、合营企业投资" headerRef="748" helpId="112002211" helpText="期初余额（账面价值）、期末余额（账面价值）请填写扣除减值准备后的净值"/>
    <m:item xlName="_GBC_c0857dc1a8eb4f79b18a90f9b4b26d58" headerRef="749" up="长期股权投资的减值测试情况" concept="clcid-ci-ar:ShiFouShiYongJianZhiCeShiQingKuang" label="是否适用：减值测试情况" selectOptions="_buildInAppliance" controlType="CustomCheckbox" cRanges="[{&quot;StartName&quot;:&quot;_GBC_c0857dc1a8eb4f79b18a90f9b4b26d58&quot;,&quot;EndName&quot;:&quot;_SEC_71ea10733b824b968c2e14cf048d7d1c&quot;,&quot;CType&quot;:1}]">
      <m:axisValue occRef="母公司"/>
      <m:axisValue occRef="长期股权投资"/>
    </m:item>
    <m:section xlName="_SEC_822d71d2a6114d65a3645fd0d6a4cb7d" title="可收回金额按公允价值减去处置费用后的净额确定" headerRef="750" helpId="112002211">
      <m:axisValue occRef="长期股权投资"/>
      <m:axisValue occRef="母公司"/>
    </m:section>
    <m:section xlName="_SEC_2294f378c2eb488185ad8620abb6d34a" title="可收回金额按预计未来现金流量的现值确定" headerRef="751" helpId="112002211">
      <m:axisValue occRef="长期股权投资"/>
      <m:axisValue occRef="母公司"/>
    </m:section>
    <m:section xlName="_SEC_14eb6745f28c4405aacca844bdf50463" title="前述信息与以前年度减值测试采用的信息或外部信息明显不一致的差..." headerRef="752" helpId="112002211">
      <m:axisValue occRef="长期股权投资"/>
      <m:axisValue occRef="母公司"/>
    </m:section>
    <m:section xlName="_SEC_71ea10733b824b968c2e14cf048d7d1c" title="公司以前年度减值测试采用信息与当年实际情况明显不一致的差异原..." headerRef="753" helpId="112002211">
      <m:axisValue occRef="长期股权投资"/>
      <m:axisValue occRef="母公司"/>
    </m:section>
    <m:section xlName="_GBC_1577b793bbce4a50b07decde0e07491e" title="长期股权投资的说明" headerRef="753" orient="landscape" helpId="112002211"/>
    <m:placeholder xlName="_PLD_07f50b7834c0490ca6a5342b909d2290" keyCode="PageId:ch1037" keyAction="31"/>
    <m:section xlName="_SEC_c20353238d924d35bff1a3e0cee4af4b" title="营业收入和营业成本情况" headerRef="755" helpId="112001233" keyAction="89"/>
    <m:section xlName="_SEC_55b67c614f984b14baf467a8376baa6d" title="合同产生的收入的情况" headerRef="756" tagAction="1" helpId="112001233">
      <m:virtualTuples>
        <m:virtualTuple id="47b64d54-c0cb-4c7a-a1b2-733bbb651abd" tupleRef="clcid-pte:HeTongChanShengDeShouRuFenBuMingXi" extendDirection="2"/>
      </m:virtualTuples>
    </m:section>
    <m:section xlName="_SEC_07f314ac96bd42a28c2766bb3781c913" title="履约义务的说明" headerRef="757" helpId="112001233"/>
    <m:section xlName="_SEC_e95ad3f139c54551b2b6b25c8a85cd3e" title="分摊至剩余履约义务的说明" headerRef="758" helpId="112001233"/>
    <m:section xlName="_SEC_ced2618a2bfc45bca934a93ab08bfaa3" title="重大合同变更或重大交易价格调整" headerRef="759" helpId="112001233"/>
    <m:section xlName="_SEC_0c05b3f6a2d94f5989da6e67eb2f67d6" title="营业收入和营业成本其他说明" headerRef="759" helpId="112001233"/>
    <m:section xlName="_SEC_69cb0c27d0a845f8ab1383f9a47646b6" title="投资收益" headerRef="760" helpId="112001197"/>
    <m:section xlName="_GBC_23958e5452684882b98c8317e400c8d6" title="母公司会计报表附注的其他说明事项" headerRef="761" helpId="112002212"/>
    <m:placeholder xlName="_PLD_2bd48f8ab801400f88c94dac44731db0" keyCode="PageId:ch1038" keyAction="31"/>
    <m:section xlName="_SEC_cde396f022fe426bae1097e657f16e83" title="当期非经常性损益明细" headerRef="763" helpId="112001192" helpText="1.非经常性损益的界定，应以非经常性损益的定义为依据。在界定非经常性损益项目时，应遵循以下原则：\n（一）非经常性损益的认定应基于交易和事项的经济性质判断\n（二）非经常性损益的认定应基于行业特点和业务模式判断\n（三）非经常性损益的认定应遵循重要性原则。\n2.各非经常性损益项目按税前金额列示。\n3.非经常性损益项目中的损失类应以负数填写。\n4.自定义科目全部填入“其他符合非经常性损益定义的损益项目”，并在该项目附注中说明具体情况。"/>
    <m:section xlName="_GBC_7944e47348cd4cd186b958ba1902ea3f" title="对公司根据《公开发行证券的公司信息披露解释性公告第1号——非..." headerRef="763" convertSummaryRule="NoConvert" helpId="112001192"/>
    <m:section xlName="_SEC_9779a45603754f5a8e4b377ad6f06fc2" title="其他说明" headerRef="763" helpId="112001192" helpText="上市公司在披露定期报告时，应在财务报表附注中披露执行本规则对可比会计期间非经常性损益的影响情况。"/>
    <m:section xlName="_GBC_146d888914ac4591bea1ff0ea9e89617" title="净资产收益率及每股收益" headerRef="764" helpId="112001194"/>
    <m:item xlName="_GBC_3482333eff2948139884cfdd1debc958" headerRef="765" up="境内外会计准则下会计数据差异"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aderRef="766" helpId="112001195"/>
    <m:section xlName="_GBC_4dcd3e5d3e2046b28e99d35c3cbab7be" title="同时按照境外会计准则与按中国会计准则披露的财务报告中净利润和..." headerRef="767" helpId="112001195" helpText="注：境内外会计准则下会计数据差异填列合并报表数据。"/>
    <m:section xlName="_GBC_28e04aa78d514ffaa91bd2d93b36d312" title="境内外会计准则下会计数据差异说明" headerRef="768" convertSummaryRule="NoConvert" helpId="112001195"/>
    <m:section xlName="_GBC_a60672e5f86e422cbb864ef991c9106b" title="补充资料其他说明事项" headerRef="769" helpId="112001166"/>
    <m:section xlName="_SEC_05b1791af4454108ad401bb8a64cf5c6" title="落款" headerRef="769" convertSummaryRule="NoConvert" helpId="110002018"/>
    <m:section xlName="_GBC_e51b54728b2e4e53b95b0611d0df9b06" title="修订信息 " headerRef="769" convertSummaryRule="NoConvert"/>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2ac0161341124c22928d7d9bda9c092a" desc="扣后基本每股收益上期数大于0" test=" $_GBC_b9acb6b637744de2b3a128c6e247d5bf &gt;  0 "/>
    <m:precondition id="CON_2ab89e5947cc4829906ec6baa0a454ef" desc="以后重分类进损益的其他综合收益横向公式" test="not (  (  $_GBC_5c655a0ef59a4277bc39216e66537c6f +  $_GBC_89a43a67e3e544edbf44809c00131299 ==  $_GBC_e110b3abe19241479fa28dadc62117e9 )  ||  (  $_GBC_5c655a0ef59a4277bc39216e66537c6f +  $_GBC_89a43a67e3e544edbf44809c00131299 -  $_GBC_3c586710a7554d53a726a15a0984f7cf ==  $_GBC_e110b3abe19241479fa28dadc62117e9 )  ||  (  $_GBC_5c655a0ef59a4277bc39216e66537c6f +  $_GBC_89a43a67e3e544edbf44809c00131299 +  $_GBC_3c586710a7554d53a726a15a0984f7cf ==  $_GBC_e110b3abe19241479fa28dadc62117e9 )  ) "/>
    <m:precondition id="CON_3bc486b5ddd6468885af782b40530a51" desc="其他综合收益合计横向公式" test="not (  (  $_GBC_7d7534c6cb1c4ffdb0ccec0f16bb954b +  $_GBC_b5118f0af02749fc806db9326d754991 ==  $_GBC_0dbee349a9e94f788424baef436dd53a )  ||  (  $_GBC_7d7534c6cb1c4ffdb0ccec0f16bb954b +  $_GBC_b5118f0af02749fc806db9326d754991 -  $_GBC_a11f3011d8674a6aa5ed7c69a7e588cd ==  $_GBC_0dbee349a9e94f788424baef436dd53a )  ||  (  $_GBC_7d7534c6cb1c4ffdb0ccec0f16bb954b +  $_GBC_b5118f0af02749fc806db9326d754991 +  $_GBC_a11f3011d8674a6aa5ed7c69a7e588cd ==  $_GBC_0dbee349a9e94f788424baef436dd53a )  ) "/>
    <m:precondition id="CON_a1eb43ebcda24b18be4383b11129a8a8" desc="以后不能重分类进损益的其他综合收益横向公式" test="not (  (  $_GBC_e2de66f3d0ff45c8b9236045779902ae +  $_GBC_85d145546e3b4f72908bbefe16244d13 ==  $_GBC_ef85990f3d1549c99f748bd71e4c8ef8 )  ||  (  $_GBC_e2de66f3d0ff45c8b9236045779902ae +  $_GBC_85d145546e3b4f72908bbefe16244d13 -  $_GBC_bd45fe5da0464410af26e48ce2a50ef6 ==  $_GBC_ef85990f3d1549c99f748bd71e4c8ef8 )  ||  (  $_GBC_e2de66f3d0ff45c8b9236045779902ae +  $_GBC_85d145546e3b4f72908bbefe16244d13 +  $_GBC_bd45fe5da0464410af26e48ce2a50ef6 ==  $_GBC_ef85990f3d1549c99f748bd71e4c8ef8 )  ) "/>
  </m:conditions>
</m:mapping>
</file>

<file path=customXml/item5.xml><?xml version="1.0" encoding="utf-8"?>
<t:template xmlns:t="http://mapping.word.org/2012/template">
  <t:sse><![CDATA[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]]></t:sse>
</t:template>
</file>

<file path=customXml/itemProps1.xml><?xml version="1.0" encoding="utf-8"?>
<ds:datastoreItem xmlns:ds="http://schemas.openxmlformats.org/officeDocument/2006/customXml" ds:itemID="{C6785904-1535-4AB4-A0D0-92345A3E1E8C}">
  <ds:schemaRefs/>
</ds:datastoreItem>
</file>

<file path=customXml/itemProps2.xml><?xml version="1.0" encoding="utf-8"?>
<ds:datastoreItem xmlns:ds="http://schemas.openxmlformats.org/officeDocument/2006/customXml" ds:itemID="{1F37729E-89F6-4D70-BC0B-8EF77515B409}">
  <ds:schemaRefs/>
</ds:datastoreItem>
</file>

<file path=customXml/itemProps3.xml><?xml version="1.0" encoding="utf-8"?>
<ds:datastoreItem xmlns:ds="http://schemas.openxmlformats.org/officeDocument/2006/customXml" ds:itemID="{89EBAB94-44A0-46A2-B712-30D997D04A6D}">
  <ds:schemaRefs/>
</ds:datastoreItem>
</file>

<file path=customXml/itemProps4.xml><?xml version="1.0" encoding="utf-8"?>
<ds:datastoreItem xmlns:ds="http://schemas.openxmlformats.org/officeDocument/2006/customXml" ds:itemID="{AEEF8E1D-24E6-4F8B-8977-359A558FF066}">
  <ds:schemaRefs/>
</ds:datastoreItem>
</file>

<file path=customXml/itemProps5.xml><?xml version="1.0" encoding="utf-8"?>
<ds:datastoreItem xmlns:ds="http://schemas.openxmlformats.org/officeDocument/2006/customXml" ds:itemID="{5706c58b-b63d-4e4b-a5d0-e2e888bbc8a8}">
  <ds:schemaRefs/>
</ds:datastoreItem>
</file>

<file path=docProps/app.xml><?xml version="1.0" encoding="utf-8"?>
<Properties xmlns="http://schemas.openxmlformats.org/officeDocument/2006/extended-properties" xmlns:vt="http://schemas.openxmlformats.org/officeDocument/2006/docPropsVTypes">
  <Template>SSEReport.dotm</Template>
  <Company>Sky123.Org</Company>
  <Pages>190</Pages>
  <Words>100377</Words>
  <Characters>143459</Characters>
  <Lines>15969</Lines>
  <Paragraphs>15506</Paragraphs>
  <TotalTime>46</TotalTime>
  <ScaleCrop>false</ScaleCrop>
  <LinksUpToDate>false</LinksUpToDate>
  <CharactersWithSpaces>146557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2025-07-28T14:49:00Z</dcterms:created>
  <dc:creator>管理员</dc:creator>
  <cp:lastModifiedBy>xinxin.li</cp:lastModifiedBy>
  <dcterms:modified xsi:type="dcterms:W3CDTF">2025-08-22T11:04:22Z</dcterms:modified>
  <cp:revision>478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eyJoZGlkIjoiYzY5MzVkOTRlNjM0NTZhY2NmZGFjNGZjYTY0N2Q1OGYiLCJ1c2VySWQiOiIzMzEyMzgyMjcifQ==</vt:lpwstr>
  </property>
  <property fmtid="{D5CDD505-2E9C-101B-9397-08002B2CF9AE}" pid="3" name="KSOProductBuildVer">
    <vt:lpwstr>2052-12.1.0.21915</vt:lpwstr>
  </property>
  <property fmtid="{D5CDD505-2E9C-101B-9397-08002B2CF9AE}" pid="4" name="ICV">
    <vt:lpwstr>9273D15C04424F7B866318C04B923587_13</vt:lpwstr>
  </property>
</Properties>
</file>